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12B3" w:rsidRDefault="00AB12B3" w:rsidP="00AB12B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Медицинский университет Семей</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УДК: </w:t>
      </w:r>
      <w:r w:rsidR="00D922A9">
        <w:rPr>
          <w:rFonts w:ascii="Times New Roman" w:hAnsi="Times New Roman" w:cs="Times New Roman"/>
          <w:sz w:val="28"/>
          <w:szCs w:val="28"/>
        </w:rPr>
        <w:t>612.018:577.171.55</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D922A9">
        <w:rPr>
          <w:rFonts w:ascii="Times New Roman" w:hAnsi="Times New Roman" w:cs="Times New Roman"/>
          <w:sz w:val="28"/>
          <w:szCs w:val="28"/>
        </w:rPr>
        <w:tab/>
        <w:t xml:space="preserve">     </w:t>
      </w:r>
      <w:r>
        <w:rPr>
          <w:rFonts w:ascii="Times New Roman" w:hAnsi="Times New Roman" w:cs="Times New Roman"/>
          <w:sz w:val="28"/>
          <w:szCs w:val="28"/>
        </w:rPr>
        <w:t>На правах рукописи</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ШАХАНОВА АЙЖАН ТУНГЫШХАНОВНА</w:t>
      </w:r>
    </w:p>
    <w:p w:rsidR="00AB12B3" w:rsidRDefault="00AB12B3" w:rsidP="00AB12B3">
      <w:pPr>
        <w:spacing w:after="0" w:line="240" w:lineRule="auto"/>
        <w:jc w:val="both"/>
        <w:rPr>
          <w:rFonts w:ascii="Times New Roman" w:hAnsi="Times New Roman" w:cs="Times New Roman"/>
          <w:b/>
          <w:sz w:val="28"/>
          <w:szCs w:val="28"/>
        </w:rPr>
      </w:pPr>
    </w:p>
    <w:p w:rsidR="00AB12B3" w:rsidRDefault="00AB12B3" w:rsidP="00AB12B3">
      <w:pPr>
        <w:spacing w:after="0" w:line="240" w:lineRule="auto"/>
        <w:jc w:val="both"/>
        <w:rPr>
          <w:rFonts w:ascii="Times New Roman" w:hAnsi="Times New Roman" w:cs="Times New Roman"/>
          <w:b/>
          <w:sz w:val="28"/>
          <w:szCs w:val="28"/>
        </w:rPr>
      </w:pPr>
    </w:p>
    <w:p w:rsidR="00AB12B3" w:rsidRDefault="00E2451D" w:rsidP="00AB12B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Молекулярно-генетические основы прогнозирования развития дислипидемии и инсулинорезистентности в казахской популяции</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6D110100 - Медицина</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Диссертация на соискание степени</w:t>
      </w:r>
    </w:p>
    <w:p w:rsidR="00AB12B3" w:rsidRDefault="00AB12B3" w:rsidP="00AB12B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доктора философии (PhD)</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Научный руководитель</w:t>
      </w:r>
    </w:p>
    <w:p w:rsidR="00AB12B3" w:rsidRDefault="00AB12B3" w:rsidP="00AB12B3">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Н.Е. Аукенов</w:t>
      </w:r>
    </w:p>
    <w:p w:rsidR="00AB12B3" w:rsidRDefault="00AB12B3" w:rsidP="00AB12B3">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кандидат медицинских наук</w:t>
      </w:r>
    </w:p>
    <w:p w:rsidR="00AB12B3" w:rsidRDefault="00AB12B3" w:rsidP="00AB12B3">
      <w:pPr>
        <w:tabs>
          <w:tab w:val="left" w:pos="1215"/>
        </w:tabs>
        <w:spacing w:after="0" w:line="240" w:lineRule="auto"/>
        <w:jc w:val="right"/>
        <w:rPr>
          <w:rFonts w:ascii="Times New Roman" w:hAnsi="Times New Roman" w:cs="Times New Roman"/>
          <w:sz w:val="28"/>
          <w:szCs w:val="28"/>
        </w:rPr>
      </w:pPr>
      <w:r>
        <w:rPr>
          <w:rFonts w:ascii="Times New Roman" w:hAnsi="Times New Roman" w:cs="Times New Roman"/>
          <w:sz w:val="28"/>
          <w:szCs w:val="28"/>
        </w:rPr>
        <w:tab/>
      </w:r>
    </w:p>
    <w:p w:rsidR="00AB12B3" w:rsidRDefault="00AB12B3" w:rsidP="00AB12B3">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Научный консультант</w:t>
      </w:r>
    </w:p>
    <w:p w:rsidR="00AB12B3" w:rsidRDefault="00AB12B3" w:rsidP="00AB12B3">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А.У. Нуртазина</w:t>
      </w:r>
    </w:p>
    <w:p w:rsidR="00AB12B3" w:rsidRDefault="00AB12B3" w:rsidP="00AB12B3">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кандидат медицинских наук</w:t>
      </w:r>
    </w:p>
    <w:p w:rsidR="00AB12B3" w:rsidRDefault="00AB12B3" w:rsidP="00AB12B3">
      <w:pPr>
        <w:spacing w:after="0" w:line="240" w:lineRule="auto"/>
        <w:jc w:val="right"/>
        <w:rPr>
          <w:rFonts w:ascii="Times New Roman" w:hAnsi="Times New Roman" w:cs="Times New Roman"/>
          <w:sz w:val="28"/>
          <w:szCs w:val="28"/>
        </w:rPr>
      </w:pPr>
    </w:p>
    <w:p w:rsidR="00AB12B3" w:rsidRDefault="00AB12B3" w:rsidP="00AB12B3">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Зарубежный консультант</w:t>
      </w:r>
    </w:p>
    <w:p w:rsidR="00AB12B3" w:rsidRDefault="00AB12B3" w:rsidP="00AB12B3">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 Керим Мутиг</w:t>
      </w:r>
    </w:p>
    <w:p w:rsidR="00AB12B3" w:rsidRDefault="00AB12B3" w:rsidP="00AB12B3">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PhD, MD,</w:t>
      </w:r>
    </w:p>
    <w:p w:rsidR="00AB12B3" w:rsidRDefault="00AB12B3" w:rsidP="00AB12B3">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ассоциированный профессор</w:t>
      </w:r>
    </w:p>
    <w:p w:rsidR="00AB12B3" w:rsidRDefault="00AB12B3" w:rsidP="00AB12B3">
      <w:pPr>
        <w:spacing w:after="0" w:line="240" w:lineRule="auto"/>
        <w:jc w:val="right"/>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rsidR="00AB12B3" w:rsidRDefault="00AB12B3" w:rsidP="00AB12B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Семей, 202</w:t>
      </w:r>
      <w:r w:rsidR="00151037">
        <w:rPr>
          <w:rFonts w:ascii="Times New Roman" w:hAnsi="Times New Roman" w:cs="Times New Roman"/>
          <w:sz w:val="28"/>
          <w:szCs w:val="28"/>
        </w:rPr>
        <w:t>1</w:t>
      </w:r>
      <w:r>
        <w:rPr>
          <w:rFonts w:ascii="Times New Roman" w:hAnsi="Times New Roman" w:cs="Times New Roman"/>
          <w:sz w:val="28"/>
          <w:szCs w:val="28"/>
        </w:rPr>
        <w:t xml:space="preserve"> год</w:t>
      </w:r>
    </w:p>
    <w:p w:rsidR="00AB12B3" w:rsidRDefault="00AB12B3" w:rsidP="00AB12B3">
      <w:pPr>
        <w:spacing w:after="0" w:line="240" w:lineRule="auto"/>
        <w:rPr>
          <w:rFonts w:ascii="Times New Roman" w:hAnsi="Times New Roman" w:cs="Times New Roman"/>
          <w:sz w:val="28"/>
          <w:szCs w:val="28"/>
        </w:rPr>
        <w:sectPr w:rsidR="00AB12B3" w:rsidSect="00CD6A9B">
          <w:footerReference w:type="default" r:id="rId9"/>
          <w:pgSz w:w="11906" w:h="16838"/>
          <w:pgMar w:top="1134" w:right="850" w:bottom="1134" w:left="1701" w:header="708" w:footer="708" w:gutter="0"/>
          <w:cols w:space="720"/>
          <w:titlePg/>
          <w:docGrid w:linePitch="299"/>
        </w:sectPr>
      </w:pPr>
    </w:p>
    <w:p w:rsidR="00AB12B3" w:rsidRPr="00151037" w:rsidRDefault="00AB12B3" w:rsidP="00AB12B3">
      <w:pPr>
        <w:spacing w:after="0" w:line="240" w:lineRule="auto"/>
        <w:jc w:val="center"/>
        <w:rPr>
          <w:rFonts w:ascii="Times New Roman" w:hAnsi="Times New Roman" w:cs="Times New Roman"/>
          <w:b/>
          <w:bCs/>
          <w:sz w:val="28"/>
          <w:szCs w:val="28"/>
        </w:rPr>
      </w:pPr>
      <w:r w:rsidRPr="00151037">
        <w:rPr>
          <w:rFonts w:ascii="Times New Roman" w:hAnsi="Times New Roman" w:cs="Times New Roman"/>
          <w:b/>
          <w:bCs/>
          <w:sz w:val="28"/>
          <w:szCs w:val="28"/>
        </w:rPr>
        <w:lastRenderedPageBreak/>
        <w:t>СОДЕРЖАНИЕ</w:t>
      </w:r>
    </w:p>
    <w:p w:rsidR="00AB12B3" w:rsidRDefault="00AB12B3" w:rsidP="00AB12B3">
      <w:pPr>
        <w:spacing w:after="0" w:line="240" w:lineRule="auto"/>
        <w:jc w:val="both"/>
        <w:rPr>
          <w:rFonts w:ascii="Times New Roman" w:hAnsi="Times New Roman" w:cs="Times New Roman"/>
          <w:sz w:val="28"/>
          <w:szCs w:val="28"/>
        </w:rPr>
      </w:pPr>
    </w:p>
    <w:tbl>
      <w:tblPr>
        <w:tblStyle w:val="af7"/>
        <w:tblW w:w="96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08"/>
        <w:gridCol w:w="992"/>
      </w:tblGrid>
      <w:tr w:rsidR="00AB12B3" w:rsidTr="00E2451D">
        <w:tc>
          <w:tcPr>
            <w:tcW w:w="8608" w:type="dxa"/>
            <w:vAlign w:val="center"/>
            <w:hideMark/>
          </w:tcPr>
          <w:p w:rsidR="00AB12B3" w:rsidRPr="00E2451D" w:rsidRDefault="00AB12B3">
            <w:pPr>
              <w:jc w:val="both"/>
              <w:rPr>
                <w:rFonts w:ascii="Times New Roman" w:hAnsi="Times New Roman"/>
                <w:b/>
                <w:sz w:val="28"/>
                <w:szCs w:val="28"/>
              </w:rPr>
            </w:pPr>
            <w:r w:rsidRPr="00E2451D">
              <w:rPr>
                <w:rFonts w:ascii="Times New Roman" w:hAnsi="Times New Roman"/>
                <w:b/>
                <w:sz w:val="28"/>
                <w:szCs w:val="28"/>
              </w:rPr>
              <w:t>НОРМАТИВНЫЕ ССЫЛКИ</w:t>
            </w:r>
          </w:p>
        </w:tc>
        <w:tc>
          <w:tcPr>
            <w:tcW w:w="992" w:type="dxa"/>
            <w:vAlign w:val="center"/>
          </w:tcPr>
          <w:p w:rsidR="00AB12B3" w:rsidRDefault="0008725B">
            <w:pPr>
              <w:jc w:val="both"/>
              <w:rPr>
                <w:rFonts w:ascii="Times New Roman" w:hAnsi="Times New Roman"/>
                <w:sz w:val="28"/>
                <w:szCs w:val="28"/>
              </w:rPr>
            </w:pPr>
            <w:r>
              <w:rPr>
                <w:rFonts w:ascii="Times New Roman" w:hAnsi="Times New Roman"/>
                <w:sz w:val="28"/>
                <w:szCs w:val="28"/>
              </w:rPr>
              <w:t>4</w:t>
            </w:r>
          </w:p>
        </w:tc>
      </w:tr>
      <w:tr w:rsidR="00AB12B3" w:rsidTr="00E2451D">
        <w:tc>
          <w:tcPr>
            <w:tcW w:w="8608" w:type="dxa"/>
            <w:vAlign w:val="center"/>
            <w:hideMark/>
          </w:tcPr>
          <w:p w:rsidR="00AB12B3" w:rsidRPr="00E2451D" w:rsidRDefault="00AB12B3">
            <w:pPr>
              <w:jc w:val="both"/>
              <w:rPr>
                <w:rFonts w:ascii="Times New Roman" w:hAnsi="Times New Roman"/>
                <w:b/>
                <w:sz w:val="28"/>
                <w:szCs w:val="28"/>
              </w:rPr>
            </w:pPr>
            <w:r w:rsidRPr="00E2451D">
              <w:rPr>
                <w:rFonts w:ascii="Times New Roman" w:hAnsi="Times New Roman"/>
                <w:b/>
                <w:sz w:val="28"/>
                <w:szCs w:val="28"/>
              </w:rPr>
              <w:t>ОПРЕДЕЛЕНИЯ</w:t>
            </w:r>
          </w:p>
        </w:tc>
        <w:tc>
          <w:tcPr>
            <w:tcW w:w="992" w:type="dxa"/>
            <w:vAlign w:val="center"/>
          </w:tcPr>
          <w:p w:rsidR="00AB12B3" w:rsidRDefault="0008725B">
            <w:pPr>
              <w:jc w:val="both"/>
              <w:rPr>
                <w:rFonts w:ascii="Times New Roman" w:hAnsi="Times New Roman"/>
                <w:sz w:val="28"/>
                <w:szCs w:val="28"/>
              </w:rPr>
            </w:pPr>
            <w:r>
              <w:rPr>
                <w:rFonts w:ascii="Times New Roman" w:hAnsi="Times New Roman"/>
                <w:sz w:val="28"/>
                <w:szCs w:val="28"/>
              </w:rPr>
              <w:t>5</w:t>
            </w:r>
          </w:p>
        </w:tc>
      </w:tr>
      <w:tr w:rsidR="00AB12B3" w:rsidTr="00E2451D">
        <w:tc>
          <w:tcPr>
            <w:tcW w:w="8608" w:type="dxa"/>
            <w:vAlign w:val="center"/>
            <w:hideMark/>
          </w:tcPr>
          <w:p w:rsidR="00AB12B3" w:rsidRPr="00E2451D" w:rsidRDefault="00AB12B3">
            <w:pPr>
              <w:jc w:val="both"/>
              <w:rPr>
                <w:rFonts w:ascii="Times New Roman" w:hAnsi="Times New Roman"/>
                <w:b/>
                <w:sz w:val="28"/>
                <w:szCs w:val="28"/>
              </w:rPr>
            </w:pPr>
            <w:r w:rsidRPr="00E2451D">
              <w:rPr>
                <w:rFonts w:ascii="Times New Roman" w:hAnsi="Times New Roman"/>
                <w:b/>
                <w:sz w:val="28"/>
                <w:szCs w:val="28"/>
              </w:rPr>
              <w:t>ОБОЗНАЧЕНИЯ И СОКРАЩЕНИЯ</w:t>
            </w:r>
          </w:p>
        </w:tc>
        <w:tc>
          <w:tcPr>
            <w:tcW w:w="992" w:type="dxa"/>
            <w:vAlign w:val="center"/>
          </w:tcPr>
          <w:p w:rsidR="00AB12B3" w:rsidRDefault="0008725B">
            <w:pPr>
              <w:jc w:val="both"/>
              <w:rPr>
                <w:rFonts w:ascii="Times New Roman" w:hAnsi="Times New Roman"/>
                <w:sz w:val="28"/>
                <w:szCs w:val="28"/>
              </w:rPr>
            </w:pPr>
            <w:r>
              <w:rPr>
                <w:rFonts w:ascii="Times New Roman" w:hAnsi="Times New Roman"/>
                <w:sz w:val="28"/>
                <w:szCs w:val="28"/>
              </w:rPr>
              <w:t>7</w:t>
            </w:r>
          </w:p>
        </w:tc>
      </w:tr>
      <w:tr w:rsidR="00AB12B3" w:rsidTr="00E2451D">
        <w:tc>
          <w:tcPr>
            <w:tcW w:w="8608" w:type="dxa"/>
            <w:vAlign w:val="center"/>
            <w:hideMark/>
          </w:tcPr>
          <w:p w:rsidR="00AB12B3" w:rsidRPr="00E2451D" w:rsidRDefault="00AB12B3">
            <w:pPr>
              <w:jc w:val="both"/>
              <w:rPr>
                <w:rFonts w:ascii="Times New Roman" w:hAnsi="Times New Roman"/>
                <w:b/>
                <w:sz w:val="28"/>
                <w:szCs w:val="28"/>
              </w:rPr>
            </w:pPr>
            <w:r w:rsidRPr="00E2451D">
              <w:rPr>
                <w:rFonts w:ascii="Times New Roman" w:hAnsi="Times New Roman"/>
                <w:b/>
                <w:sz w:val="28"/>
                <w:szCs w:val="28"/>
              </w:rPr>
              <w:t>ВВЕДЕНИЕ</w:t>
            </w:r>
          </w:p>
        </w:tc>
        <w:tc>
          <w:tcPr>
            <w:tcW w:w="992" w:type="dxa"/>
            <w:vAlign w:val="center"/>
          </w:tcPr>
          <w:p w:rsidR="00AB12B3" w:rsidRDefault="0008725B">
            <w:pPr>
              <w:jc w:val="both"/>
              <w:rPr>
                <w:rFonts w:ascii="Times New Roman" w:hAnsi="Times New Roman"/>
                <w:sz w:val="28"/>
                <w:szCs w:val="28"/>
              </w:rPr>
            </w:pPr>
            <w:r>
              <w:rPr>
                <w:rFonts w:ascii="Times New Roman" w:hAnsi="Times New Roman"/>
                <w:sz w:val="28"/>
                <w:szCs w:val="28"/>
              </w:rPr>
              <w:t>9</w:t>
            </w:r>
          </w:p>
        </w:tc>
      </w:tr>
      <w:tr w:rsidR="00AB12B3" w:rsidTr="00E2451D">
        <w:tc>
          <w:tcPr>
            <w:tcW w:w="8608" w:type="dxa"/>
            <w:vAlign w:val="center"/>
            <w:hideMark/>
          </w:tcPr>
          <w:p w:rsidR="00AB12B3" w:rsidRPr="00E2451D" w:rsidRDefault="00AB12B3">
            <w:pPr>
              <w:jc w:val="both"/>
              <w:rPr>
                <w:rFonts w:ascii="Times New Roman" w:hAnsi="Times New Roman"/>
                <w:b/>
                <w:sz w:val="28"/>
                <w:szCs w:val="28"/>
              </w:rPr>
            </w:pPr>
            <w:r w:rsidRPr="00E2451D">
              <w:rPr>
                <w:rFonts w:ascii="Times New Roman" w:hAnsi="Times New Roman"/>
                <w:b/>
                <w:sz w:val="28"/>
                <w:szCs w:val="28"/>
              </w:rPr>
              <w:t>1 СОВРЕМЕННОЕ ПРЕДСТАВЛЕНИЕ О РОЛИ МОЛЕКУЛЯРНО – ГЕНЕТИЧЕСКИХ ФАКТОРОВ В РАЗВИТИИ ДИСЛИПИДЕМИИ И ИНСУЛИНОРЕЗИСТЕНТНОСТИ (ОБЗОР ЛИТЕРАТУРЫ)</w:t>
            </w:r>
          </w:p>
        </w:tc>
        <w:tc>
          <w:tcPr>
            <w:tcW w:w="992" w:type="dxa"/>
            <w:vAlign w:val="center"/>
          </w:tcPr>
          <w:p w:rsidR="00AB12B3" w:rsidRDefault="0008725B">
            <w:pPr>
              <w:jc w:val="both"/>
              <w:rPr>
                <w:rFonts w:ascii="Times New Roman" w:hAnsi="Times New Roman"/>
                <w:sz w:val="28"/>
                <w:szCs w:val="28"/>
              </w:rPr>
            </w:pPr>
            <w:r>
              <w:rPr>
                <w:rFonts w:ascii="Times New Roman" w:hAnsi="Times New Roman"/>
                <w:sz w:val="28"/>
                <w:szCs w:val="28"/>
              </w:rPr>
              <w:t>14</w:t>
            </w:r>
          </w:p>
        </w:tc>
      </w:tr>
      <w:tr w:rsidR="00AB12B3" w:rsidTr="00E2451D">
        <w:tc>
          <w:tcPr>
            <w:tcW w:w="8608" w:type="dxa"/>
            <w:vAlign w:val="center"/>
            <w:hideMark/>
          </w:tcPr>
          <w:p w:rsidR="00AB12B3" w:rsidRPr="00F37AF8" w:rsidRDefault="00AB12B3">
            <w:pPr>
              <w:jc w:val="both"/>
              <w:rPr>
                <w:rFonts w:ascii="Times New Roman" w:hAnsi="Times New Roman"/>
                <w:sz w:val="28"/>
                <w:szCs w:val="28"/>
              </w:rPr>
            </w:pPr>
            <w:r w:rsidRPr="00F37AF8">
              <w:rPr>
                <w:rFonts w:ascii="Times New Roman" w:hAnsi="Times New Roman"/>
                <w:sz w:val="28"/>
                <w:szCs w:val="28"/>
              </w:rPr>
              <w:t>1.1 Современное представление о состоянии дислипидемии и инсулинорезистентности</w:t>
            </w:r>
          </w:p>
        </w:tc>
        <w:tc>
          <w:tcPr>
            <w:tcW w:w="992" w:type="dxa"/>
            <w:vAlign w:val="center"/>
          </w:tcPr>
          <w:p w:rsidR="00AB12B3" w:rsidRDefault="0008725B">
            <w:pPr>
              <w:jc w:val="both"/>
              <w:rPr>
                <w:rFonts w:ascii="Times New Roman" w:hAnsi="Times New Roman"/>
                <w:sz w:val="28"/>
                <w:szCs w:val="28"/>
              </w:rPr>
            </w:pPr>
            <w:r>
              <w:rPr>
                <w:rFonts w:ascii="Times New Roman" w:hAnsi="Times New Roman"/>
                <w:sz w:val="28"/>
                <w:szCs w:val="28"/>
              </w:rPr>
              <w:t>14</w:t>
            </w:r>
          </w:p>
        </w:tc>
      </w:tr>
      <w:tr w:rsidR="00AB12B3" w:rsidTr="00E2451D">
        <w:tc>
          <w:tcPr>
            <w:tcW w:w="8608" w:type="dxa"/>
            <w:vAlign w:val="center"/>
            <w:hideMark/>
          </w:tcPr>
          <w:p w:rsidR="00AB12B3" w:rsidRPr="00F37AF8" w:rsidRDefault="00AB12B3">
            <w:pPr>
              <w:jc w:val="both"/>
              <w:rPr>
                <w:rFonts w:ascii="Times New Roman" w:hAnsi="Times New Roman"/>
                <w:sz w:val="28"/>
                <w:szCs w:val="28"/>
              </w:rPr>
            </w:pPr>
            <w:r w:rsidRPr="00F37AF8">
              <w:rPr>
                <w:rFonts w:ascii="Times New Roman" w:hAnsi="Times New Roman"/>
                <w:sz w:val="28"/>
                <w:szCs w:val="28"/>
              </w:rPr>
              <w:t>1.2 Роль молекулярно – генетических факторов в развитии дислипидемии и инсулинорезистентности</w:t>
            </w:r>
          </w:p>
        </w:tc>
        <w:tc>
          <w:tcPr>
            <w:tcW w:w="992" w:type="dxa"/>
            <w:vAlign w:val="center"/>
          </w:tcPr>
          <w:p w:rsidR="00AB12B3" w:rsidRPr="00B3172A" w:rsidRDefault="00B3172A">
            <w:pPr>
              <w:jc w:val="both"/>
              <w:rPr>
                <w:rFonts w:ascii="Times New Roman" w:hAnsi="Times New Roman"/>
                <w:sz w:val="28"/>
                <w:szCs w:val="28"/>
                <w:lang w:val="kk-KZ"/>
              </w:rPr>
            </w:pPr>
            <w:r>
              <w:rPr>
                <w:rFonts w:ascii="Times New Roman" w:hAnsi="Times New Roman"/>
                <w:sz w:val="28"/>
                <w:szCs w:val="28"/>
                <w:lang w:val="kk-KZ"/>
              </w:rPr>
              <w:t>24</w:t>
            </w:r>
          </w:p>
        </w:tc>
      </w:tr>
      <w:tr w:rsidR="00AB12B3" w:rsidTr="00E2451D">
        <w:tc>
          <w:tcPr>
            <w:tcW w:w="8608" w:type="dxa"/>
            <w:vAlign w:val="center"/>
            <w:hideMark/>
          </w:tcPr>
          <w:p w:rsidR="00AB12B3" w:rsidRPr="00F37AF8" w:rsidRDefault="00AB12B3">
            <w:pPr>
              <w:jc w:val="both"/>
              <w:rPr>
                <w:rFonts w:ascii="Times New Roman" w:hAnsi="Times New Roman"/>
                <w:sz w:val="28"/>
                <w:szCs w:val="28"/>
              </w:rPr>
            </w:pPr>
            <w:r w:rsidRPr="00F37AF8">
              <w:rPr>
                <w:rFonts w:ascii="Times New Roman" w:hAnsi="Times New Roman"/>
                <w:sz w:val="28"/>
                <w:szCs w:val="28"/>
              </w:rPr>
              <w:t>1.2.1 Современные представления значимости полиморфизмов в развитии дислипидемии</w:t>
            </w:r>
          </w:p>
        </w:tc>
        <w:tc>
          <w:tcPr>
            <w:tcW w:w="992" w:type="dxa"/>
            <w:vAlign w:val="center"/>
          </w:tcPr>
          <w:p w:rsidR="00AB12B3" w:rsidRPr="00B3172A" w:rsidRDefault="00B3172A">
            <w:pPr>
              <w:jc w:val="both"/>
              <w:rPr>
                <w:rFonts w:ascii="Times New Roman" w:hAnsi="Times New Roman"/>
                <w:sz w:val="28"/>
                <w:szCs w:val="28"/>
                <w:lang w:val="kk-KZ"/>
              </w:rPr>
            </w:pPr>
            <w:r>
              <w:rPr>
                <w:rFonts w:ascii="Times New Roman" w:hAnsi="Times New Roman"/>
                <w:sz w:val="28"/>
                <w:szCs w:val="28"/>
                <w:lang w:val="kk-KZ"/>
              </w:rPr>
              <w:t>24</w:t>
            </w:r>
          </w:p>
        </w:tc>
      </w:tr>
      <w:tr w:rsidR="00AB12B3" w:rsidTr="00E2451D">
        <w:tc>
          <w:tcPr>
            <w:tcW w:w="8608" w:type="dxa"/>
            <w:vAlign w:val="center"/>
            <w:hideMark/>
          </w:tcPr>
          <w:p w:rsidR="00AB12B3" w:rsidRPr="00F37AF8" w:rsidRDefault="00AB12B3">
            <w:pPr>
              <w:jc w:val="both"/>
              <w:rPr>
                <w:rFonts w:ascii="Times New Roman" w:hAnsi="Times New Roman"/>
                <w:sz w:val="28"/>
                <w:szCs w:val="28"/>
              </w:rPr>
            </w:pPr>
            <w:r w:rsidRPr="00F37AF8">
              <w:rPr>
                <w:rFonts w:ascii="Times New Roman" w:hAnsi="Times New Roman"/>
                <w:sz w:val="28"/>
                <w:szCs w:val="28"/>
              </w:rPr>
              <w:t>1.2.2 Современные представления значимости полиморфизмов в развитии инсулинорезистентности</w:t>
            </w:r>
          </w:p>
        </w:tc>
        <w:tc>
          <w:tcPr>
            <w:tcW w:w="992" w:type="dxa"/>
            <w:vAlign w:val="center"/>
          </w:tcPr>
          <w:p w:rsidR="00AB12B3" w:rsidRPr="00B3172A" w:rsidRDefault="0008725B" w:rsidP="00B3172A">
            <w:pPr>
              <w:jc w:val="both"/>
              <w:rPr>
                <w:rFonts w:ascii="Times New Roman" w:hAnsi="Times New Roman"/>
                <w:sz w:val="28"/>
                <w:szCs w:val="28"/>
                <w:lang w:val="kk-KZ"/>
              </w:rPr>
            </w:pPr>
            <w:r>
              <w:rPr>
                <w:rFonts w:ascii="Times New Roman" w:hAnsi="Times New Roman"/>
                <w:sz w:val="28"/>
                <w:szCs w:val="28"/>
              </w:rPr>
              <w:t>3</w:t>
            </w:r>
            <w:r w:rsidR="00B3172A">
              <w:rPr>
                <w:rFonts w:ascii="Times New Roman" w:hAnsi="Times New Roman"/>
                <w:sz w:val="28"/>
                <w:szCs w:val="28"/>
                <w:lang w:val="kk-KZ"/>
              </w:rPr>
              <w:t>5</w:t>
            </w:r>
          </w:p>
        </w:tc>
      </w:tr>
      <w:tr w:rsidR="00AB12B3" w:rsidTr="00E2451D">
        <w:tc>
          <w:tcPr>
            <w:tcW w:w="8608" w:type="dxa"/>
            <w:vAlign w:val="center"/>
            <w:hideMark/>
          </w:tcPr>
          <w:p w:rsidR="00AB12B3" w:rsidRPr="00E2451D" w:rsidRDefault="00AB12B3">
            <w:pPr>
              <w:jc w:val="both"/>
              <w:rPr>
                <w:rFonts w:ascii="Times New Roman" w:hAnsi="Times New Roman"/>
                <w:b/>
                <w:sz w:val="28"/>
                <w:szCs w:val="28"/>
              </w:rPr>
            </w:pPr>
            <w:r w:rsidRPr="00E2451D">
              <w:rPr>
                <w:rFonts w:ascii="Times New Roman" w:hAnsi="Times New Roman"/>
                <w:b/>
                <w:sz w:val="28"/>
                <w:szCs w:val="28"/>
              </w:rPr>
              <w:t>2 МАТЕРИАЛЫ И МЕТОДЫ</w:t>
            </w:r>
          </w:p>
        </w:tc>
        <w:tc>
          <w:tcPr>
            <w:tcW w:w="992" w:type="dxa"/>
            <w:vAlign w:val="center"/>
          </w:tcPr>
          <w:p w:rsidR="00AB12B3" w:rsidRPr="00B3172A" w:rsidRDefault="00B3172A">
            <w:pPr>
              <w:jc w:val="both"/>
              <w:rPr>
                <w:rFonts w:ascii="Times New Roman" w:hAnsi="Times New Roman"/>
                <w:sz w:val="28"/>
                <w:szCs w:val="28"/>
                <w:lang w:val="kk-KZ"/>
              </w:rPr>
            </w:pPr>
            <w:r>
              <w:rPr>
                <w:rFonts w:ascii="Times New Roman" w:hAnsi="Times New Roman"/>
                <w:sz w:val="28"/>
                <w:szCs w:val="28"/>
                <w:lang w:val="kk-KZ"/>
              </w:rPr>
              <w:t>42</w:t>
            </w:r>
          </w:p>
        </w:tc>
      </w:tr>
      <w:tr w:rsidR="00AB12B3" w:rsidTr="00E2451D">
        <w:tc>
          <w:tcPr>
            <w:tcW w:w="8608" w:type="dxa"/>
            <w:vAlign w:val="center"/>
            <w:hideMark/>
          </w:tcPr>
          <w:p w:rsidR="00AB12B3" w:rsidRPr="00F37AF8" w:rsidRDefault="00AB12B3">
            <w:pPr>
              <w:jc w:val="both"/>
              <w:rPr>
                <w:rFonts w:ascii="Times New Roman" w:hAnsi="Times New Roman"/>
                <w:sz w:val="28"/>
                <w:szCs w:val="28"/>
              </w:rPr>
            </w:pPr>
            <w:r w:rsidRPr="00F37AF8">
              <w:rPr>
                <w:rFonts w:ascii="Times New Roman" w:hAnsi="Times New Roman"/>
                <w:sz w:val="28"/>
                <w:szCs w:val="28"/>
              </w:rPr>
              <w:t>2.1 Общая характеристика</w:t>
            </w:r>
            <w:r w:rsidR="00496FC6">
              <w:rPr>
                <w:rFonts w:ascii="Century" w:hAnsi="Century"/>
                <w:sz w:val="28"/>
                <w:szCs w:val="28"/>
              </w:rPr>
              <w:t>,</w:t>
            </w:r>
            <w:r w:rsidRPr="00F37AF8">
              <w:rPr>
                <w:rFonts w:ascii="Times New Roman" w:hAnsi="Times New Roman"/>
                <w:sz w:val="28"/>
                <w:szCs w:val="28"/>
              </w:rPr>
              <w:t xml:space="preserve"> </w:t>
            </w:r>
            <w:r w:rsidR="00CC3109" w:rsidRPr="00F37AF8">
              <w:rPr>
                <w:rFonts w:ascii="Times New Roman" w:hAnsi="Times New Roman"/>
                <w:sz w:val="28"/>
                <w:szCs w:val="28"/>
              </w:rPr>
              <w:t>лиц</w:t>
            </w:r>
            <w:r w:rsidR="00496FC6">
              <w:rPr>
                <w:rFonts w:ascii="Century" w:hAnsi="Century"/>
                <w:sz w:val="28"/>
                <w:szCs w:val="28"/>
              </w:rPr>
              <w:t>,</w:t>
            </w:r>
            <w:r w:rsidRPr="00F37AF8">
              <w:rPr>
                <w:rFonts w:ascii="Times New Roman" w:hAnsi="Times New Roman"/>
                <w:sz w:val="28"/>
                <w:szCs w:val="28"/>
              </w:rPr>
              <w:t xml:space="preserve"> включенных в исследование</w:t>
            </w:r>
          </w:p>
        </w:tc>
        <w:tc>
          <w:tcPr>
            <w:tcW w:w="992" w:type="dxa"/>
            <w:vAlign w:val="center"/>
          </w:tcPr>
          <w:p w:rsidR="00AB12B3" w:rsidRPr="00B3172A" w:rsidRDefault="00B3172A">
            <w:pPr>
              <w:jc w:val="both"/>
              <w:rPr>
                <w:rFonts w:ascii="Times New Roman" w:hAnsi="Times New Roman"/>
                <w:sz w:val="28"/>
                <w:szCs w:val="28"/>
                <w:lang w:val="kk-KZ"/>
              </w:rPr>
            </w:pPr>
            <w:r>
              <w:rPr>
                <w:rFonts w:ascii="Times New Roman" w:hAnsi="Times New Roman"/>
                <w:sz w:val="28"/>
                <w:szCs w:val="28"/>
                <w:lang w:val="kk-KZ"/>
              </w:rPr>
              <w:t>42</w:t>
            </w:r>
          </w:p>
        </w:tc>
      </w:tr>
      <w:tr w:rsidR="00AB12B3" w:rsidTr="00E2451D">
        <w:tc>
          <w:tcPr>
            <w:tcW w:w="8608" w:type="dxa"/>
            <w:vAlign w:val="center"/>
            <w:hideMark/>
          </w:tcPr>
          <w:p w:rsidR="00AB12B3" w:rsidRPr="00F37AF8" w:rsidRDefault="00AB12B3">
            <w:pPr>
              <w:jc w:val="both"/>
              <w:rPr>
                <w:rFonts w:ascii="Times New Roman" w:hAnsi="Times New Roman"/>
                <w:sz w:val="28"/>
                <w:szCs w:val="28"/>
              </w:rPr>
            </w:pPr>
            <w:r w:rsidRPr="00F37AF8">
              <w:rPr>
                <w:rFonts w:ascii="Times New Roman" w:hAnsi="Times New Roman"/>
                <w:sz w:val="28"/>
                <w:szCs w:val="28"/>
              </w:rPr>
              <w:t>2.2 Методы исследования</w:t>
            </w:r>
          </w:p>
        </w:tc>
        <w:tc>
          <w:tcPr>
            <w:tcW w:w="992" w:type="dxa"/>
            <w:vAlign w:val="center"/>
          </w:tcPr>
          <w:p w:rsidR="00AB12B3" w:rsidRPr="00B3172A" w:rsidRDefault="0008725B" w:rsidP="00B3172A">
            <w:pPr>
              <w:jc w:val="both"/>
              <w:rPr>
                <w:rFonts w:ascii="Times New Roman" w:hAnsi="Times New Roman"/>
                <w:sz w:val="28"/>
                <w:szCs w:val="28"/>
                <w:lang w:val="kk-KZ"/>
              </w:rPr>
            </w:pPr>
            <w:r>
              <w:rPr>
                <w:rFonts w:ascii="Times New Roman" w:hAnsi="Times New Roman"/>
                <w:sz w:val="28"/>
                <w:szCs w:val="28"/>
              </w:rPr>
              <w:t>4</w:t>
            </w:r>
            <w:r w:rsidR="00B3172A">
              <w:rPr>
                <w:rFonts w:ascii="Times New Roman" w:hAnsi="Times New Roman"/>
                <w:sz w:val="28"/>
                <w:szCs w:val="28"/>
                <w:lang w:val="kk-KZ"/>
              </w:rPr>
              <w:t>5</w:t>
            </w:r>
          </w:p>
        </w:tc>
      </w:tr>
      <w:tr w:rsidR="00AB12B3" w:rsidTr="00E2451D">
        <w:tc>
          <w:tcPr>
            <w:tcW w:w="8608" w:type="dxa"/>
            <w:vAlign w:val="center"/>
            <w:hideMark/>
          </w:tcPr>
          <w:p w:rsidR="00AB12B3" w:rsidRPr="00F37AF8" w:rsidRDefault="00AB12B3">
            <w:pPr>
              <w:jc w:val="both"/>
              <w:rPr>
                <w:rFonts w:ascii="Times New Roman" w:hAnsi="Times New Roman"/>
                <w:sz w:val="28"/>
                <w:szCs w:val="28"/>
              </w:rPr>
            </w:pPr>
            <w:r w:rsidRPr="00F37AF8">
              <w:rPr>
                <w:rFonts w:ascii="Times New Roman" w:hAnsi="Times New Roman"/>
                <w:sz w:val="28"/>
                <w:szCs w:val="28"/>
              </w:rPr>
              <w:t>2.2.1 Методика выделения ДНК из образцов цельной крови и определение концентрации ДНК</w:t>
            </w:r>
          </w:p>
        </w:tc>
        <w:tc>
          <w:tcPr>
            <w:tcW w:w="992" w:type="dxa"/>
            <w:vAlign w:val="center"/>
          </w:tcPr>
          <w:p w:rsidR="00AB12B3" w:rsidRPr="00B3172A" w:rsidRDefault="0008725B" w:rsidP="00B3172A">
            <w:pPr>
              <w:jc w:val="both"/>
              <w:rPr>
                <w:rFonts w:ascii="Times New Roman" w:hAnsi="Times New Roman"/>
                <w:sz w:val="28"/>
                <w:szCs w:val="28"/>
                <w:lang w:val="kk-KZ"/>
              </w:rPr>
            </w:pPr>
            <w:r>
              <w:rPr>
                <w:rFonts w:ascii="Times New Roman" w:hAnsi="Times New Roman"/>
                <w:sz w:val="28"/>
                <w:szCs w:val="28"/>
              </w:rPr>
              <w:t>4</w:t>
            </w:r>
            <w:r w:rsidR="00B3172A">
              <w:rPr>
                <w:rFonts w:ascii="Times New Roman" w:hAnsi="Times New Roman"/>
                <w:sz w:val="28"/>
                <w:szCs w:val="28"/>
                <w:lang w:val="kk-KZ"/>
              </w:rPr>
              <w:t>5</w:t>
            </w:r>
          </w:p>
        </w:tc>
      </w:tr>
      <w:tr w:rsidR="00AB12B3" w:rsidTr="00E2451D">
        <w:tc>
          <w:tcPr>
            <w:tcW w:w="8608" w:type="dxa"/>
            <w:vAlign w:val="center"/>
            <w:hideMark/>
          </w:tcPr>
          <w:p w:rsidR="00AB12B3" w:rsidRPr="00F37AF8" w:rsidRDefault="00AB12B3">
            <w:pPr>
              <w:jc w:val="both"/>
              <w:rPr>
                <w:rFonts w:ascii="Times New Roman" w:hAnsi="Times New Roman"/>
                <w:sz w:val="28"/>
                <w:szCs w:val="28"/>
              </w:rPr>
            </w:pPr>
            <w:r w:rsidRPr="00F37AF8">
              <w:rPr>
                <w:rFonts w:ascii="Times New Roman" w:hAnsi="Times New Roman"/>
                <w:sz w:val="28"/>
                <w:szCs w:val="28"/>
              </w:rPr>
              <w:t xml:space="preserve">2.2.2 Генотипирование полиморфизмов генов </w:t>
            </w:r>
            <w:r w:rsidRPr="00F37AF8">
              <w:rPr>
                <w:rFonts w:ascii="Times New Roman" w:hAnsi="Times New Roman"/>
                <w:i/>
                <w:sz w:val="28"/>
                <w:szCs w:val="28"/>
              </w:rPr>
              <w:t xml:space="preserve">LPL </w:t>
            </w:r>
            <w:r w:rsidRPr="00BD61F8">
              <w:rPr>
                <w:rFonts w:ascii="Times New Roman" w:hAnsi="Times New Roman"/>
                <w:iCs/>
                <w:sz w:val="28"/>
                <w:szCs w:val="28"/>
              </w:rPr>
              <w:t>Ser447Ter</w:t>
            </w:r>
            <w:r w:rsidRPr="00F37AF8">
              <w:rPr>
                <w:rFonts w:ascii="Times New Roman" w:hAnsi="Times New Roman"/>
                <w:i/>
                <w:sz w:val="28"/>
                <w:szCs w:val="28"/>
              </w:rPr>
              <w:t xml:space="preserve"> </w:t>
            </w:r>
            <w:r w:rsidRPr="00BD61F8">
              <w:rPr>
                <w:rFonts w:ascii="Times New Roman" w:hAnsi="Times New Roman"/>
                <w:iCs/>
                <w:sz w:val="28"/>
                <w:szCs w:val="28"/>
              </w:rPr>
              <w:t>(rs328)</w:t>
            </w:r>
            <w:r w:rsidR="00496FC6" w:rsidRPr="00BD61F8">
              <w:rPr>
                <w:rFonts w:ascii="Century" w:hAnsi="Century"/>
                <w:iCs/>
                <w:sz w:val="28"/>
                <w:szCs w:val="28"/>
              </w:rPr>
              <w:t>,</w:t>
            </w:r>
            <w:r w:rsidRPr="00BD61F8">
              <w:rPr>
                <w:rFonts w:ascii="Times New Roman" w:hAnsi="Times New Roman"/>
                <w:iCs/>
                <w:sz w:val="28"/>
                <w:szCs w:val="28"/>
              </w:rPr>
              <w:t xml:space="preserve"> </w:t>
            </w:r>
            <w:r w:rsidRPr="00F37AF8">
              <w:rPr>
                <w:rFonts w:ascii="Times New Roman" w:hAnsi="Times New Roman"/>
                <w:i/>
                <w:sz w:val="28"/>
                <w:szCs w:val="28"/>
              </w:rPr>
              <w:t xml:space="preserve">ADRB2 </w:t>
            </w:r>
            <w:r w:rsidRPr="00BD61F8">
              <w:rPr>
                <w:rFonts w:ascii="Times New Roman" w:hAnsi="Times New Roman"/>
                <w:iCs/>
                <w:sz w:val="28"/>
                <w:szCs w:val="28"/>
              </w:rPr>
              <w:t>Gln27Glu</w:t>
            </w:r>
            <w:r w:rsidRPr="00F37AF8">
              <w:rPr>
                <w:rFonts w:ascii="Times New Roman" w:hAnsi="Times New Roman"/>
                <w:i/>
                <w:sz w:val="28"/>
                <w:szCs w:val="28"/>
              </w:rPr>
              <w:t xml:space="preserve"> </w:t>
            </w:r>
            <w:r w:rsidRPr="00BD61F8">
              <w:rPr>
                <w:rFonts w:ascii="Times New Roman" w:hAnsi="Times New Roman"/>
                <w:iCs/>
                <w:sz w:val="28"/>
                <w:szCs w:val="28"/>
              </w:rPr>
              <w:t>(rs1042714)</w:t>
            </w:r>
            <w:r w:rsidR="00496FC6" w:rsidRPr="00BD61F8">
              <w:rPr>
                <w:rFonts w:ascii="Century" w:hAnsi="Century"/>
                <w:iCs/>
                <w:sz w:val="28"/>
                <w:szCs w:val="28"/>
              </w:rPr>
              <w:t>,</w:t>
            </w:r>
            <w:r w:rsidRPr="00BD61F8">
              <w:rPr>
                <w:rFonts w:ascii="Times New Roman" w:hAnsi="Times New Roman"/>
                <w:iCs/>
                <w:sz w:val="28"/>
                <w:szCs w:val="28"/>
              </w:rPr>
              <w:t xml:space="preserve"> </w:t>
            </w:r>
            <w:r w:rsidRPr="00F37AF8">
              <w:rPr>
                <w:rFonts w:ascii="Times New Roman" w:hAnsi="Times New Roman"/>
                <w:i/>
                <w:sz w:val="28"/>
                <w:szCs w:val="28"/>
              </w:rPr>
              <w:t xml:space="preserve">AGT </w:t>
            </w:r>
            <w:r w:rsidRPr="00BD61F8">
              <w:rPr>
                <w:rFonts w:ascii="Times New Roman" w:hAnsi="Times New Roman"/>
                <w:iCs/>
                <w:sz w:val="28"/>
                <w:szCs w:val="28"/>
              </w:rPr>
              <w:t>Thr174Met</w:t>
            </w:r>
            <w:r w:rsidRPr="00F37AF8">
              <w:rPr>
                <w:rFonts w:ascii="Times New Roman" w:hAnsi="Times New Roman"/>
                <w:i/>
                <w:sz w:val="28"/>
                <w:szCs w:val="28"/>
              </w:rPr>
              <w:t xml:space="preserve"> </w:t>
            </w:r>
            <w:r w:rsidRPr="00BD61F8">
              <w:rPr>
                <w:rFonts w:ascii="Times New Roman" w:hAnsi="Times New Roman"/>
                <w:iCs/>
                <w:sz w:val="28"/>
                <w:szCs w:val="28"/>
              </w:rPr>
              <w:t>(rs4762)</w:t>
            </w:r>
            <w:r w:rsidR="00496FC6" w:rsidRPr="00BD61F8">
              <w:rPr>
                <w:rFonts w:ascii="Century" w:hAnsi="Century"/>
                <w:iCs/>
                <w:sz w:val="28"/>
                <w:szCs w:val="28"/>
              </w:rPr>
              <w:t>,</w:t>
            </w:r>
            <w:r w:rsidRPr="00F37AF8">
              <w:rPr>
                <w:rFonts w:ascii="Times New Roman" w:hAnsi="Times New Roman"/>
                <w:i/>
                <w:sz w:val="28"/>
                <w:szCs w:val="28"/>
              </w:rPr>
              <w:t xml:space="preserve"> AGTR1 </w:t>
            </w:r>
            <w:r w:rsidRPr="00BD61F8">
              <w:rPr>
                <w:rFonts w:ascii="Times New Roman" w:hAnsi="Times New Roman"/>
                <w:iCs/>
                <w:sz w:val="28"/>
                <w:szCs w:val="28"/>
              </w:rPr>
              <w:t>A1166C (rs5186)</w:t>
            </w:r>
          </w:p>
        </w:tc>
        <w:tc>
          <w:tcPr>
            <w:tcW w:w="992" w:type="dxa"/>
            <w:vAlign w:val="center"/>
          </w:tcPr>
          <w:p w:rsidR="00AB12B3" w:rsidRPr="00B3172A" w:rsidRDefault="0008725B" w:rsidP="00B3172A">
            <w:pPr>
              <w:jc w:val="both"/>
              <w:rPr>
                <w:rFonts w:ascii="Times New Roman" w:hAnsi="Times New Roman"/>
                <w:sz w:val="28"/>
                <w:szCs w:val="28"/>
                <w:lang w:val="kk-KZ"/>
              </w:rPr>
            </w:pPr>
            <w:r>
              <w:rPr>
                <w:rFonts w:ascii="Times New Roman" w:hAnsi="Times New Roman"/>
                <w:sz w:val="28"/>
                <w:szCs w:val="28"/>
              </w:rPr>
              <w:t>4</w:t>
            </w:r>
            <w:r w:rsidR="00B3172A">
              <w:rPr>
                <w:rFonts w:ascii="Times New Roman" w:hAnsi="Times New Roman"/>
                <w:sz w:val="28"/>
                <w:szCs w:val="28"/>
                <w:lang w:val="kk-KZ"/>
              </w:rPr>
              <w:t>5</w:t>
            </w:r>
          </w:p>
        </w:tc>
      </w:tr>
      <w:tr w:rsidR="00AB12B3" w:rsidTr="00E2451D">
        <w:tc>
          <w:tcPr>
            <w:tcW w:w="8608" w:type="dxa"/>
            <w:vAlign w:val="center"/>
            <w:hideMark/>
          </w:tcPr>
          <w:p w:rsidR="00AB12B3" w:rsidRPr="00F37AF8" w:rsidRDefault="00AB12B3">
            <w:pPr>
              <w:jc w:val="both"/>
              <w:rPr>
                <w:rFonts w:ascii="Times New Roman" w:hAnsi="Times New Roman"/>
                <w:sz w:val="28"/>
                <w:szCs w:val="28"/>
              </w:rPr>
            </w:pPr>
            <w:r w:rsidRPr="00F37AF8">
              <w:rPr>
                <w:rFonts w:ascii="Times New Roman" w:hAnsi="Times New Roman"/>
                <w:sz w:val="28"/>
                <w:szCs w:val="28"/>
              </w:rPr>
              <w:t>2.2.3 Биохимическое исследование сывороток крови</w:t>
            </w:r>
          </w:p>
        </w:tc>
        <w:tc>
          <w:tcPr>
            <w:tcW w:w="992" w:type="dxa"/>
            <w:vAlign w:val="center"/>
          </w:tcPr>
          <w:p w:rsidR="00AB12B3" w:rsidRPr="00B3172A" w:rsidRDefault="0008725B" w:rsidP="00B3172A">
            <w:pPr>
              <w:jc w:val="both"/>
              <w:rPr>
                <w:rFonts w:ascii="Times New Roman" w:hAnsi="Times New Roman"/>
                <w:sz w:val="28"/>
                <w:szCs w:val="28"/>
                <w:lang w:val="kk-KZ"/>
              </w:rPr>
            </w:pPr>
            <w:r>
              <w:rPr>
                <w:rFonts w:ascii="Times New Roman" w:hAnsi="Times New Roman"/>
                <w:sz w:val="28"/>
                <w:szCs w:val="28"/>
              </w:rPr>
              <w:t>4</w:t>
            </w:r>
            <w:r w:rsidR="00B3172A">
              <w:rPr>
                <w:rFonts w:ascii="Times New Roman" w:hAnsi="Times New Roman"/>
                <w:sz w:val="28"/>
                <w:szCs w:val="28"/>
                <w:lang w:val="kk-KZ"/>
              </w:rPr>
              <w:t>9</w:t>
            </w:r>
          </w:p>
        </w:tc>
      </w:tr>
      <w:tr w:rsidR="00AB12B3" w:rsidTr="00E2451D">
        <w:tc>
          <w:tcPr>
            <w:tcW w:w="8608" w:type="dxa"/>
            <w:vAlign w:val="center"/>
            <w:hideMark/>
          </w:tcPr>
          <w:p w:rsidR="00AB12B3" w:rsidRPr="00F37AF8" w:rsidRDefault="00AB12B3">
            <w:pPr>
              <w:jc w:val="both"/>
              <w:rPr>
                <w:rFonts w:ascii="Times New Roman" w:hAnsi="Times New Roman"/>
                <w:sz w:val="28"/>
                <w:szCs w:val="28"/>
              </w:rPr>
            </w:pPr>
            <w:r w:rsidRPr="00F37AF8">
              <w:rPr>
                <w:rFonts w:ascii="Times New Roman" w:hAnsi="Times New Roman"/>
                <w:sz w:val="28"/>
                <w:szCs w:val="28"/>
              </w:rPr>
              <w:t>2.3 Статистический анализ данных</w:t>
            </w:r>
          </w:p>
        </w:tc>
        <w:tc>
          <w:tcPr>
            <w:tcW w:w="992" w:type="dxa"/>
            <w:vAlign w:val="center"/>
          </w:tcPr>
          <w:p w:rsidR="00AB12B3" w:rsidRPr="00B3172A" w:rsidRDefault="00D86C75">
            <w:pPr>
              <w:jc w:val="both"/>
              <w:rPr>
                <w:rFonts w:ascii="Times New Roman" w:hAnsi="Times New Roman"/>
                <w:sz w:val="28"/>
                <w:szCs w:val="28"/>
                <w:lang w:val="kk-KZ"/>
              </w:rPr>
            </w:pPr>
            <w:r>
              <w:rPr>
                <w:rFonts w:ascii="Times New Roman" w:hAnsi="Times New Roman"/>
                <w:sz w:val="28"/>
                <w:szCs w:val="28"/>
                <w:lang w:val="kk-KZ"/>
              </w:rPr>
              <w:t>49</w:t>
            </w:r>
          </w:p>
        </w:tc>
      </w:tr>
      <w:tr w:rsidR="00AB12B3" w:rsidTr="00E2451D">
        <w:tc>
          <w:tcPr>
            <w:tcW w:w="8608" w:type="dxa"/>
            <w:vAlign w:val="center"/>
            <w:hideMark/>
          </w:tcPr>
          <w:p w:rsidR="00AB12B3" w:rsidRPr="00E2451D" w:rsidRDefault="00AB12B3">
            <w:pPr>
              <w:jc w:val="both"/>
              <w:rPr>
                <w:rFonts w:ascii="Times New Roman" w:hAnsi="Times New Roman"/>
                <w:b/>
                <w:sz w:val="28"/>
                <w:szCs w:val="28"/>
              </w:rPr>
            </w:pPr>
            <w:r w:rsidRPr="00E2451D">
              <w:rPr>
                <w:rFonts w:ascii="Times New Roman" w:hAnsi="Times New Roman"/>
                <w:b/>
                <w:sz w:val="28"/>
                <w:szCs w:val="28"/>
              </w:rPr>
              <w:t>3 РЕЗУЛЬТАТЫ ИССЛЕДОВАНИЯ</w:t>
            </w:r>
          </w:p>
        </w:tc>
        <w:tc>
          <w:tcPr>
            <w:tcW w:w="992" w:type="dxa"/>
            <w:vAlign w:val="center"/>
          </w:tcPr>
          <w:p w:rsidR="00AB12B3" w:rsidRPr="00B3172A" w:rsidRDefault="00B3172A" w:rsidP="00261A10">
            <w:pPr>
              <w:jc w:val="both"/>
              <w:rPr>
                <w:rFonts w:ascii="Times New Roman" w:hAnsi="Times New Roman"/>
                <w:sz w:val="28"/>
                <w:szCs w:val="28"/>
                <w:lang w:val="kk-KZ"/>
              </w:rPr>
            </w:pPr>
            <w:r>
              <w:rPr>
                <w:rFonts w:ascii="Times New Roman" w:hAnsi="Times New Roman"/>
                <w:sz w:val="28"/>
                <w:szCs w:val="28"/>
                <w:lang w:val="kk-KZ"/>
              </w:rPr>
              <w:t>5</w:t>
            </w:r>
            <w:r w:rsidR="00261A10">
              <w:rPr>
                <w:rFonts w:ascii="Times New Roman" w:hAnsi="Times New Roman"/>
                <w:sz w:val="28"/>
                <w:szCs w:val="28"/>
                <w:lang w:val="kk-KZ"/>
              </w:rPr>
              <w:t>1</w:t>
            </w:r>
          </w:p>
        </w:tc>
      </w:tr>
      <w:tr w:rsidR="00AB12B3" w:rsidTr="00E2451D">
        <w:tc>
          <w:tcPr>
            <w:tcW w:w="8608" w:type="dxa"/>
            <w:vAlign w:val="center"/>
            <w:hideMark/>
          </w:tcPr>
          <w:p w:rsidR="00AB12B3" w:rsidRPr="00F37AF8" w:rsidRDefault="00AB12B3">
            <w:pPr>
              <w:jc w:val="both"/>
              <w:rPr>
                <w:rFonts w:ascii="Times New Roman" w:hAnsi="Times New Roman"/>
                <w:sz w:val="28"/>
                <w:szCs w:val="28"/>
              </w:rPr>
            </w:pPr>
            <w:r w:rsidRPr="00F37AF8">
              <w:rPr>
                <w:rFonts w:ascii="Times New Roman" w:hAnsi="Times New Roman"/>
                <w:sz w:val="28"/>
                <w:szCs w:val="28"/>
              </w:rPr>
              <w:t xml:space="preserve">3.1 </w:t>
            </w:r>
            <w:r w:rsidRPr="00BD61F8">
              <w:rPr>
                <w:rFonts w:ascii="Times New Roman" w:hAnsi="Times New Roman"/>
                <w:sz w:val="28"/>
                <w:szCs w:val="28"/>
              </w:rPr>
              <w:t xml:space="preserve">Распространенность полиморфизмов генов </w:t>
            </w:r>
            <w:r w:rsidRPr="00BD61F8">
              <w:rPr>
                <w:rFonts w:ascii="Times New Roman" w:hAnsi="Times New Roman"/>
                <w:i/>
                <w:iCs/>
                <w:sz w:val="28"/>
                <w:szCs w:val="28"/>
              </w:rPr>
              <w:t>LPL</w:t>
            </w:r>
            <w:r w:rsidRPr="00BD61F8">
              <w:rPr>
                <w:rFonts w:ascii="Times New Roman" w:hAnsi="Times New Roman"/>
                <w:sz w:val="28"/>
                <w:szCs w:val="28"/>
              </w:rPr>
              <w:t xml:space="preserve"> Ser447Ter (rs328)</w:t>
            </w:r>
            <w:r w:rsidR="00496FC6" w:rsidRPr="00BD61F8">
              <w:rPr>
                <w:rFonts w:ascii="Century" w:hAnsi="Century"/>
                <w:sz w:val="28"/>
                <w:szCs w:val="28"/>
              </w:rPr>
              <w:t>,</w:t>
            </w:r>
            <w:r w:rsidRPr="00BD61F8">
              <w:rPr>
                <w:rFonts w:ascii="Times New Roman" w:hAnsi="Times New Roman"/>
                <w:sz w:val="28"/>
                <w:szCs w:val="28"/>
              </w:rPr>
              <w:t xml:space="preserve"> </w:t>
            </w:r>
            <w:r w:rsidRPr="00BD61F8">
              <w:rPr>
                <w:rFonts w:ascii="Times New Roman" w:hAnsi="Times New Roman"/>
                <w:i/>
                <w:iCs/>
                <w:sz w:val="28"/>
                <w:szCs w:val="28"/>
              </w:rPr>
              <w:t>ADRB2</w:t>
            </w:r>
            <w:r w:rsidRPr="00BD61F8">
              <w:rPr>
                <w:rFonts w:ascii="Times New Roman" w:hAnsi="Times New Roman"/>
                <w:sz w:val="28"/>
                <w:szCs w:val="28"/>
              </w:rPr>
              <w:t xml:space="preserve"> Gln27Glu (rs1042714)</w:t>
            </w:r>
            <w:r w:rsidR="00496FC6" w:rsidRPr="00BD61F8">
              <w:rPr>
                <w:rFonts w:ascii="Century" w:hAnsi="Century"/>
                <w:sz w:val="28"/>
                <w:szCs w:val="28"/>
              </w:rPr>
              <w:t>,</w:t>
            </w:r>
            <w:r w:rsidRPr="00BD61F8">
              <w:rPr>
                <w:rFonts w:ascii="Times New Roman" w:hAnsi="Times New Roman"/>
                <w:sz w:val="28"/>
                <w:szCs w:val="28"/>
              </w:rPr>
              <w:t xml:space="preserve"> </w:t>
            </w:r>
            <w:r w:rsidRPr="00BD61F8">
              <w:rPr>
                <w:rFonts w:ascii="Times New Roman" w:hAnsi="Times New Roman"/>
                <w:i/>
                <w:iCs/>
                <w:sz w:val="28"/>
                <w:szCs w:val="28"/>
              </w:rPr>
              <w:t>AGT</w:t>
            </w:r>
            <w:r w:rsidRPr="00BD61F8">
              <w:rPr>
                <w:rFonts w:ascii="Times New Roman" w:hAnsi="Times New Roman"/>
                <w:sz w:val="28"/>
                <w:szCs w:val="28"/>
              </w:rPr>
              <w:t xml:space="preserve"> Thr174Met (rs4762)</w:t>
            </w:r>
            <w:r w:rsidR="00496FC6" w:rsidRPr="00BD61F8">
              <w:rPr>
                <w:rFonts w:ascii="Century" w:hAnsi="Century"/>
                <w:sz w:val="28"/>
                <w:szCs w:val="28"/>
              </w:rPr>
              <w:t>,</w:t>
            </w:r>
            <w:r w:rsidRPr="00BD61F8">
              <w:rPr>
                <w:rFonts w:ascii="Times New Roman" w:hAnsi="Times New Roman"/>
                <w:sz w:val="28"/>
                <w:szCs w:val="28"/>
              </w:rPr>
              <w:t xml:space="preserve"> </w:t>
            </w:r>
            <w:r w:rsidRPr="00BD61F8">
              <w:rPr>
                <w:rFonts w:ascii="Times New Roman" w:hAnsi="Times New Roman"/>
                <w:i/>
                <w:iCs/>
                <w:sz w:val="28"/>
                <w:szCs w:val="28"/>
              </w:rPr>
              <w:t>AGTR1</w:t>
            </w:r>
            <w:r w:rsidRPr="00BD61F8">
              <w:rPr>
                <w:rFonts w:ascii="Times New Roman" w:hAnsi="Times New Roman"/>
                <w:sz w:val="28"/>
                <w:szCs w:val="28"/>
              </w:rPr>
              <w:t xml:space="preserve"> A1166C (rs5186) в казахской популяции</w:t>
            </w:r>
          </w:p>
        </w:tc>
        <w:tc>
          <w:tcPr>
            <w:tcW w:w="992" w:type="dxa"/>
            <w:vAlign w:val="center"/>
          </w:tcPr>
          <w:p w:rsidR="00AB12B3" w:rsidRPr="00B3172A" w:rsidRDefault="00B3172A" w:rsidP="00261A10">
            <w:pPr>
              <w:jc w:val="both"/>
              <w:rPr>
                <w:rFonts w:ascii="Times New Roman" w:hAnsi="Times New Roman"/>
                <w:sz w:val="28"/>
                <w:szCs w:val="28"/>
                <w:lang w:val="kk-KZ"/>
              </w:rPr>
            </w:pPr>
            <w:r>
              <w:rPr>
                <w:rFonts w:ascii="Times New Roman" w:hAnsi="Times New Roman"/>
                <w:sz w:val="28"/>
                <w:szCs w:val="28"/>
                <w:lang w:val="kk-KZ"/>
              </w:rPr>
              <w:t>5</w:t>
            </w:r>
            <w:r w:rsidR="00261A10">
              <w:rPr>
                <w:rFonts w:ascii="Times New Roman" w:hAnsi="Times New Roman"/>
                <w:sz w:val="28"/>
                <w:szCs w:val="28"/>
                <w:lang w:val="kk-KZ"/>
              </w:rPr>
              <w:t>1</w:t>
            </w:r>
          </w:p>
        </w:tc>
      </w:tr>
      <w:tr w:rsidR="00AB12B3" w:rsidTr="00E2451D">
        <w:tc>
          <w:tcPr>
            <w:tcW w:w="8608" w:type="dxa"/>
            <w:vAlign w:val="center"/>
            <w:hideMark/>
          </w:tcPr>
          <w:p w:rsidR="00AB12B3" w:rsidRPr="00F37AF8" w:rsidRDefault="00AB12B3">
            <w:pPr>
              <w:jc w:val="both"/>
              <w:rPr>
                <w:rFonts w:ascii="Times New Roman" w:hAnsi="Times New Roman"/>
                <w:sz w:val="28"/>
                <w:szCs w:val="28"/>
              </w:rPr>
            </w:pPr>
            <w:r w:rsidRPr="00F37AF8">
              <w:rPr>
                <w:rFonts w:ascii="Times New Roman" w:hAnsi="Times New Roman"/>
                <w:sz w:val="28"/>
                <w:szCs w:val="28"/>
              </w:rPr>
              <w:t xml:space="preserve">3.2 </w:t>
            </w:r>
            <w:r w:rsidRPr="00BD61F8">
              <w:rPr>
                <w:rFonts w:ascii="Times New Roman" w:hAnsi="Times New Roman"/>
                <w:sz w:val="28"/>
                <w:szCs w:val="28"/>
              </w:rPr>
              <w:t xml:space="preserve">Частоты генотипов полиморфизмов генов </w:t>
            </w:r>
            <w:r w:rsidRPr="00BD61F8">
              <w:rPr>
                <w:rFonts w:ascii="Times New Roman" w:hAnsi="Times New Roman"/>
                <w:i/>
                <w:iCs/>
                <w:sz w:val="28"/>
                <w:szCs w:val="28"/>
              </w:rPr>
              <w:t>LPL</w:t>
            </w:r>
            <w:r w:rsidRPr="00BD61F8">
              <w:rPr>
                <w:rFonts w:ascii="Times New Roman" w:hAnsi="Times New Roman"/>
                <w:sz w:val="28"/>
                <w:szCs w:val="28"/>
              </w:rPr>
              <w:t xml:space="preserve"> Ser447Ter (rs328)</w:t>
            </w:r>
            <w:r w:rsidR="00496FC6" w:rsidRPr="00BD61F8">
              <w:rPr>
                <w:rFonts w:ascii="Century" w:hAnsi="Century"/>
                <w:sz w:val="28"/>
                <w:szCs w:val="28"/>
              </w:rPr>
              <w:t>,</w:t>
            </w:r>
            <w:r w:rsidRPr="00BD61F8">
              <w:rPr>
                <w:rFonts w:ascii="Times New Roman" w:hAnsi="Times New Roman"/>
                <w:sz w:val="28"/>
                <w:szCs w:val="28"/>
              </w:rPr>
              <w:t xml:space="preserve"> </w:t>
            </w:r>
            <w:r w:rsidRPr="00BD61F8">
              <w:rPr>
                <w:rFonts w:ascii="Times New Roman" w:hAnsi="Times New Roman"/>
                <w:i/>
                <w:iCs/>
                <w:sz w:val="28"/>
                <w:szCs w:val="28"/>
              </w:rPr>
              <w:t>ADRB2</w:t>
            </w:r>
            <w:r w:rsidRPr="00BD61F8">
              <w:rPr>
                <w:rFonts w:ascii="Times New Roman" w:hAnsi="Times New Roman"/>
                <w:sz w:val="28"/>
                <w:szCs w:val="28"/>
              </w:rPr>
              <w:t xml:space="preserve"> Gln27Glu (rs1042714)</w:t>
            </w:r>
            <w:r w:rsidR="00496FC6" w:rsidRPr="00BD61F8">
              <w:rPr>
                <w:rFonts w:ascii="Century" w:hAnsi="Century"/>
                <w:sz w:val="28"/>
                <w:szCs w:val="28"/>
              </w:rPr>
              <w:t>,</w:t>
            </w:r>
            <w:r w:rsidRPr="00BD61F8">
              <w:rPr>
                <w:rFonts w:ascii="Times New Roman" w:hAnsi="Times New Roman"/>
                <w:sz w:val="28"/>
                <w:szCs w:val="28"/>
              </w:rPr>
              <w:t xml:space="preserve"> </w:t>
            </w:r>
            <w:r w:rsidRPr="00BD61F8">
              <w:rPr>
                <w:rFonts w:ascii="Times New Roman" w:hAnsi="Times New Roman"/>
                <w:i/>
                <w:iCs/>
                <w:sz w:val="28"/>
                <w:szCs w:val="28"/>
              </w:rPr>
              <w:t>AGT</w:t>
            </w:r>
            <w:r w:rsidRPr="00BD61F8">
              <w:rPr>
                <w:rFonts w:ascii="Times New Roman" w:hAnsi="Times New Roman"/>
                <w:sz w:val="28"/>
                <w:szCs w:val="28"/>
              </w:rPr>
              <w:t xml:space="preserve"> Thr174Met (rs4762)</w:t>
            </w:r>
            <w:r w:rsidR="00496FC6" w:rsidRPr="00BD61F8">
              <w:rPr>
                <w:rFonts w:ascii="Century" w:hAnsi="Century"/>
                <w:sz w:val="28"/>
                <w:szCs w:val="28"/>
              </w:rPr>
              <w:t>,</w:t>
            </w:r>
            <w:r w:rsidRPr="00BD61F8">
              <w:rPr>
                <w:rFonts w:ascii="Times New Roman" w:hAnsi="Times New Roman"/>
                <w:sz w:val="28"/>
                <w:szCs w:val="28"/>
              </w:rPr>
              <w:t xml:space="preserve"> </w:t>
            </w:r>
            <w:r w:rsidRPr="00BD61F8">
              <w:rPr>
                <w:rFonts w:ascii="Times New Roman" w:hAnsi="Times New Roman"/>
                <w:i/>
                <w:iCs/>
                <w:sz w:val="28"/>
                <w:szCs w:val="28"/>
              </w:rPr>
              <w:t>AGTR1</w:t>
            </w:r>
            <w:r w:rsidRPr="00BD61F8">
              <w:rPr>
                <w:rFonts w:ascii="Times New Roman" w:hAnsi="Times New Roman"/>
                <w:sz w:val="28"/>
                <w:szCs w:val="28"/>
              </w:rPr>
              <w:t xml:space="preserve"> A1166C (rs5186) в казахской популяции и сравнительный анализ</w:t>
            </w:r>
          </w:p>
        </w:tc>
        <w:tc>
          <w:tcPr>
            <w:tcW w:w="992" w:type="dxa"/>
            <w:vAlign w:val="center"/>
          </w:tcPr>
          <w:p w:rsidR="00AB12B3" w:rsidRPr="00B3172A" w:rsidRDefault="0008725B" w:rsidP="00261A10">
            <w:pPr>
              <w:jc w:val="both"/>
              <w:rPr>
                <w:rFonts w:ascii="Times New Roman" w:hAnsi="Times New Roman"/>
                <w:sz w:val="28"/>
                <w:szCs w:val="28"/>
                <w:lang w:val="kk-KZ"/>
              </w:rPr>
            </w:pPr>
            <w:r>
              <w:rPr>
                <w:rFonts w:ascii="Times New Roman" w:hAnsi="Times New Roman"/>
                <w:sz w:val="28"/>
                <w:szCs w:val="28"/>
              </w:rPr>
              <w:t>5</w:t>
            </w:r>
            <w:r w:rsidR="00261A10">
              <w:rPr>
                <w:rFonts w:ascii="Times New Roman" w:hAnsi="Times New Roman"/>
                <w:sz w:val="28"/>
                <w:szCs w:val="28"/>
              </w:rPr>
              <w:t>4</w:t>
            </w:r>
          </w:p>
        </w:tc>
      </w:tr>
      <w:tr w:rsidR="00AB12B3" w:rsidTr="00E2451D">
        <w:tc>
          <w:tcPr>
            <w:tcW w:w="8608" w:type="dxa"/>
            <w:hideMark/>
          </w:tcPr>
          <w:p w:rsidR="00AB12B3" w:rsidRPr="00F37AF8" w:rsidRDefault="00AB12B3">
            <w:pPr>
              <w:jc w:val="both"/>
              <w:rPr>
                <w:rFonts w:ascii="Times New Roman" w:hAnsi="Times New Roman"/>
                <w:sz w:val="28"/>
                <w:szCs w:val="28"/>
              </w:rPr>
            </w:pPr>
            <w:r w:rsidRPr="00F37AF8">
              <w:rPr>
                <w:rFonts w:ascii="Times New Roman" w:hAnsi="Times New Roman"/>
                <w:sz w:val="28"/>
                <w:szCs w:val="28"/>
              </w:rPr>
              <w:t>3.3 Клинико – лабораторная характеристика группы исследования</w:t>
            </w:r>
          </w:p>
        </w:tc>
        <w:tc>
          <w:tcPr>
            <w:tcW w:w="992" w:type="dxa"/>
            <w:vAlign w:val="center"/>
          </w:tcPr>
          <w:p w:rsidR="00AB12B3" w:rsidRPr="00B3172A" w:rsidRDefault="0008725B" w:rsidP="00261A10">
            <w:pPr>
              <w:jc w:val="both"/>
              <w:rPr>
                <w:rFonts w:ascii="Times New Roman" w:hAnsi="Times New Roman"/>
                <w:sz w:val="28"/>
                <w:szCs w:val="28"/>
                <w:lang w:val="kk-KZ"/>
              </w:rPr>
            </w:pPr>
            <w:r>
              <w:rPr>
                <w:rFonts w:ascii="Times New Roman" w:hAnsi="Times New Roman"/>
                <w:sz w:val="28"/>
                <w:szCs w:val="28"/>
              </w:rPr>
              <w:t>5</w:t>
            </w:r>
            <w:r w:rsidR="00261A10">
              <w:rPr>
                <w:rFonts w:ascii="Times New Roman" w:hAnsi="Times New Roman"/>
                <w:sz w:val="28"/>
                <w:szCs w:val="28"/>
              </w:rPr>
              <w:t>7</w:t>
            </w:r>
          </w:p>
        </w:tc>
      </w:tr>
      <w:tr w:rsidR="00AB12B3" w:rsidTr="00E2451D">
        <w:tc>
          <w:tcPr>
            <w:tcW w:w="8608" w:type="dxa"/>
            <w:vAlign w:val="center"/>
            <w:hideMark/>
          </w:tcPr>
          <w:p w:rsidR="00AB12B3" w:rsidRPr="00E2451D" w:rsidRDefault="00AB12B3">
            <w:pPr>
              <w:jc w:val="both"/>
              <w:rPr>
                <w:rFonts w:ascii="Times New Roman" w:hAnsi="Times New Roman"/>
                <w:b/>
                <w:sz w:val="28"/>
                <w:szCs w:val="28"/>
              </w:rPr>
            </w:pPr>
            <w:r w:rsidRPr="00E2451D">
              <w:rPr>
                <w:rFonts w:ascii="Times New Roman" w:hAnsi="Times New Roman"/>
                <w:b/>
                <w:sz w:val="28"/>
                <w:szCs w:val="28"/>
              </w:rPr>
              <w:t xml:space="preserve">4 ВЗАИМОСВЯЗИ ПОЛИМОРФИЗМОВ ГЕНОВ </w:t>
            </w:r>
            <w:r w:rsidRPr="00E2451D">
              <w:rPr>
                <w:rFonts w:ascii="Times New Roman" w:hAnsi="Times New Roman"/>
                <w:b/>
                <w:i/>
                <w:sz w:val="28"/>
                <w:szCs w:val="28"/>
              </w:rPr>
              <w:t>LPL</w:t>
            </w:r>
            <w:r w:rsidRPr="00E2451D">
              <w:rPr>
                <w:rFonts w:ascii="Times New Roman" w:hAnsi="Times New Roman"/>
                <w:b/>
                <w:iCs/>
                <w:sz w:val="28"/>
                <w:szCs w:val="28"/>
              </w:rPr>
              <w:t xml:space="preserve"> SER447TER (RS328)</w:t>
            </w:r>
            <w:r w:rsidR="00496FC6" w:rsidRPr="00E2451D">
              <w:rPr>
                <w:rFonts w:ascii="Century" w:hAnsi="Century"/>
                <w:b/>
                <w:iCs/>
                <w:sz w:val="28"/>
                <w:szCs w:val="28"/>
              </w:rPr>
              <w:t>,</w:t>
            </w:r>
            <w:r w:rsidRPr="00E2451D">
              <w:rPr>
                <w:rFonts w:ascii="Times New Roman" w:hAnsi="Times New Roman"/>
                <w:b/>
                <w:iCs/>
                <w:sz w:val="28"/>
                <w:szCs w:val="28"/>
              </w:rPr>
              <w:t xml:space="preserve"> </w:t>
            </w:r>
            <w:r w:rsidRPr="00E2451D">
              <w:rPr>
                <w:rFonts w:ascii="Times New Roman" w:hAnsi="Times New Roman"/>
                <w:b/>
                <w:i/>
                <w:sz w:val="28"/>
                <w:szCs w:val="28"/>
              </w:rPr>
              <w:t>ADRB2</w:t>
            </w:r>
            <w:r w:rsidRPr="00E2451D">
              <w:rPr>
                <w:rFonts w:ascii="Times New Roman" w:hAnsi="Times New Roman"/>
                <w:b/>
                <w:iCs/>
                <w:sz w:val="28"/>
                <w:szCs w:val="28"/>
              </w:rPr>
              <w:t xml:space="preserve"> GLN27GLU (RS1042714)</w:t>
            </w:r>
            <w:r w:rsidR="00496FC6" w:rsidRPr="00E2451D">
              <w:rPr>
                <w:rFonts w:ascii="Century" w:hAnsi="Century"/>
                <w:b/>
                <w:iCs/>
                <w:sz w:val="28"/>
                <w:szCs w:val="28"/>
              </w:rPr>
              <w:t>,</w:t>
            </w:r>
            <w:r w:rsidRPr="00E2451D">
              <w:rPr>
                <w:rFonts w:ascii="Times New Roman" w:hAnsi="Times New Roman"/>
                <w:b/>
                <w:iCs/>
                <w:sz w:val="28"/>
                <w:szCs w:val="28"/>
              </w:rPr>
              <w:t xml:space="preserve"> </w:t>
            </w:r>
            <w:r w:rsidRPr="00E2451D">
              <w:rPr>
                <w:rFonts w:ascii="Times New Roman" w:hAnsi="Times New Roman"/>
                <w:b/>
                <w:i/>
                <w:sz w:val="28"/>
                <w:szCs w:val="28"/>
              </w:rPr>
              <w:t>AGT</w:t>
            </w:r>
            <w:r w:rsidRPr="00E2451D">
              <w:rPr>
                <w:rFonts w:ascii="Times New Roman" w:hAnsi="Times New Roman"/>
                <w:b/>
                <w:iCs/>
                <w:sz w:val="28"/>
                <w:szCs w:val="28"/>
              </w:rPr>
              <w:t xml:space="preserve"> THR174MET (RS4762)</w:t>
            </w:r>
            <w:r w:rsidR="00496FC6" w:rsidRPr="00E2451D">
              <w:rPr>
                <w:rFonts w:ascii="Century" w:hAnsi="Century"/>
                <w:b/>
                <w:iCs/>
                <w:sz w:val="28"/>
                <w:szCs w:val="28"/>
              </w:rPr>
              <w:t>,</w:t>
            </w:r>
            <w:r w:rsidRPr="00E2451D">
              <w:rPr>
                <w:rFonts w:ascii="Times New Roman" w:hAnsi="Times New Roman"/>
                <w:b/>
                <w:iCs/>
                <w:sz w:val="28"/>
                <w:szCs w:val="28"/>
              </w:rPr>
              <w:t xml:space="preserve"> </w:t>
            </w:r>
            <w:r w:rsidRPr="00E2451D">
              <w:rPr>
                <w:rFonts w:ascii="Times New Roman" w:hAnsi="Times New Roman"/>
                <w:b/>
                <w:i/>
                <w:sz w:val="28"/>
                <w:szCs w:val="28"/>
              </w:rPr>
              <w:t>AGTR1</w:t>
            </w:r>
            <w:r w:rsidRPr="00E2451D">
              <w:rPr>
                <w:rFonts w:ascii="Times New Roman" w:hAnsi="Times New Roman"/>
                <w:b/>
                <w:iCs/>
                <w:sz w:val="28"/>
                <w:szCs w:val="28"/>
              </w:rPr>
              <w:t xml:space="preserve"> A1166C (RS5186)</w:t>
            </w:r>
            <w:r w:rsidRPr="00E2451D">
              <w:rPr>
                <w:rFonts w:ascii="Times New Roman" w:hAnsi="Times New Roman"/>
                <w:b/>
                <w:sz w:val="28"/>
                <w:szCs w:val="28"/>
              </w:rPr>
              <w:t xml:space="preserve"> С НАРУШЕНИЯМИ ЛИПИДНОГО ОБМЕНА У ПАЦИЕНТОВ С ДИСЛИПИДЕМИЕЙ И ИНСУЛИНОРЕЗИСТЕНТНОСТЬЮ</w:t>
            </w:r>
          </w:p>
        </w:tc>
        <w:tc>
          <w:tcPr>
            <w:tcW w:w="992" w:type="dxa"/>
            <w:vAlign w:val="center"/>
          </w:tcPr>
          <w:p w:rsidR="00AB12B3" w:rsidRPr="00D86C75" w:rsidRDefault="0008725B" w:rsidP="00D86C75">
            <w:pPr>
              <w:jc w:val="both"/>
              <w:rPr>
                <w:rFonts w:ascii="Times New Roman" w:hAnsi="Times New Roman"/>
                <w:sz w:val="28"/>
                <w:szCs w:val="28"/>
                <w:lang w:val="kk-KZ"/>
              </w:rPr>
            </w:pPr>
            <w:r>
              <w:rPr>
                <w:rFonts w:ascii="Times New Roman" w:hAnsi="Times New Roman"/>
                <w:sz w:val="28"/>
                <w:szCs w:val="28"/>
              </w:rPr>
              <w:t>9</w:t>
            </w:r>
            <w:r w:rsidR="00D86C75">
              <w:rPr>
                <w:rFonts w:ascii="Times New Roman" w:hAnsi="Times New Roman"/>
                <w:sz w:val="28"/>
                <w:szCs w:val="28"/>
                <w:lang w:val="kk-KZ"/>
              </w:rPr>
              <w:t>6</w:t>
            </w:r>
          </w:p>
        </w:tc>
      </w:tr>
      <w:tr w:rsidR="00AB12B3" w:rsidTr="00E2451D">
        <w:tc>
          <w:tcPr>
            <w:tcW w:w="8608" w:type="dxa"/>
            <w:hideMark/>
          </w:tcPr>
          <w:p w:rsidR="00AB12B3" w:rsidRPr="009D1D05" w:rsidRDefault="00AB12B3">
            <w:pPr>
              <w:jc w:val="both"/>
              <w:rPr>
                <w:rFonts w:ascii="Times New Roman" w:hAnsi="Times New Roman"/>
                <w:sz w:val="28"/>
                <w:szCs w:val="28"/>
              </w:rPr>
            </w:pPr>
            <w:r w:rsidRPr="009D1D05">
              <w:rPr>
                <w:rFonts w:ascii="Times New Roman" w:hAnsi="Times New Roman"/>
                <w:sz w:val="28"/>
                <w:szCs w:val="28"/>
              </w:rPr>
              <w:t xml:space="preserve">4.1 Связь полиморфизмов генов </w:t>
            </w:r>
            <w:r w:rsidRPr="009D1D05">
              <w:rPr>
                <w:rFonts w:ascii="Times New Roman" w:hAnsi="Times New Roman"/>
                <w:i/>
                <w:iCs/>
                <w:sz w:val="28"/>
                <w:szCs w:val="28"/>
              </w:rPr>
              <w:t>LPL</w:t>
            </w:r>
            <w:r w:rsidRPr="009D1D05">
              <w:rPr>
                <w:rFonts w:ascii="Times New Roman" w:hAnsi="Times New Roman"/>
                <w:sz w:val="28"/>
                <w:szCs w:val="28"/>
              </w:rPr>
              <w:t xml:space="preserve"> Ser447Ter (rs328)</w:t>
            </w:r>
            <w:r w:rsidR="00496FC6" w:rsidRPr="009D1D05">
              <w:rPr>
                <w:rFonts w:ascii="Century" w:hAnsi="Century"/>
                <w:sz w:val="28"/>
                <w:szCs w:val="28"/>
              </w:rPr>
              <w:t>,</w:t>
            </w:r>
            <w:r w:rsidRPr="009D1D05">
              <w:rPr>
                <w:rFonts w:ascii="Times New Roman" w:hAnsi="Times New Roman"/>
                <w:sz w:val="28"/>
                <w:szCs w:val="28"/>
              </w:rPr>
              <w:t xml:space="preserve"> </w:t>
            </w:r>
            <w:r w:rsidRPr="009D1D05">
              <w:rPr>
                <w:rFonts w:ascii="Times New Roman" w:hAnsi="Times New Roman"/>
                <w:i/>
                <w:iCs/>
                <w:sz w:val="28"/>
                <w:szCs w:val="28"/>
              </w:rPr>
              <w:t>ADRB2</w:t>
            </w:r>
            <w:r w:rsidRPr="009D1D05">
              <w:rPr>
                <w:rFonts w:ascii="Times New Roman" w:hAnsi="Times New Roman"/>
                <w:sz w:val="28"/>
                <w:szCs w:val="28"/>
              </w:rPr>
              <w:t xml:space="preserve"> Gln27Glu (rs1042714)</w:t>
            </w:r>
            <w:r w:rsidR="00496FC6" w:rsidRPr="009D1D05">
              <w:rPr>
                <w:rFonts w:ascii="Century" w:hAnsi="Century"/>
                <w:sz w:val="28"/>
                <w:szCs w:val="28"/>
              </w:rPr>
              <w:t>,</w:t>
            </w:r>
            <w:r w:rsidRPr="009D1D05">
              <w:rPr>
                <w:rFonts w:ascii="Times New Roman" w:hAnsi="Times New Roman"/>
                <w:sz w:val="28"/>
                <w:szCs w:val="28"/>
              </w:rPr>
              <w:t xml:space="preserve"> </w:t>
            </w:r>
            <w:r w:rsidRPr="009D1D05">
              <w:rPr>
                <w:rFonts w:ascii="Times New Roman" w:hAnsi="Times New Roman"/>
                <w:i/>
                <w:iCs/>
                <w:sz w:val="28"/>
                <w:szCs w:val="28"/>
              </w:rPr>
              <w:t>AGT</w:t>
            </w:r>
            <w:r w:rsidRPr="009D1D05">
              <w:rPr>
                <w:rFonts w:ascii="Times New Roman" w:hAnsi="Times New Roman"/>
                <w:sz w:val="28"/>
                <w:szCs w:val="28"/>
              </w:rPr>
              <w:t xml:space="preserve"> Thr174Met (rs4762)</w:t>
            </w:r>
            <w:r w:rsidR="00496FC6" w:rsidRPr="009D1D05">
              <w:rPr>
                <w:rFonts w:ascii="Century" w:hAnsi="Century"/>
                <w:sz w:val="28"/>
                <w:szCs w:val="28"/>
              </w:rPr>
              <w:t>,</w:t>
            </w:r>
            <w:r w:rsidRPr="009D1D05">
              <w:rPr>
                <w:rFonts w:ascii="Times New Roman" w:hAnsi="Times New Roman"/>
                <w:sz w:val="28"/>
                <w:szCs w:val="28"/>
              </w:rPr>
              <w:t xml:space="preserve"> </w:t>
            </w:r>
            <w:r w:rsidRPr="009D1D05">
              <w:rPr>
                <w:rFonts w:ascii="Times New Roman" w:hAnsi="Times New Roman"/>
                <w:i/>
                <w:iCs/>
                <w:sz w:val="28"/>
                <w:szCs w:val="28"/>
              </w:rPr>
              <w:t>AGTR1</w:t>
            </w:r>
            <w:r w:rsidRPr="009D1D05">
              <w:rPr>
                <w:rFonts w:ascii="Times New Roman" w:hAnsi="Times New Roman"/>
                <w:sz w:val="28"/>
                <w:szCs w:val="28"/>
              </w:rPr>
              <w:t xml:space="preserve"> A1166C (rs5186) с дислипидемией и инсулинорезистентностью</w:t>
            </w:r>
          </w:p>
        </w:tc>
        <w:tc>
          <w:tcPr>
            <w:tcW w:w="992" w:type="dxa"/>
            <w:vAlign w:val="center"/>
          </w:tcPr>
          <w:p w:rsidR="00AB12B3" w:rsidRPr="00D86C75" w:rsidRDefault="0008725B" w:rsidP="00D86C75">
            <w:pPr>
              <w:jc w:val="both"/>
              <w:rPr>
                <w:rFonts w:ascii="Times New Roman" w:hAnsi="Times New Roman"/>
                <w:sz w:val="28"/>
                <w:szCs w:val="28"/>
                <w:lang w:val="kk-KZ"/>
              </w:rPr>
            </w:pPr>
            <w:r>
              <w:rPr>
                <w:rFonts w:ascii="Times New Roman" w:hAnsi="Times New Roman"/>
                <w:sz w:val="28"/>
                <w:szCs w:val="28"/>
              </w:rPr>
              <w:t>9</w:t>
            </w:r>
            <w:r w:rsidR="00D86C75">
              <w:rPr>
                <w:rFonts w:ascii="Times New Roman" w:hAnsi="Times New Roman"/>
                <w:sz w:val="28"/>
                <w:szCs w:val="28"/>
                <w:lang w:val="kk-KZ"/>
              </w:rPr>
              <w:t>6</w:t>
            </w:r>
          </w:p>
        </w:tc>
      </w:tr>
      <w:tr w:rsidR="00AB12B3" w:rsidTr="00E2451D">
        <w:tc>
          <w:tcPr>
            <w:tcW w:w="8608" w:type="dxa"/>
            <w:vAlign w:val="center"/>
            <w:hideMark/>
          </w:tcPr>
          <w:p w:rsidR="00AB12B3" w:rsidRPr="00E2451D" w:rsidRDefault="00AB12B3" w:rsidP="00A02384">
            <w:pPr>
              <w:jc w:val="both"/>
              <w:rPr>
                <w:rFonts w:ascii="Times New Roman" w:hAnsi="Times New Roman"/>
                <w:b/>
                <w:sz w:val="28"/>
                <w:szCs w:val="28"/>
              </w:rPr>
            </w:pPr>
            <w:r w:rsidRPr="00E2451D">
              <w:rPr>
                <w:rFonts w:ascii="Times New Roman" w:hAnsi="Times New Roman"/>
                <w:b/>
                <w:sz w:val="28"/>
                <w:szCs w:val="28"/>
              </w:rPr>
              <w:lastRenderedPageBreak/>
              <w:t>5 АЛГОРИТМ РАННЕЙ ДИАГНОСТИКИ И ПРОГНОЗИРОВАНИЯ РАЗВИТИЯ ДИСЛИПИДЕМИИ И ИНСУЛИНОРЕЗИСТЕНТНОСТИ</w:t>
            </w:r>
          </w:p>
        </w:tc>
        <w:tc>
          <w:tcPr>
            <w:tcW w:w="992" w:type="dxa"/>
            <w:vAlign w:val="center"/>
          </w:tcPr>
          <w:p w:rsidR="00AB12B3" w:rsidRPr="00D86C75" w:rsidRDefault="00B3172A" w:rsidP="00D86C75">
            <w:pPr>
              <w:jc w:val="both"/>
              <w:rPr>
                <w:rFonts w:ascii="Times New Roman" w:hAnsi="Times New Roman"/>
                <w:sz w:val="28"/>
                <w:szCs w:val="28"/>
                <w:lang w:val="kk-KZ"/>
              </w:rPr>
            </w:pPr>
            <w:r>
              <w:rPr>
                <w:rFonts w:ascii="Times New Roman" w:hAnsi="Times New Roman"/>
                <w:sz w:val="28"/>
                <w:szCs w:val="28"/>
              </w:rPr>
              <w:t>10</w:t>
            </w:r>
            <w:r w:rsidR="00D86C75">
              <w:rPr>
                <w:rFonts w:ascii="Times New Roman" w:hAnsi="Times New Roman"/>
                <w:sz w:val="28"/>
                <w:szCs w:val="28"/>
                <w:lang w:val="kk-KZ"/>
              </w:rPr>
              <w:t>7</w:t>
            </w:r>
          </w:p>
        </w:tc>
      </w:tr>
      <w:tr w:rsidR="00AB12B3" w:rsidTr="00E2451D">
        <w:tc>
          <w:tcPr>
            <w:tcW w:w="8608" w:type="dxa"/>
            <w:vAlign w:val="center"/>
            <w:hideMark/>
          </w:tcPr>
          <w:p w:rsidR="00AB12B3" w:rsidRPr="00E2451D" w:rsidRDefault="00AB12B3" w:rsidP="004A05AA">
            <w:pPr>
              <w:jc w:val="both"/>
              <w:rPr>
                <w:rFonts w:ascii="Times New Roman" w:hAnsi="Times New Roman"/>
                <w:b/>
                <w:sz w:val="28"/>
                <w:szCs w:val="28"/>
              </w:rPr>
            </w:pPr>
            <w:r w:rsidRPr="00E2451D">
              <w:rPr>
                <w:rFonts w:ascii="Times New Roman" w:hAnsi="Times New Roman"/>
                <w:b/>
                <w:sz w:val="28"/>
                <w:szCs w:val="28"/>
              </w:rPr>
              <w:t>ЗАКЛЮЧЕНИЕ</w:t>
            </w:r>
          </w:p>
        </w:tc>
        <w:tc>
          <w:tcPr>
            <w:tcW w:w="992" w:type="dxa"/>
            <w:vAlign w:val="center"/>
          </w:tcPr>
          <w:p w:rsidR="00AB12B3" w:rsidRPr="00D86C75" w:rsidRDefault="00B3172A" w:rsidP="00261A10">
            <w:pPr>
              <w:jc w:val="both"/>
              <w:rPr>
                <w:rFonts w:ascii="Times New Roman" w:hAnsi="Times New Roman"/>
                <w:sz w:val="28"/>
                <w:szCs w:val="28"/>
                <w:lang w:val="kk-KZ"/>
              </w:rPr>
            </w:pPr>
            <w:r>
              <w:rPr>
                <w:rFonts w:ascii="Times New Roman" w:hAnsi="Times New Roman"/>
                <w:sz w:val="28"/>
                <w:szCs w:val="28"/>
              </w:rPr>
              <w:t>11</w:t>
            </w:r>
            <w:r w:rsidR="00D86C75">
              <w:rPr>
                <w:rFonts w:ascii="Times New Roman" w:hAnsi="Times New Roman"/>
                <w:sz w:val="28"/>
                <w:szCs w:val="28"/>
                <w:lang w:val="kk-KZ"/>
              </w:rPr>
              <w:t>1</w:t>
            </w:r>
          </w:p>
        </w:tc>
      </w:tr>
      <w:tr w:rsidR="00AB12B3" w:rsidTr="00E2451D">
        <w:tc>
          <w:tcPr>
            <w:tcW w:w="8608" w:type="dxa"/>
            <w:vAlign w:val="center"/>
            <w:hideMark/>
          </w:tcPr>
          <w:p w:rsidR="00AB12B3" w:rsidRPr="00E2451D" w:rsidRDefault="00AB12B3">
            <w:pPr>
              <w:jc w:val="both"/>
              <w:rPr>
                <w:rFonts w:ascii="Times New Roman" w:hAnsi="Times New Roman"/>
                <w:b/>
                <w:sz w:val="28"/>
                <w:szCs w:val="28"/>
              </w:rPr>
            </w:pPr>
            <w:r w:rsidRPr="00E2451D">
              <w:rPr>
                <w:rFonts w:ascii="Times New Roman" w:hAnsi="Times New Roman"/>
                <w:b/>
                <w:sz w:val="28"/>
                <w:szCs w:val="28"/>
              </w:rPr>
              <w:t>СПИСОК ИСПОЛЬЗОВАННЫХ ИСТОЧНИКОВ</w:t>
            </w:r>
          </w:p>
        </w:tc>
        <w:tc>
          <w:tcPr>
            <w:tcW w:w="992" w:type="dxa"/>
            <w:vAlign w:val="center"/>
          </w:tcPr>
          <w:p w:rsidR="00AB12B3" w:rsidRPr="00B3172A" w:rsidRDefault="0008725B" w:rsidP="00261A10">
            <w:pPr>
              <w:jc w:val="both"/>
              <w:rPr>
                <w:rFonts w:ascii="Times New Roman" w:hAnsi="Times New Roman"/>
                <w:sz w:val="28"/>
                <w:szCs w:val="28"/>
                <w:lang w:val="kk-KZ"/>
              </w:rPr>
            </w:pPr>
            <w:r>
              <w:rPr>
                <w:rFonts w:ascii="Times New Roman" w:hAnsi="Times New Roman"/>
                <w:sz w:val="28"/>
                <w:szCs w:val="28"/>
              </w:rPr>
              <w:t>11</w:t>
            </w:r>
            <w:r w:rsidR="00261A10">
              <w:rPr>
                <w:rFonts w:ascii="Times New Roman" w:hAnsi="Times New Roman"/>
                <w:sz w:val="28"/>
                <w:szCs w:val="28"/>
              </w:rPr>
              <w:t>8</w:t>
            </w:r>
          </w:p>
        </w:tc>
      </w:tr>
      <w:tr w:rsidR="00AB12B3" w:rsidTr="00E2451D">
        <w:tc>
          <w:tcPr>
            <w:tcW w:w="8608" w:type="dxa"/>
            <w:vAlign w:val="center"/>
            <w:hideMark/>
          </w:tcPr>
          <w:p w:rsidR="00AB12B3" w:rsidRPr="00E2451D" w:rsidRDefault="00AB12B3">
            <w:pPr>
              <w:jc w:val="both"/>
              <w:rPr>
                <w:rFonts w:ascii="Times New Roman" w:hAnsi="Times New Roman"/>
                <w:b/>
                <w:sz w:val="28"/>
                <w:szCs w:val="28"/>
              </w:rPr>
            </w:pPr>
            <w:r w:rsidRPr="00E2451D">
              <w:rPr>
                <w:rFonts w:ascii="Times New Roman" w:hAnsi="Times New Roman"/>
                <w:b/>
                <w:sz w:val="28"/>
                <w:szCs w:val="28"/>
              </w:rPr>
              <w:t xml:space="preserve">ПРИЛОЖЕНИЯ </w:t>
            </w:r>
          </w:p>
        </w:tc>
        <w:tc>
          <w:tcPr>
            <w:tcW w:w="992" w:type="dxa"/>
            <w:vAlign w:val="center"/>
          </w:tcPr>
          <w:p w:rsidR="00AB12B3" w:rsidRDefault="0008725B" w:rsidP="00261A10">
            <w:pPr>
              <w:jc w:val="both"/>
              <w:rPr>
                <w:rFonts w:ascii="Times New Roman" w:hAnsi="Times New Roman"/>
                <w:sz w:val="28"/>
                <w:szCs w:val="28"/>
              </w:rPr>
            </w:pPr>
            <w:r>
              <w:rPr>
                <w:rFonts w:ascii="Times New Roman" w:hAnsi="Times New Roman"/>
                <w:sz w:val="28"/>
                <w:szCs w:val="28"/>
              </w:rPr>
              <w:t>13</w:t>
            </w:r>
            <w:r w:rsidR="00261A10">
              <w:rPr>
                <w:rFonts w:ascii="Times New Roman" w:hAnsi="Times New Roman"/>
                <w:sz w:val="28"/>
                <w:szCs w:val="28"/>
              </w:rPr>
              <w:t>3</w:t>
            </w:r>
          </w:p>
        </w:tc>
      </w:tr>
    </w:tbl>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rPr>
          <w:rFonts w:ascii="Times New Roman" w:hAnsi="Times New Roman" w:cs="Times New Roman"/>
          <w:sz w:val="28"/>
          <w:szCs w:val="28"/>
        </w:rPr>
        <w:sectPr w:rsidR="00AB12B3">
          <w:pgSz w:w="11906" w:h="16838"/>
          <w:pgMar w:top="1134" w:right="850" w:bottom="1134" w:left="1701" w:header="708" w:footer="708" w:gutter="0"/>
          <w:cols w:space="720"/>
        </w:sectPr>
      </w:pPr>
    </w:p>
    <w:p w:rsidR="00AB12B3" w:rsidRDefault="00AB12B3" w:rsidP="00AB12B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НОРМАТИВНЫЕ ССЫЛКИ</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 Настоящей диссертации использованы ссылки на следующие стандарты:</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ГОСТ 7.32-2001 – (Межгосударственный стандарты) Система стандартов по информации, библиотечному и издательскому делу. Отчет о научно-исследовательской работе. Структура и правила оформления.</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ГОСТ 7.1-2003 Библиографическая запись. Библиографическое описание документа. Общие требования и правила составления.</w:t>
      </w:r>
    </w:p>
    <w:p w:rsidR="00151037" w:rsidRDefault="00151037" w:rsidP="0015103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ГОСТ 2.105-95 Единая система конструкторной документации. Общие требования к текстовым документам.</w:t>
      </w:r>
    </w:p>
    <w:p w:rsidR="00AB12B3" w:rsidRDefault="00AB12B3" w:rsidP="00AB12B3">
      <w:pPr>
        <w:spacing w:after="0" w:line="240" w:lineRule="auto"/>
        <w:jc w:val="both"/>
        <w:rPr>
          <w:rFonts w:ascii="Times New Roman" w:hAnsi="Times New Roman" w:cs="Times New Roman"/>
          <w:sz w:val="28"/>
          <w:szCs w:val="28"/>
        </w:rPr>
      </w:pPr>
      <w:r w:rsidRPr="00125A62">
        <w:rPr>
          <w:rFonts w:ascii="Times New Roman" w:hAnsi="Times New Roman" w:cs="Times New Roman"/>
          <w:sz w:val="28"/>
          <w:szCs w:val="28"/>
        </w:rPr>
        <w:tab/>
        <w:t>ГОСТ 7.12-93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r>
        <w:rPr>
          <w:rFonts w:ascii="Times New Roman" w:hAnsi="Times New Roman" w:cs="Times New Roman"/>
          <w:sz w:val="28"/>
          <w:szCs w:val="28"/>
        </w:rPr>
        <w:t>.</w:t>
      </w:r>
    </w:p>
    <w:p w:rsidR="00AB12B3" w:rsidRDefault="00AB12B3" w:rsidP="00AB12B3">
      <w:pPr>
        <w:spacing w:after="0" w:line="240" w:lineRule="auto"/>
        <w:rPr>
          <w:rFonts w:ascii="Times New Roman" w:hAnsi="Times New Roman" w:cs="Times New Roman"/>
          <w:sz w:val="28"/>
          <w:szCs w:val="28"/>
        </w:rPr>
        <w:sectPr w:rsidR="00AB12B3">
          <w:pgSz w:w="11906" w:h="16838"/>
          <w:pgMar w:top="1134" w:right="850" w:bottom="1134" w:left="1701" w:header="708" w:footer="708" w:gutter="0"/>
          <w:cols w:space="720"/>
        </w:sectPr>
      </w:pPr>
    </w:p>
    <w:p w:rsidR="00AB12B3" w:rsidRDefault="00AB12B3" w:rsidP="00AB12B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ОПРЕДЕЛЕНИЯ</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В </w:t>
      </w:r>
      <w:r w:rsidR="00670968">
        <w:rPr>
          <w:rFonts w:ascii="Times New Roman" w:hAnsi="Times New Roman" w:cs="Times New Roman"/>
          <w:sz w:val="28"/>
          <w:szCs w:val="28"/>
        </w:rPr>
        <w:t>данной</w:t>
      </w:r>
      <w:r>
        <w:rPr>
          <w:rFonts w:ascii="Times New Roman" w:hAnsi="Times New Roman" w:cs="Times New Roman"/>
          <w:sz w:val="28"/>
          <w:szCs w:val="28"/>
        </w:rPr>
        <w:t xml:space="preserve"> диссертаци</w:t>
      </w:r>
      <w:r w:rsidR="00670968">
        <w:rPr>
          <w:rFonts w:ascii="Times New Roman" w:hAnsi="Times New Roman" w:cs="Times New Roman"/>
          <w:sz w:val="28"/>
          <w:szCs w:val="28"/>
        </w:rPr>
        <w:t>онной работе</w:t>
      </w:r>
      <w:r>
        <w:rPr>
          <w:rFonts w:ascii="Times New Roman" w:hAnsi="Times New Roman" w:cs="Times New Roman"/>
          <w:sz w:val="28"/>
          <w:szCs w:val="28"/>
        </w:rPr>
        <w:t xml:space="preserve"> применяются следующие термины с соответствующими определениями:</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Аллели</w:t>
      </w:r>
      <w:r>
        <w:rPr>
          <w:rFonts w:ascii="Times New Roman" w:hAnsi="Times New Roman" w:cs="Times New Roman"/>
          <w:sz w:val="28"/>
          <w:szCs w:val="28"/>
        </w:rPr>
        <w:t xml:space="preserve"> –</w:t>
      </w:r>
      <w:r w:rsidR="00847338">
        <w:rPr>
          <w:rFonts w:ascii="Times New Roman" w:hAnsi="Times New Roman" w:cs="Times New Roman"/>
          <w:sz w:val="28"/>
          <w:szCs w:val="28"/>
          <w:lang w:val="kk-KZ"/>
        </w:rPr>
        <w:t xml:space="preserve"> </w:t>
      </w:r>
      <w:r>
        <w:rPr>
          <w:rFonts w:ascii="Times New Roman" w:hAnsi="Times New Roman" w:cs="Times New Roman"/>
          <w:sz w:val="28"/>
          <w:szCs w:val="28"/>
        </w:rPr>
        <w:t xml:space="preserve">это </w:t>
      </w:r>
      <w:r w:rsidR="00233C5A">
        <w:rPr>
          <w:rFonts w:ascii="Times New Roman" w:hAnsi="Times New Roman" w:cs="Times New Roman"/>
          <w:sz w:val="28"/>
          <w:szCs w:val="28"/>
        </w:rPr>
        <w:t>различные формы одного и того же гена</w:t>
      </w:r>
      <w:r w:rsidR="00125A62">
        <w:rPr>
          <w:rFonts w:ascii="Century" w:hAnsi="Century" w:cs="Times New Roman"/>
          <w:sz w:val="28"/>
          <w:szCs w:val="28"/>
        </w:rPr>
        <w:t>,</w:t>
      </w:r>
      <w:r w:rsidR="00233C5A">
        <w:rPr>
          <w:rFonts w:ascii="Times New Roman" w:hAnsi="Times New Roman" w:cs="Times New Roman"/>
          <w:sz w:val="28"/>
          <w:szCs w:val="28"/>
        </w:rPr>
        <w:t xml:space="preserve"> которые определяют альтернативные варианты развития одного и того же признака и расположенны в одинаковых участках (локусах) гомологичных хромосом</w:t>
      </w:r>
      <w:r>
        <w:rPr>
          <w:rFonts w:ascii="Times New Roman" w:hAnsi="Times New Roman" w:cs="Times New Roman"/>
          <w:sz w:val="28"/>
          <w:szCs w:val="28"/>
        </w:rPr>
        <w:t>.</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Выборка</w:t>
      </w:r>
      <w:r>
        <w:rPr>
          <w:rFonts w:ascii="Times New Roman" w:hAnsi="Times New Roman" w:cs="Times New Roman"/>
          <w:sz w:val="28"/>
          <w:szCs w:val="28"/>
        </w:rPr>
        <w:t xml:space="preserve"> – это часть популяции</w:t>
      </w:r>
      <w:r w:rsidR="001C31A0">
        <w:rPr>
          <w:rFonts w:ascii="Century" w:hAnsi="Century" w:cs="Times New Roman"/>
          <w:sz w:val="28"/>
          <w:szCs w:val="28"/>
        </w:rPr>
        <w:t>,</w:t>
      </w:r>
      <w:r>
        <w:rPr>
          <w:rFonts w:ascii="Times New Roman" w:hAnsi="Times New Roman" w:cs="Times New Roman"/>
          <w:sz w:val="28"/>
          <w:szCs w:val="28"/>
        </w:rPr>
        <w:t xml:space="preserve"> полученные путем отбора</w:t>
      </w:r>
      <w:r w:rsidR="00125A62">
        <w:rPr>
          <w:rFonts w:ascii="Century" w:hAnsi="Century" w:cs="Times New Roman"/>
          <w:sz w:val="28"/>
          <w:szCs w:val="28"/>
        </w:rPr>
        <w:t>.</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Генетический маркер или молекулярно – генетические маркеры</w:t>
      </w:r>
      <w:r>
        <w:rPr>
          <w:rFonts w:ascii="Times New Roman" w:hAnsi="Times New Roman" w:cs="Times New Roman"/>
          <w:sz w:val="28"/>
          <w:szCs w:val="28"/>
        </w:rPr>
        <w:t xml:space="preserve"> – это полиморфный признак, наследование которого можно проследить методами молекулярной биологии на уровни нуклеотидной последовательности ДНК</w:t>
      </w:r>
      <w:r w:rsidR="00816916">
        <w:rPr>
          <w:rFonts w:ascii="Century" w:hAnsi="Century" w:cs="Times New Roman"/>
          <w:sz w:val="28"/>
          <w:szCs w:val="28"/>
        </w:rPr>
        <w:t>,</w:t>
      </w:r>
      <w:r>
        <w:rPr>
          <w:rFonts w:ascii="Times New Roman" w:hAnsi="Times New Roman" w:cs="Times New Roman"/>
          <w:sz w:val="28"/>
          <w:szCs w:val="28"/>
        </w:rPr>
        <w:t xml:space="preserve"> для определенного гена или для любого другого участка хромосомы</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Генетический полиморфизм</w:t>
      </w:r>
      <w:r>
        <w:rPr>
          <w:rFonts w:ascii="Times New Roman" w:hAnsi="Times New Roman" w:cs="Times New Roman"/>
          <w:sz w:val="28"/>
          <w:szCs w:val="28"/>
        </w:rPr>
        <w:t xml:space="preserve"> – разнообразие частот аллелей гомозигот</w:t>
      </w:r>
      <w:r w:rsidR="00233C5A">
        <w:rPr>
          <w:rFonts w:ascii="Times New Roman" w:hAnsi="Times New Roman" w:cs="Times New Roman"/>
          <w:sz w:val="28"/>
          <w:szCs w:val="28"/>
        </w:rPr>
        <w:t>, которые</w:t>
      </w:r>
      <w:r>
        <w:rPr>
          <w:rFonts w:ascii="Times New Roman" w:hAnsi="Times New Roman" w:cs="Times New Roman"/>
          <w:sz w:val="28"/>
          <w:szCs w:val="28"/>
        </w:rPr>
        <w:t xml:space="preserve"> заключа</w:t>
      </w:r>
      <w:r w:rsidR="00233C5A">
        <w:rPr>
          <w:rFonts w:ascii="Times New Roman" w:hAnsi="Times New Roman" w:cs="Times New Roman"/>
          <w:sz w:val="28"/>
          <w:szCs w:val="28"/>
        </w:rPr>
        <w:t>ю</w:t>
      </w:r>
      <w:r>
        <w:rPr>
          <w:rFonts w:ascii="Times New Roman" w:hAnsi="Times New Roman" w:cs="Times New Roman"/>
          <w:sz w:val="28"/>
          <w:szCs w:val="28"/>
        </w:rPr>
        <w:t>тся в незначительных вари</w:t>
      </w:r>
      <w:r w:rsidR="001A0E27">
        <w:rPr>
          <w:rFonts w:ascii="Times New Roman" w:hAnsi="Times New Roman" w:cs="Times New Roman"/>
          <w:sz w:val="28"/>
          <w:szCs w:val="28"/>
        </w:rPr>
        <w:t>а</w:t>
      </w:r>
      <w:r>
        <w:rPr>
          <w:rFonts w:ascii="Times New Roman" w:hAnsi="Times New Roman" w:cs="Times New Roman"/>
          <w:sz w:val="28"/>
          <w:szCs w:val="28"/>
        </w:rPr>
        <w:t>циях</w:t>
      </w:r>
      <w:r w:rsidR="00233C5A">
        <w:rPr>
          <w:rFonts w:ascii="Times New Roman" w:hAnsi="Times New Roman" w:cs="Times New Roman"/>
          <w:sz w:val="28"/>
          <w:szCs w:val="28"/>
        </w:rPr>
        <w:t xml:space="preserve"> «генетического» кода</w:t>
      </w:r>
      <w:r w:rsidR="004D75AA">
        <w:rPr>
          <w:rFonts w:ascii="Times New Roman" w:hAnsi="Times New Roman" w:cs="Times New Roman"/>
          <w:sz w:val="28"/>
          <w:szCs w:val="28"/>
        </w:rPr>
        <w:t xml:space="preserve"> </w:t>
      </w:r>
      <w:r w:rsidR="00233C5A">
        <w:rPr>
          <w:rFonts w:ascii="Times New Roman" w:hAnsi="Times New Roman" w:cs="Times New Roman"/>
          <w:sz w:val="28"/>
          <w:szCs w:val="28"/>
        </w:rPr>
        <w:t>одного и того же гена</w:t>
      </w:r>
      <w:r>
        <w:rPr>
          <w:rFonts w:ascii="Times New Roman" w:hAnsi="Times New Roman" w:cs="Times New Roman"/>
          <w:sz w:val="28"/>
          <w:szCs w:val="28"/>
        </w:rPr>
        <w:t>.</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Генотип</w:t>
      </w:r>
      <w:r>
        <w:rPr>
          <w:rFonts w:ascii="Times New Roman" w:hAnsi="Times New Roman" w:cs="Times New Roman"/>
          <w:sz w:val="28"/>
          <w:szCs w:val="28"/>
        </w:rPr>
        <w:t xml:space="preserve"> – это наследственная основа организма</w:t>
      </w:r>
      <w:r w:rsidR="004D75AA">
        <w:rPr>
          <w:rFonts w:ascii="Century" w:hAnsi="Century" w:cs="Times New Roman"/>
          <w:sz w:val="28"/>
          <w:szCs w:val="28"/>
        </w:rPr>
        <w:t>,</w:t>
      </w:r>
      <w:r>
        <w:rPr>
          <w:rFonts w:ascii="Times New Roman" w:hAnsi="Times New Roman" w:cs="Times New Roman"/>
          <w:sz w:val="28"/>
          <w:szCs w:val="28"/>
        </w:rPr>
        <w:t xml:space="preserve"> совокупность всех его генов, всех наследственных факторов организма.</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Генотипирование</w:t>
      </w:r>
      <w:r>
        <w:rPr>
          <w:rFonts w:ascii="Times New Roman" w:hAnsi="Times New Roman" w:cs="Times New Roman"/>
          <w:sz w:val="28"/>
          <w:szCs w:val="28"/>
        </w:rPr>
        <w:t xml:space="preserve"> – процесс определения генотипа.</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Гетерозигота</w:t>
      </w:r>
      <w:r>
        <w:rPr>
          <w:rFonts w:ascii="Times New Roman" w:hAnsi="Times New Roman" w:cs="Times New Roman"/>
          <w:sz w:val="28"/>
          <w:szCs w:val="28"/>
        </w:rPr>
        <w:t xml:space="preserve"> – два разных аллеля данного гена.</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Гомозигота</w:t>
      </w:r>
      <w:r>
        <w:rPr>
          <w:rFonts w:ascii="Times New Roman" w:hAnsi="Times New Roman" w:cs="Times New Roman"/>
          <w:sz w:val="28"/>
          <w:szCs w:val="28"/>
        </w:rPr>
        <w:t xml:space="preserve"> – два идентичных аллеля данного гена.</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Доверительный интервал (ДИ)</w:t>
      </w:r>
      <w:r>
        <w:rPr>
          <w:rFonts w:ascii="Times New Roman" w:hAnsi="Times New Roman" w:cs="Times New Roman"/>
          <w:sz w:val="28"/>
          <w:szCs w:val="28"/>
        </w:rPr>
        <w:t xml:space="preserve"> – статистический значимый показатель, позволяющий оценить </w:t>
      </w:r>
      <w:r w:rsidR="00431CB3">
        <w:rPr>
          <w:rFonts w:ascii="Times New Roman" w:hAnsi="Times New Roman" w:cs="Times New Roman"/>
          <w:sz w:val="28"/>
          <w:szCs w:val="28"/>
        </w:rPr>
        <w:t xml:space="preserve">диапозон колебания истинных значений, где </w:t>
      </w:r>
      <w:r>
        <w:rPr>
          <w:rFonts w:ascii="Times New Roman" w:hAnsi="Times New Roman" w:cs="Times New Roman"/>
          <w:sz w:val="28"/>
          <w:szCs w:val="28"/>
        </w:rPr>
        <w:t xml:space="preserve">95% ДИ </w:t>
      </w:r>
      <w:r w:rsidR="00431CB3">
        <w:rPr>
          <w:rFonts w:ascii="Times New Roman" w:hAnsi="Times New Roman" w:cs="Times New Roman"/>
          <w:sz w:val="28"/>
          <w:szCs w:val="28"/>
        </w:rPr>
        <w:t>показывает</w:t>
      </w:r>
      <w:r>
        <w:rPr>
          <w:rFonts w:ascii="Times New Roman" w:hAnsi="Times New Roman" w:cs="Times New Roman"/>
          <w:sz w:val="28"/>
          <w:szCs w:val="28"/>
        </w:rPr>
        <w:t xml:space="preserve"> истинное значение</w:t>
      </w:r>
      <w:r w:rsidR="00431CB3">
        <w:rPr>
          <w:rFonts w:ascii="Times New Roman" w:hAnsi="Times New Roman" w:cs="Times New Roman"/>
          <w:sz w:val="28"/>
          <w:szCs w:val="28"/>
        </w:rPr>
        <w:t xml:space="preserve"> параметра</w:t>
      </w:r>
      <w:r w:rsidR="007B14FF">
        <w:rPr>
          <w:rFonts w:ascii="Times New Roman" w:hAnsi="Times New Roman" w:cs="Times New Roman"/>
          <w:sz w:val="28"/>
          <w:szCs w:val="28"/>
        </w:rPr>
        <w:t xml:space="preserve"> </w:t>
      </w:r>
      <w:r w:rsidR="00431CB3">
        <w:rPr>
          <w:rFonts w:ascii="Times New Roman" w:hAnsi="Times New Roman" w:cs="Times New Roman"/>
          <w:sz w:val="28"/>
          <w:szCs w:val="28"/>
        </w:rPr>
        <w:t xml:space="preserve">в популяции </w:t>
      </w:r>
      <w:r>
        <w:rPr>
          <w:rFonts w:ascii="Times New Roman" w:hAnsi="Times New Roman" w:cs="Times New Roman"/>
          <w:sz w:val="28"/>
          <w:szCs w:val="28"/>
        </w:rPr>
        <w:t>с вероятностью 95% лежит в его пределах.</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Достоверность</w:t>
      </w:r>
      <w:r>
        <w:rPr>
          <w:rFonts w:ascii="Times New Roman" w:hAnsi="Times New Roman" w:cs="Times New Roman"/>
          <w:sz w:val="28"/>
          <w:szCs w:val="28"/>
        </w:rPr>
        <w:t xml:space="preserve"> – характеристика,</w:t>
      </w:r>
      <w:r w:rsidR="00D079B3">
        <w:rPr>
          <w:rFonts w:ascii="Times New Roman" w:hAnsi="Times New Roman" w:cs="Times New Roman"/>
          <w:sz w:val="28"/>
          <w:szCs w:val="28"/>
        </w:rPr>
        <w:t xml:space="preserve"> которая</w:t>
      </w:r>
      <w:r>
        <w:rPr>
          <w:rFonts w:ascii="Times New Roman" w:hAnsi="Times New Roman" w:cs="Times New Roman"/>
          <w:sz w:val="28"/>
          <w:szCs w:val="28"/>
        </w:rPr>
        <w:t xml:space="preserve"> </w:t>
      </w:r>
      <w:r w:rsidR="00847338">
        <w:rPr>
          <w:rFonts w:ascii="Times New Roman" w:hAnsi="Times New Roman" w:cs="Times New Roman"/>
          <w:sz w:val="28"/>
          <w:szCs w:val="28"/>
        </w:rPr>
        <w:t>показывает,</w:t>
      </w:r>
      <w:r w:rsidR="00D079B3">
        <w:rPr>
          <w:rFonts w:ascii="Times New Roman" w:hAnsi="Times New Roman" w:cs="Times New Roman"/>
          <w:sz w:val="28"/>
          <w:szCs w:val="28"/>
        </w:rPr>
        <w:t xml:space="preserve"> в какой мере полученные результаты измерения соответствует истинной величине в отношени</w:t>
      </w:r>
      <w:r w:rsidR="00847338">
        <w:rPr>
          <w:rFonts w:ascii="Times New Roman" w:hAnsi="Times New Roman" w:cs="Times New Roman"/>
          <w:sz w:val="28"/>
          <w:szCs w:val="28"/>
          <w:lang w:val="kk-KZ"/>
        </w:rPr>
        <w:t>и</w:t>
      </w:r>
      <w:r w:rsidR="00D079B3">
        <w:rPr>
          <w:rFonts w:ascii="Times New Roman" w:hAnsi="Times New Roman" w:cs="Times New Roman"/>
          <w:sz w:val="28"/>
          <w:szCs w:val="28"/>
        </w:rPr>
        <w:t xml:space="preserve"> этой выборки</w:t>
      </w:r>
      <w:r>
        <w:rPr>
          <w:rFonts w:ascii="Times New Roman" w:hAnsi="Times New Roman" w:cs="Times New Roman"/>
          <w:sz w:val="28"/>
          <w:szCs w:val="28"/>
        </w:rPr>
        <w:t>.</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Логистическая регрессия</w:t>
      </w:r>
      <w:r>
        <w:rPr>
          <w:rFonts w:ascii="Times New Roman" w:hAnsi="Times New Roman" w:cs="Times New Roman"/>
          <w:sz w:val="28"/>
          <w:szCs w:val="28"/>
        </w:rPr>
        <w:t xml:space="preserve"> – статистическая модель, используемая для предсказания вероятности возникновения некоторого события путем данных к логистической кривой.</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Локус</w:t>
      </w:r>
      <w:r w:rsidR="00847338">
        <w:rPr>
          <w:rFonts w:ascii="Times New Roman" w:hAnsi="Times New Roman" w:cs="Times New Roman"/>
          <w:b/>
          <w:sz w:val="28"/>
          <w:szCs w:val="28"/>
          <w:lang w:val="kk-KZ"/>
        </w:rPr>
        <w:t xml:space="preserve"> </w:t>
      </w:r>
      <w:r w:rsidR="004B004E">
        <w:rPr>
          <w:rFonts w:ascii="Times New Roman" w:hAnsi="Times New Roman" w:cs="Times New Roman"/>
          <w:sz w:val="28"/>
          <w:szCs w:val="28"/>
        </w:rPr>
        <w:t>–</w:t>
      </w:r>
      <w:r>
        <w:rPr>
          <w:rFonts w:ascii="Times New Roman" w:hAnsi="Times New Roman" w:cs="Times New Roman"/>
          <w:sz w:val="28"/>
          <w:szCs w:val="28"/>
        </w:rPr>
        <w:t xml:space="preserve"> в генетике означает местоположение определенного гена генетической или цитологической карте хромосомы.</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Мутация</w:t>
      </w:r>
      <w:r>
        <w:rPr>
          <w:rFonts w:ascii="Times New Roman" w:hAnsi="Times New Roman" w:cs="Times New Roman"/>
          <w:sz w:val="28"/>
          <w:szCs w:val="28"/>
        </w:rPr>
        <w:t xml:space="preserve"> – стойкое, внезапное возникшее изменение структуры наследственного материала на различных уровнях его организации, приводящее к изменению тех или иных признаков организма.</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Однонуклеотидный полиморфизм</w:t>
      </w:r>
      <w:r>
        <w:rPr>
          <w:rFonts w:ascii="Times New Roman" w:hAnsi="Times New Roman" w:cs="Times New Roman"/>
          <w:sz w:val="28"/>
          <w:szCs w:val="28"/>
        </w:rPr>
        <w:t xml:space="preserve"> – (ОНП, англ. Single</w:t>
      </w:r>
      <w:r w:rsidR="006F3F97">
        <w:rPr>
          <w:rFonts w:ascii="Times New Roman" w:hAnsi="Times New Roman" w:cs="Times New Roman"/>
          <w:sz w:val="28"/>
          <w:szCs w:val="28"/>
        </w:rPr>
        <w:t xml:space="preserve"> </w:t>
      </w:r>
      <w:r>
        <w:rPr>
          <w:rFonts w:ascii="Times New Roman" w:hAnsi="Times New Roman" w:cs="Times New Roman"/>
          <w:sz w:val="28"/>
          <w:szCs w:val="28"/>
        </w:rPr>
        <w:t>nucleotide</w:t>
      </w:r>
      <w:r w:rsidR="006F3F97">
        <w:rPr>
          <w:rFonts w:ascii="Times New Roman" w:hAnsi="Times New Roman" w:cs="Times New Roman"/>
          <w:sz w:val="28"/>
          <w:szCs w:val="28"/>
        </w:rPr>
        <w:t xml:space="preserve"> </w:t>
      </w:r>
      <w:r>
        <w:rPr>
          <w:rFonts w:ascii="Times New Roman" w:hAnsi="Times New Roman" w:cs="Times New Roman"/>
          <w:sz w:val="28"/>
          <w:szCs w:val="28"/>
        </w:rPr>
        <w:t xml:space="preserve">polymorphism, SNP) – </w:t>
      </w:r>
      <w:r w:rsidR="00DC7CE3">
        <w:rPr>
          <w:rFonts w:ascii="Times New Roman" w:hAnsi="Times New Roman" w:cs="Times New Roman"/>
          <w:sz w:val="28"/>
          <w:szCs w:val="28"/>
          <w:lang w:val="kk-KZ"/>
        </w:rPr>
        <w:t xml:space="preserve">это разная </w:t>
      </w:r>
      <w:r>
        <w:rPr>
          <w:rFonts w:ascii="Times New Roman" w:hAnsi="Times New Roman" w:cs="Times New Roman"/>
          <w:sz w:val="28"/>
          <w:szCs w:val="28"/>
        </w:rPr>
        <w:t>последовательност</w:t>
      </w:r>
      <w:r w:rsidR="00DC7CE3">
        <w:rPr>
          <w:rFonts w:ascii="Times New Roman" w:hAnsi="Times New Roman" w:cs="Times New Roman"/>
          <w:sz w:val="28"/>
          <w:szCs w:val="28"/>
          <w:lang w:val="kk-KZ"/>
        </w:rPr>
        <w:t>ь</w:t>
      </w:r>
      <w:r>
        <w:rPr>
          <w:rFonts w:ascii="Times New Roman" w:hAnsi="Times New Roman" w:cs="Times New Roman"/>
          <w:sz w:val="28"/>
          <w:szCs w:val="28"/>
        </w:rPr>
        <w:t xml:space="preserve"> ДНК</w:t>
      </w:r>
      <w:r w:rsidR="00D02C62">
        <w:rPr>
          <w:rFonts w:ascii="Times New Roman" w:hAnsi="Times New Roman" w:cs="Times New Roman"/>
          <w:sz w:val="28"/>
          <w:szCs w:val="28"/>
        </w:rPr>
        <w:t xml:space="preserve"> </w:t>
      </w:r>
      <w:r w:rsidR="00DC7CE3">
        <w:rPr>
          <w:rFonts w:ascii="Times New Roman" w:hAnsi="Times New Roman" w:cs="Times New Roman"/>
          <w:sz w:val="28"/>
          <w:szCs w:val="28"/>
        </w:rPr>
        <w:t>между гомологичными участками гомологичных хромосом</w:t>
      </w:r>
      <w:r w:rsidR="00DC7CE3">
        <w:rPr>
          <w:rFonts w:ascii="Times New Roman" w:hAnsi="Times New Roman" w:cs="Times New Roman"/>
          <w:sz w:val="28"/>
          <w:szCs w:val="28"/>
          <w:lang w:val="kk-KZ"/>
        </w:rPr>
        <w:t xml:space="preserve"> или</w:t>
      </w:r>
      <w:r w:rsidR="00B156F5">
        <w:rPr>
          <w:rFonts w:ascii="Times New Roman" w:hAnsi="Times New Roman" w:cs="Times New Roman"/>
          <w:sz w:val="28"/>
          <w:szCs w:val="28"/>
          <w:lang w:val="kk-KZ"/>
        </w:rPr>
        <w:t xml:space="preserve"> </w:t>
      </w:r>
      <w:r>
        <w:rPr>
          <w:rFonts w:ascii="Times New Roman" w:hAnsi="Times New Roman" w:cs="Times New Roman"/>
          <w:sz w:val="28"/>
          <w:szCs w:val="28"/>
        </w:rPr>
        <w:t xml:space="preserve">в геноме представителей одного вида </w:t>
      </w:r>
      <w:r w:rsidR="00DC7CE3">
        <w:rPr>
          <w:rFonts w:ascii="Times New Roman" w:hAnsi="Times New Roman" w:cs="Times New Roman"/>
          <w:sz w:val="28"/>
          <w:szCs w:val="28"/>
          <w:lang w:val="kk-KZ"/>
        </w:rPr>
        <w:t>в пределах</w:t>
      </w:r>
      <w:r w:rsidR="00DC7CE3">
        <w:rPr>
          <w:rFonts w:ascii="Times New Roman" w:hAnsi="Times New Roman" w:cs="Times New Roman"/>
          <w:sz w:val="28"/>
          <w:szCs w:val="28"/>
        </w:rPr>
        <w:t xml:space="preserve"> одн</w:t>
      </w:r>
      <w:r w:rsidR="00DC7CE3">
        <w:rPr>
          <w:rFonts w:ascii="Times New Roman" w:hAnsi="Times New Roman" w:cs="Times New Roman"/>
          <w:sz w:val="28"/>
          <w:szCs w:val="28"/>
          <w:lang w:val="kk-KZ"/>
        </w:rPr>
        <w:t>ого</w:t>
      </w:r>
      <w:r w:rsidR="00DC7CE3">
        <w:rPr>
          <w:rFonts w:ascii="Times New Roman" w:hAnsi="Times New Roman" w:cs="Times New Roman"/>
          <w:sz w:val="28"/>
          <w:szCs w:val="28"/>
        </w:rPr>
        <w:t xml:space="preserve"> нуклеотид</w:t>
      </w:r>
      <w:r w:rsidR="00DC7CE3">
        <w:rPr>
          <w:rFonts w:ascii="Times New Roman" w:hAnsi="Times New Roman" w:cs="Times New Roman"/>
          <w:sz w:val="28"/>
          <w:szCs w:val="28"/>
          <w:lang w:val="kk-KZ"/>
        </w:rPr>
        <w:t>а</w:t>
      </w:r>
      <w:r w:rsidR="00DC7CE3">
        <w:rPr>
          <w:rFonts w:ascii="Times New Roman" w:hAnsi="Times New Roman" w:cs="Times New Roman"/>
          <w:sz w:val="28"/>
          <w:szCs w:val="28"/>
        </w:rPr>
        <w:t xml:space="preserve"> (А, Т, G или С)</w:t>
      </w:r>
      <w:r>
        <w:rPr>
          <w:rFonts w:ascii="Times New Roman" w:hAnsi="Times New Roman" w:cs="Times New Roman"/>
          <w:sz w:val="28"/>
          <w:szCs w:val="28"/>
        </w:rPr>
        <w:t>.</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Отношение шансов</w:t>
      </w:r>
      <w:r>
        <w:rPr>
          <w:rFonts w:ascii="Times New Roman" w:hAnsi="Times New Roman" w:cs="Times New Roman"/>
          <w:sz w:val="28"/>
          <w:szCs w:val="28"/>
        </w:rPr>
        <w:t xml:space="preserve"> – (ОШ, англ. OR, odds</w:t>
      </w:r>
      <w:r w:rsidR="00B156F5">
        <w:rPr>
          <w:rFonts w:ascii="Times New Roman" w:hAnsi="Times New Roman" w:cs="Times New Roman"/>
          <w:sz w:val="28"/>
          <w:szCs w:val="28"/>
        </w:rPr>
        <w:t xml:space="preserve"> </w:t>
      </w:r>
      <w:r>
        <w:rPr>
          <w:rFonts w:ascii="Times New Roman" w:hAnsi="Times New Roman" w:cs="Times New Roman"/>
          <w:sz w:val="28"/>
          <w:szCs w:val="28"/>
        </w:rPr>
        <w:t>ratio) статистический показатель, позволяющий сравнивать частоту воздействия факторов риска в эпидемиологических исследованиях. Отношени</w:t>
      </w:r>
      <w:r w:rsidR="001A0E27">
        <w:rPr>
          <w:rFonts w:ascii="Times New Roman" w:hAnsi="Times New Roman" w:cs="Times New Roman"/>
          <w:sz w:val="28"/>
          <w:szCs w:val="28"/>
        </w:rPr>
        <w:t>е</w:t>
      </w:r>
      <w:r>
        <w:rPr>
          <w:rFonts w:ascii="Times New Roman" w:hAnsi="Times New Roman" w:cs="Times New Roman"/>
          <w:sz w:val="28"/>
          <w:szCs w:val="28"/>
        </w:rPr>
        <w:t xml:space="preserve"> шансов является </w:t>
      </w:r>
      <w:r>
        <w:rPr>
          <w:rFonts w:ascii="Times New Roman" w:hAnsi="Times New Roman" w:cs="Times New Roman"/>
          <w:sz w:val="28"/>
          <w:szCs w:val="28"/>
        </w:rPr>
        <w:lastRenderedPageBreak/>
        <w:t>ретроспективным сравнением влияния данного фактора риска на две группы лиц.</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Предиктор</w:t>
      </w:r>
      <w:r>
        <w:rPr>
          <w:rFonts w:ascii="Times New Roman" w:hAnsi="Times New Roman" w:cs="Times New Roman"/>
          <w:sz w:val="28"/>
          <w:szCs w:val="28"/>
        </w:rPr>
        <w:t xml:space="preserve"> – прогностический параметр; средство прогнозирования.</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Полиморфизмы</w:t>
      </w:r>
      <w:r>
        <w:rPr>
          <w:rFonts w:ascii="Times New Roman" w:hAnsi="Times New Roman" w:cs="Times New Roman"/>
          <w:sz w:val="28"/>
          <w:szCs w:val="28"/>
        </w:rPr>
        <w:t xml:space="preserve"> – </w:t>
      </w:r>
      <w:r w:rsidR="004B004E">
        <w:rPr>
          <w:rFonts w:ascii="Times New Roman" w:hAnsi="Times New Roman" w:cs="Times New Roman"/>
          <w:sz w:val="28"/>
          <w:szCs w:val="28"/>
        </w:rPr>
        <w:t>не меняющиеся в ходе жизни</w:t>
      </w:r>
      <w:r w:rsidR="00BA4D79">
        <w:rPr>
          <w:rFonts w:ascii="Times New Roman" w:hAnsi="Times New Roman" w:cs="Times New Roman"/>
          <w:sz w:val="28"/>
          <w:szCs w:val="28"/>
        </w:rPr>
        <w:t>,</w:t>
      </w:r>
      <w:r w:rsidR="006F3F97">
        <w:rPr>
          <w:rFonts w:ascii="Times New Roman" w:hAnsi="Times New Roman" w:cs="Times New Roman"/>
          <w:sz w:val="28"/>
          <w:szCs w:val="28"/>
        </w:rPr>
        <w:t xml:space="preserve"> </w:t>
      </w:r>
      <w:r>
        <w:rPr>
          <w:rFonts w:ascii="Times New Roman" w:hAnsi="Times New Roman" w:cs="Times New Roman"/>
          <w:sz w:val="28"/>
          <w:szCs w:val="28"/>
        </w:rPr>
        <w:t xml:space="preserve">наследуемые генетические варианты. </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Популяция</w:t>
      </w:r>
      <w:r>
        <w:rPr>
          <w:rFonts w:ascii="Times New Roman" w:hAnsi="Times New Roman" w:cs="Times New Roman"/>
          <w:sz w:val="28"/>
          <w:szCs w:val="28"/>
        </w:rPr>
        <w:t xml:space="preserve"> – совокупность организмов одного вида, длительное время обитающих на о</w:t>
      </w:r>
      <w:r w:rsidR="001A0E27">
        <w:rPr>
          <w:rFonts w:ascii="Times New Roman" w:hAnsi="Times New Roman" w:cs="Times New Roman"/>
          <w:sz w:val="28"/>
          <w:szCs w:val="28"/>
        </w:rPr>
        <w:t>д</w:t>
      </w:r>
      <w:r>
        <w:rPr>
          <w:rFonts w:ascii="Times New Roman" w:hAnsi="Times New Roman" w:cs="Times New Roman"/>
          <w:sz w:val="28"/>
          <w:szCs w:val="28"/>
        </w:rPr>
        <w:t>ной территории</w:t>
      </w:r>
      <w:r w:rsidR="004B004E">
        <w:rPr>
          <w:rFonts w:ascii="Times New Roman" w:hAnsi="Times New Roman" w:cs="Times New Roman"/>
          <w:sz w:val="28"/>
          <w:szCs w:val="28"/>
        </w:rPr>
        <w:t>.</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Секвенирование</w:t>
      </w:r>
      <w:r w:rsidR="0053468F">
        <w:rPr>
          <w:rFonts w:ascii="Times New Roman" w:hAnsi="Times New Roman" w:cs="Times New Roman"/>
          <w:b/>
          <w:sz w:val="28"/>
          <w:szCs w:val="28"/>
        </w:rPr>
        <w:t xml:space="preserve"> </w:t>
      </w:r>
      <w:r>
        <w:rPr>
          <w:rFonts w:ascii="Times New Roman" w:hAnsi="Times New Roman" w:cs="Times New Roman"/>
          <w:sz w:val="28"/>
          <w:szCs w:val="28"/>
        </w:rPr>
        <w:t>– метод, который позволяет установить последовательность нуклеотидов в молекуле ДНК.</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Статистическая значимость</w:t>
      </w:r>
      <w:r>
        <w:rPr>
          <w:rFonts w:ascii="Times New Roman" w:hAnsi="Times New Roman" w:cs="Times New Roman"/>
          <w:sz w:val="28"/>
          <w:szCs w:val="28"/>
        </w:rPr>
        <w:t xml:space="preserve"> – </w:t>
      </w:r>
      <w:r w:rsidR="002706AB">
        <w:rPr>
          <w:rFonts w:ascii="Times New Roman" w:hAnsi="Times New Roman" w:cs="Times New Roman"/>
          <w:sz w:val="28"/>
          <w:szCs w:val="28"/>
          <w:lang w:val="kk-KZ"/>
        </w:rPr>
        <w:t xml:space="preserve">это </w:t>
      </w:r>
      <w:r>
        <w:rPr>
          <w:rFonts w:ascii="Times New Roman" w:hAnsi="Times New Roman" w:cs="Times New Roman"/>
          <w:sz w:val="28"/>
          <w:szCs w:val="28"/>
        </w:rPr>
        <w:t>мера,</w:t>
      </w:r>
      <w:r w:rsidR="002706AB">
        <w:rPr>
          <w:rFonts w:ascii="Times New Roman" w:hAnsi="Times New Roman" w:cs="Times New Roman"/>
          <w:sz w:val="28"/>
          <w:szCs w:val="28"/>
          <w:lang w:val="kk-KZ"/>
        </w:rPr>
        <w:t xml:space="preserve"> которая</w:t>
      </w:r>
      <w:r>
        <w:rPr>
          <w:rFonts w:ascii="Times New Roman" w:hAnsi="Times New Roman" w:cs="Times New Roman"/>
          <w:sz w:val="28"/>
          <w:szCs w:val="28"/>
        </w:rPr>
        <w:t xml:space="preserve"> позволя</w:t>
      </w:r>
      <w:r w:rsidR="002706AB">
        <w:rPr>
          <w:rFonts w:ascii="Times New Roman" w:hAnsi="Times New Roman" w:cs="Times New Roman"/>
          <w:sz w:val="28"/>
          <w:szCs w:val="28"/>
          <w:lang w:val="kk-KZ"/>
        </w:rPr>
        <w:t>ет</w:t>
      </w:r>
      <w:r>
        <w:rPr>
          <w:rFonts w:ascii="Times New Roman" w:hAnsi="Times New Roman" w:cs="Times New Roman"/>
          <w:sz w:val="28"/>
          <w:szCs w:val="28"/>
        </w:rPr>
        <w:t xml:space="preserve"> оценить вероятность наблюдаемой между зависимыми и независимыми переменными справедливости нулевой гипотезы.</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Фактор риска</w:t>
      </w:r>
      <w:r>
        <w:rPr>
          <w:rFonts w:ascii="Times New Roman" w:hAnsi="Times New Roman" w:cs="Times New Roman"/>
          <w:sz w:val="28"/>
          <w:szCs w:val="28"/>
        </w:rPr>
        <w:t xml:space="preserve"> – обстоятельство</w:t>
      </w:r>
      <w:r w:rsidR="003955DC">
        <w:rPr>
          <w:rFonts w:ascii="Times New Roman" w:hAnsi="Times New Roman" w:cs="Times New Roman"/>
          <w:sz w:val="28"/>
          <w:szCs w:val="28"/>
        </w:rPr>
        <w:t>,</w:t>
      </w:r>
      <w:r>
        <w:rPr>
          <w:rFonts w:ascii="Times New Roman" w:hAnsi="Times New Roman" w:cs="Times New Roman"/>
          <w:sz w:val="28"/>
          <w:szCs w:val="28"/>
        </w:rPr>
        <w:t xml:space="preserve"> внешнее или внутреннее, отрицательно влияющее на здоровье человека и создающее благоприятную среду для возникновения и развития болезни.</w:t>
      </w:r>
    </w:p>
    <w:p w:rsidR="00AB12B3" w:rsidRDefault="00AB12B3" w:rsidP="001A0E27">
      <w:pPr>
        <w:spacing w:after="0" w:line="240" w:lineRule="auto"/>
        <w:ind w:firstLine="708"/>
        <w:jc w:val="both"/>
        <w:rPr>
          <w:rFonts w:ascii="Times New Roman" w:hAnsi="Times New Roman" w:cs="Times New Roman"/>
          <w:sz w:val="28"/>
          <w:szCs w:val="28"/>
        </w:rPr>
      </w:pPr>
      <w:r w:rsidRPr="001A0E27">
        <w:rPr>
          <w:rFonts w:ascii="Times New Roman" w:hAnsi="Times New Roman" w:cs="Times New Roman"/>
          <w:b/>
          <w:sz w:val="28"/>
          <w:szCs w:val="28"/>
        </w:rPr>
        <w:t>Хромосома</w:t>
      </w:r>
      <w:r>
        <w:rPr>
          <w:rFonts w:ascii="Times New Roman" w:hAnsi="Times New Roman" w:cs="Times New Roman"/>
          <w:sz w:val="28"/>
          <w:szCs w:val="28"/>
        </w:rPr>
        <w:t xml:space="preserve"> – структура, основу которой составляет конденсированная молекула ДНК: носитель генетической информации.</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AB12B3" w:rsidRDefault="00AB12B3" w:rsidP="00AB12B3">
      <w:pPr>
        <w:spacing w:after="0" w:line="240" w:lineRule="auto"/>
        <w:rPr>
          <w:rFonts w:ascii="Times New Roman" w:hAnsi="Times New Roman" w:cs="Times New Roman"/>
          <w:sz w:val="28"/>
          <w:szCs w:val="28"/>
        </w:rPr>
        <w:sectPr w:rsidR="00AB12B3">
          <w:pgSz w:w="11906" w:h="16838"/>
          <w:pgMar w:top="1134" w:right="850" w:bottom="1134" w:left="1701" w:header="708" w:footer="708" w:gutter="0"/>
          <w:cols w:space="720"/>
        </w:sectPr>
      </w:pPr>
    </w:p>
    <w:p w:rsidR="00AB12B3" w:rsidRDefault="00AB12B3" w:rsidP="00AB12B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ОБОЗНАЧЕНИЯ И СОКРАЩЕНИЯ</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187"/>
      </w:tblGrid>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 xml:space="preserve">АГ </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артериальная гипертензия</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АД</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артериальное давление</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апоА1</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аполипопротеин А1</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апоВ</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аполипопротеин В</w:t>
            </w:r>
          </w:p>
        </w:tc>
      </w:tr>
      <w:tr w:rsidR="008031D9" w:rsidTr="00E37B12">
        <w:tc>
          <w:tcPr>
            <w:tcW w:w="1384" w:type="dxa"/>
          </w:tcPr>
          <w:p w:rsidR="008031D9" w:rsidRDefault="008031D9" w:rsidP="00AB12B3">
            <w:pPr>
              <w:jc w:val="both"/>
              <w:rPr>
                <w:rFonts w:ascii="Times New Roman" w:hAnsi="Times New Roman"/>
                <w:sz w:val="28"/>
                <w:szCs w:val="28"/>
              </w:rPr>
            </w:pPr>
            <w:r>
              <w:rPr>
                <w:rFonts w:ascii="Times New Roman" w:hAnsi="Times New Roman"/>
                <w:sz w:val="28"/>
                <w:szCs w:val="28"/>
              </w:rPr>
              <w:t>апоЛП</w:t>
            </w:r>
          </w:p>
        </w:tc>
        <w:tc>
          <w:tcPr>
            <w:tcW w:w="8187" w:type="dxa"/>
          </w:tcPr>
          <w:p w:rsidR="008031D9" w:rsidRDefault="008031D9" w:rsidP="00AB12B3">
            <w:pPr>
              <w:jc w:val="both"/>
              <w:rPr>
                <w:rFonts w:ascii="Times New Roman" w:hAnsi="Times New Roman"/>
                <w:sz w:val="28"/>
                <w:szCs w:val="28"/>
              </w:rPr>
            </w:pPr>
            <w:r>
              <w:rPr>
                <w:rFonts w:ascii="Times New Roman" w:hAnsi="Times New Roman"/>
                <w:sz w:val="28"/>
                <w:szCs w:val="28"/>
              </w:rPr>
              <w:t>- аполипопротеины</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АССЗ</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атеросклеротические сердечно – сосудистые заболевания</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БСК</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болезни системы кровообращения</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ВОЗ</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Всемирная организация здравоохранения</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ГЛЖ</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гипертрофия левого желудочка</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ДАД</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диастолическое артериальное давление</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ДНК</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дезоксирибонуклеотидная кислота</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ДИ</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доверительный интервал</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ИБС</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ишемическая болезнь сердца</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ИМ</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инфаркт миокарда</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ИМТ</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индекс массы тела</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ИР</w:t>
            </w:r>
          </w:p>
        </w:tc>
        <w:tc>
          <w:tcPr>
            <w:tcW w:w="8187" w:type="dxa"/>
          </w:tcPr>
          <w:p w:rsidR="00D26917" w:rsidRDefault="00C6325F" w:rsidP="00AB12B3">
            <w:pPr>
              <w:jc w:val="both"/>
              <w:rPr>
                <w:rFonts w:ascii="Times New Roman" w:hAnsi="Times New Roman"/>
                <w:sz w:val="28"/>
                <w:szCs w:val="28"/>
              </w:rPr>
            </w:pPr>
            <w:r>
              <w:rPr>
                <w:rFonts w:ascii="Times New Roman" w:hAnsi="Times New Roman"/>
                <w:sz w:val="28"/>
                <w:szCs w:val="28"/>
              </w:rPr>
              <w:t>–</w:t>
            </w:r>
            <w:r w:rsidR="00D26917">
              <w:rPr>
                <w:rFonts w:ascii="Times New Roman" w:hAnsi="Times New Roman"/>
                <w:sz w:val="28"/>
                <w:szCs w:val="28"/>
              </w:rPr>
              <w:t xml:space="preserve"> инсулинорезистентность</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ЛП</w:t>
            </w:r>
          </w:p>
        </w:tc>
        <w:tc>
          <w:tcPr>
            <w:tcW w:w="8187" w:type="dxa"/>
          </w:tcPr>
          <w:p w:rsidR="00D26917" w:rsidRDefault="00C6325F" w:rsidP="00AB12B3">
            <w:pPr>
              <w:jc w:val="both"/>
              <w:rPr>
                <w:rFonts w:ascii="Times New Roman" w:hAnsi="Times New Roman"/>
                <w:sz w:val="28"/>
                <w:szCs w:val="28"/>
              </w:rPr>
            </w:pPr>
            <w:r>
              <w:rPr>
                <w:rFonts w:ascii="Times New Roman" w:hAnsi="Times New Roman"/>
                <w:sz w:val="28"/>
                <w:szCs w:val="28"/>
              </w:rPr>
              <w:t>–</w:t>
            </w:r>
            <w:r w:rsidR="00D26917">
              <w:rPr>
                <w:rFonts w:ascii="Times New Roman" w:hAnsi="Times New Roman"/>
                <w:sz w:val="28"/>
                <w:szCs w:val="28"/>
              </w:rPr>
              <w:t xml:space="preserve"> липопротеины</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ЛПВП</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липопротеины высокой плотности</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ЛПЛ</w:t>
            </w:r>
          </w:p>
        </w:tc>
        <w:tc>
          <w:tcPr>
            <w:tcW w:w="8187" w:type="dxa"/>
          </w:tcPr>
          <w:p w:rsidR="00D26917" w:rsidRDefault="00C6325F" w:rsidP="00AB12B3">
            <w:pPr>
              <w:jc w:val="both"/>
              <w:rPr>
                <w:rFonts w:ascii="Times New Roman" w:hAnsi="Times New Roman"/>
                <w:sz w:val="28"/>
                <w:szCs w:val="28"/>
              </w:rPr>
            </w:pPr>
            <w:r>
              <w:rPr>
                <w:rFonts w:ascii="Times New Roman" w:hAnsi="Times New Roman"/>
                <w:sz w:val="28"/>
                <w:szCs w:val="28"/>
              </w:rPr>
              <w:t>–</w:t>
            </w:r>
            <w:r w:rsidR="00D26917">
              <w:rPr>
                <w:rFonts w:ascii="Times New Roman" w:hAnsi="Times New Roman"/>
                <w:sz w:val="28"/>
                <w:szCs w:val="28"/>
              </w:rPr>
              <w:t xml:space="preserve"> липопротеинлипаза</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ЛПНП</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липопротеины низкой плотности</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ЛПОНП</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липопротеины очень низкой плотности</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МЕ</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международная единица</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МС</w:t>
            </w:r>
          </w:p>
        </w:tc>
        <w:tc>
          <w:tcPr>
            <w:tcW w:w="8187" w:type="dxa"/>
          </w:tcPr>
          <w:p w:rsidR="00D26917" w:rsidRDefault="00D26917" w:rsidP="00D26917">
            <w:pPr>
              <w:jc w:val="both"/>
              <w:rPr>
                <w:rFonts w:ascii="Times New Roman" w:hAnsi="Times New Roman"/>
                <w:sz w:val="28"/>
                <w:szCs w:val="28"/>
              </w:rPr>
            </w:pPr>
            <w:r>
              <w:rPr>
                <w:rFonts w:ascii="Times New Roman" w:hAnsi="Times New Roman"/>
                <w:sz w:val="28"/>
                <w:szCs w:val="28"/>
              </w:rPr>
              <w:t>– метаболический синдром</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МУС</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Медицинский университет Семей</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ОНМК</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острое нарушение мозгового кровообращения</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ОХС</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общий холестерин</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ОШ</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отношение шансов</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ПМСП</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первичная медико – санитарная помощь</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ПЦР</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полимеразная цепная реакция</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РААС</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ренин – ангиотензин – альдостероновая система</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РК</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Республика Казахстан</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САД</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систолическое артериальное давление</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СД</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сахарный диабет</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СКФ</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скорость клубочковой фильтрации</w:t>
            </w:r>
          </w:p>
        </w:tc>
      </w:tr>
      <w:tr w:rsidR="00D26917" w:rsidTr="00E37B12">
        <w:tc>
          <w:tcPr>
            <w:tcW w:w="1384" w:type="dxa"/>
          </w:tcPr>
          <w:p w:rsidR="00D26917" w:rsidRDefault="00D26917" w:rsidP="00AB12B3">
            <w:pPr>
              <w:jc w:val="both"/>
              <w:rPr>
                <w:rFonts w:ascii="Times New Roman" w:hAnsi="Times New Roman"/>
                <w:sz w:val="28"/>
                <w:szCs w:val="28"/>
              </w:rPr>
            </w:pPr>
            <w:r>
              <w:rPr>
                <w:rFonts w:ascii="Times New Roman" w:hAnsi="Times New Roman"/>
                <w:sz w:val="28"/>
                <w:szCs w:val="28"/>
              </w:rPr>
              <w:t>ССЗ</w:t>
            </w:r>
          </w:p>
        </w:tc>
        <w:tc>
          <w:tcPr>
            <w:tcW w:w="8187" w:type="dxa"/>
          </w:tcPr>
          <w:p w:rsidR="00D26917" w:rsidRDefault="00D26917" w:rsidP="00AB12B3">
            <w:pPr>
              <w:jc w:val="both"/>
              <w:rPr>
                <w:rFonts w:ascii="Times New Roman" w:hAnsi="Times New Roman"/>
                <w:sz w:val="28"/>
                <w:szCs w:val="28"/>
              </w:rPr>
            </w:pPr>
            <w:r>
              <w:rPr>
                <w:rFonts w:ascii="Times New Roman" w:hAnsi="Times New Roman"/>
                <w:sz w:val="28"/>
                <w:szCs w:val="28"/>
              </w:rPr>
              <w:t>– сердечно – сосудистые заболевания</w:t>
            </w:r>
          </w:p>
        </w:tc>
      </w:tr>
      <w:tr w:rsidR="00D26917" w:rsidTr="00E37B12">
        <w:tc>
          <w:tcPr>
            <w:tcW w:w="1384" w:type="dxa"/>
          </w:tcPr>
          <w:p w:rsidR="00D26917" w:rsidRDefault="00351BA4" w:rsidP="00AB12B3">
            <w:pPr>
              <w:jc w:val="both"/>
              <w:rPr>
                <w:rFonts w:ascii="Times New Roman" w:hAnsi="Times New Roman"/>
                <w:sz w:val="28"/>
                <w:szCs w:val="28"/>
              </w:rPr>
            </w:pPr>
            <w:r>
              <w:rPr>
                <w:rFonts w:ascii="Times New Roman" w:hAnsi="Times New Roman"/>
                <w:sz w:val="28"/>
                <w:szCs w:val="28"/>
              </w:rPr>
              <w:t>ССС</w:t>
            </w:r>
          </w:p>
        </w:tc>
        <w:tc>
          <w:tcPr>
            <w:tcW w:w="8187" w:type="dxa"/>
          </w:tcPr>
          <w:p w:rsidR="00D26917" w:rsidRDefault="00351BA4" w:rsidP="00AB12B3">
            <w:pPr>
              <w:jc w:val="both"/>
              <w:rPr>
                <w:rFonts w:ascii="Times New Roman" w:hAnsi="Times New Roman"/>
                <w:sz w:val="28"/>
                <w:szCs w:val="28"/>
              </w:rPr>
            </w:pPr>
            <w:r>
              <w:rPr>
                <w:rFonts w:ascii="Times New Roman" w:hAnsi="Times New Roman"/>
                <w:sz w:val="28"/>
                <w:szCs w:val="28"/>
              </w:rPr>
              <w:t>– сердечно – сосудистая система</w:t>
            </w:r>
          </w:p>
        </w:tc>
      </w:tr>
      <w:tr w:rsidR="00D26917" w:rsidTr="00E37B12">
        <w:tc>
          <w:tcPr>
            <w:tcW w:w="1384" w:type="dxa"/>
          </w:tcPr>
          <w:p w:rsidR="00D26917" w:rsidRDefault="00351BA4" w:rsidP="00AB12B3">
            <w:pPr>
              <w:jc w:val="both"/>
              <w:rPr>
                <w:rFonts w:ascii="Times New Roman" w:hAnsi="Times New Roman"/>
                <w:sz w:val="28"/>
                <w:szCs w:val="28"/>
              </w:rPr>
            </w:pPr>
            <w:r>
              <w:rPr>
                <w:rFonts w:ascii="Times New Roman" w:hAnsi="Times New Roman"/>
                <w:sz w:val="28"/>
                <w:szCs w:val="28"/>
              </w:rPr>
              <w:t>ССР</w:t>
            </w:r>
          </w:p>
        </w:tc>
        <w:tc>
          <w:tcPr>
            <w:tcW w:w="8187" w:type="dxa"/>
          </w:tcPr>
          <w:p w:rsidR="00D26917" w:rsidRDefault="00351BA4" w:rsidP="00AB12B3">
            <w:pPr>
              <w:jc w:val="both"/>
              <w:rPr>
                <w:rFonts w:ascii="Times New Roman" w:hAnsi="Times New Roman"/>
                <w:sz w:val="28"/>
                <w:szCs w:val="28"/>
              </w:rPr>
            </w:pPr>
            <w:r>
              <w:rPr>
                <w:rFonts w:ascii="Times New Roman" w:hAnsi="Times New Roman"/>
                <w:sz w:val="28"/>
                <w:szCs w:val="28"/>
              </w:rPr>
              <w:t>– сердечно – сосудистый риск</w:t>
            </w:r>
          </w:p>
        </w:tc>
      </w:tr>
      <w:tr w:rsidR="00D26917" w:rsidTr="00E37B12">
        <w:tc>
          <w:tcPr>
            <w:tcW w:w="1384" w:type="dxa"/>
          </w:tcPr>
          <w:p w:rsidR="00D26917" w:rsidRDefault="00351BA4" w:rsidP="00AB12B3">
            <w:pPr>
              <w:jc w:val="both"/>
              <w:rPr>
                <w:rFonts w:ascii="Times New Roman" w:hAnsi="Times New Roman"/>
                <w:sz w:val="28"/>
                <w:szCs w:val="28"/>
              </w:rPr>
            </w:pPr>
            <w:r>
              <w:rPr>
                <w:rFonts w:ascii="Times New Roman" w:hAnsi="Times New Roman"/>
                <w:sz w:val="28"/>
                <w:szCs w:val="28"/>
              </w:rPr>
              <w:t>ТГ</w:t>
            </w:r>
          </w:p>
        </w:tc>
        <w:tc>
          <w:tcPr>
            <w:tcW w:w="8187" w:type="dxa"/>
          </w:tcPr>
          <w:p w:rsidR="00D26917" w:rsidRDefault="000A5EC9" w:rsidP="00AB12B3">
            <w:pPr>
              <w:jc w:val="both"/>
              <w:rPr>
                <w:rFonts w:ascii="Times New Roman" w:hAnsi="Times New Roman"/>
                <w:sz w:val="28"/>
                <w:szCs w:val="28"/>
              </w:rPr>
            </w:pPr>
            <w:r>
              <w:rPr>
                <w:rFonts w:ascii="Times New Roman" w:hAnsi="Times New Roman"/>
                <w:sz w:val="28"/>
                <w:szCs w:val="28"/>
              </w:rPr>
              <w:t>–</w:t>
            </w:r>
            <w:r w:rsidR="00351BA4">
              <w:rPr>
                <w:rFonts w:ascii="Times New Roman" w:hAnsi="Times New Roman"/>
                <w:sz w:val="28"/>
                <w:szCs w:val="28"/>
              </w:rPr>
              <w:t xml:space="preserve"> триглицериды</w:t>
            </w:r>
          </w:p>
        </w:tc>
      </w:tr>
      <w:tr w:rsidR="00351BA4" w:rsidTr="00E37B12">
        <w:tc>
          <w:tcPr>
            <w:tcW w:w="1384" w:type="dxa"/>
          </w:tcPr>
          <w:p w:rsidR="00351BA4" w:rsidRDefault="00351BA4" w:rsidP="00AB12B3">
            <w:pPr>
              <w:jc w:val="both"/>
              <w:rPr>
                <w:rFonts w:ascii="Times New Roman" w:hAnsi="Times New Roman"/>
                <w:sz w:val="28"/>
                <w:szCs w:val="28"/>
              </w:rPr>
            </w:pPr>
            <w:r>
              <w:rPr>
                <w:rFonts w:ascii="Times New Roman" w:hAnsi="Times New Roman"/>
                <w:sz w:val="28"/>
                <w:szCs w:val="28"/>
              </w:rPr>
              <w:t>ХС</w:t>
            </w:r>
          </w:p>
        </w:tc>
        <w:tc>
          <w:tcPr>
            <w:tcW w:w="8187" w:type="dxa"/>
          </w:tcPr>
          <w:p w:rsidR="00351BA4" w:rsidRDefault="00351BA4" w:rsidP="00351BA4">
            <w:pPr>
              <w:jc w:val="both"/>
              <w:rPr>
                <w:rFonts w:ascii="Times New Roman" w:hAnsi="Times New Roman"/>
                <w:sz w:val="28"/>
                <w:szCs w:val="28"/>
              </w:rPr>
            </w:pPr>
            <w:r>
              <w:rPr>
                <w:rFonts w:ascii="Times New Roman" w:hAnsi="Times New Roman"/>
                <w:sz w:val="28"/>
                <w:szCs w:val="28"/>
              </w:rPr>
              <w:t>– холестерин</w:t>
            </w:r>
          </w:p>
        </w:tc>
      </w:tr>
      <w:tr w:rsidR="00351BA4" w:rsidTr="00E37B12">
        <w:tc>
          <w:tcPr>
            <w:tcW w:w="1384" w:type="dxa"/>
          </w:tcPr>
          <w:p w:rsidR="00351BA4" w:rsidRDefault="00351BA4" w:rsidP="00AB12B3">
            <w:pPr>
              <w:jc w:val="both"/>
              <w:rPr>
                <w:rFonts w:ascii="Times New Roman" w:hAnsi="Times New Roman"/>
                <w:sz w:val="28"/>
                <w:szCs w:val="28"/>
              </w:rPr>
            </w:pPr>
            <w:r>
              <w:rPr>
                <w:rFonts w:ascii="Times New Roman" w:hAnsi="Times New Roman"/>
                <w:sz w:val="28"/>
                <w:szCs w:val="28"/>
              </w:rPr>
              <w:t>ХБП</w:t>
            </w:r>
          </w:p>
        </w:tc>
        <w:tc>
          <w:tcPr>
            <w:tcW w:w="8187" w:type="dxa"/>
          </w:tcPr>
          <w:p w:rsidR="00351BA4" w:rsidRDefault="00351BA4" w:rsidP="00AB12B3">
            <w:pPr>
              <w:jc w:val="both"/>
              <w:rPr>
                <w:rFonts w:ascii="Times New Roman" w:hAnsi="Times New Roman"/>
                <w:sz w:val="28"/>
                <w:szCs w:val="28"/>
              </w:rPr>
            </w:pPr>
            <w:r>
              <w:rPr>
                <w:rFonts w:ascii="Times New Roman" w:hAnsi="Times New Roman"/>
                <w:sz w:val="28"/>
                <w:szCs w:val="28"/>
              </w:rPr>
              <w:t>– хроническая болезнь почек</w:t>
            </w:r>
          </w:p>
        </w:tc>
      </w:tr>
      <w:tr w:rsidR="00351BA4" w:rsidTr="00E37B12">
        <w:tc>
          <w:tcPr>
            <w:tcW w:w="1384" w:type="dxa"/>
          </w:tcPr>
          <w:p w:rsidR="00351BA4" w:rsidRDefault="00351BA4" w:rsidP="00AB12B3">
            <w:pPr>
              <w:jc w:val="both"/>
              <w:rPr>
                <w:rFonts w:ascii="Times New Roman" w:hAnsi="Times New Roman"/>
                <w:sz w:val="28"/>
                <w:szCs w:val="28"/>
              </w:rPr>
            </w:pPr>
            <w:r>
              <w:rPr>
                <w:rFonts w:ascii="Times New Roman" w:hAnsi="Times New Roman"/>
                <w:sz w:val="28"/>
                <w:szCs w:val="28"/>
              </w:rPr>
              <w:t>ЦНИЛ</w:t>
            </w:r>
          </w:p>
        </w:tc>
        <w:tc>
          <w:tcPr>
            <w:tcW w:w="8187" w:type="dxa"/>
          </w:tcPr>
          <w:p w:rsidR="00351BA4" w:rsidRDefault="00351BA4" w:rsidP="00AB12B3">
            <w:pPr>
              <w:jc w:val="both"/>
              <w:rPr>
                <w:rFonts w:ascii="Times New Roman" w:hAnsi="Times New Roman"/>
                <w:sz w:val="28"/>
                <w:szCs w:val="28"/>
              </w:rPr>
            </w:pPr>
            <w:r w:rsidRPr="004A05AA">
              <w:rPr>
                <w:rFonts w:ascii="Times New Roman" w:hAnsi="Times New Roman"/>
                <w:sz w:val="28"/>
                <w:szCs w:val="28"/>
              </w:rPr>
              <w:t>–</w:t>
            </w:r>
            <w:r>
              <w:rPr>
                <w:rFonts w:ascii="Times New Roman" w:hAnsi="Times New Roman"/>
                <w:sz w:val="28"/>
                <w:szCs w:val="28"/>
              </w:rPr>
              <w:t xml:space="preserve"> Центр научно</w:t>
            </w:r>
            <w:r w:rsidRPr="004A05AA">
              <w:rPr>
                <w:rFonts w:ascii="Times New Roman" w:hAnsi="Times New Roman"/>
                <w:sz w:val="28"/>
                <w:szCs w:val="28"/>
              </w:rPr>
              <w:t xml:space="preserve"> – </w:t>
            </w:r>
            <w:r>
              <w:rPr>
                <w:rFonts w:ascii="Times New Roman" w:hAnsi="Times New Roman"/>
                <w:sz w:val="28"/>
                <w:szCs w:val="28"/>
              </w:rPr>
              <w:t>исследовательской лаборатории</w:t>
            </w:r>
          </w:p>
        </w:tc>
      </w:tr>
      <w:tr w:rsidR="00351BA4" w:rsidRPr="002C6F1D" w:rsidTr="00E37B12">
        <w:tc>
          <w:tcPr>
            <w:tcW w:w="1384" w:type="dxa"/>
          </w:tcPr>
          <w:p w:rsidR="00351BA4" w:rsidRDefault="00351BA4" w:rsidP="00AB12B3">
            <w:pPr>
              <w:jc w:val="both"/>
              <w:rPr>
                <w:rFonts w:ascii="Times New Roman" w:hAnsi="Times New Roman"/>
                <w:sz w:val="28"/>
                <w:szCs w:val="28"/>
              </w:rPr>
            </w:pPr>
            <w:r w:rsidRPr="00AE4680">
              <w:rPr>
                <w:rFonts w:ascii="Times New Roman" w:hAnsi="Times New Roman"/>
                <w:sz w:val="28"/>
                <w:szCs w:val="28"/>
                <w:lang w:val="en-US"/>
              </w:rPr>
              <w:t>ACC</w:t>
            </w:r>
          </w:p>
        </w:tc>
        <w:tc>
          <w:tcPr>
            <w:tcW w:w="8187" w:type="dxa"/>
          </w:tcPr>
          <w:p w:rsidR="00351BA4" w:rsidRPr="00351BA4" w:rsidRDefault="00351BA4" w:rsidP="00AB12B3">
            <w:pPr>
              <w:jc w:val="both"/>
              <w:rPr>
                <w:rFonts w:ascii="Times New Roman" w:hAnsi="Times New Roman"/>
                <w:sz w:val="28"/>
                <w:szCs w:val="28"/>
                <w:lang w:val="en-US"/>
              </w:rPr>
            </w:pPr>
            <w:r w:rsidRPr="006F3F97">
              <w:rPr>
                <w:rFonts w:ascii="Times New Roman" w:hAnsi="Times New Roman"/>
                <w:sz w:val="28"/>
                <w:szCs w:val="28"/>
                <w:lang w:val="en-US"/>
              </w:rPr>
              <w:t xml:space="preserve">– </w:t>
            </w:r>
            <w:r w:rsidRPr="00AE4680">
              <w:rPr>
                <w:rFonts w:ascii="Times New Roman" w:hAnsi="Times New Roman"/>
                <w:sz w:val="28"/>
                <w:szCs w:val="28"/>
                <w:lang w:val="en-US"/>
              </w:rPr>
              <w:t>The</w:t>
            </w:r>
            <w:r w:rsidRPr="006F3F97">
              <w:rPr>
                <w:rFonts w:ascii="Times New Roman" w:hAnsi="Times New Roman"/>
                <w:sz w:val="28"/>
                <w:szCs w:val="28"/>
                <w:lang w:val="en-US"/>
              </w:rPr>
              <w:t xml:space="preserve"> </w:t>
            </w:r>
            <w:r w:rsidRPr="00AE4680">
              <w:rPr>
                <w:rFonts w:ascii="Times New Roman" w:hAnsi="Times New Roman"/>
                <w:sz w:val="28"/>
                <w:szCs w:val="28"/>
                <w:lang w:val="en-US"/>
              </w:rPr>
              <w:t>American</w:t>
            </w:r>
            <w:r w:rsidRPr="006F3F97">
              <w:rPr>
                <w:rFonts w:ascii="Times New Roman" w:hAnsi="Times New Roman"/>
                <w:sz w:val="28"/>
                <w:szCs w:val="28"/>
                <w:lang w:val="en-US"/>
              </w:rPr>
              <w:t xml:space="preserve"> </w:t>
            </w:r>
            <w:r w:rsidRPr="00AE4680">
              <w:rPr>
                <w:rFonts w:ascii="Times New Roman" w:hAnsi="Times New Roman"/>
                <w:sz w:val="28"/>
                <w:szCs w:val="28"/>
                <w:lang w:val="en-US"/>
              </w:rPr>
              <w:t>College</w:t>
            </w:r>
            <w:r w:rsidRPr="006F3F97">
              <w:rPr>
                <w:rFonts w:ascii="Times New Roman" w:hAnsi="Times New Roman"/>
                <w:sz w:val="28"/>
                <w:szCs w:val="28"/>
                <w:lang w:val="en-US"/>
              </w:rPr>
              <w:t xml:space="preserve"> </w:t>
            </w:r>
            <w:r w:rsidRPr="00AE4680">
              <w:rPr>
                <w:rFonts w:ascii="Times New Roman" w:hAnsi="Times New Roman"/>
                <w:sz w:val="28"/>
                <w:szCs w:val="28"/>
                <w:lang w:val="en-US"/>
              </w:rPr>
              <w:t>of</w:t>
            </w:r>
            <w:r w:rsidRPr="006F3F97">
              <w:rPr>
                <w:rFonts w:ascii="Times New Roman" w:hAnsi="Times New Roman"/>
                <w:sz w:val="28"/>
                <w:szCs w:val="28"/>
                <w:lang w:val="en-US"/>
              </w:rPr>
              <w:t xml:space="preserve"> </w:t>
            </w:r>
            <w:r w:rsidRPr="00AE4680">
              <w:rPr>
                <w:rFonts w:ascii="Times New Roman" w:hAnsi="Times New Roman"/>
                <w:sz w:val="28"/>
                <w:szCs w:val="28"/>
                <w:lang w:val="en-US"/>
              </w:rPr>
              <w:t>Cardiology</w:t>
            </w:r>
          </w:p>
        </w:tc>
      </w:tr>
      <w:tr w:rsidR="00834EFF" w:rsidRPr="00351BA4" w:rsidTr="00E37B12">
        <w:tc>
          <w:tcPr>
            <w:tcW w:w="1384" w:type="dxa"/>
          </w:tcPr>
          <w:p w:rsidR="00834EFF" w:rsidRPr="00AE4680" w:rsidRDefault="00834EFF" w:rsidP="00834EFF">
            <w:pPr>
              <w:jc w:val="both"/>
              <w:rPr>
                <w:rFonts w:ascii="Times New Roman" w:hAnsi="Times New Roman"/>
                <w:sz w:val="28"/>
                <w:szCs w:val="28"/>
                <w:lang w:val="en-US"/>
              </w:rPr>
            </w:pPr>
            <w:r>
              <w:rPr>
                <w:rFonts w:ascii="Times New Roman" w:hAnsi="Times New Roman"/>
                <w:sz w:val="28"/>
                <w:szCs w:val="28"/>
                <w:lang w:val="en-US"/>
              </w:rPr>
              <w:t>AHA</w:t>
            </w:r>
          </w:p>
        </w:tc>
        <w:tc>
          <w:tcPr>
            <w:tcW w:w="8187" w:type="dxa"/>
          </w:tcPr>
          <w:p w:rsidR="00834EFF" w:rsidRPr="006F3F97" w:rsidRDefault="00834EFF" w:rsidP="00834EFF">
            <w:pPr>
              <w:jc w:val="both"/>
              <w:rPr>
                <w:rFonts w:ascii="Times New Roman" w:hAnsi="Times New Roman"/>
                <w:sz w:val="28"/>
                <w:szCs w:val="28"/>
                <w:lang w:val="en-US"/>
              </w:rPr>
            </w:pPr>
            <w:r w:rsidRPr="006F3F97">
              <w:rPr>
                <w:rFonts w:ascii="Times New Roman" w:hAnsi="Times New Roman"/>
                <w:sz w:val="28"/>
                <w:szCs w:val="28"/>
                <w:lang w:val="en-US"/>
              </w:rPr>
              <w:t xml:space="preserve">– </w:t>
            </w:r>
            <w:r>
              <w:rPr>
                <w:rFonts w:ascii="Times New Roman" w:hAnsi="Times New Roman"/>
                <w:sz w:val="28"/>
                <w:szCs w:val="28"/>
                <w:lang w:val="en-US"/>
              </w:rPr>
              <w:t>The</w:t>
            </w:r>
            <w:r w:rsidRPr="006F3F97">
              <w:rPr>
                <w:rFonts w:ascii="Times New Roman" w:hAnsi="Times New Roman"/>
                <w:sz w:val="28"/>
                <w:szCs w:val="28"/>
                <w:lang w:val="en-US"/>
              </w:rPr>
              <w:t xml:space="preserve"> </w:t>
            </w:r>
            <w:r>
              <w:rPr>
                <w:rFonts w:ascii="Times New Roman" w:hAnsi="Times New Roman"/>
                <w:sz w:val="28"/>
                <w:szCs w:val="28"/>
                <w:lang w:val="en-US"/>
              </w:rPr>
              <w:t>American</w:t>
            </w:r>
            <w:r w:rsidRPr="006F3F97">
              <w:rPr>
                <w:rFonts w:ascii="Times New Roman" w:hAnsi="Times New Roman"/>
                <w:sz w:val="28"/>
                <w:szCs w:val="28"/>
                <w:lang w:val="en-US"/>
              </w:rPr>
              <w:t xml:space="preserve"> </w:t>
            </w:r>
            <w:r>
              <w:rPr>
                <w:rFonts w:ascii="Times New Roman" w:hAnsi="Times New Roman"/>
                <w:sz w:val="28"/>
                <w:szCs w:val="28"/>
                <w:lang w:val="en-US"/>
              </w:rPr>
              <w:t>Heart</w:t>
            </w:r>
            <w:r w:rsidRPr="006F3F97">
              <w:rPr>
                <w:rFonts w:ascii="Times New Roman" w:hAnsi="Times New Roman"/>
                <w:sz w:val="28"/>
                <w:szCs w:val="28"/>
                <w:lang w:val="en-US"/>
              </w:rPr>
              <w:t xml:space="preserve"> </w:t>
            </w:r>
            <w:r>
              <w:rPr>
                <w:rFonts w:ascii="Times New Roman" w:hAnsi="Times New Roman"/>
                <w:sz w:val="28"/>
                <w:szCs w:val="28"/>
                <w:lang w:val="en-US"/>
              </w:rPr>
              <w:t>Association</w:t>
            </w:r>
          </w:p>
        </w:tc>
      </w:tr>
      <w:tr w:rsidR="00834EFF" w:rsidRPr="00351BA4" w:rsidTr="00E37B12">
        <w:tc>
          <w:tcPr>
            <w:tcW w:w="1384" w:type="dxa"/>
          </w:tcPr>
          <w:p w:rsidR="00834EFF" w:rsidRDefault="00834EFF" w:rsidP="00834EFF">
            <w:pPr>
              <w:jc w:val="both"/>
              <w:rPr>
                <w:rFonts w:ascii="Times New Roman" w:hAnsi="Times New Roman"/>
                <w:sz w:val="28"/>
                <w:szCs w:val="28"/>
                <w:lang w:val="en-US"/>
              </w:rPr>
            </w:pPr>
            <w:r>
              <w:rPr>
                <w:rFonts w:ascii="Times New Roman" w:hAnsi="Times New Roman"/>
                <w:sz w:val="28"/>
                <w:szCs w:val="28"/>
                <w:lang w:val="en-US"/>
              </w:rPr>
              <w:t>ADRB</w:t>
            </w:r>
            <w:r w:rsidRPr="004A05AA">
              <w:rPr>
                <w:rFonts w:ascii="Times New Roman" w:hAnsi="Times New Roman"/>
                <w:sz w:val="28"/>
                <w:szCs w:val="28"/>
              </w:rPr>
              <w:t>2</w:t>
            </w:r>
          </w:p>
        </w:tc>
        <w:tc>
          <w:tcPr>
            <w:tcW w:w="8187" w:type="dxa"/>
          </w:tcPr>
          <w:p w:rsidR="00834EFF" w:rsidRPr="00351BA4" w:rsidRDefault="000A5EC9" w:rsidP="00834EFF">
            <w:pPr>
              <w:jc w:val="both"/>
              <w:rPr>
                <w:rFonts w:ascii="Times New Roman" w:hAnsi="Times New Roman"/>
                <w:sz w:val="28"/>
                <w:szCs w:val="28"/>
              </w:rPr>
            </w:pPr>
            <w:r>
              <w:rPr>
                <w:rFonts w:ascii="Times New Roman" w:hAnsi="Times New Roman"/>
                <w:sz w:val="28"/>
                <w:szCs w:val="28"/>
              </w:rPr>
              <w:t>–</w:t>
            </w:r>
            <w:r w:rsidR="00834EFF" w:rsidRPr="004A05AA">
              <w:rPr>
                <w:rFonts w:ascii="Times New Roman" w:hAnsi="Times New Roman"/>
                <w:sz w:val="28"/>
                <w:szCs w:val="28"/>
              </w:rPr>
              <w:t xml:space="preserve"> </w:t>
            </w:r>
            <w:r w:rsidR="00834EFF">
              <w:rPr>
                <w:rFonts w:ascii="Times New Roman" w:hAnsi="Times New Roman"/>
                <w:sz w:val="28"/>
                <w:szCs w:val="28"/>
              </w:rPr>
              <w:t>β</w:t>
            </w:r>
            <w:r w:rsidR="00834EFF" w:rsidRPr="004A05AA">
              <w:rPr>
                <w:rFonts w:ascii="Times New Roman" w:hAnsi="Times New Roman"/>
                <w:sz w:val="28"/>
                <w:szCs w:val="28"/>
              </w:rPr>
              <w:t xml:space="preserve">2 – </w:t>
            </w:r>
            <w:r w:rsidR="00834EFF">
              <w:rPr>
                <w:rFonts w:ascii="Times New Roman" w:hAnsi="Times New Roman"/>
                <w:sz w:val="28"/>
                <w:szCs w:val="28"/>
              </w:rPr>
              <w:t>адренорецептор</w:t>
            </w:r>
          </w:p>
        </w:tc>
      </w:tr>
      <w:tr w:rsidR="00351BA4" w:rsidTr="00E37B12">
        <w:tc>
          <w:tcPr>
            <w:tcW w:w="1384" w:type="dxa"/>
          </w:tcPr>
          <w:p w:rsidR="00351BA4" w:rsidRDefault="00351BA4" w:rsidP="00351BA4">
            <w:pPr>
              <w:jc w:val="both"/>
              <w:rPr>
                <w:rFonts w:ascii="Times New Roman" w:hAnsi="Times New Roman"/>
                <w:sz w:val="28"/>
                <w:szCs w:val="28"/>
                <w:lang w:val="en-US"/>
              </w:rPr>
            </w:pPr>
            <w:r>
              <w:rPr>
                <w:rFonts w:ascii="Times New Roman" w:hAnsi="Times New Roman"/>
                <w:sz w:val="28"/>
                <w:szCs w:val="28"/>
                <w:lang w:val="en-US"/>
              </w:rPr>
              <w:lastRenderedPageBreak/>
              <w:t>AGT</w:t>
            </w:r>
          </w:p>
        </w:tc>
        <w:tc>
          <w:tcPr>
            <w:tcW w:w="8187" w:type="dxa"/>
          </w:tcPr>
          <w:p w:rsidR="00351BA4" w:rsidRPr="00351BA4" w:rsidRDefault="00351BA4" w:rsidP="00351BA4">
            <w:pPr>
              <w:jc w:val="both"/>
              <w:rPr>
                <w:rFonts w:ascii="Times New Roman" w:hAnsi="Times New Roman"/>
                <w:sz w:val="28"/>
                <w:szCs w:val="28"/>
              </w:rPr>
            </w:pPr>
            <w:r w:rsidRPr="004A05AA">
              <w:rPr>
                <w:rFonts w:ascii="Times New Roman" w:hAnsi="Times New Roman"/>
                <w:sz w:val="28"/>
                <w:szCs w:val="28"/>
              </w:rPr>
              <w:t>–</w:t>
            </w:r>
            <w:r>
              <w:rPr>
                <w:rFonts w:ascii="Times New Roman" w:hAnsi="Times New Roman"/>
                <w:sz w:val="28"/>
                <w:szCs w:val="28"/>
              </w:rPr>
              <w:t xml:space="preserve"> синтез ангиотензиногена</w:t>
            </w:r>
          </w:p>
        </w:tc>
      </w:tr>
      <w:tr w:rsidR="00351BA4" w:rsidRPr="00351BA4" w:rsidTr="00E37B12">
        <w:tc>
          <w:tcPr>
            <w:tcW w:w="1384" w:type="dxa"/>
          </w:tcPr>
          <w:p w:rsidR="00351BA4" w:rsidRDefault="00351BA4" w:rsidP="00351BA4">
            <w:pPr>
              <w:jc w:val="both"/>
              <w:rPr>
                <w:rFonts w:ascii="Times New Roman" w:hAnsi="Times New Roman"/>
                <w:sz w:val="28"/>
                <w:szCs w:val="28"/>
                <w:lang w:val="en-US"/>
              </w:rPr>
            </w:pPr>
            <w:r>
              <w:rPr>
                <w:rFonts w:ascii="Times New Roman" w:hAnsi="Times New Roman"/>
                <w:sz w:val="28"/>
                <w:szCs w:val="28"/>
                <w:lang w:val="en-US"/>
              </w:rPr>
              <w:t>AGTR</w:t>
            </w:r>
            <w:r w:rsidRPr="00351BA4">
              <w:rPr>
                <w:rFonts w:ascii="Times New Roman" w:hAnsi="Times New Roman"/>
                <w:sz w:val="28"/>
                <w:szCs w:val="28"/>
                <w:lang w:val="en-US"/>
              </w:rPr>
              <w:t>1</w:t>
            </w:r>
          </w:p>
        </w:tc>
        <w:tc>
          <w:tcPr>
            <w:tcW w:w="8187" w:type="dxa"/>
          </w:tcPr>
          <w:p w:rsidR="00351BA4" w:rsidRPr="00351BA4" w:rsidRDefault="00351BA4" w:rsidP="00351BA4">
            <w:pPr>
              <w:jc w:val="both"/>
              <w:rPr>
                <w:rFonts w:ascii="Times New Roman" w:hAnsi="Times New Roman"/>
                <w:sz w:val="28"/>
                <w:szCs w:val="28"/>
              </w:rPr>
            </w:pPr>
            <w:r w:rsidRPr="00351BA4">
              <w:rPr>
                <w:rFonts w:ascii="Times New Roman" w:hAnsi="Times New Roman"/>
                <w:sz w:val="28"/>
                <w:szCs w:val="28"/>
              </w:rPr>
              <w:t>–</w:t>
            </w:r>
            <w:r>
              <w:rPr>
                <w:rFonts w:ascii="Times New Roman" w:hAnsi="Times New Roman"/>
                <w:sz w:val="28"/>
                <w:szCs w:val="28"/>
              </w:rPr>
              <w:t xml:space="preserve"> рецептор</w:t>
            </w:r>
            <w:r w:rsidRPr="00351BA4">
              <w:rPr>
                <w:rFonts w:ascii="Times New Roman" w:hAnsi="Times New Roman"/>
                <w:sz w:val="28"/>
                <w:szCs w:val="28"/>
              </w:rPr>
              <w:t xml:space="preserve"> </w:t>
            </w:r>
            <w:r>
              <w:rPr>
                <w:rFonts w:ascii="Times New Roman" w:hAnsi="Times New Roman"/>
                <w:sz w:val="28"/>
                <w:szCs w:val="28"/>
              </w:rPr>
              <w:t>І</w:t>
            </w:r>
            <w:r w:rsidRPr="00351BA4">
              <w:rPr>
                <w:rFonts w:ascii="Times New Roman" w:hAnsi="Times New Roman"/>
                <w:sz w:val="28"/>
                <w:szCs w:val="28"/>
              </w:rPr>
              <w:t xml:space="preserve"> </w:t>
            </w:r>
            <w:r>
              <w:rPr>
                <w:rFonts w:ascii="Times New Roman" w:hAnsi="Times New Roman"/>
                <w:sz w:val="28"/>
                <w:szCs w:val="28"/>
              </w:rPr>
              <w:t>типа</w:t>
            </w:r>
            <w:r w:rsidRPr="00351BA4">
              <w:rPr>
                <w:rFonts w:ascii="Times New Roman" w:hAnsi="Times New Roman"/>
                <w:sz w:val="28"/>
                <w:szCs w:val="28"/>
              </w:rPr>
              <w:t xml:space="preserve"> </w:t>
            </w:r>
            <w:r>
              <w:rPr>
                <w:rFonts w:ascii="Times New Roman" w:hAnsi="Times New Roman"/>
                <w:sz w:val="28"/>
                <w:szCs w:val="28"/>
              </w:rPr>
              <w:t>ангиотензина</w:t>
            </w:r>
            <w:r w:rsidRPr="00351BA4">
              <w:rPr>
                <w:rFonts w:ascii="Times New Roman" w:hAnsi="Times New Roman"/>
                <w:sz w:val="28"/>
                <w:szCs w:val="28"/>
              </w:rPr>
              <w:t xml:space="preserve"> </w:t>
            </w:r>
            <w:r>
              <w:rPr>
                <w:rFonts w:ascii="Times New Roman" w:hAnsi="Times New Roman"/>
                <w:sz w:val="28"/>
                <w:szCs w:val="28"/>
              </w:rPr>
              <w:t>ІІ</w:t>
            </w:r>
          </w:p>
        </w:tc>
      </w:tr>
      <w:tr w:rsidR="00351BA4" w:rsidRPr="00351BA4" w:rsidTr="00E37B12">
        <w:tc>
          <w:tcPr>
            <w:tcW w:w="1384" w:type="dxa"/>
          </w:tcPr>
          <w:p w:rsidR="00351BA4" w:rsidRPr="00351BA4" w:rsidRDefault="00351BA4" w:rsidP="00351BA4">
            <w:pPr>
              <w:jc w:val="both"/>
              <w:rPr>
                <w:rFonts w:ascii="Times New Roman" w:hAnsi="Times New Roman"/>
                <w:sz w:val="28"/>
                <w:szCs w:val="28"/>
              </w:rPr>
            </w:pPr>
            <w:r>
              <w:rPr>
                <w:rFonts w:ascii="Times New Roman" w:hAnsi="Times New Roman"/>
                <w:sz w:val="28"/>
                <w:szCs w:val="28"/>
                <w:lang w:val="en-US"/>
              </w:rPr>
              <w:t>ATPIII</w:t>
            </w:r>
          </w:p>
        </w:tc>
        <w:tc>
          <w:tcPr>
            <w:tcW w:w="8187" w:type="dxa"/>
          </w:tcPr>
          <w:p w:rsidR="00351BA4" w:rsidRPr="00351BA4" w:rsidRDefault="000A5EC9" w:rsidP="00351BA4">
            <w:pPr>
              <w:jc w:val="both"/>
              <w:rPr>
                <w:rFonts w:ascii="Times New Roman" w:hAnsi="Times New Roman"/>
                <w:sz w:val="28"/>
                <w:szCs w:val="28"/>
                <w:lang w:val="en-US"/>
              </w:rPr>
            </w:pPr>
            <w:r>
              <w:rPr>
                <w:rFonts w:ascii="Times New Roman" w:hAnsi="Times New Roman"/>
                <w:sz w:val="28"/>
                <w:szCs w:val="28"/>
              </w:rPr>
              <w:t>–</w:t>
            </w:r>
            <w:r w:rsidR="00351BA4">
              <w:rPr>
                <w:rFonts w:ascii="Times New Roman" w:hAnsi="Times New Roman"/>
                <w:sz w:val="28"/>
                <w:szCs w:val="28"/>
                <w:lang w:val="en-US"/>
              </w:rPr>
              <w:t xml:space="preserve"> Adult Treatment Panel III</w:t>
            </w:r>
          </w:p>
        </w:tc>
      </w:tr>
      <w:tr w:rsidR="00351BA4" w:rsidRPr="00351BA4" w:rsidTr="00E37B12">
        <w:tc>
          <w:tcPr>
            <w:tcW w:w="1384" w:type="dxa"/>
          </w:tcPr>
          <w:p w:rsidR="00351BA4" w:rsidRPr="00351BA4" w:rsidRDefault="00351BA4" w:rsidP="00351BA4">
            <w:pPr>
              <w:jc w:val="both"/>
              <w:rPr>
                <w:rFonts w:ascii="Times New Roman" w:hAnsi="Times New Roman"/>
                <w:sz w:val="28"/>
                <w:szCs w:val="28"/>
              </w:rPr>
            </w:pPr>
            <w:r w:rsidRPr="000F6BFB">
              <w:rPr>
                <w:rFonts w:ascii="Times New Roman" w:hAnsi="Times New Roman"/>
                <w:noProof/>
                <w:sz w:val="28"/>
                <w:szCs w:val="24"/>
                <w:lang w:val="en-US"/>
              </w:rPr>
              <w:t>CCS</w:t>
            </w:r>
          </w:p>
        </w:tc>
        <w:tc>
          <w:tcPr>
            <w:tcW w:w="8187" w:type="dxa"/>
          </w:tcPr>
          <w:p w:rsidR="00351BA4" w:rsidRPr="00351BA4" w:rsidRDefault="000A5EC9" w:rsidP="00351BA4">
            <w:pPr>
              <w:jc w:val="both"/>
              <w:rPr>
                <w:rFonts w:ascii="Times New Roman" w:hAnsi="Times New Roman"/>
                <w:sz w:val="28"/>
                <w:szCs w:val="28"/>
              </w:rPr>
            </w:pPr>
            <w:r>
              <w:rPr>
                <w:rFonts w:ascii="Times New Roman" w:hAnsi="Times New Roman"/>
                <w:sz w:val="28"/>
                <w:szCs w:val="28"/>
              </w:rPr>
              <w:t>–</w:t>
            </w:r>
            <w:r w:rsidR="00351BA4" w:rsidRPr="000F6BFB">
              <w:rPr>
                <w:rFonts w:ascii="Times New Roman" w:hAnsi="Times New Roman"/>
                <w:noProof/>
                <w:sz w:val="28"/>
                <w:szCs w:val="24"/>
                <w:lang w:val="en-US"/>
              </w:rPr>
              <w:t xml:space="preserve"> Canadian Cardiovascular Society</w:t>
            </w:r>
          </w:p>
        </w:tc>
      </w:tr>
      <w:tr w:rsidR="00351BA4" w:rsidRPr="00351BA4" w:rsidTr="00E37B12">
        <w:tc>
          <w:tcPr>
            <w:tcW w:w="1384" w:type="dxa"/>
          </w:tcPr>
          <w:p w:rsidR="00351BA4" w:rsidRPr="00351BA4" w:rsidRDefault="00351BA4" w:rsidP="00351BA4">
            <w:pPr>
              <w:jc w:val="both"/>
              <w:rPr>
                <w:rFonts w:ascii="Times New Roman" w:hAnsi="Times New Roman"/>
                <w:sz w:val="28"/>
                <w:szCs w:val="28"/>
              </w:rPr>
            </w:pPr>
            <w:r w:rsidRPr="000F6BFB">
              <w:rPr>
                <w:rFonts w:ascii="Times New Roman" w:hAnsi="Times New Roman"/>
                <w:noProof/>
                <w:sz w:val="28"/>
                <w:szCs w:val="24"/>
                <w:lang w:val="en-US"/>
              </w:rPr>
              <w:t>CDA</w:t>
            </w:r>
          </w:p>
        </w:tc>
        <w:tc>
          <w:tcPr>
            <w:tcW w:w="8187" w:type="dxa"/>
          </w:tcPr>
          <w:p w:rsidR="00351BA4" w:rsidRPr="00351BA4" w:rsidRDefault="000A5EC9" w:rsidP="00351BA4">
            <w:pPr>
              <w:jc w:val="both"/>
              <w:rPr>
                <w:rFonts w:ascii="Times New Roman" w:hAnsi="Times New Roman"/>
                <w:sz w:val="28"/>
                <w:szCs w:val="28"/>
              </w:rPr>
            </w:pPr>
            <w:r>
              <w:rPr>
                <w:rFonts w:ascii="Times New Roman" w:hAnsi="Times New Roman"/>
                <w:sz w:val="28"/>
                <w:szCs w:val="28"/>
              </w:rPr>
              <w:t>–</w:t>
            </w:r>
            <w:r w:rsidR="00351BA4" w:rsidRPr="000F6BFB">
              <w:rPr>
                <w:rFonts w:ascii="Times New Roman" w:hAnsi="Times New Roman"/>
                <w:noProof/>
                <w:sz w:val="28"/>
                <w:szCs w:val="24"/>
                <w:lang w:val="en-US"/>
              </w:rPr>
              <w:t xml:space="preserve"> Canadian Diabetes Association</w:t>
            </w:r>
          </w:p>
        </w:tc>
      </w:tr>
      <w:tr w:rsidR="00351BA4" w:rsidRPr="002C6F1D" w:rsidTr="00E37B12">
        <w:tc>
          <w:tcPr>
            <w:tcW w:w="1384" w:type="dxa"/>
          </w:tcPr>
          <w:p w:rsidR="00351BA4" w:rsidRPr="00351BA4" w:rsidRDefault="00351BA4" w:rsidP="00351BA4">
            <w:pPr>
              <w:jc w:val="both"/>
              <w:rPr>
                <w:rFonts w:ascii="Times New Roman" w:hAnsi="Times New Roman"/>
                <w:sz w:val="28"/>
                <w:szCs w:val="28"/>
              </w:rPr>
            </w:pPr>
            <w:r>
              <w:rPr>
                <w:rFonts w:ascii="Times New Roman" w:hAnsi="Times New Roman"/>
                <w:sz w:val="28"/>
                <w:szCs w:val="28"/>
                <w:lang w:val="en-US"/>
              </w:rPr>
              <w:t>CLEM</w:t>
            </w:r>
          </w:p>
        </w:tc>
        <w:tc>
          <w:tcPr>
            <w:tcW w:w="8187" w:type="dxa"/>
          </w:tcPr>
          <w:p w:rsidR="00351BA4" w:rsidRPr="00351BA4" w:rsidRDefault="000A5EC9" w:rsidP="00351BA4">
            <w:pPr>
              <w:jc w:val="both"/>
              <w:rPr>
                <w:rFonts w:ascii="Times New Roman" w:hAnsi="Times New Roman"/>
                <w:sz w:val="28"/>
                <w:szCs w:val="28"/>
                <w:lang w:val="en-US"/>
              </w:rPr>
            </w:pPr>
            <w:r w:rsidRPr="000A5EC9">
              <w:rPr>
                <w:rFonts w:ascii="Times New Roman" w:hAnsi="Times New Roman"/>
                <w:sz w:val="28"/>
                <w:szCs w:val="28"/>
                <w:lang w:val="en-US"/>
              </w:rPr>
              <w:t>–</w:t>
            </w:r>
            <w:r w:rsidR="00351BA4">
              <w:rPr>
                <w:rFonts w:ascii="Times New Roman" w:hAnsi="Times New Roman"/>
                <w:sz w:val="28"/>
                <w:szCs w:val="28"/>
                <w:lang w:val="en-US"/>
              </w:rPr>
              <w:t xml:space="preserve"> The Cardiovascular Life Expectancy Model</w:t>
            </w:r>
          </w:p>
        </w:tc>
      </w:tr>
      <w:tr w:rsidR="00351BA4" w:rsidRPr="00351BA4" w:rsidTr="00E37B12">
        <w:tc>
          <w:tcPr>
            <w:tcW w:w="1384" w:type="dxa"/>
          </w:tcPr>
          <w:p w:rsidR="00351BA4" w:rsidRDefault="00351BA4" w:rsidP="00351BA4">
            <w:pPr>
              <w:jc w:val="both"/>
              <w:rPr>
                <w:rFonts w:ascii="Times New Roman" w:hAnsi="Times New Roman"/>
                <w:sz w:val="28"/>
                <w:szCs w:val="28"/>
                <w:lang w:val="en-US"/>
              </w:rPr>
            </w:pPr>
            <w:r>
              <w:rPr>
                <w:rFonts w:ascii="Times New Roman" w:hAnsi="Times New Roman"/>
                <w:sz w:val="28"/>
                <w:szCs w:val="28"/>
                <w:lang w:val="en-US"/>
              </w:rPr>
              <w:t>EAS</w:t>
            </w:r>
          </w:p>
        </w:tc>
        <w:tc>
          <w:tcPr>
            <w:tcW w:w="8187" w:type="dxa"/>
          </w:tcPr>
          <w:p w:rsidR="00351BA4" w:rsidRDefault="000A5EC9" w:rsidP="00351BA4">
            <w:pPr>
              <w:jc w:val="both"/>
              <w:rPr>
                <w:rFonts w:ascii="Times New Roman" w:hAnsi="Times New Roman"/>
                <w:sz w:val="28"/>
                <w:szCs w:val="28"/>
                <w:lang w:val="en-US"/>
              </w:rPr>
            </w:pPr>
            <w:r>
              <w:rPr>
                <w:rFonts w:ascii="Times New Roman" w:hAnsi="Times New Roman"/>
                <w:sz w:val="28"/>
                <w:szCs w:val="28"/>
              </w:rPr>
              <w:t>–</w:t>
            </w:r>
            <w:r w:rsidR="00351BA4">
              <w:rPr>
                <w:rFonts w:ascii="Times New Roman" w:hAnsi="Times New Roman"/>
                <w:sz w:val="28"/>
                <w:szCs w:val="28"/>
                <w:lang w:val="en-US"/>
              </w:rPr>
              <w:t xml:space="preserve"> The European</w:t>
            </w:r>
            <w:r w:rsidR="00351BA4">
              <w:rPr>
                <w:rFonts w:ascii="Times New Roman" w:hAnsi="Times New Roman"/>
                <w:sz w:val="28"/>
                <w:szCs w:val="28"/>
              </w:rPr>
              <w:t xml:space="preserve"> </w:t>
            </w:r>
            <w:r w:rsidR="00351BA4">
              <w:rPr>
                <w:rFonts w:ascii="Times New Roman" w:hAnsi="Times New Roman"/>
                <w:sz w:val="28"/>
                <w:szCs w:val="28"/>
                <w:lang w:val="en-US"/>
              </w:rPr>
              <w:t>Atherosclerosis Society</w:t>
            </w:r>
          </w:p>
        </w:tc>
      </w:tr>
      <w:tr w:rsidR="00351BA4" w:rsidRPr="002C6F1D" w:rsidTr="00E37B12">
        <w:tc>
          <w:tcPr>
            <w:tcW w:w="1384" w:type="dxa"/>
          </w:tcPr>
          <w:p w:rsidR="00351BA4" w:rsidRDefault="002B0180" w:rsidP="00351BA4">
            <w:pPr>
              <w:jc w:val="both"/>
              <w:rPr>
                <w:rFonts w:ascii="Times New Roman" w:hAnsi="Times New Roman"/>
                <w:sz w:val="28"/>
                <w:szCs w:val="28"/>
                <w:lang w:val="en-US"/>
              </w:rPr>
            </w:pPr>
            <w:r w:rsidRPr="00517B9B">
              <w:rPr>
                <w:rFonts w:ascii="Times New Roman" w:hAnsi="Times New Roman"/>
                <w:sz w:val="28"/>
                <w:szCs w:val="28"/>
                <w:lang w:val="en-US"/>
              </w:rPr>
              <w:t>EF</w:t>
            </w:r>
          </w:p>
        </w:tc>
        <w:tc>
          <w:tcPr>
            <w:tcW w:w="8187" w:type="dxa"/>
          </w:tcPr>
          <w:p w:rsidR="00351BA4" w:rsidRDefault="002B0180" w:rsidP="00351BA4">
            <w:pPr>
              <w:jc w:val="both"/>
              <w:rPr>
                <w:rFonts w:ascii="Times New Roman" w:hAnsi="Times New Roman"/>
                <w:sz w:val="28"/>
                <w:szCs w:val="28"/>
                <w:lang w:val="en-US"/>
              </w:rPr>
            </w:pPr>
            <w:r>
              <w:rPr>
                <w:rFonts w:ascii="Times New Roman" w:hAnsi="Times New Roman"/>
                <w:sz w:val="28"/>
                <w:szCs w:val="28"/>
                <w:lang w:val="en-US"/>
              </w:rPr>
              <w:t>–</w:t>
            </w:r>
            <w:r w:rsidRPr="002B0180">
              <w:rPr>
                <w:rFonts w:ascii="Times New Roman" w:hAnsi="Times New Roman"/>
                <w:sz w:val="28"/>
                <w:szCs w:val="28"/>
                <w:lang w:val="en-US"/>
              </w:rPr>
              <w:t xml:space="preserve"> </w:t>
            </w:r>
            <w:r w:rsidRPr="0020566D">
              <w:rPr>
                <w:rFonts w:ascii="Times New Roman" w:hAnsi="Times New Roman"/>
                <w:sz w:val="28"/>
                <w:szCs w:val="28"/>
                <w:lang w:val="en-US"/>
              </w:rPr>
              <w:t>European</w:t>
            </w:r>
            <w:r w:rsidRPr="006F3F97">
              <w:rPr>
                <w:rFonts w:ascii="Times New Roman" w:hAnsi="Times New Roman"/>
                <w:sz w:val="28"/>
                <w:szCs w:val="28"/>
                <w:lang w:val="en-US"/>
              </w:rPr>
              <w:t xml:space="preserve"> </w:t>
            </w:r>
            <w:r w:rsidRPr="0020566D">
              <w:rPr>
                <w:rFonts w:ascii="Times New Roman" w:hAnsi="Times New Roman"/>
                <w:sz w:val="28"/>
                <w:szCs w:val="28"/>
                <w:lang w:val="en-US"/>
              </w:rPr>
              <w:t>Federation</w:t>
            </w:r>
            <w:r w:rsidRPr="006F3F97">
              <w:rPr>
                <w:rFonts w:ascii="Times New Roman" w:hAnsi="Times New Roman"/>
                <w:sz w:val="28"/>
                <w:szCs w:val="28"/>
                <w:lang w:val="en-US"/>
              </w:rPr>
              <w:t xml:space="preserve"> </w:t>
            </w:r>
            <w:r w:rsidRPr="0020566D">
              <w:rPr>
                <w:rFonts w:ascii="Times New Roman" w:hAnsi="Times New Roman"/>
                <w:sz w:val="28"/>
                <w:szCs w:val="28"/>
                <w:lang w:val="en-US"/>
              </w:rPr>
              <w:t>of</w:t>
            </w:r>
            <w:r w:rsidRPr="006F3F97">
              <w:rPr>
                <w:rFonts w:ascii="Times New Roman" w:hAnsi="Times New Roman"/>
                <w:sz w:val="28"/>
                <w:szCs w:val="28"/>
                <w:lang w:val="en-US"/>
              </w:rPr>
              <w:t xml:space="preserve"> </w:t>
            </w:r>
            <w:r w:rsidRPr="0020566D">
              <w:rPr>
                <w:rFonts w:ascii="Times New Roman" w:hAnsi="Times New Roman"/>
                <w:sz w:val="28"/>
                <w:szCs w:val="28"/>
                <w:lang w:val="en-US"/>
              </w:rPr>
              <w:t>Clinical</w:t>
            </w:r>
            <w:r w:rsidRPr="006F3F97">
              <w:rPr>
                <w:rFonts w:ascii="Times New Roman" w:hAnsi="Times New Roman"/>
                <w:sz w:val="28"/>
                <w:szCs w:val="28"/>
                <w:lang w:val="en-US"/>
              </w:rPr>
              <w:t xml:space="preserve"> </w:t>
            </w:r>
            <w:r w:rsidRPr="0020566D">
              <w:rPr>
                <w:rFonts w:ascii="Times New Roman" w:hAnsi="Times New Roman"/>
                <w:sz w:val="28"/>
                <w:szCs w:val="28"/>
                <w:lang w:val="en-US"/>
              </w:rPr>
              <w:t>Chemistry</w:t>
            </w:r>
            <w:r w:rsidRPr="006F3F97">
              <w:rPr>
                <w:rFonts w:ascii="Times New Roman" w:hAnsi="Times New Roman"/>
                <w:sz w:val="28"/>
                <w:szCs w:val="28"/>
                <w:lang w:val="en-US"/>
              </w:rPr>
              <w:t xml:space="preserve"> </w:t>
            </w:r>
            <w:r w:rsidRPr="0020566D">
              <w:rPr>
                <w:rFonts w:ascii="Times New Roman" w:hAnsi="Times New Roman"/>
                <w:sz w:val="28"/>
                <w:szCs w:val="28"/>
                <w:lang w:val="en-US"/>
              </w:rPr>
              <w:t>and</w:t>
            </w:r>
            <w:r w:rsidRPr="006F3F97">
              <w:rPr>
                <w:rFonts w:ascii="Times New Roman" w:hAnsi="Times New Roman"/>
                <w:sz w:val="28"/>
                <w:szCs w:val="28"/>
                <w:lang w:val="en-US"/>
              </w:rPr>
              <w:t xml:space="preserve"> </w:t>
            </w:r>
            <w:r w:rsidRPr="0020566D">
              <w:rPr>
                <w:rFonts w:ascii="Times New Roman" w:hAnsi="Times New Roman"/>
                <w:sz w:val="28"/>
                <w:szCs w:val="28"/>
                <w:lang w:val="en-US"/>
              </w:rPr>
              <w:t>Laboratory</w:t>
            </w:r>
            <w:r w:rsidRPr="006F3F97">
              <w:rPr>
                <w:rFonts w:ascii="Times New Roman" w:hAnsi="Times New Roman"/>
                <w:sz w:val="28"/>
                <w:szCs w:val="28"/>
                <w:lang w:val="en-US"/>
              </w:rPr>
              <w:t xml:space="preserve"> </w:t>
            </w:r>
            <w:r w:rsidRPr="0020566D">
              <w:rPr>
                <w:rFonts w:ascii="Times New Roman" w:hAnsi="Times New Roman"/>
                <w:sz w:val="28"/>
                <w:szCs w:val="28"/>
                <w:lang w:val="en-US"/>
              </w:rPr>
              <w:t>Medicine</w:t>
            </w:r>
          </w:p>
        </w:tc>
      </w:tr>
      <w:tr w:rsidR="00351BA4" w:rsidRPr="002C6F1D" w:rsidTr="00E37B12">
        <w:tc>
          <w:tcPr>
            <w:tcW w:w="1384" w:type="dxa"/>
          </w:tcPr>
          <w:p w:rsidR="00351BA4" w:rsidRDefault="002B0180" w:rsidP="00351BA4">
            <w:pPr>
              <w:jc w:val="both"/>
              <w:rPr>
                <w:rFonts w:ascii="Times New Roman" w:hAnsi="Times New Roman"/>
                <w:sz w:val="28"/>
                <w:szCs w:val="28"/>
                <w:lang w:val="en-US"/>
              </w:rPr>
            </w:pPr>
            <w:r w:rsidRPr="00517B9B">
              <w:rPr>
                <w:rFonts w:ascii="Times New Roman" w:hAnsi="Times New Roman"/>
                <w:sz w:val="28"/>
                <w:szCs w:val="28"/>
                <w:lang w:val="en-US"/>
              </w:rPr>
              <w:t>ESC</w:t>
            </w:r>
          </w:p>
        </w:tc>
        <w:tc>
          <w:tcPr>
            <w:tcW w:w="8187" w:type="dxa"/>
          </w:tcPr>
          <w:p w:rsidR="00351BA4" w:rsidRDefault="002B0180" w:rsidP="00351BA4">
            <w:pPr>
              <w:jc w:val="both"/>
              <w:rPr>
                <w:rFonts w:ascii="Times New Roman" w:hAnsi="Times New Roman"/>
                <w:sz w:val="28"/>
                <w:szCs w:val="28"/>
                <w:lang w:val="en-US"/>
              </w:rPr>
            </w:pPr>
            <w:r w:rsidRPr="00517B9B">
              <w:rPr>
                <w:rFonts w:ascii="Times New Roman" w:hAnsi="Times New Roman"/>
                <w:sz w:val="28"/>
                <w:szCs w:val="28"/>
                <w:lang w:val="en-US"/>
              </w:rPr>
              <w:t xml:space="preserve">– The </w:t>
            </w:r>
            <w:r>
              <w:rPr>
                <w:rFonts w:ascii="Times New Roman" w:hAnsi="Times New Roman"/>
                <w:sz w:val="28"/>
                <w:szCs w:val="28"/>
                <w:lang w:val="en-US"/>
              </w:rPr>
              <w:t>European Society of Cardiology</w:t>
            </w:r>
          </w:p>
        </w:tc>
      </w:tr>
      <w:tr w:rsidR="00351BA4" w:rsidRPr="002C6F1D" w:rsidTr="00E37B12">
        <w:tc>
          <w:tcPr>
            <w:tcW w:w="1384" w:type="dxa"/>
          </w:tcPr>
          <w:p w:rsidR="00351BA4" w:rsidRDefault="002B0180" w:rsidP="00351BA4">
            <w:pPr>
              <w:jc w:val="both"/>
              <w:rPr>
                <w:rFonts w:ascii="Times New Roman" w:hAnsi="Times New Roman"/>
                <w:sz w:val="28"/>
                <w:szCs w:val="28"/>
                <w:lang w:val="en-US"/>
              </w:rPr>
            </w:pPr>
            <w:r>
              <w:rPr>
                <w:rFonts w:ascii="Times New Roman" w:hAnsi="Times New Roman"/>
                <w:sz w:val="28"/>
                <w:szCs w:val="28"/>
                <w:lang w:val="en-US"/>
              </w:rPr>
              <w:t>ESH</w:t>
            </w:r>
          </w:p>
        </w:tc>
        <w:tc>
          <w:tcPr>
            <w:tcW w:w="8187" w:type="dxa"/>
          </w:tcPr>
          <w:p w:rsidR="00351BA4" w:rsidRDefault="000A5EC9" w:rsidP="00351BA4">
            <w:pPr>
              <w:jc w:val="both"/>
              <w:rPr>
                <w:rFonts w:ascii="Times New Roman" w:hAnsi="Times New Roman"/>
                <w:sz w:val="28"/>
                <w:szCs w:val="28"/>
                <w:lang w:val="en-US"/>
              </w:rPr>
            </w:pPr>
            <w:r w:rsidRPr="000A5EC9">
              <w:rPr>
                <w:rFonts w:ascii="Times New Roman" w:hAnsi="Times New Roman"/>
                <w:sz w:val="28"/>
                <w:szCs w:val="28"/>
                <w:lang w:val="en-US"/>
              </w:rPr>
              <w:t>–</w:t>
            </w:r>
            <w:r w:rsidR="002B0180">
              <w:rPr>
                <w:rFonts w:ascii="Times New Roman" w:hAnsi="Times New Roman"/>
                <w:sz w:val="28"/>
                <w:szCs w:val="28"/>
                <w:lang w:val="en-US"/>
              </w:rPr>
              <w:t xml:space="preserve"> The European Society of Hypertension</w:t>
            </w:r>
          </w:p>
        </w:tc>
      </w:tr>
      <w:tr w:rsidR="00351BA4" w:rsidRPr="002C6F1D" w:rsidTr="00E37B12">
        <w:tc>
          <w:tcPr>
            <w:tcW w:w="1384" w:type="dxa"/>
          </w:tcPr>
          <w:p w:rsidR="00351BA4" w:rsidRDefault="002B0180" w:rsidP="00351BA4">
            <w:pPr>
              <w:jc w:val="both"/>
              <w:rPr>
                <w:rFonts w:ascii="Times New Roman" w:hAnsi="Times New Roman"/>
                <w:sz w:val="28"/>
                <w:szCs w:val="28"/>
                <w:lang w:val="en-US"/>
              </w:rPr>
            </w:pPr>
            <w:r>
              <w:rPr>
                <w:rFonts w:ascii="Times New Roman" w:hAnsi="Times New Roman"/>
                <w:sz w:val="28"/>
                <w:szCs w:val="28"/>
                <w:lang w:val="en-US"/>
              </w:rPr>
              <w:t>FRS</w:t>
            </w:r>
          </w:p>
        </w:tc>
        <w:tc>
          <w:tcPr>
            <w:tcW w:w="8187" w:type="dxa"/>
          </w:tcPr>
          <w:p w:rsidR="00351BA4" w:rsidRDefault="002B0180" w:rsidP="00351BA4">
            <w:pPr>
              <w:jc w:val="both"/>
              <w:rPr>
                <w:rFonts w:ascii="Times New Roman" w:hAnsi="Times New Roman"/>
                <w:sz w:val="28"/>
                <w:szCs w:val="28"/>
                <w:lang w:val="en-US"/>
              </w:rPr>
            </w:pPr>
            <w:r>
              <w:rPr>
                <w:rFonts w:ascii="Times New Roman" w:hAnsi="Times New Roman"/>
                <w:sz w:val="28"/>
                <w:szCs w:val="28"/>
                <w:lang w:val="en-US"/>
              </w:rPr>
              <w:t>–</w:t>
            </w:r>
            <w:r w:rsidRPr="002B0180">
              <w:rPr>
                <w:rFonts w:ascii="Times New Roman" w:hAnsi="Times New Roman"/>
                <w:sz w:val="28"/>
                <w:szCs w:val="28"/>
                <w:lang w:val="en-US"/>
              </w:rPr>
              <w:t xml:space="preserve"> </w:t>
            </w:r>
            <w:r>
              <w:rPr>
                <w:rFonts w:ascii="Times New Roman" w:hAnsi="Times New Roman"/>
                <w:sz w:val="28"/>
                <w:szCs w:val="28"/>
                <w:lang w:val="en-US"/>
              </w:rPr>
              <w:t>The</w:t>
            </w:r>
            <w:r w:rsidRPr="006F3F97">
              <w:rPr>
                <w:rFonts w:ascii="Times New Roman" w:hAnsi="Times New Roman"/>
                <w:sz w:val="28"/>
                <w:szCs w:val="28"/>
                <w:lang w:val="en-US"/>
              </w:rPr>
              <w:t xml:space="preserve"> </w:t>
            </w:r>
            <w:r>
              <w:rPr>
                <w:rFonts w:ascii="Times New Roman" w:hAnsi="Times New Roman"/>
                <w:sz w:val="28"/>
                <w:szCs w:val="28"/>
                <w:lang w:val="en-US"/>
              </w:rPr>
              <w:t>Framingham</w:t>
            </w:r>
            <w:r w:rsidRPr="006F3F97">
              <w:rPr>
                <w:rFonts w:ascii="Times New Roman" w:hAnsi="Times New Roman"/>
                <w:sz w:val="28"/>
                <w:szCs w:val="28"/>
                <w:lang w:val="en-US"/>
              </w:rPr>
              <w:t xml:space="preserve"> </w:t>
            </w:r>
            <w:r>
              <w:rPr>
                <w:rFonts w:ascii="Times New Roman" w:hAnsi="Times New Roman"/>
                <w:sz w:val="28"/>
                <w:szCs w:val="28"/>
                <w:lang w:val="en-US"/>
              </w:rPr>
              <w:t>Heart</w:t>
            </w:r>
            <w:r w:rsidRPr="006F3F97">
              <w:rPr>
                <w:rFonts w:ascii="Times New Roman" w:hAnsi="Times New Roman"/>
                <w:sz w:val="28"/>
                <w:szCs w:val="28"/>
                <w:lang w:val="en-US"/>
              </w:rPr>
              <w:t xml:space="preserve"> </w:t>
            </w:r>
            <w:r>
              <w:rPr>
                <w:rFonts w:ascii="Times New Roman" w:hAnsi="Times New Roman"/>
                <w:sz w:val="28"/>
                <w:szCs w:val="28"/>
                <w:lang w:val="en-US"/>
              </w:rPr>
              <w:t>Study</w:t>
            </w:r>
            <w:r w:rsidRPr="006F3F97">
              <w:rPr>
                <w:rFonts w:ascii="Times New Roman" w:hAnsi="Times New Roman"/>
                <w:sz w:val="28"/>
                <w:szCs w:val="28"/>
                <w:lang w:val="en-US"/>
              </w:rPr>
              <w:t xml:space="preserve"> </w:t>
            </w:r>
            <w:r>
              <w:rPr>
                <w:rFonts w:ascii="Times New Roman" w:hAnsi="Times New Roman"/>
                <w:sz w:val="28"/>
                <w:szCs w:val="28"/>
                <w:lang w:val="en-US"/>
              </w:rPr>
              <w:t>Risk</w:t>
            </w:r>
            <w:r w:rsidRPr="006F3F97">
              <w:rPr>
                <w:rFonts w:ascii="Times New Roman" w:hAnsi="Times New Roman"/>
                <w:sz w:val="28"/>
                <w:szCs w:val="28"/>
                <w:lang w:val="en-US"/>
              </w:rPr>
              <w:t xml:space="preserve"> </w:t>
            </w:r>
            <w:r>
              <w:rPr>
                <w:rFonts w:ascii="Times New Roman" w:hAnsi="Times New Roman"/>
                <w:sz w:val="28"/>
                <w:szCs w:val="28"/>
                <w:lang w:val="en-US"/>
              </w:rPr>
              <w:t>Score</w:t>
            </w:r>
          </w:p>
        </w:tc>
      </w:tr>
      <w:tr w:rsidR="00351BA4" w:rsidRPr="00351BA4" w:rsidTr="00E37B12">
        <w:tc>
          <w:tcPr>
            <w:tcW w:w="1384" w:type="dxa"/>
          </w:tcPr>
          <w:p w:rsidR="00351BA4" w:rsidRDefault="002B0180" w:rsidP="00351BA4">
            <w:pPr>
              <w:jc w:val="both"/>
              <w:rPr>
                <w:rFonts w:ascii="Times New Roman" w:hAnsi="Times New Roman"/>
                <w:sz w:val="28"/>
                <w:szCs w:val="28"/>
                <w:lang w:val="en-US"/>
              </w:rPr>
            </w:pPr>
            <w:r>
              <w:rPr>
                <w:rFonts w:ascii="Times New Roman" w:hAnsi="Times New Roman"/>
                <w:sz w:val="28"/>
                <w:szCs w:val="28"/>
                <w:lang w:val="en-US"/>
              </w:rPr>
              <w:t>GAD</w:t>
            </w:r>
          </w:p>
        </w:tc>
        <w:tc>
          <w:tcPr>
            <w:tcW w:w="8187" w:type="dxa"/>
          </w:tcPr>
          <w:p w:rsidR="00351BA4" w:rsidRDefault="002B0180" w:rsidP="00351BA4">
            <w:pPr>
              <w:jc w:val="both"/>
              <w:rPr>
                <w:rFonts w:ascii="Times New Roman" w:hAnsi="Times New Roman"/>
                <w:sz w:val="28"/>
                <w:szCs w:val="28"/>
                <w:lang w:val="en-US"/>
              </w:rPr>
            </w:pPr>
            <w:r w:rsidRPr="00772589">
              <w:rPr>
                <w:rFonts w:ascii="Times New Roman" w:hAnsi="Times New Roman"/>
                <w:sz w:val="28"/>
                <w:szCs w:val="28"/>
                <w:lang w:val="en-US"/>
              </w:rPr>
              <w:t xml:space="preserve">– </w:t>
            </w:r>
            <w:r>
              <w:rPr>
                <w:rFonts w:ascii="Times New Roman" w:hAnsi="Times New Roman"/>
                <w:sz w:val="28"/>
                <w:szCs w:val="28"/>
                <w:lang w:val="en-US"/>
              </w:rPr>
              <w:t>The</w:t>
            </w:r>
            <w:r w:rsidRPr="006F3F97">
              <w:rPr>
                <w:rFonts w:ascii="Times New Roman" w:hAnsi="Times New Roman"/>
                <w:sz w:val="28"/>
                <w:szCs w:val="28"/>
                <w:lang w:val="en-US"/>
              </w:rPr>
              <w:t xml:space="preserve"> </w:t>
            </w:r>
            <w:r>
              <w:rPr>
                <w:rFonts w:ascii="Times New Roman" w:hAnsi="Times New Roman"/>
                <w:sz w:val="28"/>
                <w:szCs w:val="28"/>
                <w:lang w:val="en-US"/>
              </w:rPr>
              <w:t>Genetic</w:t>
            </w:r>
            <w:r w:rsidRPr="006F3F97">
              <w:rPr>
                <w:rFonts w:ascii="Times New Roman" w:hAnsi="Times New Roman"/>
                <w:sz w:val="28"/>
                <w:szCs w:val="28"/>
                <w:lang w:val="en-US"/>
              </w:rPr>
              <w:t xml:space="preserve"> </w:t>
            </w:r>
            <w:r>
              <w:rPr>
                <w:rFonts w:ascii="Times New Roman" w:hAnsi="Times New Roman"/>
                <w:sz w:val="28"/>
                <w:szCs w:val="28"/>
                <w:lang w:val="en-US"/>
              </w:rPr>
              <w:t>Association</w:t>
            </w:r>
            <w:r w:rsidRPr="006F3F97">
              <w:rPr>
                <w:rFonts w:ascii="Times New Roman" w:hAnsi="Times New Roman"/>
                <w:sz w:val="28"/>
                <w:szCs w:val="28"/>
                <w:lang w:val="en-US"/>
              </w:rPr>
              <w:t xml:space="preserve"> </w:t>
            </w:r>
            <w:r>
              <w:rPr>
                <w:rFonts w:ascii="Times New Roman" w:hAnsi="Times New Roman"/>
                <w:sz w:val="28"/>
                <w:szCs w:val="28"/>
                <w:lang w:val="en-US"/>
              </w:rPr>
              <w:t>Database</w:t>
            </w:r>
          </w:p>
        </w:tc>
      </w:tr>
      <w:tr w:rsidR="00351BA4" w:rsidRPr="00351BA4" w:rsidTr="00E37B12">
        <w:tc>
          <w:tcPr>
            <w:tcW w:w="1384" w:type="dxa"/>
          </w:tcPr>
          <w:p w:rsidR="00351BA4" w:rsidRDefault="002B0180" w:rsidP="00351BA4">
            <w:pPr>
              <w:jc w:val="both"/>
              <w:rPr>
                <w:rFonts w:ascii="Times New Roman" w:hAnsi="Times New Roman"/>
                <w:sz w:val="28"/>
                <w:szCs w:val="28"/>
                <w:lang w:val="en-US"/>
              </w:rPr>
            </w:pPr>
            <w:r w:rsidRPr="00E84E4D">
              <w:rPr>
                <w:rFonts w:ascii="Times New Roman" w:hAnsi="Times New Roman"/>
                <w:sz w:val="28"/>
                <w:szCs w:val="28"/>
                <w:lang w:val="en-US"/>
              </w:rPr>
              <w:t>GWAS</w:t>
            </w:r>
          </w:p>
        </w:tc>
        <w:tc>
          <w:tcPr>
            <w:tcW w:w="8187" w:type="dxa"/>
          </w:tcPr>
          <w:p w:rsidR="00351BA4" w:rsidRDefault="002B0180" w:rsidP="00351BA4">
            <w:pPr>
              <w:jc w:val="both"/>
              <w:rPr>
                <w:rFonts w:ascii="Times New Roman" w:hAnsi="Times New Roman"/>
                <w:sz w:val="28"/>
                <w:szCs w:val="28"/>
                <w:lang w:val="en-US"/>
              </w:rPr>
            </w:pPr>
            <w:r w:rsidRPr="00E84E4D">
              <w:rPr>
                <w:rFonts w:ascii="Times New Roman" w:hAnsi="Times New Roman"/>
                <w:sz w:val="28"/>
                <w:szCs w:val="28"/>
                <w:lang w:val="en-US"/>
              </w:rPr>
              <w:t>– Genome</w:t>
            </w:r>
            <w:r>
              <w:rPr>
                <w:rFonts w:ascii="Times New Roman" w:hAnsi="Times New Roman"/>
                <w:sz w:val="28"/>
                <w:szCs w:val="28"/>
              </w:rPr>
              <w:t xml:space="preserve"> </w:t>
            </w:r>
            <w:r>
              <w:rPr>
                <w:rFonts w:ascii="Times New Roman" w:hAnsi="Times New Roman"/>
                <w:sz w:val="28"/>
                <w:szCs w:val="28"/>
                <w:lang w:val="en-US"/>
              </w:rPr>
              <w:t>–</w:t>
            </w:r>
            <w:r>
              <w:rPr>
                <w:rFonts w:ascii="Times New Roman" w:hAnsi="Times New Roman"/>
                <w:sz w:val="28"/>
                <w:szCs w:val="28"/>
              </w:rPr>
              <w:t xml:space="preserve"> </w:t>
            </w:r>
            <w:r w:rsidRPr="00E84E4D">
              <w:rPr>
                <w:rFonts w:ascii="Times New Roman" w:hAnsi="Times New Roman"/>
                <w:sz w:val="28"/>
                <w:szCs w:val="28"/>
                <w:lang w:val="en-US"/>
              </w:rPr>
              <w:t>Wide</w:t>
            </w:r>
            <w:r>
              <w:rPr>
                <w:rFonts w:ascii="Times New Roman" w:hAnsi="Times New Roman"/>
                <w:sz w:val="28"/>
                <w:szCs w:val="28"/>
              </w:rPr>
              <w:t xml:space="preserve"> </w:t>
            </w:r>
            <w:r w:rsidRPr="00E84E4D">
              <w:rPr>
                <w:rFonts w:ascii="Times New Roman" w:hAnsi="Times New Roman"/>
                <w:sz w:val="28"/>
                <w:szCs w:val="28"/>
                <w:lang w:val="en-US"/>
              </w:rPr>
              <w:t>Assosiation</w:t>
            </w:r>
            <w:r>
              <w:rPr>
                <w:rFonts w:ascii="Times New Roman" w:hAnsi="Times New Roman"/>
                <w:sz w:val="28"/>
                <w:szCs w:val="28"/>
              </w:rPr>
              <w:t xml:space="preserve"> </w:t>
            </w:r>
            <w:r w:rsidRPr="00E84E4D">
              <w:rPr>
                <w:rFonts w:ascii="Times New Roman" w:hAnsi="Times New Roman"/>
                <w:sz w:val="28"/>
                <w:szCs w:val="28"/>
                <w:lang w:val="en-US"/>
              </w:rPr>
              <w:t>Studies</w:t>
            </w:r>
          </w:p>
        </w:tc>
      </w:tr>
      <w:tr w:rsidR="00351BA4" w:rsidRPr="00351BA4" w:rsidTr="00E37B12">
        <w:tc>
          <w:tcPr>
            <w:tcW w:w="1384" w:type="dxa"/>
          </w:tcPr>
          <w:p w:rsidR="00351BA4" w:rsidRDefault="008D584B" w:rsidP="00351BA4">
            <w:pPr>
              <w:jc w:val="both"/>
              <w:rPr>
                <w:rFonts w:ascii="Times New Roman" w:hAnsi="Times New Roman"/>
                <w:sz w:val="28"/>
                <w:szCs w:val="28"/>
                <w:lang w:val="en-US"/>
              </w:rPr>
            </w:pPr>
            <w:r>
              <w:rPr>
                <w:rFonts w:ascii="Times New Roman" w:hAnsi="Times New Roman"/>
                <w:sz w:val="28"/>
                <w:szCs w:val="28"/>
                <w:lang w:val="en-US"/>
              </w:rPr>
              <w:t>IDF</w:t>
            </w:r>
          </w:p>
        </w:tc>
        <w:tc>
          <w:tcPr>
            <w:tcW w:w="8187" w:type="dxa"/>
          </w:tcPr>
          <w:p w:rsidR="00351BA4" w:rsidRDefault="008D584B" w:rsidP="00351BA4">
            <w:pPr>
              <w:jc w:val="both"/>
              <w:rPr>
                <w:rFonts w:ascii="Times New Roman" w:hAnsi="Times New Roman"/>
                <w:sz w:val="28"/>
                <w:szCs w:val="28"/>
                <w:lang w:val="en-US"/>
              </w:rPr>
            </w:pPr>
            <w:r w:rsidRPr="00E84E4D">
              <w:rPr>
                <w:rFonts w:ascii="Times New Roman" w:hAnsi="Times New Roman"/>
                <w:sz w:val="28"/>
                <w:szCs w:val="28"/>
                <w:lang w:val="en-US"/>
              </w:rPr>
              <w:t xml:space="preserve">– </w:t>
            </w:r>
            <w:r>
              <w:rPr>
                <w:rFonts w:ascii="Times New Roman" w:hAnsi="Times New Roman"/>
                <w:sz w:val="28"/>
                <w:szCs w:val="28"/>
                <w:lang w:val="en-US"/>
              </w:rPr>
              <w:t>International</w:t>
            </w:r>
            <w:r>
              <w:rPr>
                <w:rFonts w:ascii="Times New Roman" w:hAnsi="Times New Roman"/>
                <w:sz w:val="28"/>
                <w:szCs w:val="28"/>
              </w:rPr>
              <w:t xml:space="preserve"> </w:t>
            </w:r>
            <w:r>
              <w:rPr>
                <w:rFonts w:ascii="Times New Roman" w:hAnsi="Times New Roman"/>
                <w:sz w:val="28"/>
                <w:szCs w:val="28"/>
                <w:lang w:val="en-US"/>
              </w:rPr>
              <w:t>Diabetes</w:t>
            </w:r>
            <w:r>
              <w:rPr>
                <w:rFonts w:ascii="Times New Roman" w:hAnsi="Times New Roman"/>
                <w:sz w:val="28"/>
                <w:szCs w:val="28"/>
              </w:rPr>
              <w:t xml:space="preserve"> </w:t>
            </w:r>
            <w:r>
              <w:rPr>
                <w:rFonts w:ascii="Times New Roman" w:hAnsi="Times New Roman"/>
                <w:sz w:val="28"/>
                <w:szCs w:val="28"/>
                <w:lang w:val="en-US"/>
              </w:rPr>
              <w:t>Federation</w:t>
            </w:r>
          </w:p>
        </w:tc>
      </w:tr>
      <w:tr w:rsidR="00351BA4" w:rsidRPr="00351BA4" w:rsidTr="00E37B12">
        <w:tc>
          <w:tcPr>
            <w:tcW w:w="1384" w:type="dxa"/>
          </w:tcPr>
          <w:p w:rsidR="00351BA4" w:rsidRDefault="008D584B" w:rsidP="00351BA4">
            <w:pPr>
              <w:jc w:val="both"/>
              <w:rPr>
                <w:rFonts w:ascii="Times New Roman" w:hAnsi="Times New Roman"/>
                <w:sz w:val="28"/>
                <w:szCs w:val="28"/>
                <w:lang w:val="en-US"/>
              </w:rPr>
            </w:pPr>
            <w:r>
              <w:rPr>
                <w:rFonts w:ascii="Times New Roman" w:hAnsi="Times New Roman"/>
                <w:sz w:val="28"/>
                <w:szCs w:val="28"/>
                <w:lang w:val="en-US"/>
              </w:rPr>
              <w:t>LPL</w:t>
            </w:r>
          </w:p>
        </w:tc>
        <w:tc>
          <w:tcPr>
            <w:tcW w:w="8187" w:type="dxa"/>
          </w:tcPr>
          <w:p w:rsidR="0049014B" w:rsidRPr="0049014B" w:rsidRDefault="000A5EC9" w:rsidP="00351BA4">
            <w:pPr>
              <w:jc w:val="both"/>
              <w:rPr>
                <w:rFonts w:ascii="Times New Roman" w:hAnsi="Times New Roman"/>
                <w:sz w:val="28"/>
                <w:szCs w:val="28"/>
              </w:rPr>
            </w:pPr>
            <w:r>
              <w:rPr>
                <w:rFonts w:ascii="Times New Roman" w:hAnsi="Times New Roman"/>
                <w:sz w:val="28"/>
                <w:szCs w:val="28"/>
              </w:rPr>
              <w:t>–</w:t>
            </w:r>
            <w:r w:rsidR="0049014B">
              <w:rPr>
                <w:rFonts w:ascii="Times New Roman" w:hAnsi="Times New Roman"/>
                <w:sz w:val="28"/>
                <w:szCs w:val="28"/>
              </w:rPr>
              <w:t xml:space="preserve"> </w:t>
            </w:r>
            <w:r w:rsidR="008D584B">
              <w:rPr>
                <w:rFonts w:ascii="Times New Roman" w:hAnsi="Times New Roman"/>
                <w:sz w:val="28"/>
                <w:szCs w:val="28"/>
              </w:rPr>
              <w:t>липопротеинлипаза</w:t>
            </w:r>
          </w:p>
        </w:tc>
      </w:tr>
      <w:tr w:rsidR="008D584B" w:rsidRPr="009005F0" w:rsidTr="00E37B12">
        <w:tc>
          <w:tcPr>
            <w:tcW w:w="1384" w:type="dxa"/>
          </w:tcPr>
          <w:p w:rsidR="008D584B" w:rsidRDefault="008D584B" w:rsidP="00351BA4">
            <w:pPr>
              <w:jc w:val="both"/>
              <w:rPr>
                <w:rFonts w:ascii="Times New Roman" w:hAnsi="Times New Roman"/>
                <w:sz w:val="28"/>
                <w:szCs w:val="28"/>
                <w:lang w:val="en-US"/>
              </w:rPr>
            </w:pPr>
            <w:r>
              <w:rPr>
                <w:rFonts w:ascii="Times New Roman" w:hAnsi="Times New Roman"/>
                <w:sz w:val="28"/>
                <w:szCs w:val="28"/>
                <w:lang w:val="en-US"/>
              </w:rPr>
              <w:t>NCEP</w:t>
            </w:r>
          </w:p>
        </w:tc>
        <w:tc>
          <w:tcPr>
            <w:tcW w:w="8187" w:type="dxa"/>
          </w:tcPr>
          <w:p w:rsidR="008D584B" w:rsidRPr="006E6ECC" w:rsidRDefault="008D584B" w:rsidP="00351BA4">
            <w:pPr>
              <w:jc w:val="both"/>
              <w:rPr>
                <w:rFonts w:ascii="Times New Roman" w:hAnsi="Times New Roman"/>
                <w:sz w:val="28"/>
                <w:szCs w:val="28"/>
                <w:lang w:val="en-US"/>
              </w:rPr>
            </w:pPr>
            <w:r w:rsidRPr="00921A91">
              <w:rPr>
                <w:rFonts w:ascii="Times New Roman" w:hAnsi="Times New Roman"/>
                <w:sz w:val="28"/>
                <w:szCs w:val="28"/>
                <w:lang w:val="en-US"/>
              </w:rPr>
              <w:t xml:space="preserve">– </w:t>
            </w:r>
            <w:r>
              <w:rPr>
                <w:rFonts w:ascii="Times New Roman" w:hAnsi="Times New Roman"/>
                <w:sz w:val="28"/>
                <w:szCs w:val="28"/>
                <w:lang w:val="en-US"/>
              </w:rPr>
              <w:t>The</w:t>
            </w:r>
            <w:r w:rsidRPr="006F3F97">
              <w:rPr>
                <w:rFonts w:ascii="Times New Roman" w:hAnsi="Times New Roman"/>
                <w:sz w:val="28"/>
                <w:szCs w:val="28"/>
                <w:lang w:val="en-US"/>
              </w:rPr>
              <w:t xml:space="preserve"> </w:t>
            </w:r>
            <w:r>
              <w:rPr>
                <w:rFonts w:ascii="Times New Roman" w:hAnsi="Times New Roman"/>
                <w:sz w:val="28"/>
                <w:szCs w:val="28"/>
                <w:lang w:val="en-US"/>
              </w:rPr>
              <w:t>National</w:t>
            </w:r>
            <w:r w:rsidRPr="006F3F97">
              <w:rPr>
                <w:rFonts w:ascii="Times New Roman" w:hAnsi="Times New Roman"/>
                <w:sz w:val="28"/>
                <w:szCs w:val="28"/>
                <w:lang w:val="en-US"/>
              </w:rPr>
              <w:t xml:space="preserve"> </w:t>
            </w:r>
            <w:r>
              <w:rPr>
                <w:rFonts w:ascii="Times New Roman" w:hAnsi="Times New Roman"/>
                <w:sz w:val="28"/>
                <w:szCs w:val="28"/>
                <w:lang w:val="en-US"/>
              </w:rPr>
              <w:t>Cholesterol</w:t>
            </w:r>
            <w:r w:rsidRPr="006F3F97">
              <w:rPr>
                <w:rFonts w:ascii="Times New Roman" w:hAnsi="Times New Roman"/>
                <w:sz w:val="28"/>
                <w:szCs w:val="28"/>
                <w:lang w:val="en-US"/>
              </w:rPr>
              <w:t xml:space="preserve"> </w:t>
            </w:r>
            <w:r>
              <w:rPr>
                <w:rFonts w:ascii="Times New Roman" w:hAnsi="Times New Roman"/>
                <w:sz w:val="28"/>
                <w:szCs w:val="28"/>
                <w:lang w:val="en-US"/>
              </w:rPr>
              <w:t>Education</w:t>
            </w:r>
            <w:r w:rsidRPr="006F3F97">
              <w:rPr>
                <w:rFonts w:ascii="Times New Roman" w:hAnsi="Times New Roman"/>
                <w:sz w:val="28"/>
                <w:szCs w:val="28"/>
                <w:lang w:val="en-US"/>
              </w:rPr>
              <w:t xml:space="preserve"> </w:t>
            </w:r>
            <w:r>
              <w:rPr>
                <w:rFonts w:ascii="Times New Roman" w:hAnsi="Times New Roman"/>
                <w:sz w:val="28"/>
                <w:szCs w:val="28"/>
                <w:lang w:val="en-US"/>
              </w:rPr>
              <w:t>Program</w:t>
            </w:r>
          </w:p>
        </w:tc>
      </w:tr>
      <w:tr w:rsidR="008D584B" w:rsidRPr="009005F0" w:rsidTr="00E37B12">
        <w:tc>
          <w:tcPr>
            <w:tcW w:w="1384" w:type="dxa"/>
          </w:tcPr>
          <w:p w:rsidR="008D584B" w:rsidRDefault="008D584B" w:rsidP="00351BA4">
            <w:pPr>
              <w:jc w:val="both"/>
              <w:rPr>
                <w:rFonts w:ascii="Times New Roman" w:hAnsi="Times New Roman"/>
                <w:sz w:val="28"/>
                <w:szCs w:val="28"/>
                <w:lang w:val="en-US"/>
              </w:rPr>
            </w:pPr>
            <w:r>
              <w:rPr>
                <w:rFonts w:ascii="Times New Roman" w:hAnsi="Times New Roman"/>
                <w:sz w:val="28"/>
                <w:szCs w:val="28"/>
                <w:lang w:val="en-US"/>
              </w:rPr>
              <w:t>PSLD</w:t>
            </w:r>
          </w:p>
        </w:tc>
        <w:tc>
          <w:tcPr>
            <w:tcW w:w="8187" w:type="dxa"/>
          </w:tcPr>
          <w:p w:rsidR="008D584B" w:rsidRPr="006E6ECC" w:rsidRDefault="008D584B" w:rsidP="00351BA4">
            <w:pPr>
              <w:jc w:val="both"/>
              <w:rPr>
                <w:rFonts w:ascii="Times New Roman" w:hAnsi="Times New Roman"/>
                <w:sz w:val="28"/>
                <w:szCs w:val="28"/>
                <w:lang w:val="en-US"/>
              </w:rPr>
            </w:pPr>
            <w:r>
              <w:rPr>
                <w:rFonts w:ascii="Times New Roman" w:hAnsi="Times New Roman"/>
                <w:sz w:val="28"/>
                <w:szCs w:val="28"/>
                <w:lang w:val="en-US"/>
              </w:rPr>
              <w:t>– The Polish Society of Laboratory Diagnostics</w:t>
            </w:r>
          </w:p>
        </w:tc>
      </w:tr>
      <w:tr w:rsidR="008D584B" w:rsidRPr="00351BA4" w:rsidTr="00E37B12">
        <w:tc>
          <w:tcPr>
            <w:tcW w:w="1384" w:type="dxa"/>
          </w:tcPr>
          <w:p w:rsidR="008D584B" w:rsidRDefault="008D584B" w:rsidP="00351BA4">
            <w:pPr>
              <w:jc w:val="both"/>
              <w:rPr>
                <w:rFonts w:ascii="Times New Roman" w:hAnsi="Times New Roman"/>
                <w:sz w:val="28"/>
                <w:szCs w:val="28"/>
                <w:lang w:val="en-US"/>
              </w:rPr>
            </w:pPr>
            <w:r>
              <w:rPr>
                <w:rFonts w:ascii="Times New Roman" w:hAnsi="Times New Roman"/>
                <w:sz w:val="28"/>
                <w:szCs w:val="28"/>
                <w:lang w:val="en-US"/>
              </w:rPr>
              <w:t>PoLA</w:t>
            </w:r>
          </w:p>
        </w:tc>
        <w:tc>
          <w:tcPr>
            <w:tcW w:w="8187" w:type="dxa"/>
          </w:tcPr>
          <w:p w:rsidR="008D584B" w:rsidRPr="006E6ECC" w:rsidRDefault="008D584B" w:rsidP="00351BA4">
            <w:pPr>
              <w:jc w:val="both"/>
              <w:rPr>
                <w:rFonts w:ascii="Times New Roman" w:hAnsi="Times New Roman"/>
                <w:sz w:val="28"/>
                <w:szCs w:val="28"/>
                <w:lang w:val="en-US"/>
              </w:rPr>
            </w:pPr>
            <w:r>
              <w:rPr>
                <w:rFonts w:ascii="Times New Roman" w:hAnsi="Times New Roman"/>
                <w:sz w:val="28"/>
                <w:szCs w:val="28"/>
                <w:lang w:val="en-US"/>
              </w:rPr>
              <w:t>– The Polish Lipid Association</w:t>
            </w:r>
          </w:p>
        </w:tc>
      </w:tr>
      <w:tr w:rsidR="008D584B" w:rsidRPr="00351BA4" w:rsidTr="00E37B12">
        <w:tc>
          <w:tcPr>
            <w:tcW w:w="1384" w:type="dxa"/>
          </w:tcPr>
          <w:p w:rsidR="008D584B" w:rsidRDefault="008D584B" w:rsidP="00351BA4">
            <w:pPr>
              <w:jc w:val="both"/>
              <w:rPr>
                <w:rFonts w:ascii="Times New Roman" w:hAnsi="Times New Roman"/>
                <w:sz w:val="28"/>
                <w:szCs w:val="28"/>
                <w:lang w:val="en-US"/>
              </w:rPr>
            </w:pPr>
            <w:r w:rsidRPr="006E6ECC">
              <w:rPr>
                <w:rFonts w:ascii="Times New Roman" w:hAnsi="Times New Roman"/>
                <w:sz w:val="28"/>
                <w:szCs w:val="28"/>
                <w:lang w:val="en-US"/>
              </w:rPr>
              <w:t>Q</w:t>
            </w:r>
            <w:r w:rsidRPr="006F3F97">
              <w:rPr>
                <w:rFonts w:ascii="Times New Roman" w:hAnsi="Times New Roman"/>
                <w:sz w:val="28"/>
                <w:szCs w:val="28"/>
              </w:rPr>
              <w:t>1</w:t>
            </w:r>
          </w:p>
        </w:tc>
        <w:tc>
          <w:tcPr>
            <w:tcW w:w="8187" w:type="dxa"/>
          </w:tcPr>
          <w:p w:rsidR="008D584B" w:rsidRPr="008D584B" w:rsidRDefault="008D584B" w:rsidP="00351BA4">
            <w:pPr>
              <w:jc w:val="both"/>
              <w:rPr>
                <w:rFonts w:ascii="Times New Roman" w:hAnsi="Times New Roman"/>
                <w:sz w:val="28"/>
                <w:szCs w:val="28"/>
              </w:rPr>
            </w:pPr>
            <w:r w:rsidRPr="006F3F97">
              <w:rPr>
                <w:rFonts w:ascii="Times New Roman" w:hAnsi="Times New Roman"/>
                <w:sz w:val="28"/>
                <w:szCs w:val="28"/>
              </w:rPr>
              <w:t xml:space="preserve">– </w:t>
            </w:r>
            <w:r>
              <w:rPr>
                <w:rFonts w:ascii="Times New Roman" w:hAnsi="Times New Roman"/>
                <w:sz w:val="28"/>
                <w:szCs w:val="28"/>
              </w:rPr>
              <w:t>первый квартиль</w:t>
            </w:r>
          </w:p>
        </w:tc>
      </w:tr>
      <w:tr w:rsidR="008D584B" w:rsidRPr="00351BA4" w:rsidTr="00E37B12">
        <w:tc>
          <w:tcPr>
            <w:tcW w:w="1384" w:type="dxa"/>
          </w:tcPr>
          <w:p w:rsidR="008D584B" w:rsidRDefault="008D584B" w:rsidP="00351BA4">
            <w:pPr>
              <w:jc w:val="both"/>
              <w:rPr>
                <w:rFonts w:ascii="Times New Roman" w:hAnsi="Times New Roman"/>
                <w:sz w:val="28"/>
                <w:szCs w:val="28"/>
                <w:lang w:val="en-US"/>
              </w:rPr>
            </w:pPr>
            <w:r w:rsidRPr="004F4D77">
              <w:rPr>
                <w:rFonts w:ascii="Times New Roman" w:hAnsi="Times New Roman"/>
                <w:sz w:val="28"/>
                <w:szCs w:val="28"/>
                <w:lang w:val="en-US"/>
              </w:rPr>
              <w:t>Q</w:t>
            </w:r>
            <w:r w:rsidRPr="006F3F97">
              <w:rPr>
                <w:rFonts w:ascii="Times New Roman" w:hAnsi="Times New Roman"/>
                <w:sz w:val="28"/>
                <w:szCs w:val="28"/>
              </w:rPr>
              <w:t>3</w:t>
            </w:r>
          </w:p>
        </w:tc>
        <w:tc>
          <w:tcPr>
            <w:tcW w:w="8187" w:type="dxa"/>
          </w:tcPr>
          <w:p w:rsidR="008D584B" w:rsidRPr="008D584B" w:rsidRDefault="008D584B" w:rsidP="00351BA4">
            <w:pPr>
              <w:jc w:val="both"/>
              <w:rPr>
                <w:rFonts w:ascii="Times New Roman" w:hAnsi="Times New Roman"/>
                <w:sz w:val="28"/>
                <w:szCs w:val="28"/>
              </w:rPr>
            </w:pPr>
            <w:r w:rsidRPr="006F3F97">
              <w:rPr>
                <w:rFonts w:ascii="Times New Roman" w:hAnsi="Times New Roman"/>
                <w:sz w:val="28"/>
                <w:szCs w:val="28"/>
              </w:rPr>
              <w:t xml:space="preserve">– </w:t>
            </w:r>
            <w:r>
              <w:rPr>
                <w:rFonts w:ascii="Times New Roman" w:hAnsi="Times New Roman"/>
                <w:sz w:val="28"/>
                <w:szCs w:val="28"/>
              </w:rPr>
              <w:t>третий квартиль</w:t>
            </w:r>
          </w:p>
        </w:tc>
      </w:tr>
      <w:tr w:rsidR="008D584B" w:rsidRPr="00351BA4" w:rsidTr="00E37B12">
        <w:tc>
          <w:tcPr>
            <w:tcW w:w="1384" w:type="dxa"/>
          </w:tcPr>
          <w:p w:rsidR="008D584B" w:rsidRDefault="008D584B" w:rsidP="00351BA4">
            <w:pPr>
              <w:jc w:val="both"/>
              <w:rPr>
                <w:rFonts w:ascii="Times New Roman" w:hAnsi="Times New Roman"/>
                <w:sz w:val="28"/>
                <w:szCs w:val="28"/>
                <w:lang w:val="en-US"/>
              </w:rPr>
            </w:pPr>
            <w:r w:rsidRPr="004F4D77">
              <w:rPr>
                <w:rFonts w:ascii="Times New Roman" w:hAnsi="Times New Roman"/>
                <w:sz w:val="28"/>
                <w:szCs w:val="28"/>
                <w:lang w:val="en-US"/>
              </w:rPr>
              <w:t>QMDR</w:t>
            </w:r>
          </w:p>
        </w:tc>
        <w:tc>
          <w:tcPr>
            <w:tcW w:w="8187" w:type="dxa"/>
          </w:tcPr>
          <w:p w:rsidR="008D584B" w:rsidRPr="006E6ECC" w:rsidRDefault="008D584B" w:rsidP="008D584B">
            <w:pPr>
              <w:jc w:val="both"/>
              <w:rPr>
                <w:rFonts w:ascii="Times New Roman" w:hAnsi="Times New Roman"/>
                <w:sz w:val="28"/>
                <w:szCs w:val="28"/>
                <w:lang w:val="en-US"/>
              </w:rPr>
            </w:pPr>
            <w:r w:rsidRPr="00E93F68">
              <w:rPr>
                <w:rFonts w:ascii="Times New Roman" w:hAnsi="Times New Roman"/>
                <w:sz w:val="28"/>
                <w:szCs w:val="28"/>
                <w:lang w:val="en-US"/>
              </w:rPr>
              <w:t>–</w:t>
            </w:r>
            <w:r>
              <w:rPr>
                <w:rFonts w:ascii="Times New Roman" w:hAnsi="Times New Roman"/>
                <w:sz w:val="28"/>
                <w:szCs w:val="28"/>
              </w:rPr>
              <w:t xml:space="preserve"> </w:t>
            </w:r>
            <w:r w:rsidRPr="00113EE8">
              <w:rPr>
                <w:rFonts w:ascii="Times New Roman" w:hAnsi="Times New Roman"/>
                <w:noProof/>
                <w:sz w:val="28"/>
                <w:szCs w:val="24"/>
                <w:lang w:val="en-US"/>
              </w:rPr>
              <w:t>Quantitative</w:t>
            </w:r>
            <w:r w:rsidRPr="006F3F97">
              <w:rPr>
                <w:rFonts w:ascii="Times New Roman" w:hAnsi="Times New Roman"/>
                <w:noProof/>
                <w:sz w:val="28"/>
                <w:szCs w:val="24"/>
                <w:lang w:val="en-US"/>
              </w:rPr>
              <w:t xml:space="preserve"> </w:t>
            </w:r>
            <w:r w:rsidRPr="00113EE8">
              <w:rPr>
                <w:rFonts w:ascii="Times New Roman" w:hAnsi="Times New Roman"/>
                <w:noProof/>
                <w:sz w:val="28"/>
                <w:szCs w:val="24"/>
                <w:lang w:val="en-US"/>
              </w:rPr>
              <w:t>Multifactor</w:t>
            </w:r>
            <w:r w:rsidRPr="006F3F97">
              <w:rPr>
                <w:rFonts w:ascii="Times New Roman" w:hAnsi="Times New Roman"/>
                <w:noProof/>
                <w:sz w:val="28"/>
                <w:szCs w:val="24"/>
                <w:lang w:val="en-US"/>
              </w:rPr>
              <w:t xml:space="preserve"> </w:t>
            </w:r>
            <w:r w:rsidRPr="00113EE8">
              <w:rPr>
                <w:rFonts w:ascii="Times New Roman" w:hAnsi="Times New Roman"/>
                <w:noProof/>
                <w:sz w:val="28"/>
                <w:szCs w:val="24"/>
                <w:lang w:val="en-US"/>
              </w:rPr>
              <w:t>Dimensionality</w:t>
            </w:r>
            <w:r w:rsidRPr="006F3F97">
              <w:rPr>
                <w:rFonts w:ascii="Times New Roman" w:hAnsi="Times New Roman"/>
                <w:noProof/>
                <w:sz w:val="28"/>
                <w:szCs w:val="24"/>
                <w:lang w:val="en-US"/>
              </w:rPr>
              <w:t xml:space="preserve"> </w:t>
            </w:r>
            <w:r w:rsidRPr="00113EE8">
              <w:rPr>
                <w:rFonts w:ascii="Times New Roman" w:hAnsi="Times New Roman"/>
                <w:noProof/>
                <w:sz w:val="28"/>
                <w:szCs w:val="24"/>
                <w:lang w:val="en-US"/>
              </w:rPr>
              <w:t>Reduction</w:t>
            </w:r>
          </w:p>
        </w:tc>
      </w:tr>
      <w:tr w:rsidR="008D584B" w:rsidRPr="008D584B" w:rsidTr="00E37B12">
        <w:tc>
          <w:tcPr>
            <w:tcW w:w="1384" w:type="dxa"/>
          </w:tcPr>
          <w:p w:rsidR="008D584B" w:rsidRDefault="008D584B" w:rsidP="00351BA4">
            <w:pPr>
              <w:jc w:val="both"/>
              <w:rPr>
                <w:rFonts w:ascii="Times New Roman" w:hAnsi="Times New Roman"/>
                <w:sz w:val="28"/>
                <w:szCs w:val="28"/>
                <w:lang w:val="en-US"/>
              </w:rPr>
            </w:pPr>
            <w:r w:rsidRPr="00D25BAA">
              <w:rPr>
                <w:rFonts w:ascii="Times New Roman" w:hAnsi="Times New Roman"/>
                <w:sz w:val="28"/>
                <w:szCs w:val="28"/>
                <w:lang w:val="en-US"/>
              </w:rPr>
              <w:t>rs</w:t>
            </w:r>
          </w:p>
        </w:tc>
        <w:tc>
          <w:tcPr>
            <w:tcW w:w="8187" w:type="dxa"/>
          </w:tcPr>
          <w:p w:rsidR="008D584B" w:rsidRPr="008D584B" w:rsidRDefault="008D584B" w:rsidP="00F94A64">
            <w:pPr>
              <w:rPr>
                <w:rFonts w:ascii="Times New Roman" w:hAnsi="Times New Roman"/>
                <w:sz w:val="28"/>
                <w:szCs w:val="28"/>
              </w:rPr>
            </w:pPr>
            <w:r w:rsidRPr="006F3F97">
              <w:rPr>
                <w:rFonts w:ascii="Times New Roman" w:hAnsi="Times New Roman"/>
                <w:sz w:val="28"/>
                <w:szCs w:val="28"/>
              </w:rPr>
              <w:t xml:space="preserve">– </w:t>
            </w:r>
            <w:r>
              <w:rPr>
                <w:rFonts w:ascii="Times New Roman" w:hAnsi="Times New Roman"/>
                <w:sz w:val="28"/>
                <w:szCs w:val="28"/>
              </w:rPr>
              <w:t>Обозначение полиморфизмов по референсному сиквенсу человека</w:t>
            </w:r>
          </w:p>
        </w:tc>
      </w:tr>
      <w:tr w:rsidR="008D584B" w:rsidRPr="008D584B" w:rsidTr="00E37B12">
        <w:tc>
          <w:tcPr>
            <w:tcW w:w="1384" w:type="dxa"/>
          </w:tcPr>
          <w:p w:rsidR="008D584B" w:rsidRPr="008D584B" w:rsidRDefault="008D584B" w:rsidP="00351BA4">
            <w:pPr>
              <w:jc w:val="both"/>
              <w:rPr>
                <w:rFonts w:ascii="Times New Roman" w:hAnsi="Times New Roman"/>
                <w:sz w:val="28"/>
                <w:szCs w:val="28"/>
              </w:rPr>
            </w:pPr>
            <w:r>
              <w:rPr>
                <w:rFonts w:ascii="Times New Roman" w:hAnsi="Times New Roman"/>
                <w:sz w:val="28"/>
                <w:szCs w:val="28"/>
                <w:lang w:val="en-US"/>
              </w:rPr>
              <w:t>SCORE</w:t>
            </w:r>
          </w:p>
        </w:tc>
        <w:tc>
          <w:tcPr>
            <w:tcW w:w="8187" w:type="dxa"/>
          </w:tcPr>
          <w:p w:rsidR="008D584B" w:rsidRPr="008D584B" w:rsidRDefault="008D584B" w:rsidP="00351BA4">
            <w:pPr>
              <w:jc w:val="both"/>
              <w:rPr>
                <w:rFonts w:ascii="Times New Roman" w:hAnsi="Times New Roman"/>
                <w:sz w:val="28"/>
                <w:szCs w:val="28"/>
                <w:lang w:val="en-US"/>
              </w:rPr>
            </w:pPr>
            <w:r>
              <w:rPr>
                <w:rFonts w:ascii="Times New Roman" w:hAnsi="Times New Roman"/>
                <w:sz w:val="28"/>
                <w:szCs w:val="28"/>
                <w:lang w:val="en-US"/>
              </w:rPr>
              <w:t>– Systematic Coronary Risk Estimation</w:t>
            </w:r>
          </w:p>
        </w:tc>
      </w:tr>
      <w:tr w:rsidR="008D584B" w:rsidRPr="009005F0" w:rsidTr="00E37B12">
        <w:tc>
          <w:tcPr>
            <w:tcW w:w="1384" w:type="dxa"/>
          </w:tcPr>
          <w:p w:rsidR="008D584B" w:rsidRDefault="008D584B" w:rsidP="00351BA4">
            <w:pPr>
              <w:jc w:val="both"/>
              <w:rPr>
                <w:rFonts w:ascii="Times New Roman" w:hAnsi="Times New Roman"/>
                <w:sz w:val="28"/>
                <w:szCs w:val="28"/>
                <w:lang w:val="en-US"/>
              </w:rPr>
            </w:pPr>
            <w:r>
              <w:rPr>
                <w:rFonts w:ascii="Times New Roman" w:hAnsi="Times New Roman"/>
                <w:sz w:val="28"/>
                <w:szCs w:val="28"/>
                <w:lang w:val="en-US"/>
              </w:rPr>
              <w:t>SPSS</w:t>
            </w:r>
          </w:p>
        </w:tc>
        <w:tc>
          <w:tcPr>
            <w:tcW w:w="8187" w:type="dxa"/>
          </w:tcPr>
          <w:p w:rsidR="008D584B" w:rsidRDefault="008D584B" w:rsidP="00351BA4">
            <w:pPr>
              <w:jc w:val="both"/>
              <w:rPr>
                <w:rFonts w:ascii="Times New Roman" w:hAnsi="Times New Roman"/>
                <w:sz w:val="28"/>
                <w:szCs w:val="28"/>
                <w:lang w:val="en-US"/>
              </w:rPr>
            </w:pPr>
            <w:r>
              <w:rPr>
                <w:rFonts w:ascii="Times New Roman" w:hAnsi="Times New Roman"/>
                <w:sz w:val="28"/>
                <w:szCs w:val="28"/>
                <w:lang w:val="en-US"/>
              </w:rPr>
              <w:t>– Statistical Package for the Social Sciences</w:t>
            </w:r>
          </w:p>
        </w:tc>
      </w:tr>
      <w:tr w:rsidR="008D584B" w:rsidRPr="008D584B" w:rsidTr="00E37B12">
        <w:tc>
          <w:tcPr>
            <w:tcW w:w="1384" w:type="dxa"/>
          </w:tcPr>
          <w:p w:rsidR="008D584B" w:rsidRDefault="008D584B" w:rsidP="00351BA4">
            <w:pPr>
              <w:jc w:val="both"/>
              <w:rPr>
                <w:rFonts w:ascii="Times New Roman" w:hAnsi="Times New Roman"/>
                <w:sz w:val="28"/>
                <w:szCs w:val="28"/>
                <w:lang w:val="en-US"/>
              </w:rPr>
            </w:pPr>
            <w:r>
              <w:rPr>
                <w:rFonts w:ascii="Times New Roman" w:hAnsi="Times New Roman"/>
                <w:sz w:val="28"/>
                <w:szCs w:val="28"/>
                <w:lang w:val="en-US"/>
              </w:rPr>
              <w:t>SNP</w:t>
            </w:r>
          </w:p>
        </w:tc>
        <w:tc>
          <w:tcPr>
            <w:tcW w:w="8187" w:type="dxa"/>
          </w:tcPr>
          <w:p w:rsidR="008D584B" w:rsidRDefault="000A5EC9" w:rsidP="00351BA4">
            <w:pPr>
              <w:jc w:val="both"/>
              <w:rPr>
                <w:rFonts w:ascii="Times New Roman" w:hAnsi="Times New Roman"/>
                <w:sz w:val="28"/>
                <w:szCs w:val="28"/>
                <w:lang w:val="en-US"/>
              </w:rPr>
            </w:pPr>
            <w:r>
              <w:rPr>
                <w:rFonts w:ascii="Times New Roman" w:hAnsi="Times New Roman"/>
                <w:sz w:val="28"/>
                <w:szCs w:val="28"/>
              </w:rPr>
              <w:t>–</w:t>
            </w:r>
            <w:r w:rsidR="008D584B">
              <w:rPr>
                <w:rFonts w:ascii="Times New Roman" w:hAnsi="Times New Roman"/>
                <w:sz w:val="28"/>
                <w:szCs w:val="28"/>
                <w:lang w:val="en-US"/>
              </w:rPr>
              <w:t xml:space="preserve"> Single nucleotide polymorphism</w:t>
            </w:r>
          </w:p>
        </w:tc>
      </w:tr>
      <w:tr w:rsidR="008D584B" w:rsidRPr="009005F0" w:rsidTr="00E37B12">
        <w:tc>
          <w:tcPr>
            <w:tcW w:w="1384" w:type="dxa"/>
          </w:tcPr>
          <w:p w:rsidR="008D584B" w:rsidRDefault="008D584B" w:rsidP="00351BA4">
            <w:pPr>
              <w:jc w:val="both"/>
              <w:rPr>
                <w:rFonts w:ascii="Times New Roman" w:hAnsi="Times New Roman"/>
                <w:sz w:val="28"/>
                <w:szCs w:val="28"/>
                <w:lang w:val="en-US"/>
              </w:rPr>
            </w:pPr>
            <w:r>
              <w:rPr>
                <w:rFonts w:ascii="Times New Roman" w:hAnsi="Times New Roman"/>
                <w:sz w:val="28"/>
                <w:szCs w:val="28"/>
                <w:lang w:val="en-US"/>
              </w:rPr>
              <w:t>T-HOD</w:t>
            </w:r>
          </w:p>
        </w:tc>
        <w:tc>
          <w:tcPr>
            <w:tcW w:w="8187" w:type="dxa"/>
          </w:tcPr>
          <w:p w:rsidR="008D584B" w:rsidRDefault="008D584B" w:rsidP="00351BA4">
            <w:pPr>
              <w:jc w:val="both"/>
              <w:rPr>
                <w:rFonts w:ascii="Times New Roman" w:hAnsi="Times New Roman"/>
                <w:sz w:val="28"/>
                <w:szCs w:val="28"/>
                <w:lang w:val="en-US"/>
              </w:rPr>
            </w:pPr>
            <w:r>
              <w:rPr>
                <w:rFonts w:ascii="Times New Roman" w:hAnsi="Times New Roman"/>
                <w:sz w:val="28"/>
                <w:szCs w:val="28"/>
                <w:lang w:val="en-US"/>
              </w:rPr>
              <w:t>– The Text-mined Hypertension</w:t>
            </w:r>
            <w:r w:rsidR="00BB22A0">
              <w:rPr>
                <w:rFonts w:ascii="Century" w:hAnsi="Century"/>
                <w:sz w:val="28"/>
                <w:szCs w:val="28"/>
                <w:lang w:val="en-US"/>
              </w:rPr>
              <w:t>,</w:t>
            </w:r>
            <w:r>
              <w:rPr>
                <w:rFonts w:ascii="Times New Roman" w:hAnsi="Times New Roman"/>
                <w:sz w:val="28"/>
                <w:szCs w:val="28"/>
                <w:lang w:val="en-US"/>
              </w:rPr>
              <w:t xml:space="preserve"> Obesity and Diabetes candidate gene database</w:t>
            </w:r>
          </w:p>
        </w:tc>
      </w:tr>
    </w:tbl>
    <w:p w:rsidR="00351BA4" w:rsidRPr="008D584B" w:rsidRDefault="00351BA4" w:rsidP="00AB12B3">
      <w:pPr>
        <w:spacing w:after="0" w:line="240" w:lineRule="auto"/>
        <w:jc w:val="both"/>
        <w:rPr>
          <w:rFonts w:ascii="Times New Roman" w:hAnsi="Times New Roman" w:cs="Times New Roman"/>
          <w:sz w:val="28"/>
          <w:szCs w:val="28"/>
          <w:lang w:val="en-US"/>
        </w:rPr>
      </w:pPr>
    </w:p>
    <w:p w:rsidR="00AB12B3" w:rsidRDefault="00AB12B3" w:rsidP="00AB12B3">
      <w:pPr>
        <w:spacing w:after="0" w:line="240" w:lineRule="auto"/>
        <w:jc w:val="both"/>
        <w:rPr>
          <w:rFonts w:ascii="Times New Roman" w:hAnsi="Times New Roman" w:cs="Times New Roman"/>
          <w:sz w:val="28"/>
          <w:szCs w:val="28"/>
          <w:lang w:val="en-US"/>
        </w:rPr>
      </w:pPr>
    </w:p>
    <w:p w:rsidR="00AB12B3" w:rsidRDefault="00AB12B3" w:rsidP="00AB12B3">
      <w:pPr>
        <w:spacing w:after="0" w:line="240" w:lineRule="auto"/>
        <w:rPr>
          <w:rFonts w:ascii="Times New Roman" w:hAnsi="Times New Roman" w:cs="Times New Roman"/>
          <w:sz w:val="28"/>
          <w:szCs w:val="28"/>
          <w:lang w:val="en-US"/>
        </w:rPr>
        <w:sectPr w:rsidR="00AB12B3">
          <w:pgSz w:w="11906" w:h="16838"/>
          <w:pgMar w:top="1134" w:right="850" w:bottom="1134" w:left="1701" w:header="708" w:footer="708" w:gutter="0"/>
          <w:cols w:space="720"/>
        </w:sectPr>
      </w:pPr>
    </w:p>
    <w:p w:rsidR="00AB12B3" w:rsidRDefault="00AB12B3" w:rsidP="00AB12B3">
      <w:pPr>
        <w:spacing w:after="0" w:line="240" w:lineRule="auto"/>
        <w:jc w:val="center"/>
        <w:rPr>
          <w:rFonts w:ascii="Times New Roman" w:hAnsi="Times New Roman" w:cs="Times New Roman"/>
          <w:sz w:val="28"/>
          <w:szCs w:val="28"/>
        </w:rPr>
      </w:pPr>
      <w:r>
        <w:rPr>
          <w:rFonts w:ascii="Times New Roman" w:hAnsi="Times New Roman" w:cs="Times New Roman"/>
          <w:b/>
          <w:sz w:val="28"/>
          <w:szCs w:val="28"/>
        </w:rPr>
        <w:lastRenderedPageBreak/>
        <w:t>ВВЕДЕНИЕ</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b/>
          <w:sz w:val="28"/>
          <w:szCs w:val="28"/>
        </w:rPr>
        <w:t>Актуальность</w:t>
      </w:r>
      <w:r>
        <w:rPr>
          <w:rFonts w:ascii="Times New Roman" w:hAnsi="Times New Roman" w:cs="Times New Roman"/>
          <w:sz w:val="28"/>
          <w:szCs w:val="28"/>
        </w:rPr>
        <w:t>. Согласно данным Комитета по статистике Министерства национальной экономики Казахстана (</w:t>
      </w:r>
      <w:hyperlink r:id="rId10" w:history="1">
        <w:r w:rsidRPr="00BB7743">
          <w:rPr>
            <w:rStyle w:val="a3"/>
            <w:rFonts w:ascii="Times New Roman" w:hAnsi="Times New Roman" w:cs="Times New Roman"/>
            <w:sz w:val="28"/>
            <w:szCs w:val="28"/>
          </w:rPr>
          <w:t>http://www.gender.stat.gov.kz</w:t>
        </w:r>
      </w:hyperlink>
      <w:r w:rsidRPr="00BB7743">
        <w:rPr>
          <w:rFonts w:ascii="Times New Roman" w:hAnsi="Times New Roman" w:cs="Times New Roman"/>
          <w:sz w:val="28"/>
          <w:szCs w:val="28"/>
        </w:rPr>
        <w:t>) в Р</w:t>
      </w:r>
      <w:r>
        <w:rPr>
          <w:rFonts w:ascii="Times New Roman" w:hAnsi="Times New Roman" w:cs="Times New Roman"/>
          <w:sz w:val="28"/>
          <w:szCs w:val="28"/>
        </w:rPr>
        <w:t>еспублике Казахстан (РК) болезни системы кровообращения (БСК) занимают первую позицию среди всех причин смерти</w:t>
      </w:r>
      <w:r w:rsidR="00880A20" w:rsidRPr="00880A20">
        <w:rPr>
          <w:rFonts w:ascii="Century" w:hAnsi="Century" w:cs="Times New Roman"/>
          <w:sz w:val="28"/>
          <w:szCs w:val="28"/>
        </w:rPr>
        <w:t>.</w:t>
      </w:r>
      <w:r>
        <w:rPr>
          <w:rFonts w:ascii="Times New Roman" w:hAnsi="Times New Roman" w:cs="Times New Roman"/>
          <w:sz w:val="28"/>
          <w:szCs w:val="28"/>
        </w:rPr>
        <w:t xml:space="preserve"> В 2018 году в общей структуре смертности летальность от БСК составила 167</w:t>
      </w:r>
      <w:r w:rsidR="00880A20" w:rsidRPr="00880A20">
        <w:rPr>
          <w:rFonts w:ascii="Century" w:hAnsi="Century" w:cs="Times New Roman"/>
          <w:sz w:val="28"/>
          <w:szCs w:val="28"/>
        </w:rPr>
        <w:t>,</w:t>
      </w:r>
      <w:r>
        <w:rPr>
          <w:rFonts w:ascii="Times New Roman" w:hAnsi="Times New Roman" w:cs="Times New Roman"/>
          <w:sz w:val="28"/>
          <w:szCs w:val="28"/>
        </w:rPr>
        <w:t>3 на 100 тыс. населения</w:t>
      </w:r>
      <w:r w:rsidR="00880A20" w:rsidRPr="00880A20">
        <w:rPr>
          <w:rFonts w:ascii="Century" w:hAnsi="Century" w:cs="Times New Roman"/>
          <w:sz w:val="28"/>
          <w:szCs w:val="28"/>
        </w:rPr>
        <w:t>,</w:t>
      </w:r>
      <w:r>
        <w:rPr>
          <w:rFonts w:ascii="Times New Roman" w:hAnsi="Times New Roman" w:cs="Times New Roman"/>
          <w:sz w:val="28"/>
          <w:szCs w:val="28"/>
        </w:rPr>
        <w:t xml:space="preserve"> в 2017 году – 176</w:t>
      </w:r>
      <w:r w:rsidR="00880A20" w:rsidRPr="00880A20">
        <w:rPr>
          <w:rFonts w:ascii="Century" w:hAnsi="Century" w:cs="Times New Roman"/>
          <w:sz w:val="28"/>
          <w:szCs w:val="28"/>
        </w:rPr>
        <w:t>,</w:t>
      </w:r>
      <w:r>
        <w:rPr>
          <w:rFonts w:ascii="Times New Roman" w:hAnsi="Times New Roman" w:cs="Times New Roman"/>
          <w:sz w:val="28"/>
          <w:szCs w:val="28"/>
        </w:rPr>
        <w:t>0 на 100 тыс. население. За 2018 год по причине смертности населения РК БСК составило 153</w:t>
      </w:r>
      <w:r w:rsidR="00880A20" w:rsidRPr="00880A20">
        <w:rPr>
          <w:rFonts w:ascii="Century" w:hAnsi="Century" w:cs="Times New Roman"/>
          <w:sz w:val="28"/>
          <w:szCs w:val="28"/>
        </w:rPr>
        <w:t>,</w:t>
      </w:r>
      <w:r>
        <w:rPr>
          <w:rFonts w:ascii="Times New Roman" w:hAnsi="Times New Roman" w:cs="Times New Roman"/>
          <w:sz w:val="28"/>
          <w:szCs w:val="28"/>
        </w:rPr>
        <w:t xml:space="preserve">6 на 100 тыс. населения с возраста 20 и старше, из них </w:t>
      </w:r>
      <w:r w:rsidR="00F45C3E">
        <w:rPr>
          <w:rFonts w:ascii="Times New Roman" w:hAnsi="Times New Roman" w:cs="Times New Roman"/>
          <w:sz w:val="28"/>
          <w:szCs w:val="28"/>
          <w:lang w:val="kk-KZ"/>
        </w:rPr>
        <w:t xml:space="preserve">артериальная гипертензия </w:t>
      </w:r>
      <w:r w:rsidR="00F45C3E">
        <w:rPr>
          <w:rFonts w:ascii="Times New Roman" w:hAnsi="Times New Roman" w:cs="Times New Roman"/>
          <w:sz w:val="28"/>
          <w:szCs w:val="28"/>
        </w:rPr>
        <w:t>(</w:t>
      </w:r>
      <w:r>
        <w:rPr>
          <w:rFonts w:ascii="Times New Roman" w:hAnsi="Times New Roman" w:cs="Times New Roman"/>
          <w:sz w:val="28"/>
          <w:szCs w:val="28"/>
        </w:rPr>
        <w:t>АГ</w:t>
      </w:r>
      <w:r w:rsidR="00F45C3E">
        <w:rPr>
          <w:rFonts w:ascii="Times New Roman" w:hAnsi="Times New Roman" w:cs="Times New Roman"/>
          <w:sz w:val="28"/>
          <w:szCs w:val="28"/>
        </w:rPr>
        <w:t>)</w:t>
      </w:r>
      <w:r>
        <w:rPr>
          <w:rFonts w:ascii="Times New Roman" w:hAnsi="Times New Roman" w:cs="Times New Roman"/>
          <w:sz w:val="28"/>
          <w:szCs w:val="28"/>
        </w:rPr>
        <w:t xml:space="preserve"> – 4,2, </w:t>
      </w:r>
      <w:r w:rsidR="003A4703">
        <w:rPr>
          <w:rFonts w:ascii="Times New Roman" w:hAnsi="Times New Roman" w:cs="Times New Roman"/>
          <w:sz w:val="28"/>
          <w:szCs w:val="28"/>
        </w:rPr>
        <w:t>острые нарушения мозгового кровообращения – 56</w:t>
      </w:r>
      <w:r w:rsidR="00880A20" w:rsidRPr="00880A20">
        <w:rPr>
          <w:rFonts w:ascii="Century" w:hAnsi="Century" w:cs="Times New Roman"/>
          <w:sz w:val="28"/>
          <w:szCs w:val="28"/>
        </w:rPr>
        <w:t>,</w:t>
      </w:r>
      <w:r w:rsidR="003A4703">
        <w:rPr>
          <w:rFonts w:ascii="Times New Roman" w:hAnsi="Times New Roman" w:cs="Times New Roman"/>
          <w:sz w:val="28"/>
          <w:szCs w:val="28"/>
        </w:rPr>
        <w:t>8</w:t>
      </w:r>
      <w:r w:rsidR="003A4703">
        <w:rPr>
          <w:rFonts w:ascii="Times New Roman" w:hAnsi="Times New Roman" w:cs="Times New Roman"/>
          <w:sz w:val="28"/>
          <w:szCs w:val="28"/>
          <w:lang w:val="kk-KZ"/>
        </w:rPr>
        <w:t>,</w:t>
      </w:r>
      <w:r w:rsidR="00426455">
        <w:rPr>
          <w:rFonts w:ascii="Times New Roman" w:hAnsi="Times New Roman" w:cs="Times New Roman"/>
          <w:sz w:val="28"/>
          <w:szCs w:val="28"/>
          <w:lang w:val="kk-KZ"/>
        </w:rPr>
        <w:t xml:space="preserve"> </w:t>
      </w:r>
      <w:r w:rsidR="00F45C3E">
        <w:rPr>
          <w:rFonts w:ascii="Times New Roman" w:hAnsi="Times New Roman" w:cs="Times New Roman"/>
          <w:sz w:val="28"/>
          <w:szCs w:val="28"/>
          <w:lang w:val="kk-KZ"/>
        </w:rPr>
        <w:t>ишемическая болезнь сердца (</w:t>
      </w:r>
      <w:r>
        <w:rPr>
          <w:rFonts w:ascii="Times New Roman" w:hAnsi="Times New Roman" w:cs="Times New Roman"/>
          <w:sz w:val="28"/>
          <w:szCs w:val="28"/>
        </w:rPr>
        <w:t>ИБС</w:t>
      </w:r>
      <w:r w:rsidR="00F45C3E">
        <w:rPr>
          <w:rFonts w:ascii="Times New Roman" w:hAnsi="Times New Roman" w:cs="Times New Roman"/>
          <w:sz w:val="28"/>
          <w:szCs w:val="28"/>
        </w:rPr>
        <w:t>)</w:t>
      </w:r>
      <w:r>
        <w:rPr>
          <w:rFonts w:ascii="Times New Roman" w:hAnsi="Times New Roman" w:cs="Times New Roman"/>
          <w:sz w:val="28"/>
          <w:szCs w:val="28"/>
        </w:rPr>
        <w:t xml:space="preserve"> – 62</w:t>
      </w:r>
      <w:r w:rsidR="00880A20" w:rsidRPr="00880A20">
        <w:rPr>
          <w:rFonts w:ascii="Century" w:hAnsi="Century" w:cs="Times New Roman"/>
          <w:sz w:val="28"/>
          <w:szCs w:val="28"/>
        </w:rPr>
        <w:t>,</w:t>
      </w:r>
      <w:r>
        <w:rPr>
          <w:rFonts w:ascii="Times New Roman" w:hAnsi="Times New Roman" w:cs="Times New Roman"/>
          <w:sz w:val="28"/>
          <w:szCs w:val="28"/>
        </w:rPr>
        <w:t>3, стенокарди</w:t>
      </w:r>
      <w:r w:rsidR="003A4703">
        <w:rPr>
          <w:rFonts w:ascii="Times New Roman" w:hAnsi="Times New Roman" w:cs="Times New Roman"/>
          <w:sz w:val="28"/>
          <w:szCs w:val="28"/>
        </w:rPr>
        <w:t>я – 1</w:t>
      </w:r>
      <w:r w:rsidR="00880A20" w:rsidRPr="00880A20">
        <w:rPr>
          <w:rFonts w:ascii="Century" w:hAnsi="Century" w:cs="Times New Roman"/>
          <w:sz w:val="28"/>
          <w:szCs w:val="28"/>
        </w:rPr>
        <w:t>,</w:t>
      </w:r>
      <w:r w:rsidR="003A4703">
        <w:rPr>
          <w:rFonts w:ascii="Times New Roman" w:hAnsi="Times New Roman" w:cs="Times New Roman"/>
          <w:sz w:val="28"/>
          <w:szCs w:val="28"/>
        </w:rPr>
        <w:t>9</w:t>
      </w:r>
      <w:r w:rsidR="00880A20" w:rsidRPr="00880A20">
        <w:rPr>
          <w:rFonts w:ascii="Century" w:hAnsi="Century" w:cs="Times New Roman"/>
          <w:sz w:val="28"/>
          <w:szCs w:val="28"/>
        </w:rPr>
        <w:t>,</w:t>
      </w:r>
      <w:r w:rsidR="003A4703">
        <w:rPr>
          <w:rFonts w:ascii="Times New Roman" w:hAnsi="Times New Roman" w:cs="Times New Roman"/>
          <w:sz w:val="28"/>
          <w:szCs w:val="28"/>
        </w:rPr>
        <w:t xml:space="preserve"> инфаркт миокарда – 8</w:t>
      </w:r>
      <w:r w:rsidR="00880A20" w:rsidRPr="002B47B7">
        <w:rPr>
          <w:rFonts w:ascii="Century" w:hAnsi="Century" w:cs="Times New Roman"/>
          <w:sz w:val="28"/>
          <w:szCs w:val="28"/>
        </w:rPr>
        <w:t>,</w:t>
      </w:r>
      <w:r w:rsidR="003A4703">
        <w:rPr>
          <w:rFonts w:ascii="Times New Roman" w:hAnsi="Times New Roman" w:cs="Times New Roman"/>
          <w:sz w:val="28"/>
          <w:szCs w:val="28"/>
        </w:rPr>
        <w:t>9</w:t>
      </w:r>
      <w:r>
        <w:rPr>
          <w:rFonts w:ascii="Times New Roman" w:hAnsi="Times New Roman" w:cs="Times New Roman"/>
          <w:sz w:val="28"/>
          <w:szCs w:val="28"/>
        </w:rPr>
        <w:t xml:space="preserve"> на 100 тыс. населения.</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2018 году Восточно-Казахстанская область занимала второе место среди других областей РК по смертности от </w:t>
      </w:r>
      <w:r w:rsidR="00847338">
        <w:rPr>
          <w:rFonts w:ascii="Times New Roman" w:hAnsi="Times New Roman" w:cs="Times New Roman"/>
          <w:sz w:val="28"/>
          <w:szCs w:val="28"/>
          <w:lang w:val="kk-KZ"/>
        </w:rPr>
        <w:t>БСК</w:t>
      </w:r>
      <w:r w:rsidR="002B47B7" w:rsidRPr="002B47B7">
        <w:rPr>
          <w:rFonts w:ascii="Century" w:hAnsi="Century" w:cs="Times New Roman"/>
          <w:sz w:val="28"/>
          <w:szCs w:val="28"/>
        </w:rPr>
        <w:t>.</w:t>
      </w:r>
      <w:r>
        <w:rPr>
          <w:rFonts w:ascii="Times New Roman" w:hAnsi="Times New Roman" w:cs="Times New Roman"/>
          <w:sz w:val="28"/>
          <w:szCs w:val="28"/>
        </w:rPr>
        <w:t xml:space="preserve"> Также растет заболеваемость БСК в РК, в 2018 году она составила 2735,5 на 100 тыс. населения, это в</w:t>
      </w:r>
      <w:r w:rsidR="000C1CBB">
        <w:rPr>
          <w:rFonts w:ascii="Times New Roman" w:hAnsi="Times New Roman" w:cs="Times New Roman"/>
          <w:sz w:val="28"/>
          <w:szCs w:val="28"/>
        </w:rPr>
        <w:t>ыше в сравнении с 2017 годом, г</w:t>
      </w:r>
      <w:r>
        <w:rPr>
          <w:rFonts w:ascii="Times New Roman" w:hAnsi="Times New Roman" w:cs="Times New Roman"/>
          <w:sz w:val="28"/>
          <w:szCs w:val="28"/>
        </w:rPr>
        <w:t>де заболеваемость тогда составила 2595,7 на 100 тыс. населения. В 2017 году Восточно–Казахстанская область занимала лидирующее положение по заболеваемости БСК, и составила 3228</w:t>
      </w:r>
      <w:r w:rsidR="002B47B7" w:rsidRPr="0011306B">
        <w:rPr>
          <w:rFonts w:ascii="Century" w:hAnsi="Century" w:cs="Times New Roman"/>
          <w:sz w:val="28"/>
          <w:szCs w:val="28"/>
        </w:rPr>
        <w:t>,</w:t>
      </w:r>
      <w:r>
        <w:rPr>
          <w:rFonts w:ascii="Times New Roman" w:hAnsi="Times New Roman" w:cs="Times New Roman"/>
          <w:sz w:val="28"/>
          <w:szCs w:val="28"/>
        </w:rPr>
        <w:t>6 на 100 тыс. населения, а в 2018 году увеличилась до 3416,3 на 100 тыс. населения и уступила первенство г. Алматы, где заболеваемость составила 3660,7 на 100 тыс. населения</w:t>
      </w:r>
      <w:r w:rsidR="00426455">
        <w:rPr>
          <w:rFonts w:ascii="Times New Roman" w:hAnsi="Times New Roman" w:cs="Times New Roman"/>
          <w:sz w:val="28"/>
          <w:szCs w:val="28"/>
        </w:rPr>
        <w:t xml:space="preserve"> (</w:t>
      </w:r>
      <w:hyperlink r:id="rId11" w:history="1">
        <w:r w:rsidR="00426455" w:rsidRPr="00BB7743">
          <w:rPr>
            <w:rStyle w:val="a3"/>
            <w:rFonts w:ascii="Times New Roman" w:hAnsi="Times New Roman" w:cs="Times New Roman"/>
            <w:sz w:val="28"/>
            <w:szCs w:val="28"/>
          </w:rPr>
          <w:t>http://www.gender.stat.gov.kz</w:t>
        </w:r>
      </w:hyperlink>
      <w:r w:rsidR="00426455" w:rsidRPr="00BB7743">
        <w:rPr>
          <w:rFonts w:ascii="Times New Roman" w:hAnsi="Times New Roman" w:cs="Times New Roman"/>
          <w:sz w:val="28"/>
          <w:szCs w:val="28"/>
        </w:rPr>
        <w:t>)</w:t>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Известно, что </w:t>
      </w:r>
      <w:r w:rsidR="00630283">
        <w:rPr>
          <w:rFonts w:ascii="Times New Roman" w:hAnsi="Times New Roman" w:cs="Times New Roman"/>
          <w:sz w:val="28"/>
          <w:szCs w:val="28"/>
        </w:rPr>
        <w:t>сердечно – сосудистые заболевания (</w:t>
      </w:r>
      <w:r>
        <w:rPr>
          <w:rFonts w:ascii="Times New Roman" w:hAnsi="Times New Roman" w:cs="Times New Roman"/>
          <w:sz w:val="28"/>
          <w:szCs w:val="28"/>
        </w:rPr>
        <w:t>ССЗ</w:t>
      </w:r>
      <w:r w:rsidR="00630283">
        <w:rPr>
          <w:rFonts w:ascii="Times New Roman" w:hAnsi="Times New Roman" w:cs="Times New Roman"/>
          <w:sz w:val="28"/>
          <w:szCs w:val="28"/>
        </w:rPr>
        <w:t>)</w:t>
      </w:r>
      <w:r>
        <w:rPr>
          <w:rFonts w:ascii="Times New Roman" w:hAnsi="Times New Roman" w:cs="Times New Roman"/>
          <w:sz w:val="28"/>
          <w:szCs w:val="28"/>
        </w:rPr>
        <w:t xml:space="preserve"> чаще развива</w:t>
      </w:r>
      <w:r w:rsidR="00251226">
        <w:rPr>
          <w:rFonts w:ascii="Times New Roman" w:hAnsi="Times New Roman" w:cs="Times New Roman"/>
          <w:sz w:val="28"/>
          <w:szCs w:val="28"/>
        </w:rPr>
        <w:t>ю</w:t>
      </w:r>
      <w:r>
        <w:rPr>
          <w:rFonts w:ascii="Times New Roman" w:hAnsi="Times New Roman" w:cs="Times New Roman"/>
          <w:sz w:val="28"/>
          <w:szCs w:val="28"/>
        </w:rPr>
        <w:t xml:space="preserve">тся у лиц </w:t>
      </w:r>
      <w:r w:rsidR="00251226">
        <w:rPr>
          <w:rFonts w:ascii="Times New Roman" w:hAnsi="Times New Roman" w:cs="Times New Roman"/>
          <w:sz w:val="28"/>
          <w:szCs w:val="28"/>
        </w:rPr>
        <w:t xml:space="preserve">с избыточным весом, ожирением, </w:t>
      </w:r>
      <w:r>
        <w:rPr>
          <w:rFonts w:ascii="Times New Roman" w:hAnsi="Times New Roman" w:cs="Times New Roman"/>
          <w:sz w:val="28"/>
          <w:szCs w:val="28"/>
        </w:rPr>
        <w:t xml:space="preserve">инсулинорезистентностью (ИР) </w:t>
      </w:r>
      <w:r w:rsidR="00251226">
        <w:rPr>
          <w:rFonts w:ascii="Times New Roman" w:hAnsi="Times New Roman" w:cs="Times New Roman"/>
          <w:sz w:val="28"/>
          <w:szCs w:val="28"/>
        </w:rPr>
        <w:t xml:space="preserve">и </w:t>
      </w:r>
      <w:r>
        <w:rPr>
          <w:rFonts w:ascii="Times New Roman" w:hAnsi="Times New Roman" w:cs="Times New Roman"/>
          <w:sz w:val="28"/>
          <w:szCs w:val="28"/>
        </w:rPr>
        <w:t>независ</w:t>
      </w:r>
      <w:r w:rsidR="00251226">
        <w:rPr>
          <w:rFonts w:ascii="Times New Roman" w:hAnsi="Times New Roman" w:cs="Times New Roman"/>
          <w:sz w:val="28"/>
          <w:szCs w:val="28"/>
        </w:rPr>
        <w:t>ят</w:t>
      </w:r>
      <w:r>
        <w:rPr>
          <w:rFonts w:ascii="Times New Roman" w:hAnsi="Times New Roman" w:cs="Times New Roman"/>
          <w:sz w:val="28"/>
          <w:szCs w:val="28"/>
        </w:rPr>
        <w:t xml:space="preserve"> от возраста пациента</w:t>
      </w:r>
      <w:r w:rsidR="00426455">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10.1007/s40292-017-0240-1","ISSN":"1120-9879","author":[{"dropping-particle":"","family":"D’Elia","given":"Lanfranco","non-dropping-particle":"","parse-names":false,"suffix":""},{"dropping-particle":"","family":"Strazzullo","given":"Pasquale","non-dropping-particle":"","parse-names":false,"suffix":""}],"container-title":"High Blood Pressure &amp; Cardiovascular Prevention","id":"ITEM-1","issue":"1","issued":{"date-parts":[["2018","3","2"]]},"page":"17-23","title":"Excess Body Weight, Insulin Resistance and Isolated Systolic Hypertension: Potential Pathophysiological Links","type":"article-journal","volume":"25"},"uris":["http://www.mendeley.com/documents/?uuid=fad02cd7-5df3-4498-bde2-4744343334d1"]}],"mendeley":{"formattedCitation":"[1]","plainTextFormattedCitation":"[1]","previouslyFormattedCitation":"[1]"},"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w:t>
      </w:r>
      <w:r w:rsidR="00EA0E64">
        <w:rPr>
          <w:rFonts w:ascii="Times New Roman" w:hAnsi="Times New Roman" w:cs="Times New Roman"/>
          <w:sz w:val="28"/>
          <w:szCs w:val="28"/>
        </w:rPr>
        <w:fldChar w:fldCharType="end"/>
      </w:r>
      <w:r w:rsidR="00F05B5D">
        <w:rPr>
          <w:rFonts w:ascii="Times New Roman" w:hAnsi="Times New Roman" w:cs="Times New Roman"/>
          <w:sz w:val="28"/>
          <w:szCs w:val="28"/>
        </w:rPr>
        <w:t>.</w:t>
      </w:r>
      <w:r>
        <w:rPr>
          <w:rFonts w:ascii="Times New Roman" w:hAnsi="Times New Roman" w:cs="Times New Roman"/>
          <w:sz w:val="28"/>
          <w:szCs w:val="28"/>
        </w:rPr>
        <w:t xml:space="preserve"> Доля </w:t>
      </w:r>
      <w:r w:rsidR="00BB7743">
        <w:rPr>
          <w:rFonts w:ascii="Times New Roman" w:hAnsi="Times New Roman" w:cs="Times New Roman"/>
          <w:sz w:val="28"/>
          <w:szCs w:val="28"/>
        </w:rPr>
        <w:t>взрослого населения,</w:t>
      </w:r>
      <w:r>
        <w:rPr>
          <w:rFonts w:ascii="Times New Roman" w:hAnsi="Times New Roman" w:cs="Times New Roman"/>
          <w:sz w:val="28"/>
          <w:szCs w:val="28"/>
        </w:rPr>
        <w:t xml:space="preserve"> страдающего ожирением в РК </w:t>
      </w:r>
      <w:r w:rsidR="00F66CAF">
        <w:rPr>
          <w:rFonts w:ascii="Times New Roman" w:hAnsi="Times New Roman" w:cs="Times New Roman"/>
          <w:sz w:val="28"/>
          <w:szCs w:val="28"/>
        </w:rPr>
        <w:t xml:space="preserve">составила в 2017 году </w:t>
      </w:r>
      <w:r>
        <w:rPr>
          <w:rFonts w:ascii="Times New Roman" w:hAnsi="Times New Roman" w:cs="Times New Roman"/>
          <w:sz w:val="28"/>
          <w:szCs w:val="28"/>
        </w:rPr>
        <w:t xml:space="preserve">0,28, а в 2018 году </w:t>
      </w:r>
      <w:r w:rsidR="00251226">
        <w:rPr>
          <w:rFonts w:ascii="Times New Roman" w:hAnsi="Times New Roman" w:cs="Times New Roman"/>
          <w:sz w:val="28"/>
          <w:szCs w:val="28"/>
        </w:rPr>
        <w:t xml:space="preserve">0,21 на 100 тыс. населения, </w:t>
      </w:r>
      <w:r w:rsidR="00DD2E72">
        <w:rPr>
          <w:rFonts w:ascii="Times New Roman" w:hAnsi="Times New Roman" w:cs="Times New Roman"/>
          <w:sz w:val="28"/>
          <w:szCs w:val="28"/>
        </w:rPr>
        <w:t>но,</w:t>
      </w:r>
      <w:r w:rsidR="00426455">
        <w:rPr>
          <w:rFonts w:ascii="Times New Roman" w:hAnsi="Times New Roman" w:cs="Times New Roman"/>
          <w:sz w:val="28"/>
          <w:szCs w:val="28"/>
        </w:rPr>
        <w:t xml:space="preserve"> </w:t>
      </w:r>
      <w:r>
        <w:rPr>
          <w:rFonts w:ascii="Times New Roman" w:hAnsi="Times New Roman" w:cs="Times New Roman"/>
          <w:sz w:val="28"/>
          <w:szCs w:val="28"/>
        </w:rPr>
        <w:t>несмотря на снижение показателей, ожирение остается актуальной проблемой здравоохранения РК</w:t>
      </w:r>
      <w:r w:rsidR="00426455">
        <w:rPr>
          <w:rFonts w:ascii="Times New Roman" w:hAnsi="Times New Roman" w:cs="Times New Roman"/>
          <w:sz w:val="28"/>
          <w:szCs w:val="28"/>
        </w:rPr>
        <w:t xml:space="preserve"> (</w:t>
      </w:r>
      <w:hyperlink r:id="rId12" w:history="1">
        <w:r w:rsidR="00426455" w:rsidRPr="00BB7743">
          <w:rPr>
            <w:rStyle w:val="a3"/>
            <w:rFonts w:ascii="Times New Roman" w:hAnsi="Times New Roman" w:cs="Times New Roman"/>
            <w:sz w:val="28"/>
            <w:szCs w:val="28"/>
          </w:rPr>
          <w:t>http://www.gender.stat.gov.kz</w:t>
        </w:r>
      </w:hyperlink>
      <w:r w:rsidR="00426455" w:rsidRPr="00BB7743">
        <w:rPr>
          <w:rFonts w:ascii="Times New Roman" w:hAnsi="Times New Roman" w:cs="Times New Roman"/>
          <w:sz w:val="28"/>
          <w:szCs w:val="28"/>
        </w:rPr>
        <w:t>)</w:t>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Распространенность ожирения и </w:t>
      </w:r>
      <w:r w:rsidR="00856390">
        <w:rPr>
          <w:rFonts w:ascii="Times New Roman" w:hAnsi="Times New Roman" w:cs="Times New Roman"/>
          <w:sz w:val="28"/>
          <w:szCs w:val="28"/>
        </w:rPr>
        <w:t>сахарного диабета (</w:t>
      </w:r>
      <w:r>
        <w:rPr>
          <w:rFonts w:ascii="Times New Roman" w:hAnsi="Times New Roman" w:cs="Times New Roman"/>
          <w:sz w:val="28"/>
          <w:szCs w:val="28"/>
        </w:rPr>
        <w:t>СД</w:t>
      </w:r>
      <w:r w:rsidR="00856390">
        <w:rPr>
          <w:rFonts w:ascii="Times New Roman" w:hAnsi="Times New Roman" w:cs="Times New Roman"/>
          <w:sz w:val="28"/>
          <w:szCs w:val="28"/>
        </w:rPr>
        <w:t>)</w:t>
      </w:r>
      <w:r>
        <w:rPr>
          <w:rFonts w:ascii="Times New Roman" w:hAnsi="Times New Roman" w:cs="Times New Roman"/>
          <w:sz w:val="28"/>
          <w:szCs w:val="28"/>
        </w:rPr>
        <w:t>, как факторов риска ССЗ, в мире увеличивается. Поэтому</w:t>
      </w:r>
      <w:r w:rsidR="00251226">
        <w:rPr>
          <w:rFonts w:ascii="Times New Roman" w:hAnsi="Times New Roman" w:cs="Times New Roman"/>
          <w:sz w:val="28"/>
          <w:szCs w:val="28"/>
        </w:rPr>
        <w:t>,</w:t>
      </w:r>
      <w:r>
        <w:rPr>
          <w:rFonts w:ascii="Times New Roman" w:hAnsi="Times New Roman" w:cs="Times New Roman"/>
          <w:sz w:val="28"/>
          <w:szCs w:val="28"/>
        </w:rPr>
        <w:t xml:space="preserve"> профилактика важна при устранении или минимизации </w:t>
      </w:r>
      <w:r w:rsidR="00251226">
        <w:rPr>
          <w:rFonts w:ascii="Times New Roman" w:hAnsi="Times New Roman" w:cs="Times New Roman"/>
          <w:sz w:val="28"/>
          <w:szCs w:val="28"/>
        </w:rPr>
        <w:t>факторов риска</w:t>
      </w:r>
      <w:r>
        <w:rPr>
          <w:rFonts w:ascii="Times New Roman" w:hAnsi="Times New Roman" w:cs="Times New Roman"/>
          <w:sz w:val="28"/>
          <w:szCs w:val="28"/>
        </w:rPr>
        <w:t xml:space="preserve"> ССЗ и связанных с ними событий</w:t>
      </w:r>
      <w:r w:rsidR="0080095F">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Journal","id":"ITEM-1","issue":"1","issued":{"date-parts":[["2020","1","1"]]},"page":"111-188","title":"2019 ESC/EAS Guidelines for the management of dyslipidaemias: lipid modification to reduce cardiovascular risk","type":"article-journal","volume":"41"},"uris":["http://www.mendeley.com/documents/?uuid=596ff8fa-459c-486e-8041-242d096c7b8b"]}],"mendeley":{"formattedCitation":"[2]","plainTextFormattedCitation":"[2]","previouslyFormattedCitation":"[2]"},"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[2]</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ИР и связанные с н</w:t>
      </w:r>
      <w:r w:rsidR="00251226">
        <w:rPr>
          <w:rFonts w:ascii="Times New Roman" w:hAnsi="Times New Roman" w:cs="Times New Roman"/>
          <w:sz w:val="28"/>
          <w:szCs w:val="28"/>
        </w:rPr>
        <w:t>ей</w:t>
      </w:r>
      <w:r w:rsidR="00426455">
        <w:rPr>
          <w:rFonts w:ascii="Times New Roman" w:hAnsi="Times New Roman" w:cs="Times New Roman"/>
          <w:sz w:val="28"/>
          <w:szCs w:val="28"/>
        </w:rPr>
        <w:t xml:space="preserve"> </w:t>
      </w:r>
      <w:r>
        <w:rPr>
          <w:rFonts w:ascii="Times New Roman" w:hAnsi="Times New Roman" w:cs="Times New Roman"/>
          <w:sz w:val="28"/>
          <w:szCs w:val="28"/>
        </w:rPr>
        <w:t>последствия</w:t>
      </w:r>
      <w:r w:rsidR="00251226">
        <w:rPr>
          <w:rFonts w:ascii="Times New Roman" w:hAnsi="Times New Roman" w:cs="Times New Roman"/>
          <w:sz w:val="28"/>
          <w:szCs w:val="28"/>
        </w:rPr>
        <w:t>,</w:t>
      </w:r>
      <w:r w:rsidR="004278BF">
        <w:rPr>
          <w:rFonts w:ascii="Times New Roman" w:hAnsi="Times New Roman" w:cs="Times New Roman"/>
          <w:sz w:val="28"/>
          <w:szCs w:val="28"/>
        </w:rPr>
        <w:t xml:space="preserve"> </w:t>
      </w:r>
      <w:r w:rsidR="00251226">
        <w:rPr>
          <w:rFonts w:ascii="Times New Roman" w:hAnsi="Times New Roman" w:cs="Times New Roman"/>
          <w:sz w:val="28"/>
          <w:szCs w:val="28"/>
        </w:rPr>
        <w:t>чаще</w:t>
      </w:r>
      <w:r w:rsidR="00426455">
        <w:rPr>
          <w:rFonts w:ascii="Times New Roman" w:hAnsi="Times New Roman" w:cs="Times New Roman"/>
          <w:sz w:val="28"/>
          <w:szCs w:val="28"/>
        </w:rPr>
        <w:t xml:space="preserve"> </w:t>
      </w:r>
      <w:r w:rsidR="00487DC6">
        <w:rPr>
          <w:rFonts w:ascii="Times New Roman" w:hAnsi="Times New Roman" w:cs="Times New Roman"/>
          <w:sz w:val="28"/>
          <w:szCs w:val="28"/>
        </w:rPr>
        <w:t>наблюдаются</w:t>
      </w:r>
      <w:r w:rsidR="00251226">
        <w:rPr>
          <w:rFonts w:ascii="Times New Roman" w:hAnsi="Times New Roman" w:cs="Times New Roman"/>
          <w:sz w:val="28"/>
          <w:szCs w:val="28"/>
        </w:rPr>
        <w:t xml:space="preserve"> в развитых странах</w:t>
      </w:r>
      <w:r w:rsidR="00487DC6">
        <w:rPr>
          <w:rFonts w:ascii="Times New Roman" w:hAnsi="Times New Roman" w:cs="Times New Roman"/>
          <w:sz w:val="28"/>
          <w:szCs w:val="28"/>
        </w:rPr>
        <w:t>,</w:t>
      </w:r>
      <w:r w:rsidR="00251226">
        <w:rPr>
          <w:rFonts w:ascii="Times New Roman" w:hAnsi="Times New Roman" w:cs="Times New Roman"/>
          <w:sz w:val="28"/>
          <w:szCs w:val="28"/>
        </w:rPr>
        <w:t xml:space="preserve"> и их </w:t>
      </w:r>
      <w:r w:rsidR="00487DC6">
        <w:rPr>
          <w:rFonts w:ascii="Times New Roman" w:hAnsi="Times New Roman" w:cs="Times New Roman"/>
          <w:sz w:val="28"/>
          <w:szCs w:val="28"/>
        </w:rPr>
        <w:t>распространенность</w:t>
      </w:r>
      <w:r>
        <w:rPr>
          <w:rFonts w:ascii="Times New Roman" w:hAnsi="Times New Roman" w:cs="Times New Roman"/>
          <w:sz w:val="28"/>
          <w:szCs w:val="28"/>
        </w:rPr>
        <w:t xml:space="preserve"> во всем мире</w:t>
      </w:r>
      <w:r w:rsidR="00487DC6">
        <w:rPr>
          <w:rFonts w:ascii="Times New Roman" w:hAnsi="Times New Roman" w:cs="Times New Roman"/>
          <w:sz w:val="28"/>
          <w:szCs w:val="28"/>
        </w:rPr>
        <w:t xml:space="preserve"> составляет от 30% до 40%</w:t>
      </w:r>
      <w:r w:rsidR="00426455">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{"citationItems":[{"id":"ITEM-1","itemData":{"DOI":"10.1001/archinte.163.4.427","ISSN":"0003-9926","PMID":"15836891","abstract":"Background The metabolic syndrome is an important cluster of coronary heart disease risk factors with common insulin resistance. The extent to which the metabolic syndrome is associated with demographic and potentially modifiable lifestyle factors in the US population is unknown. Methods Metabolic syndrome–associated factors and prevalence, as defined by Adult Treatment Panel III criteria, were evaluated in a representative US sample of 3305 black, 3477 Mexican American, and 5581 white men and nonpregnant or lactating women aged 20 years and older who participated in the cross-sectional Third National Health and Nutrition Examination Survey. Results The metabolic syndrome was present in 22.8% and 22.6% of US men and women, respectively (P= .86). The age-specific prevalence was highest in Mexican Americans and lowest in blacks of both sexes. Ethnic differences persisted even after adjusting for age, body mass index, and socioeconomic status. The metabolic syndrome was present in 4.6%, 22.4%, and 59.6% of normal-weight, overweight, and obese men, respectively, and a similar distribution was observed in women. Older age, postmenopausal status, Mexican American ethnicity, higher body mass index, current smoking, low household income, high carbohydrate intake, no alcohol consumption, and physical inactivity were associated with increased odds of the metabolic syndrome. Conclusions The metabolic syndrome is present in more than 20% of the US adult population; varies substantially by ethnicity even after adjusting for body mass index, age, socioeconomic status, and other predictor variables; and is associated with several potentially modifiable lifestyle factors. Identification and clinical management of this high-risk group is an important aspect of coronary heart disease prevention.","author":[{"dropping-particle":"","family":"Park","given":"Yong-Woo","non-dropping-particle":"","parse-names":false,"suffix":""},{"dropping-particle":"","family":"Zhu","given":"Shankuan","non-dropping-particle":"","parse-names":false,"suffix":""},{"dropping-particle":"","family":"Palaniappan","given":"Latha","non-dropping-particle":"","parse-names":false,"suffix":""},{"dropping-particle":"","family":"Heshka","given":"Stanley","non-dropping-particle":"","parse-names":false,"suffix":""},{"dropping-particle":"","family":"Carnethon","given":"Mercedes R.","non-dropping-particle":"","parse-names":false,"suffix":""},{"dropping-particle":"","family":"Heymsfield","given":"Steven B.","non-dropping-particle":"","parse-names":false,"suffix":""}],"container-title":"Archives of Internal Medicine","id":"ITEM-1","issue":"4","issued":{"date-parts":[["2003","2","24"]]},"page":"427","publisher":"American Medical Association","title":"The Metabolic Syndrome","type":"article-journal","volume":"163"},"uris":["http://www.mendeley.com/documents/?uuid=462c3220-ae1d-413d-be01-328fb9208a22"]}],"mendeley":{"formattedCitation":"[3]","plainTextFormattedCitation":"[3]","previouslyFormattedCitation":"[3]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[3]</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Распространенность ИР в разных регионах Турции составила от 11,1% до 26,2%. У турецкий женщин встречаемость ИР была выше, особенно в период менопаузы по сравнению с мужчинами – турками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{"citationItems":[{"id":"ITEM-1","itemData":{"DOI":"10.14744/ejmo.2017.02886","ISSN":"2587196X","author":[{"dropping-particle":"","family":"Kaya","given":"Ahmet","non-dropping-particle":"","parse-names":false,"suffix":""}],"container-title":"Eurasian Journal of Medicine and Oncology","id":"ITEM-1","issue":"4","issued":{"date-parts":[["2017"]]},"page":"202-206","title":"The Prevelance of Insulin Resistance In The Turkish Population Constructed with 3331 participants","type":"article-journal","volume":"1"},"uris":["http://www.mendeley.com/documents/?uuid=f3252505-e72b-4c68-90a5-7c8eeb9b8e64"]}],"mendeley":{"formattedCitation":"[4]","plainTextFormattedCitation":"[4]","previouslyFormattedCitation":"[4]"},"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[4]</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Похожие результаты распространенности были в Катаре (16,1%) и Сирии (15,6%), в Бахрейне (25,7%) и Саудовской Аравии (23,7%). Напротив, распространенность ИР была выше в регионах Средиземноморья от 30,1% до 34,2%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{"citationItems":[{"id":"ITEM-1","itemData":{"DOI":"10.14744/ejmo.2017.02886","ISSN":"2587196X","author":[{"dropping-particle":"","family":"Kaya","given":"Ahmet","non-dropping-particle":"","parse-names":false,"suffix":""}],"container-title":"Eurasian Journal of Medicine and Oncology","id":"ITEM-1","issue":"4","issued":{"date-parts":[["2017"]]},"page":"202-206","title":"The Prevelance of Insulin Resistance In The Turkish Population Constructed with 3331 participants","type":"article-journal","volume":"1"},"uris":["http://www.mendeley.com/documents/?uuid=f3252505-e72b-4c68-90a5-7c8eeb9b8e64"]}],"mendeley":{"formattedCitation":"[4]","manualFormatting":"[5, р.205]","plainTextFormattedCitation":"[4]","previouslyFormattedCitation":"[4]"},"properties":{"noteIndex":0},"schema":"https://github.com/citation-style-language/schema/raw/master/csl-citation.json"}</w:instrText>
      </w:r>
      <w:r w:rsidR="00EA0E64">
        <w:rPr>
          <w:rFonts w:ascii="Times New Roman" w:hAnsi="Times New Roman" w:cs="Times New Roman"/>
          <w:sz w:val="28"/>
          <w:szCs w:val="28"/>
        </w:rPr>
        <w:fldChar w:fldCharType="separate"/>
      </w:r>
      <w:r w:rsidR="00BE7EE4">
        <w:rPr>
          <w:rFonts w:ascii="Times New Roman" w:hAnsi="Times New Roman" w:cs="Times New Roman"/>
          <w:noProof/>
          <w:sz w:val="28"/>
          <w:szCs w:val="28"/>
        </w:rPr>
        <w:t>[4, р. 205</w:t>
      </w:r>
      <w:r w:rsidR="00132CF3" w:rsidRPr="00132CF3">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Также распространенность СД и ИР составляли 6,8% и 8,6% соответственно в исследование Бруннека, проведенное в Италии. В Индии распространенность </w:t>
      </w:r>
      <w:r>
        <w:rPr>
          <w:rFonts w:ascii="Times New Roman" w:hAnsi="Times New Roman" w:cs="Times New Roman"/>
          <w:sz w:val="28"/>
          <w:szCs w:val="28"/>
        </w:rPr>
        <w:lastRenderedPageBreak/>
        <w:t xml:space="preserve">СД составила 9,3% у мужчин и 8,1% </w:t>
      </w:r>
      <w:r w:rsidR="005D056A">
        <w:rPr>
          <w:rFonts w:ascii="Times New Roman" w:hAnsi="Times New Roman" w:cs="Times New Roman"/>
          <w:sz w:val="28"/>
          <w:szCs w:val="28"/>
        </w:rPr>
        <w:t>у женщин, а ИР 5,3% - у мужчин,</w:t>
      </w:r>
      <w:r>
        <w:rPr>
          <w:rFonts w:ascii="Times New Roman" w:hAnsi="Times New Roman" w:cs="Times New Roman"/>
          <w:sz w:val="28"/>
          <w:szCs w:val="28"/>
        </w:rPr>
        <w:t xml:space="preserve"> 4,1% - у женщин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{"citationItems":[{"id":"ITEM-1","itemData":{"DOI":"10.14744/ejmo.2017.02886","ISSN":"2587196X","author":[{"dropping-particle":"","family":"Kaya","given":"Ahmet","non-dropping-particle":"","parse-names":false,"suffix":""}],"container-title":"Eurasian Journal of Medicine and Oncology","id":"ITEM-1","issue":"4","issued":{"date-parts":[["2017"]]},"page":"202-206","title":"The Prevelance of Insulin Resistance In The Turkish Population Constructed with 3331 participants","type":"article-journal","volume":"1"},"uris":["http://www.mendeley.com/documents/?uuid=f3252505-e72b-4c68-90a5-7c8eeb9b8e64"]}],"mendeley":{"formattedCitation":"[4]","manualFormatting":"[5, р.206]","plainTextFormattedCitation":"[4]","previouslyFormattedCitation":"[4]"},"properties":{"noteIndex":0},"schema":"https://github.com/citation-style-language/schema/raw/master/csl-citation.json"}</w:instrText>
      </w:r>
      <w:r w:rsidR="00EA0E64">
        <w:rPr>
          <w:rFonts w:ascii="Times New Roman" w:hAnsi="Times New Roman" w:cs="Times New Roman"/>
          <w:sz w:val="28"/>
          <w:szCs w:val="28"/>
        </w:rPr>
        <w:fldChar w:fldCharType="separate"/>
      </w:r>
      <w:r w:rsidR="00A601D6" w:rsidRPr="00A601D6">
        <w:rPr>
          <w:rFonts w:ascii="Times New Roman" w:hAnsi="Times New Roman" w:cs="Times New Roman"/>
          <w:noProof/>
          <w:sz w:val="28"/>
          <w:szCs w:val="28"/>
        </w:rPr>
        <w:t>[</w:t>
      </w:r>
      <w:r w:rsidR="007224D7">
        <w:rPr>
          <w:rFonts w:ascii="Times New Roman" w:hAnsi="Times New Roman" w:cs="Times New Roman"/>
          <w:noProof/>
          <w:sz w:val="28"/>
          <w:szCs w:val="28"/>
        </w:rPr>
        <w:t>4</w:t>
      </w:r>
      <w:r w:rsidR="00132CF3">
        <w:rPr>
          <w:rFonts w:ascii="Times New Roman" w:hAnsi="Times New Roman" w:cs="Times New Roman"/>
          <w:noProof/>
          <w:sz w:val="28"/>
          <w:szCs w:val="28"/>
        </w:rPr>
        <w:t>, р.206</w:t>
      </w:r>
      <w:r w:rsidR="00A601D6" w:rsidRPr="00A601D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Rankinen T. с соавторами (2015) в своих исследованиях провел кластеризацию </w:t>
      </w:r>
      <w:r w:rsidR="008A2E6B">
        <w:rPr>
          <w:rFonts w:ascii="Times New Roman" w:hAnsi="Times New Roman" w:cs="Times New Roman"/>
          <w:sz w:val="28"/>
          <w:szCs w:val="28"/>
        </w:rPr>
        <w:t>факторов риска</w:t>
      </w:r>
      <w:r>
        <w:rPr>
          <w:rFonts w:ascii="Times New Roman" w:hAnsi="Times New Roman" w:cs="Times New Roman"/>
          <w:sz w:val="28"/>
          <w:szCs w:val="28"/>
        </w:rPr>
        <w:t xml:space="preserve"> ожирения, ИБС и ССЗ. Было показано, что существует генетический плейотропизм между характером жировых отложений и распространенностью </w:t>
      </w:r>
      <w:r w:rsidR="008A2E6B">
        <w:rPr>
          <w:rFonts w:ascii="Times New Roman" w:hAnsi="Times New Roman" w:cs="Times New Roman"/>
          <w:sz w:val="28"/>
          <w:szCs w:val="28"/>
        </w:rPr>
        <w:t>факторов риска</w:t>
      </w:r>
      <w:r w:rsidR="005D056A">
        <w:rPr>
          <w:rFonts w:ascii="Times New Roman" w:hAnsi="Times New Roman" w:cs="Times New Roman"/>
          <w:sz w:val="28"/>
          <w:szCs w:val="28"/>
        </w:rPr>
        <w:t xml:space="preserve"> ССЗ, т.е.</w:t>
      </w:r>
      <w:r>
        <w:rPr>
          <w:rFonts w:ascii="Times New Roman" w:hAnsi="Times New Roman" w:cs="Times New Roman"/>
          <w:sz w:val="28"/>
          <w:szCs w:val="28"/>
        </w:rPr>
        <w:t xml:space="preserve"> один ген влияет на несколько фенотипических признаков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10.1161/CIRCRESAHA.116.302888","ISSN":"0009-7330","author":[{"dropping-particle":"","family":"Rankinen","given":"Tuomo","non-dropping-particle":"","parse-names":false,"suffix":""},{"dropping-particle":"","family":"Sarzynski","given":"Mark A.","non-dropping-particle":"","parse-names":false,"suffix":""},{"dropping-particle":"","family":"Ghosh","given":"Sujoy","non-dropping-particle":"","parse-names":false,"suffix":""},{"dropping-particle":"","family":"Bouchard","given":"Claude","non-dropping-particle":"","parse-names":false,"suffix":""}],"container-title":"Circulation Research","id":"ITEM-1","issue":"5","issued":{"date-parts":[["2015","2","27"]]},"page":"909-922","title":"Are There Genetic Paths Common to Obesity, Cardiovascular Disease Outcomes, and Cardiovascular Risk Factors?","type":"article-journal","volume":"116"},"uris":["http://www.mendeley.com/documents/?uuid=af29a386-6daf-4108-8a5a-7fe742de8ab4","http://www.mendeley.com/documents/?uuid=7694f30e-00ce-4e84-8545-4c3e8332726a"]}],"mendeley":{"formattedCitation":"[5]","manualFormatting":"[5, р.206]","plainTextFormattedCitation":"[5]","previouslyFormattedCitation":"[5]"},"properties":{"noteIndex":0},"schema":"https://github.com/citation-style-language/schema/raw/master/csl-citation.json"}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[5]</w:t>
      </w:r>
      <w:r w:rsidR="00EA0E64">
        <w:rPr>
          <w:rFonts w:ascii="Times New Roman" w:hAnsi="Times New Roman" w:cs="Times New Roman"/>
          <w:sz w:val="28"/>
          <w:szCs w:val="28"/>
        </w:rPr>
        <w:fldChar w:fldCharType="end"/>
      </w:r>
      <w:r>
        <w:rPr>
          <w:rFonts w:ascii="Times New Roman" w:hAnsi="Times New Roman" w:cs="Times New Roman"/>
          <w:sz w:val="28"/>
          <w:szCs w:val="28"/>
        </w:rPr>
        <w:t>. Авторы предполагают, что для углубленного изучения риска ССЗ нужна кластеризация факторов с точки зрения оценки вариантов ДНК, генов, путей и мишеней их действий, и считают, что такие исследовани</w:t>
      </w:r>
      <w:r w:rsidR="00233471">
        <w:rPr>
          <w:rFonts w:ascii="Times New Roman" w:hAnsi="Times New Roman" w:cs="Times New Roman"/>
          <w:sz w:val="28"/>
          <w:szCs w:val="28"/>
        </w:rPr>
        <w:t>я,</w:t>
      </w:r>
      <w:r>
        <w:rPr>
          <w:rFonts w:ascii="Times New Roman" w:hAnsi="Times New Roman" w:cs="Times New Roman"/>
          <w:sz w:val="28"/>
          <w:szCs w:val="28"/>
        </w:rPr>
        <w:t xml:space="preserve"> возможно, могли бы использовать </w:t>
      </w:r>
      <w:r w:rsidR="00233471">
        <w:rPr>
          <w:rFonts w:ascii="Times New Roman" w:hAnsi="Times New Roman" w:cs="Times New Roman"/>
          <w:sz w:val="28"/>
          <w:szCs w:val="28"/>
        </w:rPr>
        <w:t xml:space="preserve">данные, </w:t>
      </w:r>
      <w:r>
        <w:rPr>
          <w:rFonts w:ascii="Times New Roman" w:hAnsi="Times New Roman" w:cs="Times New Roman"/>
          <w:sz w:val="28"/>
          <w:szCs w:val="28"/>
        </w:rPr>
        <w:t>основанные на</w:t>
      </w:r>
      <w:r w:rsidR="0080095F">
        <w:rPr>
          <w:rFonts w:ascii="Times New Roman" w:hAnsi="Times New Roman" w:cs="Times New Roman"/>
          <w:sz w:val="28"/>
          <w:szCs w:val="28"/>
        </w:rPr>
        <w:t xml:space="preserve"> </w:t>
      </w:r>
      <w:r w:rsidR="00B76ACC">
        <w:rPr>
          <w:rFonts w:ascii="Times New Roman" w:hAnsi="Times New Roman" w:cs="Times New Roman"/>
          <w:sz w:val="28"/>
          <w:szCs w:val="28"/>
        </w:rPr>
        <w:t xml:space="preserve">Genome </w:t>
      </w:r>
      <w:r w:rsidR="003E28F6">
        <w:rPr>
          <w:rFonts w:ascii="Times New Roman" w:hAnsi="Times New Roman" w:cs="Times New Roman"/>
          <w:sz w:val="28"/>
          <w:szCs w:val="28"/>
        </w:rPr>
        <w:t>–</w:t>
      </w:r>
      <w:r w:rsidR="00B76ACC">
        <w:rPr>
          <w:rFonts w:ascii="Times New Roman" w:hAnsi="Times New Roman" w:cs="Times New Roman"/>
          <w:sz w:val="28"/>
          <w:szCs w:val="28"/>
        </w:rPr>
        <w:t xml:space="preserve"> Wide</w:t>
      </w:r>
      <w:r w:rsidR="0080095F">
        <w:rPr>
          <w:rFonts w:ascii="Times New Roman" w:hAnsi="Times New Roman" w:cs="Times New Roman"/>
          <w:sz w:val="28"/>
          <w:szCs w:val="28"/>
        </w:rPr>
        <w:t xml:space="preserve"> </w:t>
      </w:r>
      <w:r w:rsidR="00B76ACC">
        <w:rPr>
          <w:rFonts w:ascii="Times New Roman" w:hAnsi="Times New Roman" w:cs="Times New Roman"/>
          <w:sz w:val="28"/>
          <w:szCs w:val="28"/>
        </w:rPr>
        <w:t>Association</w:t>
      </w:r>
      <w:r w:rsidR="0080095F">
        <w:rPr>
          <w:rFonts w:ascii="Times New Roman" w:hAnsi="Times New Roman" w:cs="Times New Roman"/>
          <w:sz w:val="28"/>
          <w:szCs w:val="28"/>
        </w:rPr>
        <w:t xml:space="preserve"> </w:t>
      </w:r>
      <w:r w:rsidR="00A055C2" w:rsidRPr="00E84E4D">
        <w:rPr>
          <w:rFonts w:ascii="Times New Roman" w:hAnsi="Times New Roman" w:cs="Times New Roman"/>
          <w:sz w:val="28"/>
          <w:szCs w:val="28"/>
          <w:lang w:val="en-US"/>
        </w:rPr>
        <w:t>Studies</w:t>
      </w:r>
      <w:r w:rsidR="005D2663">
        <w:rPr>
          <w:rFonts w:ascii="Times New Roman" w:hAnsi="Times New Roman" w:cs="Times New Roman"/>
          <w:sz w:val="28"/>
          <w:szCs w:val="28"/>
        </w:rPr>
        <w:t xml:space="preserve"> </w:t>
      </w:r>
      <w:r>
        <w:rPr>
          <w:rFonts w:ascii="Times New Roman" w:hAnsi="Times New Roman" w:cs="Times New Roman"/>
          <w:sz w:val="28"/>
          <w:szCs w:val="28"/>
        </w:rPr>
        <w:t>(</w:t>
      </w:r>
      <w:r w:rsidR="00B76ACC">
        <w:rPr>
          <w:rFonts w:ascii="Times New Roman" w:hAnsi="Times New Roman" w:cs="Times New Roman"/>
          <w:sz w:val="28"/>
          <w:szCs w:val="28"/>
        </w:rPr>
        <w:t>GWA</w:t>
      </w:r>
      <w:r w:rsidR="00A055C2">
        <w:rPr>
          <w:rFonts w:ascii="Times New Roman" w:hAnsi="Times New Roman" w:cs="Times New Roman"/>
          <w:sz w:val="28"/>
          <w:szCs w:val="28"/>
          <w:lang w:val="en-US"/>
        </w:rPr>
        <w:t>S</w:t>
      </w:r>
      <w:r>
        <w:rPr>
          <w:rFonts w:ascii="Times New Roman" w:hAnsi="Times New Roman" w:cs="Times New Roman"/>
          <w:sz w:val="28"/>
          <w:szCs w:val="28"/>
        </w:rPr>
        <w:t>) для установления эффекта взаимодействия между геном и окружающей средой с помощью плейотропных локусов ССЗ.</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Согласно баз</w:t>
      </w:r>
      <w:r w:rsidR="00233471">
        <w:rPr>
          <w:rFonts w:ascii="Times New Roman" w:hAnsi="Times New Roman" w:cs="Times New Roman"/>
          <w:sz w:val="28"/>
          <w:szCs w:val="28"/>
        </w:rPr>
        <w:t>е</w:t>
      </w:r>
      <w:r>
        <w:rPr>
          <w:rFonts w:ascii="Times New Roman" w:hAnsi="Times New Roman" w:cs="Times New Roman"/>
          <w:sz w:val="28"/>
          <w:szCs w:val="28"/>
        </w:rPr>
        <w:t xml:space="preserve"> данных</w:t>
      </w:r>
      <w:r w:rsidR="00233471">
        <w:rPr>
          <w:rFonts w:ascii="Times New Roman" w:hAnsi="Times New Roman" w:cs="Times New Roman"/>
          <w:sz w:val="28"/>
          <w:szCs w:val="28"/>
        </w:rPr>
        <w:t xml:space="preserve"> «</w:t>
      </w:r>
      <w:r>
        <w:rPr>
          <w:rFonts w:ascii="Times New Roman" w:hAnsi="Times New Roman" w:cs="Times New Roman"/>
          <w:sz w:val="28"/>
          <w:szCs w:val="28"/>
        </w:rPr>
        <w:t>The</w:t>
      </w:r>
      <w:r w:rsidR="0080095F">
        <w:rPr>
          <w:rFonts w:ascii="Times New Roman" w:hAnsi="Times New Roman" w:cs="Times New Roman"/>
          <w:sz w:val="28"/>
          <w:szCs w:val="28"/>
        </w:rPr>
        <w:t xml:space="preserve"> </w:t>
      </w:r>
      <w:r>
        <w:rPr>
          <w:rFonts w:ascii="Times New Roman" w:hAnsi="Times New Roman" w:cs="Times New Roman"/>
          <w:sz w:val="28"/>
          <w:szCs w:val="28"/>
        </w:rPr>
        <w:t>Text-mined</w:t>
      </w:r>
      <w:r w:rsidR="0080095F">
        <w:rPr>
          <w:rFonts w:ascii="Times New Roman" w:hAnsi="Times New Roman" w:cs="Times New Roman"/>
          <w:sz w:val="28"/>
          <w:szCs w:val="28"/>
        </w:rPr>
        <w:t xml:space="preserve"> </w:t>
      </w:r>
      <w:r>
        <w:rPr>
          <w:rFonts w:ascii="Times New Roman" w:hAnsi="Times New Roman" w:cs="Times New Roman"/>
          <w:sz w:val="28"/>
          <w:szCs w:val="28"/>
        </w:rPr>
        <w:t>Hypertension</w:t>
      </w:r>
      <w:r w:rsidR="0011306B" w:rsidRPr="0011306B">
        <w:rPr>
          <w:rFonts w:ascii="Century" w:hAnsi="Century" w:cs="Times New Roman"/>
          <w:sz w:val="28"/>
          <w:szCs w:val="28"/>
        </w:rPr>
        <w:t>,</w:t>
      </w:r>
      <w:r>
        <w:rPr>
          <w:rFonts w:ascii="Times New Roman" w:hAnsi="Times New Roman" w:cs="Times New Roman"/>
          <w:sz w:val="28"/>
          <w:szCs w:val="28"/>
        </w:rPr>
        <w:t xml:space="preserve"> Obesity</w:t>
      </w:r>
      <w:r w:rsidR="0080095F">
        <w:rPr>
          <w:rFonts w:ascii="Times New Roman" w:hAnsi="Times New Roman" w:cs="Times New Roman"/>
          <w:sz w:val="28"/>
          <w:szCs w:val="28"/>
        </w:rPr>
        <w:t xml:space="preserve"> </w:t>
      </w:r>
      <w:r>
        <w:rPr>
          <w:rFonts w:ascii="Times New Roman" w:hAnsi="Times New Roman" w:cs="Times New Roman"/>
          <w:sz w:val="28"/>
          <w:szCs w:val="28"/>
        </w:rPr>
        <w:t>and</w:t>
      </w:r>
      <w:r w:rsidR="0080095F">
        <w:rPr>
          <w:rFonts w:ascii="Times New Roman" w:hAnsi="Times New Roman" w:cs="Times New Roman"/>
          <w:sz w:val="28"/>
          <w:szCs w:val="28"/>
        </w:rPr>
        <w:t xml:space="preserve"> </w:t>
      </w:r>
      <w:r>
        <w:rPr>
          <w:rFonts w:ascii="Times New Roman" w:hAnsi="Times New Roman" w:cs="Times New Roman"/>
          <w:sz w:val="28"/>
          <w:szCs w:val="28"/>
        </w:rPr>
        <w:t>Diabetes</w:t>
      </w:r>
      <w:r w:rsidR="0080095F">
        <w:rPr>
          <w:rFonts w:ascii="Times New Roman" w:hAnsi="Times New Roman" w:cs="Times New Roman"/>
          <w:sz w:val="28"/>
          <w:szCs w:val="28"/>
        </w:rPr>
        <w:t xml:space="preserve"> </w:t>
      </w:r>
      <w:r>
        <w:rPr>
          <w:rFonts w:ascii="Times New Roman" w:hAnsi="Times New Roman" w:cs="Times New Roman"/>
          <w:sz w:val="28"/>
          <w:szCs w:val="28"/>
        </w:rPr>
        <w:t>candidate</w:t>
      </w:r>
      <w:r w:rsidR="0080095F">
        <w:rPr>
          <w:rFonts w:ascii="Times New Roman" w:hAnsi="Times New Roman" w:cs="Times New Roman"/>
          <w:sz w:val="28"/>
          <w:szCs w:val="28"/>
        </w:rPr>
        <w:t xml:space="preserve"> </w:t>
      </w:r>
      <w:r>
        <w:rPr>
          <w:rFonts w:ascii="Times New Roman" w:hAnsi="Times New Roman" w:cs="Times New Roman"/>
          <w:sz w:val="28"/>
          <w:szCs w:val="28"/>
        </w:rPr>
        <w:t>gene</w:t>
      </w:r>
      <w:r w:rsidR="0080095F">
        <w:rPr>
          <w:rFonts w:ascii="Times New Roman" w:hAnsi="Times New Roman" w:cs="Times New Roman"/>
          <w:sz w:val="28"/>
          <w:szCs w:val="28"/>
        </w:rPr>
        <w:t xml:space="preserve"> </w:t>
      </w:r>
      <w:r>
        <w:rPr>
          <w:rFonts w:ascii="Times New Roman" w:hAnsi="Times New Roman" w:cs="Times New Roman"/>
          <w:sz w:val="28"/>
          <w:szCs w:val="28"/>
        </w:rPr>
        <w:t>database</w:t>
      </w:r>
      <w:r w:rsidR="00233471">
        <w:rPr>
          <w:rFonts w:ascii="Times New Roman" w:hAnsi="Times New Roman" w:cs="Times New Roman"/>
          <w:sz w:val="28"/>
          <w:szCs w:val="28"/>
        </w:rPr>
        <w:t>»</w:t>
      </w:r>
      <w:r>
        <w:rPr>
          <w:rFonts w:ascii="Times New Roman" w:hAnsi="Times New Roman" w:cs="Times New Roman"/>
          <w:sz w:val="28"/>
          <w:szCs w:val="28"/>
        </w:rPr>
        <w:t xml:space="preserve"> (T-HOD) были проанализированы гены – кандидаты при АГ</w:t>
      </w:r>
      <w:r w:rsidR="0011306B" w:rsidRPr="0011306B">
        <w:rPr>
          <w:rFonts w:ascii="Century" w:hAnsi="Century" w:cs="Times New Roman"/>
          <w:sz w:val="28"/>
          <w:szCs w:val="28"/>
        </w:rPr>
        <w:t>,</w:t>
      </w:r>
      <w:r>
        <w:rPr>
          <w:rFonts w:ascii="Times New Roman" w:hAnsi="Times New Roman" w:cs="Times New Roman"/>
          <w:sz w:val="28"/>
          <w:szCs w:val="28"/>
        </w:rPr>
        <w:t xml:space="preserve"> при ожирении</w:t>
      </w:r>
      <w:r w:rsidR="0011306B" w:rsidRPr="00983DDE">
        <w:rPr>
          <w:rFonts w:ascii="Century" w:hAnsi="Century" w:cs="Times New Roman"/>
          <w:sz w:val="28"/>
          <w:szCs w:val="28"/>
        </w:rPr>
        <w:t>,</w:t>
      </w:r>
      <w:r>
        <w:rPr>
          <w:rFonts w:ascii="Times New Roman" w:hAnsi="Times New Roman" w:cs="Times New Roman"/>
          <w:sz w:val="28"/>
          <w:szCs w:val="28"/>
        </w:rPr>
        <w:t xml:space="preserve"> при СД 2 типа</w:t>
      </w:r>
      <w:r w:rsidR="005D2663">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{"citationItems":[{"id":"ITEM-1","itemData":{"DOI":"10.1093/database/bas061","ISBN":"8862278837","ISSN":"1758-0463","PMID":"23406793","abstract":"Researchers are finding it more and more difficult to follow the changing status of disease candidate genes due to the exponential increase in gene mapping studies. The Text-mined Hypertension, Obesity and Diabetes candidate gene database (T-HOD) is developed to help trace existing research on three kinds of cardiovascular diseases: hypertension, obesity and diabetes, with the last disease categorized into Type 1 and Type 2, by regularly and semiautomatically extracting HOD-related genes from newly published literature. Currently, there are 837, 835 and 821 candidate genes recorded in T-HOD for hypertension, obesity and diabetes, respectively. T-HOD employed the state-of-art text-mining technologies, including a gene/disease identification system and a disease-gene relation extraction system, which can be used to affirm the association of genes with three diseases and provide more evidence for further studies. The primary inputs of T-HOD are the three kinds of diseases, and the output is a list of disease-related genes that can be ranked based on their number of appearance, protein-protein interactions and single-nucleotide polymorphisms. Unlike manually constructed disease gene databases, the content of T-HOD is regularly updated by our text-mining system and verified by domain experts. The interface of T-HOD facilitates easy browsing for users and allows T-HOD curators to verify data efficiently. We believe that T-HOD can help life scientists in search for more disease candidate genes in a less time- and effort-consuming manner. Database URL: http://bws.iis.sinica.edu.tw/THOD.","author":[{"dropping-particle":"","family":"Dai","given":"Hong-Jie","non-dropping-particle":"","parse-names":false,"suffix":""},{"dropping-particle":"","family":"Wu","given":"Johnny Chi-Yang","non-dropping-particle":"","parse-names":false,"suffix":""},{"dropping-particle":"","family":"Tsai","given":"Richard Tzong-Han","non-dropping-particle":"","parse-names":false,"suffix":""},{"dropping-particle":"","family":"Pan","given":"Wen-Harn","non-dropping-particle":"","parse-names":false,"suffix":""},{"dropping-particle":"","family":"Hsu","given":"Wen-Lian","non-dropping-particle":"","parse-names":false,"suffix":""}],"container-title":"Database","id":"ITEM-1","issued":{"date-parts":[["2013","1","1"]]},"page":"1-8","title":"T-HOD: a literature-based candidate gene database for hypertension, obesity and diabetes","type":"article-journal","volume":"2013"},"uris":["http://www.mendeley.com/documents/?uuid=bbc261cb-94d1-4b8d-b326-785dd8205f22"]}],"mendeley":{"formattedCitation":"[6]","plainTextFormattedCitation":"[6]","previouslyFormattedCitation":"[6]"},"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[6]</w:t>
      </w:r>
      <w:r w:rsidR="00EA0E64">
        <w:rPr>
          <w:rFonts w:ascii="Times New Roman" w:hAnsi="Times New Roman" w:cs="Times New Roman"/>
          <w:sz w:val="28"/>
          <w:szCs w:val="28"/>
        </w:rPr>
        <w:fldChar w:fldCharType="end"/>
      </w:r>
      <w:r>
        <w:rPr>
          <w:rFonts w:ascii="Times New Roman" w:hAnsi="Times New Roman" w:cs="Times New Roman"/>
          <w:sz w:val="28"/>
          <w:szCs w:val="28"/>
        </w:rPr>
        <w:t>. Учитывая п</w:t>
      </w:r>
      <w:r w:rsidR="00233471">
        <w:rPr>
          <w:rFonts w:ascii="Times New Roman" w:hAnsi="Times New Roman" w:cs="Times New Roman"/>
          <w:sz w:val="28"/>
          <w:szCs w:val="28"/>
        </w:rPr>
        <w:t>атогенез дислипидемии и ИР, нами</w:t>
      </w:r>
      <w:r>
        <w:rPr>
          <w:rFonts w:ascii="Times New Roman" w:hAnsi="Times New Roman" w:cs="Times New Roman"/>
          <w:sz w:val="28"/>
          <w:szCs w:val="28"/>
        </w:rPr>
        <w:t xml:space="preserve"> были выбраны следующие гены – кандидаты: кодирующие рецептор І типа ангиотензина ІІ (</w:t>
      </w:r>
      <w:r>
        <w:rPr>
          <w:rFonts w:ascii="Times New Roman" w:hAnsi="Times New Roman" w:cs="Times New Roman"/>
          <w:i/>
          <w:sz w:val="28"/>
          <w:szCs w:val="28"/>
        </w:rPr>
        <w:t>AGTR1</w:t>
      </w:r>
      <w:r>
        <w:rPr>
          <w:rFonts w:ascii="Times New Roman" w:hAnsi="Times New Roman" w:cs="Times New Roman"/>
          <w:sz w:val="28"/>
          <w:szCs w:val="28"/>
        </w:rPr>
        <w:t>)</w:t>
      </w:r>
      <w:r w:rsidR="00983DDE">
        <w:rPr>
          <w:rFonts w:ascii="Century" w:hAnsi="Century" w:cs="Times New Roman"/>
          <w:sz w:val="28"/>
          <w:szCs w:val="28"/>
        </w:rPr>
        <w:t>;</w:t>
      </w:r>
      <w:r>
        <w:rPr>
          <w:rFonts w:ascii="Times New Roman" w:hAnsi="Times New Roman" w:cs="Times New Roman"/>
          <w:sz w:val="28"/>
          <w:szCs w:val="28"/>
        </w:rPr>
        <w:t xml:space="preserve"> синтез ангиотензиногена (</w:t>
      </w:r>
      <w:r>
        <w:rPr>
          <w:rFonts w:ascii="Times New Roman" w:hAnsi="Times New Roman" w:cs="Times New Roman"/>
          <w:i/>
          <w:sz w:val="28"/>
          <w:szCs w:val="28"/>
        </w:rPr>
        <w:t>AGT</w:t>
      </w:r>
      <w:r>
        <w:rPr>
          <w:rFonts w:ascii="Times New Roman" w:hAnsi="Times New Roman" w:cs="Times New Roman"/>
          <w:sz w:val="28"/>
          <w:szCs w:val="28"/>
        </w:rPr>
        <w:t>)</w:t>
      </w:r>
      <w:r w:rsidR="00983DDE">
        <w:rPr>
          <w:rFonts w:ascii="Century" w:hAnsi="Century" w:cs="Times New Roman"/>
          <w:sz w:val="28"/>
          <w:szCs w:val="28"/>
        </w:rPr>
        <w:t>;</w:t>
      </w:r>
      <w:r>
        <w:rPr>
          <w:rFonts w:ascii="Times New Roman" w:hAnsi="Times New Roman" w:cs="Times New Roman"/>
          <w:sz w:val="28"/>
          <w:szCs w:val="28"/>
        </w:rPr>
        <w:t xml:space="preserve"> β2 – адренорецептор (</w:t>
      </w:r>
      <w:r>
        <w:rPr>
          <w:rFonts w:ascii="Times New Roman" w:hAnsi="Times New Roman" w:cs="Times New Roman"/>
          <w:i/>
          <w:sz w:val="28"/>
          <w:szCs w:val="28"/>
        </w:rPr>
        <w:t>ADRB2</w:t>
      </w:r>
      <w:r>
        <w:rPr>
          <w:rFonts w:ascii="Times New Roman" w:hAnsi="Times New Roman" w:cs="Times New Roman"/>
          <w:sz w:val="28"/>
          <w:szCs w:val="28"/>
        </w:rPr>
        <w:t>)</w:t>
      </w:r>
      <w:r w:rsidR="00983DDE">
        <w:rPr>
          <w:rFonts w:ascii="Century" w:hAnsi="Century" w:cs="Times New Roman"/>
          <w:sz w:val="28"/>
          <w:szCs w:val="28"/>
        </w:rPr>
        <w:t>;</w:t>
      </w:r>
      <w:r>
        <w:rPr>
          <w:rFonts w:ascii="Times New Roman" w:hAnsi="Times New Roman" w:cs="Times New Roman"/>
          <w:sz w:val="28"/>
          <w:szCs w:val="28"/>
        </w:rPr>
        <w:t xml:space="preserve"> липопротеинлипазу (</w:t>
      </w:r>
      <w:r>
        <w:rPr>
          <w:rFonts w:ascii="Times New Roman" w:hAnsi="Times New Roman" w:cs="Times New Roman"/>
          <w:i/>
          <w:sz w:val="28"/>
          <w:szCs w:val="28"/>
        </w:rPr>
        <w:t>LPL</w:t>
      </w:r>
      <w:r>
        <w:rPr>
          <w:rFonts w:ascii="Times New Roman" w:hAnsi="Times New Roman" w:cs="Times New Roman"/>
          <w:sz w:val="28"/>
          <w:szCs w:val="28"/>
        </w:rPr>
        <w:t>)</w:t>
      </w:r>
      <w:r w:rsidR="00983DDE">
        <w:rPr>
          <w:rFonts w:ascii="Century" w:hAnsi="Century" w:cs="Times New Roman"/>
          <w:sz w:val="28"/>
          <w:szCs w:val="28"/>
        </w:rPr>
        <w:t>.</w:t>
      </w:r>
      <w:r>
        <w:rPr>
          <w:rFonts w:ascii="Times New Roman" w:hAnsi="Times New Roman" w:cs="Times New Roman"/>
          <w:sz w:val="28"/>
          <w:szCs w:val="28"/>
        </w:rPr>
        <w:t xml:space="preserve">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Но результаты проведенных исследований на одной популяции</w:t>
      </w:r>
      <w:r w:rsidR="00233471">
        <w:rPr>
          <w:rFonts w:ascii="Times New Roman" w:hAnsi="Times New Roman" w:cs="Times New Roman"/>
          <w:sz w:val="28"/>
          <w:szCs w:val="28"/>
        </w:rPr>
        <w:t>,</w:t>
      </w:r>
      <w:r>
        <w:rPr>
          <w:rFonts w:ascii="Times New Roman" w:hAnsi="Times New Roman" w:cs="Times New Roman"/>
          <w:sz w:val="28"/>
          <w:szCs w:val="28"/>
        </w:rPr>
        <w:t xml:space="preserve"> не могут применяться на другой популяции</w:t>
      </w:r>
      <w:r w:rsidR="005D2663">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{"citationItems":[{"id":"ITEM-1","itemData":{"abstract":"В данной работе проведена характеристика генетических вариантов, ассоциированных с гипертонией, ожирением и диабетом и проведено сравнение геномных данных 60 образцов с международной базой данных Т-HOD (The Text-mined Hypertension, Obesity and Diabetes candidate gene database (T-HOD). Проанализированы генетические варианты, выделенные из полных геномов и экзомов и показавшие ассоциацию с развитием гипертонии, ожирением и диабетом по обоим алгоритмическим предикторам патогенности мутаций PolyPhen2 и SIFT. Обнаружено семь генетических вариантов GHRL (rs4684677), MTHFR (rs1801133), OPRM1 (rs1799971), ERBB2 (rs1058808), BDNF (rs6265), PNPLA3 (rs738409), MTRR (rs1801394) генов. В дальнейшем планируется интеграция данных метаболома и кодирующих и некодирующих генетических вариантов, выявленных из геномного анализа, изменяющих уровень метаболитов в клеточной системе.","author":[{"dropping-particle":"","family":"Акильжанова А. Р., Кожамкулов У.А., Каиров У.Е., Рахимова С.Е., Ахметова А.Ж., Ережепов Д.А., Молкенов А.Б., Абилова Ж.М.","given":"Ж.Ш. Жумадилов","non-dropping-particle":"","parse-names":false,"suffix":""}],"container-title":"Original article Science &amp; Healthcare","id":"ITEM-1","issued":{"date-parts":[["2016"]]},"page":"30-42","title":"Исследование генетических вариантов, ассоциированных с гипертонией, ожирением и диабетом у лиц казахской популяции для последующего изучения взаимосвязей генетических вариантов и метаболома","type":"article-journal","volume":"5"},"uris":["http://www.mendeley.com/documents/?uuid=975a6bcf-88fa-478c-957f-a3cbfbfdf2a2"]},{"id":"ITEM-2","itemData":{"DOI":"10.1177/1470320315598697","abstract":"Abstract Introduction: The renin-angiotensin system (RAS) has been considered to play an important role in the regulation of blood pressure. This study aimed to investigate the correlation between RAS gene polymorphisms and essential hypertension (EH) in the Chinese Yi ethnic group. Materials and methods: A total of 244 EH subjects and 185 normotensive individuals from the Chinese Yi ethnic group were genotyped for AGT M235T (rs699), AT1R A1166C (rs5186), ACE I/D (rs4340) and ACE G2350A (rs4343) polymorphisms by the polymerase chain reaction (PCR)-restriction fragment length polymorphism (RFLP) method. Results: Significant differences in the allele and genotype frequency of ACE G2350A were observed between the EH cases and controls (p=0.001, 0.002). After being grouped by gender, significant differences in the allele and genotype frequency of ACE G2350A and AT1R A1166C were observed between females of the EH cases and controls (ACE G2350A: p=0.000, 0.002; AT1R A1166C: p=0.008, 0.011). After excluding the influence of multifactorial interactions, the ACE G2350A polymorphism is significantly associated with the pathogenesis of EH in the Chinese Yi ethnic group (odds ratio (OR)=1.656, 95% confidence interval (CI) 1.807–2.524, p=0.019). Conclusions: The RAS-related ACE G2350A polymorphism is associated with the pathogenesis of EH in the Chinese Yi ethnic group. Keywords","author":[{"dropping-particle":"","family":"Yang","given":"Yu-ling","non-dropping-particle":"","parse-names":false,"suffix":""},{"dropping-particle":"","family":"Mo","given":"Yan-ping","non-dropping-particle":"","parse-names":false,"suffix":""},{"dropping-particle":"","family":"He","given":"Yong-shu","non-dropping-particle":"","parse-names":false,"suffix":""},{"dropping-particle":"","family":"Yang","given":"Fang","non-dropping-particle":"","parse-names":false,"suffix":""},{"dropping-particle":"","family":"Xu","given":"Yan","non-dropping-particle":"","parse-names":false,"suffix":""},{"dropping-particle":"","family":"Li","given":"Cheng-cheng","non-dropping-particle":"","parse-names":false,"suffix":""},{"dropping-particle":"","family":"Wang","given":"Jiao","non-dropping-particle":"","parse-names":false,"suffix":""},{"dropping-particle":"","family":"Reng","given":"Hao-ming","non-dropping-particle":"","parse-names":false,"suffix":""},{"dropping-particle":"","family":"Long","given":"Li","non-dropping-particle":"","parse-names":false,"suffix":""}],"container-title":"Journal of the Renin-Angiotensin- Aldosterone System","id":"ITEM-2","issue":"0","issued":{"date-parts":[["2015"]]},"page":"975 –981","title":"Correlation between renin-angiotensin system gene polymorphisms and essential hypertension in the Chinese Yi ethnic group","type":"article-journal","volume":"0"},"uris":["http://www.mendeley.com/documents/?uuid=0a78cead-f87b-4ecf-a123-e0456802f103"]}],"mendeley":{"formattedCitation":"[7,8]","plainTextFormattedCitation":"[7,8]","previouslyFormattedCitation":"[7,8]"},"properties":{"noteIndex":0},"schema":"https://github.com/citation-style-language/schema/raw/master/csl-citation.json"}</w:instrText>
      </w:r>
      <w:r w:rsidR="00EA0E64">
        <w:rPr>
          <w:rFonts w:ascii="Times New Roman" w:hAnsi="Times New Roman" w:cs="Times New Roman"/>
          <w:sz w:val="28"/>
          <w:szCs w:val="28"/>
        </w:rPr>
        <w:fldChar w:fldCharType="separate"/>
      </w:r>
      <w:r w:rsidR="002312BD" w:rsidRPr="002312BD">
        <w:rPr>
          <w:rFonts w:ascii="Times New Roman" w:hAnsi="Times New Roman" w:cs="Times New Roman"/>
          <w:noProof/>
          <w:sz w:val="28"/>
          <w:szCs w:val="28"/>
        </w:rPr>
        <w:t>[7,8]</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Поэтому изучение роли полиморфизмов генов на риск развития дислипидемии и </w:t>
      </w:r>
      <w:r w:rsidR="0014178A">
        <w:rPr>
          <w:rFonts w:ascii="Times New Roman" w:hAnsi="Times New Roman" w:cs="Times New Roman"/>
          <w:sz w:val="28"/>
          <w:szCs w:val="28"/>
        </w:rPr>
        <w:t>ИР</w:t>
      </w:r>
      <w:r>
        <w:rPr>
          <w:rFonts w:ascii="Times New Roman" w:hAnsi="Times New Roman" w:cs="Times New Roman"/>
          <w:sz w:val="28"/>
          <w:szCs w:val="28"/>
        </w:rPr>
        <w:t xml:space="preserve"> в казахской популяции является актуальной.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Тема диссертации является значимой с научной и практической точки зрения тем, что</w:t>
      </w:r>
      <w:r w:rsidR="00F05B5D">
        <w:rPr>
          <w:rFonts w:ascii="Times New Roman" w:hAnsi="Times New Roman" w:cs="Times New Roman"/>
          <w:sz w:val="28"/>
          <w:szCs w:val="28"/>
        </w:rPr>
        <w:t xml:space="preserve"> с помощью определения полиморфизмов </w:t>
      </w:r>
      <w:r>
        <w:rPr>
          <w:rFonts w:ascii="Times New Roman" w:hAnsi="Times New Roman" w:cs="Times New Roman"/>
          <w:sz w:val="28"/>
          <w:szCs w:val="28"/>
        </w:rPr>
        <w:t xml:space="preserve">генов РААС и липидного обмена </w:t>
      </w:r>
      <w:r w:rsidR="00F05B5D">
        <w:rPr>
          <w:rFonts w:ascii="Times New Roman" w:hAnsi="Times New Roman" w:cs="Times New Roman"/>
          <w:sz w:val="28"/>
          <w:szCs w:val="28"/>
        </w:rPr>
        <w:t xml:space="preserve">возможен ранний </w:t>
      </w:r>
      <w:r>
        <w:rPr>
          <w:rFonts w:ascii="Times New Roman" w:hAnsi="Times New Roman" w:cs="Times New Roman"/>
          <w:sz w:val="28"/>
          <w:szCs w:val="28"/>
        </w:rPr>
        <w:t xml:space="preserve">прогноз развития дислипидемии и инсулинорезистентности, </w:t>
      </w:r>
      <w:r w:rsidR="00D112C4">
        <w:rPr>
          <w:rFonts w:ascii="Times New Roman" w:hAnsi="Times New Roman" w:cs="Times New Roman"/>
          <w:sz w:val="28"/>
          <w:szCs w:val="28"/>
        </w:rPr>
        <w:t>что ускорит раннюю пр</w:t>
      </w:r>
      <w:r>
        <w:rPr>
          <w:rFonts w:ascii="Times New Roman" w:hAnsi="Times New Roman" w:cs="Times New Roman"/>
          <w:sz w:val="28"/>
          <w:szCs w:val="28"/>
        </w:rPr>
        <w:t>офилактику</w:t>
      </w:r>
      <w:r w:rsidR="00D112C4">
        <w:rPr>
          <w:rFonts w:ascii="Times New Roman" w:hAnsi="Times New Roman" w:cs="Times New Roman"/>
          <w:sz w:val="28"/>
          <w:szCs w:val="28"/>
        </w:rPr>
        <w:t xml:space="preserve"> или </w:t>
      </w:r>
      <w:r>
        <w:rPr>
          <w:rFonts w:ascii="Times New Roman" w:hAnsi="Times New Roman" w:cs="Times New Roman"/>
          <w:sz w:val="28"/>
          <w:szCs w:val="28"/>
        </w:rPr>
        <w:t>замедл</w:t>
      </w:r>
      <w:r w:rsidR="00D112C4">
        <w:rPr>
          <w:rFonts w:ascii="Times New Roman" w:hAnsi="Times New Roman" w:cs="Times New Roman"/>
          <w:sz w:val="28"/>
          <w:szCs w:val="28"/>
        </w:rPr>
        <w:t>ит прогрессирование</w:t>
      </w:r>
      <w:r>
        <w:rPr>
          <w:rFonts w:ascii="Times New Roman" w:hAnsi="Times New Roman" w:cs="Times New Roman"/>
          <w:sz w:val="28"/>
          <w:szCs w:val="28"/>
        </w:rPr>
        <w:t xml:space="preserve"> и появлени</w:t>
      </w:r>
      <w:r w:rsidR="00614531">
        <w:rPr>
          <w:rFonts w:ascii="Times New Roman" w:hAnsi="Times New Roman" w:cs="Times New Roman"/>
          <w:sz w:val="28"/>
          <w:szCs w:val="28"/>
        </w:rPr>
        <w:t>я</w:t>
      </w:r>
      <w:r>
        <w:rPr>
          <w:rFonts w:ascii="Times New Roman" w:hAnsi="Times New Roman" w:cs="Times New Roman"/>
          <w:sz w:val="28"/>
          <w:szCs w:val="28"/>
        </w:rPr>
        <w:t xml:space="preserve"> осложнений этих состоянии. </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Цель исследования</w:t>
      </w:r>
      <w:r>
        <w:rPr>
          <w:rFonts w:ascii="Times New Roman" w:hAnsi="Times New Roman" w:cs="Times New Roman"/>
          <w:sz w:val="28"/>
          <w:szCs w:val="28"/>
        </w:rPr>
        <w:t xml:space="preserve"> - </w:t>
      </w:r>
      <w:r w:rsidR="00D112C4">
        <w:rPr>
          <w:rFonts w:ascii="Times New Roman" w:hAnsi="Times New Roman" w:cs="Times New Roman"/>
          <w:sz w:val="28"/>
          <w:szCs w:val="28"/>
        </w:rPr>
        <w:t>Ус</w:t>
      </w:r>
      <w:r>
        <w:rPr>
          <w:rFonts w:ascii="Times New Roman" w:hAnsi="Times New Roman" w:cs="Times New Roman"/>
          <w:sz w:val="28"/>
          <w:szCs w:val="28"/>
        </w:rPr>
        <w:t xml:space="preserve">овершенствование ранней диагностики и прогнозирования риска развития дислипидемии и инсулинорезистентности в казахской популяции путем определения полиморфизмов генов </w:t>
      </w:r>
      <w:r>
        <w:rPr>
          <w:rFonts w:ascii="Times New Roman" w:hAnsi="Times New Roman" w:cs="Times New Roman"/>
          <w:i/>
          <w:sz w:val="28"/>
          <w:szCs w:val="28"/>
        </w:rPr>
        <w:t>LPL, ADRB2, AGT, AGTR1</w:t>
      </w:r>
      <w:r>
        <w:rPr>
          <w:rFonts w:ascii="Times New Roman" w:hAnsi="Times New Roman" w:cs="Times New Roman"/>
          <w:sz w:val="28"/>
          <w:szCs w:val="28"/>
        </w:rPr>
        <w:t xml:space="preserve"> и разработкой профилактических мероприятий.</w:t>
      </w:r>
    </w:p>
    <w:p w:rsidR="00AB12B3" w:rsidRDefault="00AB12B3" w:rsidP="00AB12B3">
      <w:pPr>
        <w:spacing w:after="0" w:line="240" w:lineRule="auto"/>
        <w:ind w:firstLine="360"/>
        <w:jc w:val="both"/>
        <w:rPr>
          <w:rFonts w:ascii="Times New Roman" w:hAnsi="Times New Roman" w:cs="Times New Roman"/>
          <w:b/>
          <w:sz w:val="28"/>
          <w:szCs w:val="28"/>
        </w:rPr>
      </w:pPr>
      <w:r>
        <w:rPr>
          <w:rFonts w:ascii="Times New Roman" w:hAnsi="Times New Roman" w:cs="Times New Roman"/>
          <w:b/>
          <w:sz w:val="28"/>
          <w:szCs w:val="28"/>
        </w:rPr>
        <w:t>Задачи исследования</w:t>
      </w:r>
    </w:p>
    <w:p w:rsidR="00AB12B3" w:rsidRDefault="00AB12B3" w:rsidP="00AB12B3">
      <w:pPr>
        <w:pStyle w:val="af4"/>
        <w:numPr>
          <w:ilvl w:val="0"/>
          <w:numId w:val="2"/>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Изучить распространенность полиморфных вариантов генов </w:t>
      </w:r>
      <w:r>
        <w:rPr>
          <w:rFonts w:ascii="Times New Roman" w:hAnsi="Times New Roman"/>
          <w:i/>
          <w:sz w:val="28"/>
          <w:szCs w:val="28"/>
        </w:rPr>
        <w:t xml:space="preserve">LPL </w:t>
      </w:r>
      <w:r>
        <w:rPr>
          <w:rFonts w:ascii="Times New Roman" w:hAnsi="Times New Roman"/>
          <w:sz w:val="28"/>
          <w:szCs w:val="28"/>
        </w:rPr>
        <w:t xml:space="preserve">Ser447Ter (rs328), </w:t>
      </w:r>
      <w:r>
        <w:rPr>
          <w:rFonts w:ascii="Times New Roman" w:hAnsi="Times New Roman"/>
          <w:i/>
          <w:sz w:val="28"/>
          <w:szCs w:val="28"/>
        </w:rPr>
        <w:t xml:space="preserve">ADRB2 </w:t>
      </w:r>
      <w:r>
        <w:rPr>
          <w:rFonts w:ascii="Times New Roman" w:hAnsi="Times New Roman"/>
          <w:sz w:val="28"/>
          <w:szCs w:val="28"/>
        </w:rPr>
        <w:t>Gln27Glu (rs1042714),</w:t>
      </w:r>
      <w:r>
        <w:rPr>
          <w:rFonts w:ascii="Times New Roman" w:hAnsi="Times New Roman"/>
          <w:i/>
          <w:sz w:val="28"/>
          <w:szCs w:val="28"/>
        </w:rPr>
        <w:t xml:space="preserve"> AGT </w:t>
      </w:r>
      <w:r>
        <w:rPr>
          <w:rFonts w:ascii="Times New Roman" w:hAnsi="Times New Roman"/>
          <w:sz w:val="28"/>
          <w:szCs w:val="28"/>
        </w:rPr>
        <w:t>Thr174Met (rs4762),</w:t>
      </w:r>
      <w:r>
        <w:rPr>
          <w:rFonts w:ascii="Times New Roman" w:hAnsi="Times New Roman"/>
          <w:i/>
          <w:sz w:val="28"/>
          <w:szCs w:val="28"/>
        </w:rPr>
        <w:t xml:space="preserve"> AGTR1 </w:t>
      </w:r>
      <w:r>
        <w:rPr>
          <w:rFonts w:ascii="Times New Roman" w:hAnsi="Times New Roman"/>
          <w:sz w:val="28"/>
          <w:szCs w:val="28"/>
        </w:rPr>
        <w:t>A1166C (rs5186)</w:t>
      </w:r>
      <w:r>
        <w:rPr>
          <w:rFonts w:ascii="Times New Roman" w:hAnsi="Times New Roman" w:cs="Times New Roman"/>
          <w:sz w:val="28"/>
          <w:szCs w:val="28"/>
        </w:rPr>
        <w:t xml:space="preserve"> у пациентов с дислипидеми</w:t>
      </w:r>
      <w:r w:rsidR="0075451C">
        <w:rPr>
          <w:rFonts w:ascii="Times New Roman" w:hAnsi="Times New Roman" w:cs="Times New Roman"/>
          <w:sz w:val="28"/>
          <w:szCs w:val="28"/>
        </w:rPr>
        <w:t>ей</w:t>
      </w:r>
      <w:r>
        <w:rPr>
          <w:rFonts w:ascii="Times New Roman" w:hAnsi="Times New Roman" w:cs="Times New Roman"/>
          <w:sz w:val="28"/>
          <w:szCs w:val="28"/>
        </w:rPr>
        <w:t xml:space="preserve"> и инсулинорезистентност</w:t>
      </w:r>
      <w:r w:rsidR="0075451C">
        <w:rPr>
          <w:rFonts w:ascii="Times New Roman" w:hAnsi="Times New Roman" w:cs="Times New Roman"/>
          <w:sz w:val="28"/>
          <w:szCs w:val="28"/>
        </w:rPr>
        <w:t>ью</w:t>
      </w:r>
      <w:r>
        <w:rPr>
          <w:rFonts w:ascii="Times New Roman" w:hAnsi="Times New Roman" w:cs="Times New Roman"/>
          <w:sz w:val="28"/>
          <w:szCs w:val="28"/>
        </w:rPr>
        <w:t xml:space="preserve"> казахской популяции.</w:t>
      </w:r>
    </w:p>
    <w:p w:rsidR="00AB12B3" w:rsidRDefault="00AB12B3" w:rsidP="00AB12B3">
      <w:pPr>
        <w:pStyle w:val="af4"/>
        <w:numPr>
          <w:ilvl w:val="0"/>
          <w:numId w:val="2"/>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Оценить взаимосвязи полиморфизмов генов</w:t>
      </w:r>
      <w:r w:rsidR="005D2663">
        <w:rPr>
          <w:rFonts w:ascii="Times New Roman" w:hAnsi="Times New Roman" w:cs="Times New Roman"/>
          <w:sz w:val="28"/>
          <w:szCs w:val="28"/>
        </w:rPr>
        <w:t>,</w:t>
      </w:r>
      <w:r>
        <w:rPr>
          <w:rFonts w:ascii="Times New Roman" w:hAnsi="Times New Roman" w:cs="Times New Roman"/>
          <w:sz w:val="28"/>
          <w:szCs w:val="28"/>
        </w:rPr>
        <w:t xml:space="preserve"> ассоциированных с нарушениями липидного обмена у пациентов с дислипидемией и инсулинорезистентностью.</w:t>
      </w:r>
    </w:p>
    <w:p w:rsidR="00AB12B3" w:rsidRDefault="00AB12B3" w:rsidP="00AB12B3">
      <w:pPr>
        <w:pStyle w:val="af4"/>
        <w:numPr>
          <w:ilvl w:val="0"/>
          <w:numId w:val="2"/>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Разработать алгоритм ранней диагностики и прогнозирования развития дислипидемии и инсулинорезистентности</w:t>
      </w:r>
      <w:r w:rsidR="0075451C">
        <w:rPr>
          <w:rFonts w:ascii="Times New Roman" w:hAnsi="Times New Roman" w:cs="Times New Roman"/>
          <w:sz w:val="28"/>
          <w:szCs w:val="28"/>
        </w:rPr>
        <w:t>.</w:t>
      </w:r>
    </w:p>
    <w:p w:rsidR="00AB12B3" w:rsidRDefault="00AB12B3" w:rsidP="00AB12B3">
      <w:pPr>
        <w:spacing w:after="0" w:line="240" w:lineRule="auto"/>
        <w:ind w:firstLine="360"/>
        <w:jc w:val="both"/>
        <w:rPr>
          <w:rFonts w:ascii="Times New Roman" w:hAnsi="Times New Roman" w:cs="Times New Roman"/>
          <w:sz w:val="28"/>
          <w:szCs w:val="28"/>
        </w:rPr>
      </w:pPr>
      <w:r>
        <w:rPr>
          <w:rFonts w:ascii="Times New Roman" w:hAnsi="Times New Roman" w:cs="Times New Roman"/>
          <w:b/>
          <w:sz w:val="28"/>
          <w:szCs w:val="28"/>
        </w:rPr>
        <w:t>Объект исследования</w:t>
      </w:r>
    </w:p>
    <w:p w:rsidR="00AB12B3" w:rsidRDefault="00AB12B3" w:rsidP="00AB12B3">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В исследовании приняло участие 580 лиц казахской национальности в возрасте от 18 до 65 лет. Из них 281 мужчин и 299 женщин</w:t>
      </w:r>
      <w:r w:rsidR="006C7F8C">
        <w:rPr>
          <w:rFonts w:ascii="Century" w:hAnsi="Century" w:cs="Times New Roman"/>
          <w:sz w:val="28"/>
          <w:szCs w:val="28"/>
        </w:rPr>
        <w:t>,</w:t>
      </w:r>
      <w:r>
        <w:rPr>
          <w:rFonts w:ascii="Times New Roman" w:hAnsi="Times New Roman" w:cs="Times New Roman"/>
          <w:sz w:val="28"/>
          <w:szCs w:val="28"/>
        </w:rPr>
        <w:t xml:space="preserve"> средний возраст для мужчин составил 47</w:t>
      </w:r>
      <w:r w:rsidR="00630283">
        <w:rPr>
          <w:rFonts w:ascii="Times New Roman" w:hAnsi="Times New Roman" w:cs="Times New Roman"/>
          <w:sz w:val="28"/>
          <w:szCs w:val="28"/>
        </w:rPr>
        <w:t>±18</w:t>
      </w:r>
      <w:r>
        <w:rPr>
          <w:rFonts w:ascii="Times New Roman" w:hAnsi="Times New Roman" w:cs="Times New Roman"/>
          <w:sz w:val="28"/>
          <w:szCs w:val="28"/>
        </w:rPr>
        <w:t xml:space="preserve"> лет</w:t>
      </w:r>
      <w:r w:rsidR="006C7F8C">
        <w:rPr>
          <w:rFonts w:ascii="Century" w:hAnsi="Century" w:cs="Times New Roman"/>
          <w:sz w:val="28"/>
          <w:szCs w:val="28"/>
        </w:rPr>
        <w:t>,</w:t>
      </w:r>
      <w:r>
        <w:rPr>
          <w:rFonts w:ascii="Times New Roman" w:hAnsi="Times New Roman" w:cs="Times New Roman"/>
          <w:sz w:val="28"/>
          <w:szCs w:val="28"/>
        </w:rPr>
        <w:t xml:space="preserve"> а для женщин – 45</w:t>
      </w:r>
      <w:r w:rsidR="00630283">
        <w:rPr>
          <w:rFonts w:ascii="Times New Roman" w:hAnsi="Times New Roman" w:cs="Times New Roman"/>
          <w:sz w:val="28"/>
          <w:szCs w:val="28"/>
        </w:rPr>
        <w:t>±16</w:t>
      </w:r>
      <w:r w:rsidR="0080095F">
        <w:rPr>
          <w:rFonts w:ascii="Times New Roman" w:hAnsi="Times New Roman" w:cs="Times New Roman"/>
          <w:sz w:val="28"/>
          <w:szCs w:val="28"/>
        </w:rPr>
        <w:t xml:space="preserve"> </w:t>
      </w:r>
      <w:r>
        <w:rPr>
          <w:rFonts w:ascii="Times New Roman" w:hAnsi="Times New Roman" w:cs="Times New Roman"/>
          <w:sz w:val="28"/>
          <w:szCs w:val="28"/>
        </w:rPr>
        <w:t>лет</w:t>
      </w:r>
      <w:r w:rsidR="006C7F8C">
        <w:rPr>
          <w:rFonts w:ascii="Century" w:hAnsi="Century" w:cs="Times New Roman"/>
          <w:sz w:val="28"/>
          <w:szCs w:val="28"/>
        </w:rPr>
        <w:t>.</w:t>
      </w:r>
      <w:r>
        <w:rPr>
          <w:rFonts w:ascii="Times New Roman" w:hAnsi="Times New Roman" w:cs="Times New Roman"/>
          <w:sz w:val="28"/>
          <w:szCs w:val="28"/>
        </w:rPr>
        <w:t xml:space="preserve"> Расчет выборки был проведен с помощью калькулятора Epiinfo</w:t>
      </w:r>
      <w:r w:rsidR="00DC1516">
        <w:rPr>
          <w:rFonts w:ascii="Times New Roman" w:hAnsi="Times New Roman" w:cs="Times New Roman"/>
          <w:sz w:val="28"/>
          <w:szCs w:val="28"/>
        </w:rPr>
        <w:t xml:space="preserve"> 7.0</w:t>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Методы исследования </w:t>
      </w:r>
    </w:p>
    <w:p w:rsidR="00DC1516" w:rsidRPr="00DC1516" w:rsidRDefault="00DC1516" w:rsidP="00DC1516">
      <w:pPr>
        <w:pStyle w:val="af4"/>
        <w:numPr>
          <w:ilvl w:val="0"/>
          <w:numId w:val="18"/>
        </w:numPr>
        <w:spacing w:after="0" w:line="240" w:lineRule="auto"/>
        <w:ind w:left="340"/>
        <w:jc w:val="both"/>
        <w:rPr>
          <w:rFonts w:ascii="Times New Roman" w:hAnsi="Times New Roman" w:cs="Times New Roman"/>
          <w:sz w:val="28"/>
          <w:szCs w:val="28"/>
        </w:rPr>
      </w:pPr>
      <w:r w:rsidRPr="00DC1516">
        <w:rPr>
          <w:rFonts w:ascii="Times New Roman" w:hAnsi="Times New Roman" w:cs="Times New Roman"/>
          <w:sz w:val="28"/>
          <w:szCs w:val="28"/>
        </w:rPr>
        <w:t>Молекулярно – генетическое исследование полиморфизмов</w:t>
      </w:r>
      <w:r w:rsidR="003A4703">
        <w:rPr>
          <w:rFonts w:ascii="Times New Roman" w:hAnsi="Times New Roman" w:cs="Times New Roman"/>
          <w:sz w:val="28"/>
          <w:szCs w:val="28"/>
          <w:lang w:val="kk-KZ"/>
        </w:rPr>
        <w:t xml:space="preserve"> генов</w:t>
      </w:r>
      <w:r w:rsidRPr="00DC1516">
        <w:rPr>
          <w:rFonts w:ascii="Times New Roman" w:hAnsi="Times New Roman" w:cs="Times New Roman"/>
          <w:sz w:val="28"/>
          <w:szCs w:val="28"/>
        </w:rPr>
        <w:t xml:space="preserve"> методом полимеразной цепной реакции (ПЦР) в режиме реального времени - на базе Лаборатории коллективного пользования НАО «Медицинского университета Караганды» г. Караганда, РК (Приложения А, Б).</w:t>
      </w:r>
    </w:p>
    <w:p w:rsidR="00DC1516" w:rsidRPr="00DC1516" w:rsidRDefault="00DC1516" w:rsidP="00DC1516">
      <w:pPr>
        <w:pStyle w:val="a8"/>
        <w:numPr>
          <w:ilvl w:val="0"/>
          <w:numId w:val="18"/>
        </w:numPr>
        <w:spacing w:after="0"/>
        <w:ind w:left="340"/>
        <w:jc w:val="both"/>
        <w:rPr>
          <w:rFonts w:ascii="Times New Roman" w:hAnsi="Times New Roman"/>
          <w:sz w:val="28"/>
          <w:szCs w:val="28"/>
        </w:rPr>
      </w:pPr>
      <w:r w:rsidRPr="00DC1516">
        <w:rPr>
          <w:rFonts w:ascii="Times New Roman" w:hAnsi="Times New Roman"/>
          <w:sz w:val="28"/>
          <w:szCs w:val="28"/>
        </w:rPr>
        <w:t xml:space="preserve">Выделение ДНК, измерены качество и количество ДНК на базе </w:t>
      </w:r>
      <w:r>
        <w:rPr>
          <w:rFonts w:ascii="Times New Roman" w:hAnsi="Times New Roman"/>
          <w:sz w:val="28"/>
          <w:szCs w:val="28"/>
        </w:rPr>
        <w:t>Центра научно-исследовательской лаборатории (ЦНИЛ) НАО «Медицинского университета Семей (МУС)»</w:t>
      </w:r>
      <w:r w:rsidR="0080095F">
        <w:rPr>
          <w:rFonts w:ascii="Times New Roman" w:hAnsi="Times New Roman"/>
          <w:sz w:val="28"/>
          <w:szCs w:val="28"/>
        </w:rPr>
        <w:t xml:space="preserve"> </w:t>
      </w:r>
      <w:r w:rsidR="005D550D" w:rsidRPr="00DC1516">
        <w:rPr>
          <w:rFonts w:ascii="Times New Roman" w:hAnsi="Times New Roman"/>
          <w:sz w:val="28"/>
          <w:szCs w:val="28"/>
        </w:rPr>
        <w:t>г. Семей</w:t>
      </w:r>
      <w:r w:rsidR="005D550D">
        <w:rPr>
          <w:rFonts w:ascii="Times New Roman" w:hAnsi="Times New Roman"/>
          <w:sz w:val="28"/>
          <w:szCs w:val="28"/>
        </w:rPr>
        <w:t>, РК.</w:t>
      </w:r>
    </w:p>
    <w:p w:rsidR="00DC1516" w:rsidRPr="00DC1516" w:rsidRDefault="00DC1516" w:rsidP="00DC1516">
      <w:pPr>
        <w:pStyle w:val="a8"/>
        <w:numPr>
          <w:ilvl w:val="0"/>
          <w:numId w:val="18"/>
        </w:numPr>
        <w:spacing w:after="0"/>
        <w:ind w:left="340"/>
        <w:jc w:val="both"/>
        <w:rPr>
          <w:rFonts w:ascii="Times New Roman" w:hAnsi="Times New Roman"/>
          <w:sz w:val="28"/>
          <w:szCs w:val="28"/>
        </w:rPr>
      </w:pPr>
      <w:r w:rsidRPr="00DC1516">
        <w:rPr>
          <w:rFonts w:ascii="Times New Roman" w:hAnsi="Times New Roman"/>
          <w:sz w:val="28"/>
          <w:szCs w:val="28"/>
        </w:rPr>
        <w:t xml:space="preserve"> Биохимический анализ крови: липидный спектр (общий холестерин (ОХС), ЛПВП, ЛПНП и триглицериды (ТГ)</w:t>
      </w:r>
      <w:r w:rsidR="005D550D">
        <w:rPr>
          <w:rFonts w:ascii="Times New Roman" w:hAnsi="Times New Roman"/>
          <w:sz w:val="28"/>
          <w:szCs w:val="28"/>
        </w:rPr>
        <w:t>)</w:t>
      </w:r>
      <w:r w:rsidRPr="00DC1516">
        <w:rPr>
          <w:rFonts w:ascii="Times New Roman" w:hAnsi="Times New Roman"/>
          <w:sz w:val="28"/>
          <w:szCs w:val="28"/>
        </w:rPr>
        <w:t>, глюкоза плазмы – на базе ЦНИЛ НАО МУС</w:t>
      </w:r>
      <w:r w:rsidR="000F3DC9" w:rsidRPr="000F3DC9">
        <w:rPr>
          <w:rFonts w:ascii="Times New Roman" w:hAnsi="Times New Roman"/>
          <w:sz w:val="28"/>
          <w:szCs w:val="28"/>
        </w:rPr>
        <w:t xml:space="preserve"> </w:t>
      </w:r>
      <w:r w:rsidR="005D550D" w:rsidRPr="00DC1516">
        <w:rPr>
          <w:rFonts w:ascii="Times New Roman" w:hAnsi="Times New Roman"/>
          <w:sz w:val="28"/>
          <w:szCs w:val="28"/>
        </w:rPr>
        <w:t>г. Семей</w:t>
      </w:r>
      <w:r w:rsidR="005D550D">
        <w:rPr>
          <w:rFonts w:ascii="Times New Roman" w:hAnsi="Times New Roman"/>
          <w:sz w:val="28"/>
          <w:szCs w:val="28"/>
        </w:rPr>
        <w:t>, РК.</w:t>
      </w:r>
    </w:p>
    <w:p w:rsidR="00DC1516" w:rsidRPr="00DC1516" w:rsidRDefault="00DC1516" w:rsidP="00DC1516">
      <w:pPr>
        <w:pStyle w:val="a8"/>
        <w:numPr>
          <w:ilvl w:val="0"/>
          <w:numId w:val="18"/>
        </w:numPr>
        <w:spacing w:after="0"/>
        <w:ind w:left="340"/>
        <w:jc w:val="both"/>
        <w:rPr>
          <w:rFonts w:ascii="Times New Roman" w:hAnsi="Times New Roman"/>
          <w:sz w:val="28"/>
          <w:szCs w:val="28"/>
        </w:rPr>
      </w:pPr>
      <w:r w:rsidRPr="00DC1516">
        <w:rPr>
          <w:rFonts w:ascii="Times New Roman" w:hAnsi="Times New Roman"/>
          <w:sz w:val="28"/>
          <w:szCs w:val="28"/>
        </w:rPr>
        <w:t>Аполипопротеин</w:t>
      </w:r>
      <w:r w:rsidR="005D550D">
        <w:rPr>
          <w:rFonts w:ascii="Times New Roman" w:hAnsi="Times New Roman"/>
          <w:sz w:val="28"/>
          <w:szCs w:val="28"/>
        </w:rPr>
        <w:t>ов</w:t>
      </w:r>
      <w:r w:rsidRPr="00DC1516">
        <w:rPr>
          <w:rFonts w:ascii="Times New Roman" w:hAnsi="Times New Roman"/>
          <w:sz w:val="28"/>
          <w:szCs w:val="28"/>
        </w:rPr>
        <w:t xml:space="preserve"> В (апоВ)</w:t>
      </w:r>
      <w:r w:rsidR="005D550D">
        <w:rPr>
          <w:rFonts w:ascii="Times New Roman" w:hAnsi="Times New Roman"/>
          <w:sz w:val="28"/>
          <w:szCs w:val="28"/>
        </w:rPr>
        <w:t xml:space="preserve"> и</w:t>
      </w:r>
      <w:r w:rsidRPr="00DC1516">
        <w:rPr>
          <w:rFonts w:ascii="Times New Roman" w:hAnsi="Times New Roman"/>
          <w:sz w:val="28"/>
          <w:szCs w:val="28"/>
        </w:rPr>
        <w:t xml:space="preserve"> А1 (апоА1), инсулин плазмы – в Клинико-диагностической лаборатории «Олимп» г. Семей</w:t>
      </w:r>
      <w:r w:rsidR="005D550D">
        <w:rPr>
          <w:rFonts w:ascii="Times New Roman" w:hAnsi="Times New Roman"/>
          <w:sz w:val="28"/>
          <w:szCs w:val="28"/>
        </w:rPr>
        <w:t>, РК</w:t>
      </w:r>
      <w:r w:rsidRPr="00DC1516">
        <w:rPr>
          <w:rFonts w:ascii="Times New Roman" w:hAnsi="Times New Roman"/>
          <w:sz w:val="28"/>
          <w:szCs w:val="28"/>
        </w:rPr>
        <w:t xml:space="preserve">. </w:t>
      </w:r>
    </w:p>
    <w:p w:rsidR="00AB12B3" w:rsidRDefault="006729C7" w:rsidP="002455A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Локальным</w:t>
      </w:r>
      <w:r w:rsidR="005D2663">
        <w:rPr>
          <w:rFonts w:ascii="Times New Roman" w:hAnsi="Times New Roman" w:cs="Times New Roman"/>
          <w:sz w:val="28"/>
          <w:szCs w:val="28"/>
        </w:rPr>
        <w:t xml:space="preserve"> </w:t>
      </w:r>
      <w:r>
        <w:rPr>
          <w:rFonts w:ascii="Times New Roman" w:hAnsi="Times New Roman" w:cs="Times New Roman"/>
          <w:sz w:val="28"/>
          <w:szCs w:val="28"/>
        </w:rPr>
        <w:t>этическим комитетом НАО МУС</w:t>
      </w:r>
      <w:r w:rsidR="005D2663">
        <w:rPr>
          <w:rFonts w:ascii="Times New Roman" w:hAnsi="Times New Roman" w:cs="Times New Roman"/>
          <w:sz w:val="28"/>
          <w:szCs w:val="28"/>
        </w:rPr>
        <w:t xml:space="preserve"> </w:t>
      </w:r>
      <w:r>
        <w:rPr>
          <w:rFonts w:ascii="Times New Roman" w:hAnsi="Times New Roman" w:cs="Times New Roman"/>
          <w:sz w:val="28"/>
          <w:szCs w:val="28"/>
          <w:lang w:val="kk-KZ"/>
        </w:rPr>
        <w:t xml:space="preserve">был </w:t>
      </w:r>
      <w:r>
        <w:rPr>
          <w:rFonts w:ascii="Times New Roman" w:hAnsi="Times New Roman" w:cs="Times New Roman"/>
          <w:sz w:val="28"/>
          <w:szCs w:val="28"/>
        </w:rPr>
        <w:t xml:space="preserve">одобрен </w:t>
      </w:r>
      <w:r>
        <w:rPr>
          <w:rFonts w:ascii="Times New Roman" w:hAnsi="Times New Roman" w:cs="Times New Roman"/>
          <w:sz w:val="28"/>
          <w:szCs w:val="28"/>
          <w:lang w:val="kk-KZ"/>
        </w:rPr>
        <w:t>п</w:t>
      </w:r>
      <w:r w:rsidR="00AB12B3">
        <w:rPr>
          <w:rFonts w:ascii="Times New Roman" w:hAnsi="Times New Roman" w:cs="Times New Roman"/>
          <w:sz w:val="28"/>
          <w:szCs w:val="28"/>
        </w:rPr>
        <w:t>ротокол исследования (протокол №11 от 28.06.2019), исследование проведено согласно принципами Хельсин</w:t>
      </w:r>
      <w:r w:rsidR="005E38B1">
        <w:rPr>
          <w:rFonts w:ascii="Times New Roman" w:hAnsi="Times New Roman" w:cs="Times New Roman"/>
          <w:sz w:val="28"/>
          <w:szCs w:val="28"/>
          <w:lang w:val="kk-KZ"/>
        </w:rPr>
        <w:t>к</w:t>
      </w:r>
      <w:r w:rsidR="00AB12B3">
        <w:rPr>
          <w:rFonts w:ascii="Times New Roman" w:hAnsi="Times New Roman" w:cs="Times New Roman"/>
          <w:sz w:val="28"/>
          <w:szCs w:val="28"/>
        </w:rPr>
        <w:t>ской декларации Всемирной медицинской ассоциации</w:t>
      </w:r>
      <w:r w:rsidR="005D2663">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{"citationItems":[{"id":"ITEM-1","itemData":{"DOI":"10.1007/978-3-211-89836-9_367","ISSN":"0277-8459","PMID":"11642954","abstract":"Recommendations guiding physicians in biomedical research involving human subjects.","author":[{"dropping-particle":"","family":"World Medical Association","given":"","non-dropping-particle":"","parse-names":false,"suffix":""}],"container-title":"Law, medicine &amp; health care : a publication of the American Society of Law &amp; Medicine","id":"ITEM-1","issue":"3-4","issued":{"date-parts":[["2009"]]},"page":"264-5","publisher":"Springer Vienna","publisher-place":"Vienna","title":"Declaration of Helsinki.","type":"article-journal","volume":"19"},"uris":["http://www.mendeley.com/documents/?uuid=12734156-79c5-46ea-ad85-5086452cfe56"]}],"mendeley":{"formattedCitation":"[9]","plainTextFormattedCitation":"[9]","previouslyFormattedCitation":"[9]"},"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[9]</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Всем пациентам была предоставлена информация о ходе исследования и предстоящих процедурах, </w:t>
      </w:r>
      <w:r w:rsidR="0075451C">
        <w:rPr>
          <w:rFonts w:ascii="Times New Roman" w:hAnsi="Times New Roman" w:cs="Times New Roman"/>
          <w:sz w:val="28"/>
          <w:szCs w:val="28"/>
        </w:rPr>
        <w:t>и каждый участник подписал</w:t>
      </w:r>
      <w:r w:rsidR="00AB12B3">
        <w:rPr>
          <w:rFonts w:ascii="Times New Roman" w:hAnsi="Times New Roman" w:cs="Times New Roman"/>
          <w:sz w:val="28"/>
          <w:szCs w:val="28"/>
        </w:rPr>
        <w:t xml:space="preserve"> информированное письменное согласие.</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Работа выполнена в рамках стартап – проекта на тему «Молекулярно – генетические основы прогнозирования развития метаболического синдрома в казахской популяции» на базе НАО «Медицинского университета Семей» (№ гос. регистрации 0118РКИ0541).</w:t>
      </w:r>
    </w:p>
    <w:p w:rsidR="00AB12B3" w:rsidRPr="0072458F" w:rsidRDefault="00AB12B3" w:rsidP="00AB12B3">
      <w:pPr>
        <w:spacing w:after="0" w:line="240" w:lineRule="auto"/>
        <w:ind w:firstLine="708"/>
        <w:jc w:val="both"/>
        <w:rPr>
          <w:rFonts w:ascii="Times New Roman" w:hAnsi="Times New Roman" w:cs="Times New Roman"/>
          <w:sz w:val="28"/>
          <w:szCs w:val="28"/>
        </w:rPr>
      </w:pPr>
      <w:r w:rsidRPr="00FB406A">
        <w:rPr>
          <w:rFonts w:ascii="Times New Roman" w:hAnsi="Times New Roman" w:cs="Times New Roman"/>
          <w:sz w:val="28"/>
          <w:szCs w:val="28"/>
        </w:rPr>
        <w:t>Статистический анализ был проведен с помощью пакета IBM SPSS Statistics</w:t>
      </w:r>
      <w:r w:rsidR="008A1358">
        <w:rPr>
          <w:rFonts w:ascii="Times New Roman" w:hAnsi="Times New Roman" w:cs="Times New Roman"/>
          <w:sz w:val="28"/>
          <w:szCs w:val="28"/>
        </w:rPr>
        <w:t xml:space="preserve"> </w:t>
      </w:r>
      <w:r w:rsidRPr="00FB406A">
        <w:rPr>
          <w:rFonts w:ascii="Times New Roman" w:hAnsi="Times New Roman" w:cs="Times New Roman"/>
          <w:sz w:val="28"/>
          <w:szCs w:val="28"/>
        </w:rPr>
        <w:t>Version 20.0 (Lisence</w:t>
      </w:r>
      <w:r w:rsidR="0080095F">
        <w:rPr>
          <w:rFonts w:ascii="Times New Roman" w:hAnsi="Times New Roman" w:cs="Times New Roman"/>
          <w:sz w:val="28"/>
          <w:szCs w:val="28"/>
        </w:rPr>
        <w:t xml:space="preserve"> </w:t>
      </w:r>
      <w:r w:rsidRPr="00FB406A">
        <w:rPr>
          <w:rFonts w:ascii="Times New Roman" w:hAnsi="Times New Roman" w:cs="Times New Roman"/>
          <w:sz w:val="28"/>
          <w:szCs w:val="28"/>
        </w:rPr>
        <w:t>Semey</w:t>
      </w:r>
      <w:r w:rsidR="0080095F">
        <w:rPr>
          <w:rFonts w:ascii="Times New Roman" w:hAnsi="Times New Roman" w:cs="Times New Roman"/>
          <w:sz w:val="28"/>
          <w:szCs w:val="28"/>
        </w:rPr>
        <w:t xml:space="preserve"> </w:t>
      </w:r>
      <w:r w:rsidRPr="00FB406A">
        <w:rPr>
          <w:rFonts w:ascii="Times New Roman" w:hAnsi="Times New Roman" w:cs="Times New Roman"/>
          <w:sz w:val="28"/>
          <w:szCs w:val="28"/>
        </w:rPr>
        <w:t>medical</w:t>
      </w:r>
      <w:r w:rsidR="0080095F">
        <w:rPr>
          <w:rFonts w:ascii="Times New Roman" w:hAnsi="Times New Roman" w:cs="Times New Roman"/>
          <w:sz w:val="28"/>
          <w:szCs w:val="28"/>
        </w:rPr>
        <w:t xml:space="preserve"> </w:t>
      </w:r>
      <w:r w:rsidRPr="00FB406A">
        <w:rPr>
          <w:rFonts w:ascii="Times New Roman" w:hAnsi="Times New Roman" w:cs="Times New Roman"/>
          <w:sz w:val="28"/>
          <w:szCs w:val="28"/>
        </w:rPr>
        <w:t>university) и онлайн - калькулятора SNPStat</w:t>
      </w:r>
      <w:r w:rsidRPr="0072458F">
        <w:rPr>
          <w:rFonts w:ascii="Times New Roman" w:hAnsi="Times New Roman" w:cs="Times New Roman"/>
          <w:sz w:val="28"/>
          <w:szCs w:val="28"/>
        </w:rPr>
        <w:t xml:space="preserve"> (</w:t>
      </w:r>
      <w:hyperlink r:id="rId13" w:history="1">
        <w:r w:rsidRPr="0072458F">
          <w:rPr>
            <w:rStyle w:val="a3"/>
            <w:rFonts w:ascii="Times New Roman" w:hAnsi="Times New Roman" w:cs="Times New Roman"/>
            <w:sz w:val="28"/>
            <w:szCs w:val="28"/>
          </w:rPr>
          <w:t>SNPStats: yourwebtoolfor SNP analysis</w:t>
        </w:r>
      </w:hyperlink>
      <w:r w:rsidRPr="0072458F">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Научная новизна исследования</w:t>
      </w:r>
    </w:p>
    <w:p w:rsidR="00F94A64" w:rsidRDefault="00F94A64" w:rsidP="00F94A6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B12B3">
        <w:rPr>
          <w:rFonts w:ascii="Times New Roman" w:hAnsi="Times New Roman" w:cs="Times New Roman"/>
          <w:sz w:val="28"/>
          <w:szCs w:val="28"/>
        </w:rPr>
        <w:t xml:space="preserve">Впервые изучена распространенность полиморфизмов генов </w:t>
      </w:r>
      <w:r w:rsidR="00AB12B3">
        <w:rPr>
          <w:rFonts w:ascii="Times New Roman" w:hAnsi="Times New Roman" w:cs="Times New Roman"/>
          <w:i/>
          <w:sz w:val="28"/>
          <w:szCs w:val="28"/>
        </w:rPr>
        <w:t xml:space="preserve">LPL </w:t>
      </w:r>
      <w:r w:rsidR="00AB12B3" w:rsidRPr="00434B50">
        <w:rPr>
          <w:rFonts w:ascii="Times New Roman" w:hAnsi="Times New Roman" w:cs="Times New Roman"/>
          <w:sz w:val="28"/>
          <w:szCs w:val="28"/>
        </w:rPr>
        <w:t>Ser447Ter (</w:t>
      </w:r>
      <w:r w:rsidR="00AB12B3" w:rsidRPr="00434B50">
        <w:rPr>
          <w:rFonts w:ascii="Times New Roman" w:hAnsi="Times New Roman"/>
          <w:sz w:val="28"/>
          <w:szCs w:val="28"/>
        </w:rPr>
        <w:t>rs</w:t>
      </w:r>
      <w:r w:rsidR="00AB12B3" w:rsidRPr="00434B50">
        <w:rPr>
          <w:rFonts w:ascii="Times New Roman" w:hAnsi="Times New Roman" w:cs="Times New Roman"/>
          <w:sz w:val="28"/>
          <w:szCs w:val="28"/>
        </w:rPr>
        <w:t>328),</w:t>
      </w:r>
      <w:r w:rsidR="00AB12B3">
        <w:rPr>
          <w:rFonts w:ascii="Times New Roman" w:hAnsi="Times New Roman" w:cs="Times New Roman"/>
          <w:i/>
          <w:sz w:val="28"/>
          <w:szCs w:val="28"/>
        </w:rPr>
        <w:t xml:space="preserve"> ADRB2 </w:t>
      </w:r>
      <w:r w:rsidR="00AB12B3" w:rsidRPr="00434B50">
        <w:rPr>
          <w:rFonts w:ascii="Times New Roman" w:hAnsi="Times New Roman" w:cs="Times New Roman"/>
          <w:sz w:val="28"/>
          <w:szCs w:val="28"/>
        </w:rPr>
        <w:t>Gln27Glu (</w:t>
      </w:r>
      <w:r w:rsidR="00AB12B3" w:rsidRPr="00434B50">
        <w:rPr>
          <w:rFonts w:ascii="Times New Roman" w:hAnsi="Times New Roman"/>
          <w:sz w:val="28"/>
          <w:szCs w:val="28"/>
        </w:rPr>
        <w:t>rs1042714</w:t>
      </w:r>
      <w:r w:rsidR="00AB12B3" w:rsidRPr="00434B50">
        <w:rPr>
          <w:rFonts w:ascii="Times New Roman" w:hAnsi="Times New Roman" w:cs="Times New Roman"/>
          <w:sz w:val="28"/>
          <w:szCs w:val="28"/>
        </w:rPr>
        <w:t>),</w:t>
      </w:r>
      <w:r w:rsidR="00AB12B3">
        <w:rPr>
          <w:rFonts w:ascii="Times New Roman" w:hAnsi="Times New Roman" w:cs="Times New Roman"/>
          <w:i/>
          <w:sz w:val="28"/>
          <w:szCs w:val="28"/>
        </w:rPr>
        <w:t xml:space="preserve"> AGT </w:t>
      </w:r>
      <w:r w:rsidR="00AB12B3" w:rsidRPr="00434B50">
        <w:rPr>
          <w:rFonts w:ascii="Times New Roman" w:hAnsi="Times New Roman" w:cs="Times New Roman"/>
          <w:sz w:val="28"/>
          <w:szCs w:val="28"/>
        </w:rPr>
        <w:t>Thr174Met (</w:t>
      </w:r>
      <w:r w:rsidR="00AB12B3" w:rsidRPr="00434B50">
        <w:rPr>
          <w:rFonts w:ascii="Times New Roman" w:hAnsi="Times New Roman"/>
          <w:sz w:val="28"/>
          <w:szCs w:val="28"/>
        </w:rPr>
        <w:t>rs</w:t>
      </w:r>
      <w:r w:rsidR="00AB12B3" w:rsidRPr="00434B50">
        <w:rPr>
          <w:rFonts w:ascii="Times New Roman" w:hAnsi="Times New Roman" w:cs="Times New Roman"/>
          <w:sz w:val="28"/>
          <w:szCs w:val="28"/>
        </w:rPr>
        <w:t>4762),</w:t>
      </w:r>
      <w:r w:rsidR="00AB12B3">
        <w:rPr>
          <w:rFonts w:ascii="Times New Roman" w:hAnsi="Times New Roman" w:cs="Times New Roman"/>
          <w:i/>
          <w:sz w:val="28"/>
          <w:szCs w:val="28"/>
        </w:rPr>
        <w:t xml:space="preserve"> AGTR1 </w:t>
      </w:r>
      <w:r w:rsidR="00AB12B3" w:rsidRPr="00434B50">
        <w:rPr>
          <w:rFonts w:ascii="Times New Roman" w:hAnsi="Times New Roman" w:cs="Times New Roman"/>
          <w:sz w:val="28"/>
          <w:szCs w:val="28"/>
        </w:rPr>
        <w:t>A1166C (</w:t>
      </w:r>
      <w:r w:rsidR="00AB12B3" w:rsidRPr="00434B50">
        <w:rPr>
          <w:rFonts w:ascii="Times New Roman" w:hAnsi="Times New Roman"/>
          <w:sz w:val="28"/>
          <w:szCs w:val="28"/>
        </w:rPr>
        <w:t>rs</w:t>
      </w:r>
      <w:r w:rsidR="00AB12B3" w:rsidRPr="00434B50">
        <w:rPr>
          <w:rFonts w:ascii="Times New Roman" w:hAnsi="Times New Roman" w:cs="Times New Roman"/>
          <w:sz w:val="28"/>
          <w:szCs w:val="28"/>
        </w:rPr>
        <w:t>5186)</w:t>
      </w:r>
      <w:r w:rsidR="00AB12B3">
        <w:rPr>
          <w:rFonts w:ascii="Times New Roman" w:hAnsi="Times New Roman" w:cs="Times New Roman"/>
          <w:sz w:val="28"/>
          <w:szCs w:val="28"/>
        </w:rPr>
        <w:t xml:space="preserve"> у пациентов с дислипидемией и инсулинорезистентностью казахской популяции. </w:t>
      </w:r>
    </w:p>
    <w:p w:rsidR="00F94A64" w:rsidRDefault="00F94A64" w:rsidP="00F94A6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B12B3">
        <w:rPr>
          <w:rFonts w:ascii="Times New Roman" w:hAnsi="Times New Roman" w:cs="Times New Roman"/>
          <w:sz w:val="28"/>
          <w:szCs w:val="28"/>
        </w:rPr>
        <w:t>Был проведен анализ взаимосвязи полиморфизмов генов</w:t>
      </w:r>
      <w:r w:rsidR="005D2663">
        <w:rPr>
          <w:rFonts w:ascii="Times New Roman" w:hAnsi="Times New Roman" w:cs="Times New Roman"/>
          <w:sz w:val="28"/>
          <w:szCs w:val="28"/>
        </w:rPr>
        <w:t>,</w:t>
      </w:r>
      <w:r w:rsidR="00AB12B3">
        <w:rPr>
          <w:rFonts w:ascii="Times New Roman" w:hAnsi="Times New Roman" w:cs="Times New Roman"/>
          <w:sz w:val="28"/>
          <w:szCs w:val="28"/>
        </w:rPr>
        <w:t xml:space="preserve"> ассоциированных с нарушениями липидного обмена у пациентов с дислипидемией и инсулинорезистентностью. </w:t>
      </w:r>
    </w:p>
    <w:p w:rsidR="00F94A64" w:rsidRDefault="00F94A64" w:rsidP="00F94A6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B12B3">
        <w:rPr>
          <w:rFonts w:ascii="Times New Roman" w:hAnsi="Times New Roman" w:cs="Times New Roman"/>
          <w:sz w:val="28"/>
          <w:szCs w:val="28"/>
        </w:rPr>
        <w:t>Авторское свидетельство №1892 (Приложение</w:t>
      </w:r>
      <w:r w:rsidR="005D2663">
        <w:rPr>
          <w:rFonts w:ascii="Times New Roman" w:hAnsi="Times New Roman" w:cs="Times New Roman"/>
          <w:sz w:val="28"/>
          <w:szCs w:val="28"/>
        </w:rPr>
        <w:t xml:space="preserve"> </w:t>
      </w:r>
      <w:r w:rsidR="000777C5">
        <w:rPr>
          <w:rFonts w:ascii="Times New Roman" w:hAnsi="Times New Roman" w:cs="Times New Roman"/>
          <w:sz w:val="28"/>
          <w:szCs w:val="28"/>
        </w:rPr>
        <w:t>В</w:t>
      </w:r>
      <w:r w:rsidR="00AB12B3">
        <w:rPr>
          <w:rFonts w:ascii="Times New Roman" w:hAnsi="Times New Roman" w:cs="Times New Roman"/>
          <w:sz w:val="28"/>
          <w:szCs w:val="28"/>
        </w:rPr>
        <w:t xml:space="preserve">). </w:t>
      </w:r>
    </w:p>
    <w:p w:rsidR="00F94A64" w:rsidRPr="00B67A0E" w:rsidRDefault="00F94A64" w:rsidP="00F94A6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B12B3" w:rsidRPr="00B67A0E">
        <w:rPr>
          <w:rFonts w:ascii="Times New Roman" w:hAnsi="Times New Roman" w:cs="Times New Roman"/>
          <w:sz w:val="28"/>
          <w:szCs w:val="28"/>
        </w:rPr>
        <w:t>Инновационный патент Республики Казахстан №</w:t>
      </w:r>
      <w:r w:rsidR="00F53112">
        <w:rPr>
          <w:rFonts w:ascii="Times New Roman" w:hAnsi="Times New Roman" w:cs="Times New Roman"/>
          <w:sz w:val="28"/>
          <w:szCs w:val="28"/>
        </w:rPr>
        <w:t>35154</w:t>
      </w:r>
      <w:r w:rsidR="00AB12B3" w:rsidRPr="00B67A0E">
        <w:rPr>
          <w:rFonts w:ascii="Times New Roman" w:hAnsi="Times New Roman" w:cs="Times New Roman"/>
          <w:sz w:val="28"/>
          <w:szCs w:val="28"/>
        </w:rPr>
        <w:t xml:space="preserve"> (Приложение</w:t>
      </w:r>
      <w:r w:rsidR="005D2663" w:rsidRPr="00B67A0E">
        <w:rPr>
          <w:rFonts w:ascii="Times New Roman" w:hAnsi="Times New Roman" w:cs="Times New Roman"/>
          <w:sz w:val="28"/>
          <w:szCs w:val="28"/>
        </w:rPr>
        <w:t xml:space="preserve"> </w:t>
      </w:r>
      <w:r w:rsidR="000777C5" w:rsidRPr="00B67A0E">
        <w:rPr>
          <w:rFonts w:ascii="Times New Roman" w:hAnsi="Times New Roman" w:cs="Times New Roman"/>
          <w:sz w:val="28"/>
          <w:szCs w:val="28"/>
        </w:rPr>
        <w:t>Г</w:t>
      </w:r>
      <w:r w:rsidR="00AB12B3" w:rsidRPr="00B67A0E">
        <w:rPr>
          <w:rFonts w:ascii="Times New Roman" w:hAnsi="Times New Roman" w:cs="Times New Roman"/>
          <w:sz w:val="28"/>
          <w:szCs w:val="28"/>
        </w:rPr>
        <w:t>).</w:t>
      </w:r>
      <w:r w:rsidR="005D2663" w:rsidRPr="00B67A0E">
        <w:rPr>
          <w:rFonts w:ascii="Times New Roman" w:hAnsi="Times New Roman" w:cs="Times New Roman"/>
          <w:sz w:val="28"/>
          <w:szCs w:val="28"/>
        </w:rPr>
        <w:t xml:space="preserve"> </w:t>
      </w:r>
    </w:p>
    <w:p w:rsidR="00C7427E" w:rsidRDefault="00F94A64" w:rsidP="00F94A64">
      <w:pPr>
        <w:spacing w:after="0" w:line="240" w:lineRule="auto"/>
        <w:jc w:val="both"/>
        <w:rPr>
          <w:rFonts w:ascii="Times New Roman" w:hAnsi="Times New Roman" w:cs="Times New Roman"/>
          <w:sz w:val="28"/>
          <w:szCs w:val="28"/>
        </w:rPr>
      </w:pPr>
      <w:r w:rsidRPr="00F94A64">
        <w:rPr>
          <w:rFonts w:ascii="Times New Roman" w:hAnsi="Times New Roman" w:cs="Times New Roman"/>
          <w:sz w:val="28"/>
          <w:szCs w:val="28"/>
        </w:rPr>
        <w:t>- И</w:t>
      </w:r>
      <w:r w:rsidR="00AB12B3" w:rsidRPr="00F94A64">
        <w:rPr>
          <w:rFonts w:ascii="Times New Roman" w:hAnsi="Times New Roman" w:cs="Times New Roman"/>
          <w:sz w:val="28"/>
          <w:szCs w:val="28"/>
        </w:rPr>
        <w:t>нновационный патент Российской Федерации №2</w:t>
      </w:r>
      <w:r w:rsidR="000606EF">
        <w:rPr>
          <w:rFonts w:ascii="Times New Roman" w:hAnsi="Times New Roman" w:cs="Times New Roman"/>
          <w:sz w:val="28"/>
          <w:szCs w:val="28"/>
        </w:rPr>
        <w:t>748034</w:t>
      </w:r>
      <w:r w:rsidR="00C7427E">
        <w:rPr>
          <w:rFonts w:ascii="Times New Roman" w:hAnsi="Times New Roman" w:cs="Times New Roman"/>
          <w:sz w:val="28"/>
          <w:szCs w:val="28"/>
        </w:rPr>
        <w:t xml:space="preserve"> </w:t>
      </w:r>
      <w:hyperlink r:id="rId14" w:history="1">
        <w:r w:rsidR="00C7427E" w:rsidRPr="003A640B">
          <w:rPr>
            <w:rStyle w:val="a3"/>
            <w:rFonts w:ascii="Times New Roman" w:hAnsi="Times New Roman" w:cs="Times New Roman"/>
            <w:sz w:val="28"/>
            <w:szCs w:val="28"/>
          </w:rPr>
          <w:t>https://www1.fips.ru/ofpstorage/BULLETIN/IZPM/2021/05/20/INDEX_RU.HTM</w:t>
        </w:r>
      </w:hyperlink>
    </w:p>
    <w:p w:rsidR="00AB12B3" w:rsidRPr="00D97DDA" w:rsidRDefault="00C7427E" w:rsidP="00F94A64">
      <w:pPr>
        <w:spacing w:after="0" w:line="240" w:lineRule="auto"/>
        <w:jc w:val="both"/>
        <w:rPr>
          <w:rFonts w:ascii="Times New Roman" w:hAnsi="Times New Roman" w:cs="Times New Roman"/>
          <w:sz w:val="28"/>
          <w:szCs w:val="28"/>
        </w:rPr>
      </w:pPr>
      <w:r w:rsidRPr="00C7427E">
        <w:rPr>
          <w:rFonts w:ascii="Times New Roman" w:hAnsi="Times New Roman" w:cs="Times New Roman"/>
          <w:sz w:val="28"/>
          <w:szCs w:val="28"/>
        </w:rPr>
        <w:t xml:space="preserve"> </w:t>
      </w:r>
      <w:r w:rsidR="00AB12B3" w:rsidRPr="00F94A64">
        <w:rPr>
          <w:rFonts w:ascii="Times New Roman" w:hAnsi="Times New Roman" w:cs="Times New Roman"/>
          <w:sz w:val="28"/>
          <w:szCs w:val="28"/>
        </w:rPr>
        <w:t>(Приложение</w:t>
      </w:r>
      <w:r w:rsidR="00AA17B0" w:rsidRPr="00F94A64">
        <w:rPr>
          <w:rFonts w:ascii="Times New Roman" w:hAnsi="Times New Roman" w:cs="Times New Roman"/>
          <w:sz w:val="28"/>
          <w:szCs w:val="28"/>
        </w:rPr>
        <w:t xml:space="preserve"> Д</w:t>
      </w:r>
      <w:r w:rsidR="00AB12B3" w:rsidRPr="00F94A64">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Основные положения, вносимые на защиту</w:t>
      </w:r>
    </w:p>
    <w:p w:rsidR="00ED38A0" w:rsidRDefault="00ED38A0" w:rsidP="00ED38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1. Изучение распространенности полиморфизмов генов</w:t>
      </w:r>
      <w:r>
        <w:rPr>
          <w:rFonts w:ascii="Times New Roman" w:hAnsi="Times New Roman"/>
          <w:i/>
          <w:sz w:val="28"/>
          <w:szCs w:val="28"/>
        </w:rPr>
        <w:t xml:space="preserve"> LPL </w:t>
      </w:r>
      <w:r>
        <w:rPr>
          <w:rFonts w:ascii="Times New Roman" w:hAnsi="Times New Roman"/>
          <w:sz w:val="28"/>
          <w:szCs w:val="28"/>
        </w:rPr>
        <w:t>Ser447Ter (rs328),</w:t>
      </w:r>
      <w:r>
        <w:rPr>
          <w:rFonts w:ascii="Times New Roman" w:hAnsi="Times New Roman"/>
          <w:i/>
          <w:sz w:val="28"/>
          <w:szCs w:val="28"/>
        </w:rPr>
        <w:t xml:space="preserve"> ADRB2 </w:t>
      </w:r>
      <w:r>
        <w:rPr>
          <w:rFonts w:ascii="Times New Roman" w:hAnsi="Times New Roman"/>
          <w:sz w:val="28"/>
          <w:szCs w:val="28"/>
        </w:rPr>
        <w:t>Gln27Glu (rs1042714),</w:t>
      </w:r>
      <w:r>
        <w:rPr>
          <w:rFonts w:ascii="Times New Roman" w:hAnsi="Times New Roman"/>
          <w:i/>
          <w:sz w:val="28"/>
          <w:szCs w:val="28"/>
        </w:rPr>
        <w:t xml:space="preserve"> AGT </w:t>
      </w:r>
      <w:r>
        <w:rPr>
          <w:rFonts w:ascii="Times New Roman" w:hAnsi="Times New Roman"/>
          <w:sz w:val="28"/>
          <w:szCs w:val="28"/>
        </w:rPr>
        <w:t>Thr174Met (rs4762),</w:t>
      </w:r>
      <w:r>
        <w:rPr>
          <w:rFonts w:ascii="Times New Roman" w:hAnsi="Times New Roman"/>
          <w:i/>
          <w:sz w:val="28"/>
          <w:szCs w:val="28"/>
        </w:rPr>
        <w:t xml:space="preserve"> AGTR1 </w:t>
      </w:r>
      <w:r>
        <w:rPr>
          <w:rFonts w:ascii="Times New Roman" w:hAnsi="Times New Roman"/>
          <w:sz w:val="28"/>
          <w:szCs w:val="28"/>
        </w:rPr>
        <w:t xml:space="preserve">A1166C (rs5186) </w:t>
      </w:r>
      <w:r w:rsidR="00773C68">
        <w:rPr>
          <w:rFonts w:ascii="Times New Roman" w:hAnsi="Times New Roman"/>
          <w:sz w:val="28"/>
          <w:szCs w:val="28"/>
        </w:rPr>
        <w:t>выявило</w:t>
      </w:r>
      <w:r>
        <w:rPr>
          <w:rFonts w:ascii="Times New Roman" w:hAnsi="Times New Roman"/>
          <w:sz w:val="28"/>
          <w:szCs w:val="28"/>
        </w:rPr>
        <w:t>, что частота</w:t>
      </w:r>
      <w:r>
        <w:rPr>
          <w:rFonts w:ascii="Times New Roman" w:hAnsi="Times New Roman" w:cs="Times New Roman"/>
          <w:sz w:val="28"/>
          <w:szCs w:val="28"/>
        </w:rPr>
        <w:t xml:space="preserve"> встречаемости редких аллелей в </w:t>
      </w:r>
      <w:r w:rsidR="00AF7369">
        <w:rPr>
          <w:rFonts w:ascii="Times New Roman" w:hAnsi="Times New Roman" w:cs="Times New Roman"/>
          <w:sz w:val="28"/>
          <w:szCs w:val="28"/>
        </w:rPr>
        <w:t xml:space="preserve">исследуемой </w:t>
      </w:r>
      <w:r w:rsidR="00773C68">
        <w:rPr>
          <w:rFonts w:ascii="Times New Roman" w:hAnsi="Times New Roman" w:cs="Times New Roman"/>
          <w:sz w:val="28"/>
          <w:szCs w:val="28"/>
        </w:rPr>
        <w:t xml:space="preserve">нами </w:t>
      </w:r>
      <w:r w:rsidR="00AF7369">
        <w:rPr>
          <w:rFonts w:ascii="Times New Roman" w:hAnsi="Times New Roman" w:cs="Times New Roman"/>
          <w:sz w:val="28"/>
          <w:szCs w:val="28"/>
        </w:rPr>
        <w:t xml:space="preserve">выборке </w:t>
      </w:r>
      <w:r>
        <w:rPr>
          <w:rFonts w:ascii="Times New Roman" w:hAnsi="Times New Roman" w:cs="Times New Roman"/>
          <w:sz w:val="28"/>
          <w:szCs w:val="28"/>
        </w:rPr>
        <w:t>отличается от восточно-азиатской и европейской популяций и имеет промежуточное положение.</w:t>
      </w:r>
    </w:p>
    <w:p w:rsidR="00ED38A0" w:rsidRDefault="00ED38A0" w:rsidP="00ED38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 xml:space="preserve">2. А) </w:t>
      </w:r>
      <w:r w:rsidR="00F831BF">
        <w:rPr>
          <w:rFonts w:ascii="Times New Roman" w:hAnsi="Times New Roman" w:cs="Times New Roman"/>
          <w:sz w:val="28"/>
          <w:szCs w:val="28"/>
        </w:rPr>
        <w:t xml:space="preserve">Молекулярно-генетическими основами риска развития инсулинорезистентности могут быть связаны с </w:t>
      </w:r>
      <w:r>
        <w:rPr>
          <w:rFonts w:ascii="Times New Roman" w:hAnsi="Times New Roman" w:cs="Times New Roman"/>
          <w:sz w:val="28"/>
          <w:szCs w:val="28"/>
          <w:lang w:val="kk-KZ"/>
        </w:rPr>
        <w:t>аллел</w:t>
      </w:r>
      <w:r w:rsidR="00F831BF">
        <w:rPr>
          <w:rFonts w:ascii="Times New Roman" w:hAnsi="Times New Roman" w:cs="Times New Roman"/>
          <w:sz w:val="28"/>
          <w:szCs w:val="28"/>
          <w:lang w:val="kk-KZ"/>
        </w:rPr>
        <w:t>ем</w:t>
      </w:r>
      <w:r>
        <w:rPr>
          <w:rFonts w:ascii="Times New Roman" w:hAnsi="Times New Roman" w:cs="Times New Roman"/>
          <w:sz w:val="28"/>
          <w:szCs w:val="28"/>
          <w:lang w:val="kk-KZ"/>
        </w:rPr>
        <w:t xml:space="preserve"> G полиморфизма</w:t>
      </w:r>
      <w:r w:rsidR="005D2663">
        <w:rPr>
          <w:rFonts w:ascii="Times New Roman" w:hAnsi="Times New Roman" w:cs="Times New Roman"/>
          <w:sz w:val="28"/>
          <w:szCs w:val="28"/>
          <w:lang w:val="kk-KZ"/>
        </w:rPr>
        <w:t xml:space="preserve"> </w:t>
      </w:r>
      <w:r>
        <w:rPr>
          <w:rFonts w:ascii="Times New Roman" w:hAnsi="Times New Roman" w:cs="Times New Roman"/>
          <w:sz w:val="28"/>
          <w:szCs w:val="24"/>
        </w:rPr>
        <w:t xml:space="preserve">Ser447Ter (rs328) гена </w:t>
      </w:r>
      <w:r>
        <w:rPr>
          <w:rFonts w:ascii="Times New Roman" w:hAnsi="Times New Roman" w:cs="Times New Roman"/>
          <w:i/>
          <w:sz w:val="28"/>
          <w:szCs w:val="24"/>
        </w:rPr>
        <w:t>LPL</w:t>
      </w:r>
      <w:r w:rsidR="00E41AC9">
        <w:rPr>
          <w:rFonts w:ascii="Times New Roman" w:hAnsi="Times New Roman" w:cs="Times New Roman"/>
          <w:i/>
          <w:sz w:val="28"/>
          <w:szCs w:val="24"/>
        </w:rPr>
        <w:t xml:space="preserve"> </w:t>
      </w:r>
      <w:r w:rsidR="00E41AC9">
        <w:rPr>
          <w:rFonts w:ascii="Times New Roman" w:hAnsi="Times New Roman" w:cs="Times New Roman"/>
          <w:sz w:val="28"/>
          <w:szCs w:val="28"/>
          <w:lang w:val="kk-KZ"/>
        </w:rPr>
        <w:t>(ОШ=0,57 95% ДИ 0,35-0,94 р=0,037)</w:t>
      </w:r>
      <w:r w:rsidR="00F831BF">
        <w:rPr>
          <w:rFonts w:ascii="Times New Roman" w:hAnsi="Times New Roman" w:cs="Times New Roman"/>
          <w:i/>
          <w:sz w:val="28"/>
          <w:szCs w:val="24"/>
        </w:rPr>
        <w:t>.</w:t>
      </w:r>
      <w:r w:rsidR="00F831BF">
        <w:rPr>
          <w:rFonts w:ascii="Times New Roman" w:hAnsi="Times New Roman" w:cs="Times New Roman"/>
          <w:iCs/>
          <w:sz w:val="28"/>
          <w:szCs w:val="24"/>
        </w:rPr>
        <w:t xml:space="preserve"> </w:t>
      </w:r>
      <w:r w:rsidR="00847BD3">
        <w:rPr>
          <w:rFonts w:ascii="Times New Roman" w:hAnsi="Times New Roman" w:cs="Times New Roman"/>
          <w:sz w:val="28"/>
          <w:szCs w:val="28"/>
          <w:lang w:val="kk-KZ"/>
        </w:rPr>
        <w:t>Г</w:t>
      </w:r>
      <w:r w:rsidR="008A1358">
        <w:rPr>
          <w:rFonts w:ascii="Times New Roman" w:hAnsi="Times New Roman" w:cs="Times New Roman"/>
          <w:sz w:val="28"/>
          <w:szCs w:val="28"/>
          <w:lang w:val="kk-KZ"/>
        </w:rPr>
        <w:t>енотип</w:t>
      </w:r>
      <w:r w:rsidR="00847BD3">
        <w:rPr>
          <w:rFonts w:ascii="Times New Roman" w:hAnsi="Times New Roman" w:cs="Times New Roman"/>
          <w:sz w:val="28"/>
          <w:szCs w:val="28"/>
          <w:lang w:val="kk-KZ"/>
        </w:rPr>
        <w:t xml:space="preserve"> </w:t>
      </w:r>
      <w:r w:rsidR="008A1358">
        <w:rPr>
          <w:rFonts w:ascii="Times New Roman" w:hAnsi="Times New Roman" w:cs="Times New Roman"/>
          <w:sz w:val="28"/>
          <w:szCs w:val="28"/>
          <w:lang w:val="kk-KZ"/>
        </w:rPr>
        <w:t>G/G полиморфизма Ser447Ter (</w:t>
      </w:r>
      <w:r w:rsidR="008A1358">
        <w:rPr>
          <w:rFonts w:ascii="Times New Roman" w:hAnsi="Times New Roman" w:cs="Times New Roman"/>
          <w:sz w:val="28"/>
          <w:szCs w:val="28"/>
          <w:lang w:val="en-US"/>
        </w:rPr>
        <w:t>rs</w:t>
      </w:r>
      <w:r w:rsidR="008A1358">
        <w:rPr>
          <w:rFonts w:ascii="Times New Roman" w:hAnsi="Times New Roman" w:cs="Times New Roman"/>
          <w:sz w:val="28"/>
          <w:szCs w:val="28"/>
        </w:rPr>
        <w:t>328</w:t>
      </w:r>
      <w:r w:rsidR="008A1358">
        <w:rPr>
          <w:rFonts w:ascii="Times New Roman" w:hAnsi="Times New Roman" w:cs="Times New Roman"/>
          <w:sz w:val="28"/>
          <w:szCs w:val="28"/>
          <w:lang w:val="kk-KZ"/>
        </w:rPr>
        <w:t xml:space="preserve">) гена </w:t>
      </w:r>
      <w:r w:rsidR="008A1358">
        <w:rPr>
          <w:rFonts w:ascii="Times New Roman" w:hAnsi="Times New Roman" w:cs="Times New Roman"/>
          <w:i/>
          <w:sz w:val="28"/>
          <w:szCs w:val="28"/>
          <w:lang w:val="kk-KZ"/>
        </w:rPr>
        <w:t xml:space="preserve">LPL </w:t>
      </w:r>
      <w:r w:rsidR="004668B3">
        <w:rPr>
          <w:rFonts w:ascii="Times New Roman" w:hAnsi="Times New Roman" w:cs="Times New Roman"/>
          <w:iCs/>
          <w:sz w:val="28"/>
          <w:szCs w:val="28"/>
          <w:lang w:val="kk-KZ"/>
        </w:rPr>
        <w:t>ассоциирован со снижением</w:t>
      </w:r>
      <w:r w:rsidR="008A1358">
        <w:rPr>
          <w:rFonts w:ascii="Times New Roman" w:hAnsi="Times New Roman" w:cs="Times New Roman"/>
          <w:sz w:val="28"/>
          <w:szCs w:val="28"/>
          <w:lang w:val="kk-KZ"/>
        </w:rPr>
        <w:t xml:space="preserve"> риск</w:t>
      </w:r>
      <w:r w:rsidR="004668B3">
        <w:rPr>
          <w:rFonts w:ascii="Times New Roman" w:hAnsi="Times New Roman" w:cs="Times New Roman"/>
          <w:sz w:val="28"/>
          <w:szCs w:val="28"/>
          <w:lang w:val="kk-KZ"/>
        </w:rPr>
        <w:t>а</w:t>
      </w:r>
      <w:r w:rsidR="008A1358">
        <w:rPr>
          <w:rFonts w:ascii="Times New Roman" w:hAnsi="Times New Roman" w:cs="Times New Roman"/>
          <w:sz w:val="28"/>
          <w:szCs w:val="28"/>
          <w:lang w:val="kk-KZ"/>
        </w:rPr>
        <w:t xml:space="preserve"> развития гиперинсулинемии </w:t>
      </w:r>
      <w:r w:rsidR="00E41AC9">
        <w:rPr>
          <w:rFonts w:ascii="Times New Roman" w:hAnsi="Times New Roman" w:cs="Times New Roman"/>
          <w:sz w:val="28"/>
          <w:szCs w:val="28"/>
          <w:lang w:val="kk-KZ"/>
        </w:rPr>
        <w:t>в 0,28 раз (95% ДИ 0</w:t>
      </w:r>
      <w:r w:rsidR="00E41AC9">
        <w:rPr>
          <w:rFonts w:ascii="Times New Roman" w:hAnsi="Times New Roman" w:cs="Times New Roman"/>
          <w:sz w:val="28"/>
          <w:szCs w:val="28"/>
        </w:rPr>
        <w:t>,1-0,84 р=0,037</w:t>
      </w:r>
      <w:r w:rsidR="00E41AC9">
        <w:rPr>
          <w:rFonts w:ascii="Times New Roman" w:hAnsi="Times New Roman" w:cs="Times New Roman"/>
          <w:sz w:val="28"/>
          <w:szCs w:val="28"/>
          <w:lang w:val="kk-KZ"/>
        </w:rPr>
        <w:t xml:space="preserve">) </w:t>
      </w:r>
      <w:r w:rsidR="004668B3">
        <w:rPr>
          <w:rFonts w:ascii="Times New Roman" w:hAnsi="Times New Roman" w:cs="Times New Roman"/>
          <w:sz w:val="28"/>
          <w:szCs w:val="28"/>
          <w:lang w:val="kk-KZ"/>
        </w:rPr>
        <w:t>в</w:t>
      </w:r>
      <w:r w:rsidR="008A1358">
        <w:rPr>
          <w:rFonts w:ascii="Times New Roman" w:hAnsi="Times New Roman" w:cs="Times New Roman"/>
          <w:sz w:val="28"/>
          <w:szCs w:val="28"/>
          <w:lang w:val="kk-KZ"/>
        </w:rPr>
        <w:t xml:space="preserve"> сравнени</w:t>
      </w:r>
      <w:r w:rsidR="004668B3">
        <w:rPr>
          <w:rFonts w:ascii="Times New Roman" w:hAnsi="Times New Roman" w:cs="Times New Roman"/>
          <w:sz w:val="28"/>
          <w:szCs w:val="28"/>
          <w:lang w:val="kk-KZ"/>
        </w:rPr>
        <w:t>и</w:t>
      </w:r>
      <w:r w:rsidR="008A1358">
        <w:rPr>
          <w:rFonts w:ascii="Times New Roman" w:hAnsi="Times New Roman" w:cs="Times New Roman"/>
          <w:sz w:val="28"/>
          <w:szCs w:val="28"/>
          <w:lang w:val="kk-KZ"/>
        </w:rPr>
        <w:t xml:space="preserve"> с генотипами С/С </w:t>
      </w:r>
      <w:r w:rsidR="004668B3">
        <w:rPr>
          <w:rFonts w:ascii="Times New Roman" w:hAnsi="Times New Roman" w:cs="Times New Roman"/>
          <w:sz w:val="28"/>
          <w:szCs w:val="28"/>
        </w:rPr>
        <w:t>и С/G.</w:t>
      </w:r>
      <w:r w:rsidR="00F831BF">
        <w:rPr>
          <w:rFonts w:ascii="Times New Roman" w:hAnsi="Times New Roman" w:cs="Times New Roman"/>
          <w:sz w:val="28"/>
          <w:szCs w:val="28"/>
        </w:rPr>
        <w:t xml:space="preserve"> </w:t>
      </w:r>
      <w:r w:rsidR="004668B3">
        <w:rPr>
          <w:rFonts w:ascii="Times New Roman" w:hAnsi="Times New Roman" w:cs="Times New Roman"/>
          <w:sz w:val="28"/>
          <w:szCs w:val="28"/>
        </w:rPr>
        <w:t>Г</w:t>
      </w:r>
      <w:r w:rsidR="00F831BF">
        <w:rPr>
          <w:rFonts w:ascii="Times New Roman" w:hAnsi="Times New Roman" w:cs="Times New Roman"/>
          <w:sz w:val="28"/>
          <w:szCs w:val="28"/>
        </w:rPr>
        <w:t>енотип</w:t>
      </w:r>
      <w:r w:rsidR="004668B3">
        <w:rPr>
          <w:rFonts w:ascii="Times New Roman" w:hAnsi="Times New Roman" w:cs="Times New Roman"/>
          <w:sz w:val="28"/>
          <w:szCs w:val="28"/>
        </w:rPr>
        <w:t xml:space="preserve">ы </w:t>
      </w:r>
      <w:r w:rsidR="00F831BF">
        <w:rPr>
          <w:rFonts w:ascii="Times New Roman" w:hAnsi="Times New Roman" w:cs="Times New Roman"/>
          <w:sz w:val="28"/>
          <w:szCs w:val="28"/>
        </w:rPr>
        <w:t xml:space="preserve"> G/G и С/G </w:t>
      </w:r>
      <w:r w:rsidR="00F831BF">
        <w:rPr>
          <w:rFonts w:ascii="Times New Roman" w:hAnsi="Times New Roman" w:cs="Times New Roman"/>
          <w:sz w:val="28"/>
          <w:szCs w:val="28"/>
          <w:lang w:val="kk-KZ"/>
        </w:rPr>
        <w:t xml:space="preserve">полиморфизма </w:t>
      </w:r>
      <w:r w:rsidR="00F831BF">
        <w:rPr>
          <w:rFonts w:ascii="Times New Roman" w:hAnsi="Times New Roman" w:cs="Times New Roman"/>
          <w:sz w:val="28"/>
          <w:szCs w:val="24"/>
        </w:rPr>
        <w:t xml:space="preserve">Ser447Ter (rs328) гена </w:t>
      </w:r>
      <w:r w:rsidR="00F831BF">
        <w:rPr>
          <w:rFonts w:ascii="Times New Roman" w:hAnsi="Times New Roman" w:cs="Times New Roman"/>
          <w:i/>
          <w:sz w:val="28"/>
          <w:szCs w:val="24"/>
        </w:rPr>
        <w:t>LPL</w:t>
      </w:r>
      <w:r w:rsidR="00F831BF">
        <w:rPr>
          <w:rFonts w:ascii="Times New Roman" w:hAnsi="Times New Roman" w:cs="Times New Roman"/>
          <w:sz w:val="28"/>
          <w:szCs w:val="28"/>
        </w:rPr>
        <w:t xml:space="preserve"> </w:t>
      </w:r>
      <w:r w:rsidR="004668B3">
        <w:rPr>
          <w:rFonts w:ascii="Times New Roman" w:hAnsi="Times New Roman" w:cs="Times New Roman"/>
          <w:sz w:val="28"/>
          <w:szCs w:val="28"/>
        </w:rPr>
        <w:t>способствуют</w:t>
      </w:r>
      <w:r w:rsidR="00F831BF">
        <w:rPr>
          <w:rFonts w:ascii="Times New Roman" w:hAnsi="Times New Roman" w:cs="Times New Roman"/>
          <w:sz w:val="28"/>
          <w:szCs w:val="28"/>
        </w:rPr>
        <w:t xml:space="preserve"> повышению риска развития гипергликемии</w:t>
      </w:r>
      <w:r w:rsidR="00E41AC9" w:rsidRPr="00E41AC9">
        <w:rPr>
          <w:rFonts w:ascii="Times New Roman" w:hAnsi="Times New Roman" w:cs="Times New Roman"/>
          <w:sz w:val="28"/>
          <w:szCs w:val="28"/>
        </w:rPr>
        <w:t xml:space="preserve"> </w:t>
      </w:r>
      <w:r w:rsidR="00E41AC9">
        <w:rPr>
          <w:rFonts w:ascii="Times New Roman" w:hAnsi="Times New Roman" w:cs="Times New Roman"/>
          <w:sz w:val="28"/>
          <w:szCs w:val="28"/>
        </w:rPr>
        <w:t>на 1,82 раза (</w:t>
      </w:r>
      <w:r w:rsidR="00E41AC9">
        <w:rPr>
          <w:rFonts w:ascii="Times New Roman" w:hAnsi="Times New Roman" w:cs="Times New Roman"/>
          <w:sz w:val="28"/>
          <w:szCs w:val="28"/>
          <w:lang w:val="kk-KZ"/>
        </w:rPr>
        <w:t xml:space="preserve">95% ДИ </w:t>
      </w:r>
      <w:r w:rsidR="00E41AC9">
        <w:rPr>
          <w:rFonts w:ascii="Times New Roman" w:hAnsi="Times New Roman" w:cs="Times New Roman"/>
          <w:sz w:val="28"/>
          <w:szCs w:val="28"/>
        </w:rPr>
        <w:t>1,17-3,07 р=0,0077)</w:t>
      </w:r>
      <w:r w:rsidR="00F831BF">
        <w:rPr>
          <w:rFonts w:ascii="Times New Roman" w:hAnsi="Times New Roman" w:cs="Times New Roman"/>
          <w:sz w:val="28"/>
          <w:szCs w:val="28"/>
        </w:rPr>
        <w:t xml:space="preserve"> в казахской популяции, а тогда как</w:t>
      </w:r>
      <w:r w:rsidR="004668B3">
        <w:rPr>
          <w:rFonts w:ascii="Times New Roman" w:hAnsi="Times New Roman" w:cs="Times New Roman"/>
          <w:sz w:val="28"/>
          <w:szCs w:val="28"/>
        </w:rPr>
        <w:t xml:space="preserve"> генотип</w:t>
      </w:r>
      <w:r w:rsidR="00F831BF">
        <w:rPr>
          <w:rFonts w:ascii="Times New Roman" w:hAnsi="Times New Roman" w:cs="Times New Roman"/>
          <w:sz w:val="28"/>
          <w:szCs w:val="28"/>
        </w:rPr>
        <w:t xml:space="preserve"> С/С снижа</w:t>
      </w:r>
      <w:r w:rsidR="004668B3">
        <w:rPr>
          <w:rFonts w:ascii="Times New Roman" w:hAnsi="Times New Roman" w:cs="Times New Roman"/>
          <w:sz w:val="28"/>
          <w:szCs w:val="28"/>
        </w:rPr>
        <w:t>е</w:t>
      </w:r>
      <w:r w:rsidR="00F831BF">
        <w:rPr>
          <w:rFonts w:ascii="Times New Roman" w:hAnsi="Times New Roman" w:cs="Times New Roman"/>
          <w:sz w:val="28"/>
          <w:szCs w:val="28"/>
        </w:rPr>
        <w:t xml:space="preserve">т риск развития гипергликемии. </w:t>
      </w:r>
    </w:p>
    <w:p w:rsidR="008D539F" w:rsidRDefault="00ED38A0" w:rsidP="00ED38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Б) </w:t>
      </w:r>
      <w:r w:rsidR="008639B2">
        <w:rPr>
          <w:rFonts w:ascii="Times New Roman" w:hAnsi="Times New Roman" w:cs="Times New Roman"/>
          <w:sz w:val="28"/>
          <w:szCs w:val="28"/>
          <w:lang w:val="kk-KZ"/>
        </w:rPr>
        <w:t xml:space="preserve">Изучение </w:t>
      </w:r>
      <w:r w:rsidR="00143806">
        <w:rPr>
          <w:rFonts w:ascii="Times New Roman" w:hAnsi="Times New Roman" w:cs="Times New Roman"/>
          <w:sz w:val="28"/>
          <w:szCs w:val="28"/>
          <w:lang w:val="kk-KZ"/>
        </w:rPr>
        <w:t xml:space="preserve">молекулярно – генетических критериев риска развития дислипидемии </w:t>
      </w:r>
      <w:r w:rsidR="008A1358">
        <w:rPr>
          <w:rFonts w:ascii="Times New Roman" w:hAnsi="Times New Roman" w:cs="Times New Roman"/>
          <w:sz w:val="28"/>
          <w:szCs w:val="28"/>
          <w:lang w:val="kk-KZ"/>
        </w:rPr>
        <w:t>выяв</w:t>
      </w:r>
      <w:r w:rsidR="008639B2">
        <w:rPr>
          <w:rFonts w:ascii="Times New Roman" w:hAnsi="Times New Roman" w:cs="Times New Roman"/>
          <w:sz w:val="28"/>
          <w:szCs w:val="28"/>
          <w:lang w:val="kk-KZ"/>
        </w:rPr>
        <w:t>и</w:t>
      </w:r>
      <w:r w:rsidR="008A1358">
        <w:rPr>
          <w:rFonts w:ascii="Times New Roman" w:hAnsi="Times New Roman" w:cs="Times New Roman"/>
          <w:sz w:val="28"/>
          <w:szCs w:val="28"/>
          <w:lang w:val="kk-KZ"/>
        </w:rPr>
        <w:t xml:space="preserve">ло, что </w:t>
      </w:r>
      <w:r w:rsidR="006F0933">
        <w:rPr>
          <w:rFonts w:ascii="Times New Roman" w:hAnsi="Times New Roman" w:cs="Times New Roman"/>
          <w:sz w:val="28"/>
          <w:szCs w:val="28"/>
        </w:rPr>
        <w:t>генотип</w:t>
      </w:r>
      <w:r w:rsidR="008639B2">
        <w:rPr>
          <w:rFonts w:ascii="Times New Roman" w:hAnsi="Times New Roman" w:cs="Times New Roman"/>
          <w:sz w:val="28"/>
          <w:szCs w:val="28"/>
        </w:rPr>
        <w:t>ы</w:t>
      </w:r>
      <w:r w:rsidR="006F0933">
        <w:rPr>
          <w:rFonts w:ascii="Times New Roman" w:hAnsi="Times New Roman" w:cs="Times New Roman"/>
          <w:sz w:val="28"/>
          <w:szCs w:val="28"/>
        </w:rPr>
        <w:t xml:space="preserve"> С/С и С/G п</w:t>
      </w:r>
      <w:r w:rsidR="006F0933">
        <w:rPr>
          <w:rFonts w:ascii="Times New Roman" w:hAnsi="Times New Roman" w:cs="Times New Roman"/>
          <w:sz w:val="28"/>
          <w:szCs w:val="28"/>
          <w:lang w:val="kk-KZ"/>
        </w:rPr>
        <w:t>олиморфизма Gln27Glu (rs1042714) гена</w:t>
      </w:r>
      <w:r w:rsidR="006F0933">
        <w:rPr>
          <w:rFonts w:ascii="Times New Roman" w:hAnsi="Times New Roman" w:cs="Times New Roman"/>
          <w:i/>
          <w:sz w:val="28"/>
          <w:szCs w:val="28"/>
          <w:lang w:val="kk-KZ"/>
        </w:rPr>
        <w:t xml:space="preserve"> ADRB2 </w:t>
      </w:r>
      <w:r w:rsidR="008639B2">
        <w:rPr>
          <w:rFonts w:ascii="Times New Roman" w:hAnsi="Times New Roman" w:cs="Times New Roman"/>
          <w:sz w:val="28"/>
          <w:szCs w:val="28"/>
          <w:lang w:val="kk-KZ"/>
        </w:rPr>
        <w:t>ассоциированы с</w:t>
      </w:r>
      <w:r w:rsidR="006F0933">
        <w:rPr>
          <w:rFonts w:ascii="Times New Roman" w:hAnsi="Times New Roman" w:cs="Times New Roman"/>
          <w:sz w:val="28"/>
          <w:szCs w:val="28"/>
        </w:rPr>
        <w:t xml:space="preserve"> риск</w:t>
      </w:r>
      <w:r w:rsidR="008639B2">
        <w:rPr>
          <w:rFonts w:ascii="Times New Roman" w:hAnsi="Times New Roman" w:cs="Times New Roman"/>
          <w:sz w:val="28"/>
          <w:szCs w:val="28"/>
        </w:rPr>
        <w:t>ом</w:t>
      </w:r>
      <w:r w:rsidR="006F0933">
        <w:rPr>
          <w:rFonts w:ascii="Times New Roman" w:hAnsi="Times New Roman" w:cs="Times New Roman"/>
          <w:sz w:val="28"/>
          <w:szCs w:val="28"/>
        </w:rPr>
        <w:t xml:space="preserve"> развития гипертриглицеридемии в </w:t>
      </w:r>
      <w:r w:rsidR="008639B2">
        <w:rPr>
          <w:rFonts w:ascii="Times New Roman" w:hAnsi="Times New Roman" w:cs="Times New Roman"/>
          <w:sz w:val="28"/>
          <w:szCs w:val="28"/>
        </w:rPr>
        <w:t>исследуемой выборке</w:t>
      </w:r>
      <w:r w:rsidR="006F0933">
        <w:rPr>
          <w:rFonts w:ascii="Times New Roman" w:hAnsi="Times New Roman" w:cs="Times New Roman"/>
          <w:sz w:val="28"/>
          <w:szCs w:val="28"/>
        </w:rPr>
        <w:t>, тогда как G/G генотип</w:t>
      </w:r>
      <w:r w:rsidR="008639B2">
        <w:rPr>
          <w:rFonts w:ascii="Times New Roman" w:hAnsi="Times New Roman" w:cs="Times New Roman"/>
          <w:sz w:val="28"/>
          <w:szCs w:val="28"/>
        </w:rPr>
        <w:t xml:space="preserve"> напротив является протективным</w:t>
      </w:r>
      <w:r w:rsidR="00D0332E">
        <w:rPr>
          <w:rFonts w:ascii="Times New Roman" w:hAnsi="Times New Roman" w:cs="Times New Roman"/>
          <w:sz w:val="28"/>
          <w:szCs w:val="28"/>
        </w:rPr>
        <w:t xml:space="preserve"> на 0,45 раз (</w:t>
      </w:r>
      <w:r w:rsidR="00D0332E">
        <w:rPr>
          <w:rFonts w:ascii="Times New Roman" w:hAnsi="Times New Roman" w:cs="Times New Roman"/>
          <w:sz w:val="28"/>
          <w:szCs w:val="28"/>
          <w:lang w:val="kk-KZ"/>
        </w:rPr>
        <w:t>95% ДИ 0,23-0,86</w:t>
      </w:r>
      <w:r w:rsidR="00D0332E">
        <w:rPr>
          <w:rFonts w:ascii="Times New Roman" w:hAnsi="Times New Roman" w:cs="Times New Roman"/>
          <w:sz w:val="28"/>
          <w:szCs w:val="28"/>
        </w:rPr>
        <w:t xml:space="preserve"> р=0,018)</w:t>
      </w:r>
      <w:r w:rsidR="008D539F">
        <w:rPr>
          <w:rFonts w:ascii="Times New Roman" w:hAnsi="Times New Roman" w:cs="Times New Roman"/>
          <w:sz w:val="28"/>
          <w:szCs w:val="28"/>
        </w:rPr>
        <w:t>.</w:t>
      </w:r>
      <w:r w:rsidR="008D539F" w:rsidRPr="008D539F">
        <w:rPr>
          <w:rFonts w:ascii="Times New Roman" w:hAnsi="Times New Roman" w:cs="Times New Roman"/>
          <w:sz w:val="28"/>
          <w:szCs w:val="28"/>
        </w:rPr>
        <w:t xml:space="preserve"> </w:t>
      </w:r>
      <w:r w:rsidR="0069510F">
        <w:rPr>
          <w:rFonts w:ascii="Times New Roman" w:hAnsi="Times New Roman" w:cs="Times New Roman"/>
          <w:sz w:val="28"/>
          <w:szCs w:val="28"/>
        </w:rPr>
        <w:t>Не выявлено ассоциации п</w:t>
      </w:r>
      <w:r w:rsidR="008D539F">
        <w:rPr>
          <w:rFonts w:ascii="Times New Roman" w:hAnsi="Times New Roman" w:cs="Times New Roman"/>
          <w:sz w:val="28"/>
          <w:szCs w:val="28"/>
        </w:rPr>
        <w:t>олиморфизм</w:t>
      </w:r>
      <w:r w:rsidR="0069510F">
        <w:rPr>
          <w:rFonts w:ascii="Times New Roman" w:hAnsi="Times New Roman" w:cs="Times New Roman"/>
          <w:sz w:val="28"/>
          <w:szCs w:val="28"/>
        </w:rPr>
        <w:t>ов</w:t>
      </w:r>
      <w:r w:rsidR="008D539F">
        <w:rPr>
          <w:rFonts w:ascii="Times New Roman" w:hAnsi="Times New Roman" w:cs="Times New Roman"/>
          <w:sz w:val="28"/>
          <w:szCs w:val="28"/>
        </w:rPr>
        <w:t xml:space="preserve"> генов </w:t>
      </w:r>
      <w:r w:rsidR="008D539F">
        <w:rPr>
          <w:rFonts w:ascii="Times New Roman" w:hAnsi="Times New Roman"/>
          <w:i/>
          <w:sz w:val="28"/>
          <w:szCs w:val="28"/>
          <w:lang w:val="en-US"/>
        </w:rPr>
        <w:t>AGT</w:t>
      </w:r>
      <w:r w:rsidR="008D539F">
        <w:rPr>
          <w:rFonts w:ascii="Times New Roman" w:hAnsi="Times New Roman"/>
          <w:i/>
          <w:sz w:val="28"/>
          <w:szCs w:val="28"/>
        </w:rPr>
        <w:t xml:space="preserve"> </w:t>
      </w:r>
      <w:r w:rsidR="008D539F">
        <w:rPr>
          <w:rFonts w:ascii="Times New Roman" w:hAnsi="Times New Roman"/>
          <w:sz w:val="28"/>
          <w:szCs w:val="28"/>
          <w:lang w:val="en-US"/>
        </w:rPr>
        <w:t>Thr</w:t>
      </w:r>
      <w:r w:rsidR="008D539F">
        <w:rPr>
          <w:rFonts w:ascii="Times New Roman" w:hAnsi="Times New Roman"/>
          <w:sz w:val="28"/>
          <w:szCs w:val="28"/>
        </w:rPr>
        <w:t>174</w:t>
      </w:r>
      <w:r w:rsidR="008D539F">
        <w:rPr>
          <w:rFonts w:ascii="Times New Roman" w:hAnsi="Times New Roman"/>
          <w:sz w:val="28"/>
          <w:szCs w:val="28"/>
          <w:lang w:val="en-US"/>
        </w:rPr>
        <w:t>Met</w:t>
      </w:r>
      <w:r w:rsidR="008D539F">
        <w:rPr>
          <w:rFonts w:ascii="Times New Roman" w:hAnsi="Times New Roman"/>
          <w:sz w:val="28"/>
          <w:szCs w:val="28"/>
        </w:rPr>
        <w:t xml:space="preserve"> (</w:t>
      </w:r>
      <w:r w:rsidR="008D539F">
        <w:rPr>
          <w:rFonts w:ascii="Times New Roman" w:hAnsi="Times New Roman"/>
          <w:sz w:val="28"/>
          <w:szCs w:val="28"/>
          <w:lang w:val="en-US"/>
        </w:rPr>
        <w:t>rs</w:t>
      </w:r>
      <w:r w:rsidR="008D539F">
        <w:rPr>
          <w:rFonts w:ascii="Times New Roman" w:hAnsi="Times New Roman"/>
          <w:sz w:val="28"/>
          <w:szCs w:val="28"/>
        </w:rPr>
        <w:t xml:space="preserve">4762) и </w:t>
      </w:r>
      <w:r w:rsidR="008D539F">
        <w:rPr>
          <w:rFonts w:ascii="Times New Roman" w:hAnsi="Times New Roman"/>
          <w:i/>
          <w:sz w:val="28"/>
          <w:szCs w:val="28"/>
          <w:lang w:val="en-US"/>
        </w:rPr>
        <w:t>AGTR</w:t>
      </w:r>
      <w:r w:rsidR="008D539F">
        <w:rPr>
          <w:rFonts w:ascii="Times New Roman" w:hAnsi="Times New Roman"/>
          <w:i/>
          <w:sz w:val="28"/>
          <w:szCs w:val="28"/>
        </w:rPr>
        <w:t xml:space="preserve">1 </w:t>
      </w:r>
      <w:r w:rsidR="008D539F">
        <w:rPr>
          <w:rFonts w:ascii="Times New Roman" w:hAnsi="Times New Roman"/>
          <w:sz w:val="28"/>
          <w:szCs w:val="28"/>
          <w:lang w:val="en-US"/>
        </w:rPr>
        <w:t>A</w:t>
      </w:r>
      <w:r w:rsidR="008D539F">
        <w:rPr>
          <w:rFonts w:ascii="Times New Roman" w:hAnsi="Times New Roman"/>
          <w:sz w:val="28"/>
          <w:szCs w:val="28"/>
        </w:rPr>
        <w:t>1166</w:t>
      </w:r>
      <w:r w:rsidR="008D539F">
        <w:rPr>
          <w:rFonts w:ascii="Times New Roman" w:hAnsi="Times New Roman"/>
          <w:sz w:val="28"/>
          <w:szCs w:val="28"/>
          <w:lang w:val="en-US"/>
        </w:rPr>
        <w:t>C</w:t>
      </w:r>
      <w:r w:rsidR="008D539F">
        <w:rPr>
          <w:rFonts w:ascii="Times New Roman" w:hAnsi="Times New Roman"/>
          <w:sz w:val="28"/>
          <w:szCs w:val="28"/>
        </w:rPr>
        <w:t xml:space="preserve"> (</w:t>
      </w:r>
      <w:r w:rsidR="008D539F">
        <w:rPr>
          <w:rFonts w:ascii="Times New Roman" w:hAnsi="Times New Roman"/>
          <w:sz w:val="28"/>
          <w:szCs w:val="28"/>
          <w:lang w:val="en-US"/>
        </w:rPr>
        <w:t>rs</w:t>
      </w:r>
      <w:r w:rsidR="008D539F">
        <w:rPr>
          <w:rFonts w:ascii="Times New Roman" w:hAnsi="Times New Roman"/>
          <w:sz w:val="28"/>
          <w:szCs w:val="28"/>
        </w:rPr>
        <w:t xml:space="preserve">5186) с </w:t>
      </w:r>
      <w:r w:rsidR="0069510F">
        <w:rPr>
          <w:rFonts w:ascii="Times New Roman" w:hAnsi="Times New Roman"/>
          <w:sz w:val="28"/>
          <w:szCs w:val="28"/>
        </w:rPr>
        <w:t>развитием</w:t>
      </w:r>
      <w:r w:rsidR="008D539F">
        <w:rPr>
          <w:rFonts w:ascii="Times New Roman" w:hAnsi="Times New Roman"/>
          <w:sz w:val="28"/>
          <w:szCs w:val="28"/>
        </w:rPr>
        <w:t xml:space="preserve"> дислипидемии и </w:t>
      </w:r>
      <w:r w:rsidR="007F796D">
        <w:rPr>
          <w:rFonts w:ascii="Times New Roman" w:hAnsi="Times New Roman"/>
          <w:sz w:val="28"/>
          <w:szCs w:val="28"/>
        </w:rPr>
        <w:t>инсулинорезистентности</w:t>
      </w:r>
      <w:r w:rsidR="008D539F">
        <w:rPr>
          <w:rFonts w:ascii="Times New Roman" w:hAnsi="Times New Roman"/>
          <w:sz w:val="28"/>
          <w:szCs w:val="28"/>
        </w:rPr>
        <w:t xml:space="preserve"> в</w:t>
      </w:r>
      <w:r w:rsidR="0009646A">
        <w:rPr>
          <w:rFonts w:ascii="Times New Roman" w:hAnsi="Times New Roman"/>
          <w:sz w:val="28"/>
          <w:szCs w:val="28"/>
        </w:rPr>
        <w:t xml:space="preserve"> </w:t>
      </w:r>
      <w:r w:rsidR="00377F71">
        <w:rPr>
          <w:rFonts w:ascii="Times New Roman" w:hAnsi="Times New Roman"/>
          <w:sz w:val="28"/>
          <w:szCs w:val="28"/>
        </w:rPr>
        <w:t>исследуемой</w:t>
      </w:r>
      <w:r w:rsidR="0009646A">
        <w:rPr>
          <w:rFonts w:ascii="Times New Roman" w:hAnsi="Times New Roman"/>
          <w:sz w:val="28"/>
          <w:szCs w:val="28"/>
        </w:rPr>
        <w:t xml:space="preserve"> </w:t>
      </w:r>
      <w:r w:rsidR="009005F0">
        <w:rPr>
          <w:rFonts w:ascii="Times New Roman" w:hAnsi="Times New Roman"/>
          <w:sz w:val="28"/>
          <w:szCs w:val="28"/>
          <w:lang w:val="kk-KZ"/>
        </w:rPr>
        <w:t xml:space="preserve">нами </w:t>
      </w:r>
      <w:r w:rsidR="0009646A">
        <w:rPr>
          <w:rFonts w:ascii="Times New Roman" w:hAnsi="Times New Roman"/>
          <w:sz w:val="28"/>
          <w:szCs w:val="28"/>
        </w:rPr>
        <w:t>выборке</w:t>
      </w:r>
      <w:r w:rsidR="008D539F">
        <w:rPr>
          <w:rFonts w:ascii="Times New Roman" w:hAnsi="Times New Roman"/>
          <w:sz w:val="28"/>
          <w:szCs w:val="28"/>
        </w:rPr>
        <w:t>.</w:t>
      </w:r>
    </w:p>
    <w:p w:rsidR="00A3517C" w:rsidRDefault="00321FF9" w:rsidP="00E94E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В)</w:t>
      </w:r>
      <w:r w:rsidR="00ED38A0">
        <w:rPr>
          <w:rFonts w:ascii="Times New Roman" w:hAnsi="Times New Roman" w:cs="Times New Roman"/>
          <w:sz w:val="28"/>
          <w:szCs w:val="28"/>
          <w:lang w:val="kk-KZ"/>
        </w:rPr>
        <w:t xml:space="preserve"> </w:t>
      </w:r>
      <w:r w:rsidR="00C5353F">
        <w:rPr>
          <w:rFonts w:ascii="Times New Roman" w:hAnsi="Times New Roman" w:cs="Times New Roman"/>
          <w:sz w:val="28"/>
          <w:szCs w:val="28"/>
          <w:lang w:val="kk-KZ"/>
        </w:rPr>
        <w:t>Анализ у</w:t>
      </w:r>
      <w:r w:rsidR="00C5353F">
        <w:rPr>
          <w:rFonts w:ascii="Times New Roman" w:hAnsi="Times New Roman" w:cs="Times New Roman"/>
          <w:sz w:val="28"/>
          <w:szCs w:val="28"/>
        </w:rPr>
        <w:t>ровней</w:t>
      </w:r>
      <w:r w:rsidR="00A3517C">
        <w:rPr>
          <w:rFonts w:ascii="Times New Roman" w:hAnsi="Times New Roman" w:cs="Times New Roman"/>
          <w:sz w:val="28"/>
          <w:szCs w:val="28"/>
        </w:rPr>
        <w:t xml:space="preserve"> ТГ, апоВ и </w:t>
      </w:r>
      <w:r w:rsidR="00C5353F">
        <w:rPr>
          <w:rFonts w:ascii="Times New Roman" w:hAnsi="Times New Roman" w:cs="Times New Roman"/>
          <w:sz w:val="28"/>
          <w:szCs w:val="28"/>
        </w:rPr>
        <w:t xml:space="preserve">значение </w:t>
      </w:r>
      <w:r w:rsidR="00A3517C">
        <w:rPr>
          <w:rFonts w:ascii="Times New Roman" w:hAnsi="Times New Roman" w:cs="Times New Roman"/>
          <w:sz w:val="28"/>
          <w:szCs w:val="28"/>
        </w:rPr>
        <w:t>соотношения апоВ/апоА1 могут быть рекомендованы как ранние предикторы риска гиперинсулинемии и инсулинорезистентности в казахской популяции.</w:t>
      </w:r>
    </w:p>
    <w:p w:rsidR="00306C79" w:rsidRDefault="00321FF9" w:rsidP="00465ABE">
      <w:pPr>
        <w:pStyle w:val="a8"/>
        <w:spacing w:after="0"/>
        <w:jc w:val="both"/>
        <w:rPr>
          <w:rFonts w:ascii="Times New Roman" w:hAnsi="Times New Roman"/>
          <w:sz w:val="28"/>
          <w:szCs w:val="28"/>
        </w:rPr>
      </w:pPr>
      <w:r>
        <w:rPr>
          <w:rFonts w:ascii="Times New Roman" w:hAnsi="Times New Roman"/>
          <w:sz w:val="28"/>
          <w:szCs w:val="28"/>
        </w:rPr>
        <w:tab/>
        <w:t>3. Разработанные алгоритмы</w:t>
      </w:r>
      <w:r w:rsidR="00465ABE">
        <w:rPr>
          <w:rFonts w:ascii="Times New Roman" w:hAnsi="Times New Roman"/>
          <w:sz w:val="28"/>
          <w:szCs w:val="28"/>
        </w:rPr>
        <w:t xml:space="preserve"> </w:t>
      </w:r>
      <w:r>
        <w:rPr>
          <w:rFonts w:ascii="Times New Roman" w:hAnsi="Times New Roman"/>
          <w:sz w:val="28"/>
          <w:szCs w:val="28"/>
        </w:rPr>
        <w:t xml:space="preserve">диагностики дислипидемии и инсулинорезистентности </w:t>
      </w:r>
      <w:r w:rsidR="00306C79">
        <w:rPr>
          <w:rFonts w:ascii="Times New Roman" w:hAnsi="Times New Roman"/>
          <w:sz w:val="28"/>
          <w:szCs w:val="28"/>
        </w:rPr>
        <w:t>на основе</w:t>
      </w:r>
      <w:r w:rsidR="00465ABE">
        <w:rPr>
          <w:rFonts w:ascii="Times New Roman" w:hAnsi="Times New Roman"/>
          <w:sz w:val="28"/>
          <w:szCs w:val="28"/>
        </w:rPr>
        <w:t xml:space="preserve"> комплексного анализа (биохимические показатели, полиморфизмы таргетных генов и др.)</w:t>
      </w:r>
      <w:r w:rsidR="00306C79">
        <w:rPr>
          <w:rFonts w:ascii="Times New Roman" w:hAnsi="Times New Roman"/>
          <w:sz w:val="28"/>
          <w:szCs w:val="28"/>
        </w:rPr>
        <w:t xml:space="preserve"> </w:t>
      </w:r>
      <w:r>
        <w:rPr>
          <w:rFonts w:ascii="Times New Roman" w:hAnsi="Times New Roman"/>
          <w:sz w:val="28"/>
          <w:szCs w:val="28"/>
        </w:rPr>
        <w:t xml:space="preserve">позволят </w:t>
      </w:r>
      <w:r w:rsidR="00306C79">
        <w:rPr>
          <w:rFonts w:ascii="Times New Roman" w:hAnsi="Times New Roman"/>
          <w:sz w:val="28"/>
          <w:szCs w:val="28"/>
        </w:rPr>
        <w:t xml:space="preserve">прогнозировать предрасположенность к развитию дислипидемии и </w:t>
      </w:r>
      <w:r w:rsidR="00B06C06">
        <w:rPr>
          <w:rFonts w:ascii="Times New Roman" w:hAnsi="Times New Roman"/>
          <w:sz w:val="28"/>
          <w:szCs w:val="28"/>
        </w:rPr>
        <w:t>инсулинорезистности</w:t>
      </w:r>
      <w:r w:rsidR="00306C79">
        <w:rPr>
          <w:rFonts w:ascii="Times New Roman" w:hAnsi="Times New Roman"/>
          <w:sz w:val="28"/>
          <w:szCs w:val="28"/>
        </w:rPr>
        <w:t xml:space="preserve"> у представителей казахской популяции</w:t>
      </w:r>
      <w:r w:rsidR="00EE0F23">
        <w:rPr>
          <w:rFonts w:ascii="Times New Roman" w:hAnsi="Times New Roman"/>
          <w:sz w:val="28"/>
          <w:szCs w:val="28"/>
        </w:rPr>
        <w:t>, т</w:t>
      </w:r>
      <w:r w:rsidR="00EE0F23">
        <w:rPr>
          <w:rFonts w:ascii="Times New Roman" w:hAnsi="Times New Roman"/>
          <w:sz w:val="28"/>
          <w:szCs w:val="28"/>
          <w:lang w:val="kk-KZ"/>
        </w:rPr>
        <w:t>ем самым, будет способствовать своевременной профилактике БСК, СД и МС</w:t>
      </w:r>
      <w:r w:rsidR="00306C79">
        <w:rPr>
          <w:rFonts w:ascii="Times New Roman" w:hAnsi="Times New Roman"/>
          <w:sz w:val="28"/>
          <w:szCs w:val="28"/>
        </w:rPr>
        <w:t>.</w:t>
      </w:r>
    </w:p>
    <w:p w:rsidR="00AB12B3" w:rsidRDefault="00EE0F23" w:rsidP="00465ABE">
      <w:pPr>
        <w:pStyle w:val="a8"/>
        <w:spacing w:after="0"/>
        <w:rPr>
          <w:rFonts w:ascii="Times New Roman" w:hAnsi="Times New Roman"/>
          <w:b/>
          <w:sz w:val="28"/>
          <w:szCs w:val="28"/>
        </w:rPr>
      </w:pPr>
      <w:r>
        <w:rPr>
          <w:rFonts w:ascii="Times New Roman" w:hAnsi="Times New Roman"/>
          <w:sz w:val="28"/>
          <w:szCs w:val="28"/>
        </w:rPr>
        <w:tab/>
      </w:r>
      <w:r w:rsidR="00AB12B3">
        <w:rPr>
          <w:rFonts w:ascii="Times New Roman" w:hAnsi="Times New Roman"/>
          <w:b/>
          <w:sz w:val="28"/>
          <w:szCs w:val="28"/>
        </w:rPr>
        <w:t>Практическая значимость</w:t>
      </w:r>
    </w:p>
    <w:p w:rsidR="00AB12B3" w:rsidRDefault="00AB12B3" w:rsidP="00465ABE">
      <w:pPr>
        <w:spacing w:after="0" w:line="240" w:lineRule="auto"/>
        <w:ind w:firstLine="708"/>
        <w:jc w:val="both"/>
        <w:rPr>
          <w:rFonts w:ascii="Times New Roman" w:hAnsi="Times New Roman" w:cs="Times New Roman"/>
          <w:b/>
          <w:sz w:val="28"/>
          <w:szCs w:val="28"/>
        </w:rPr>
      </w:pPr>
      <w:r>
        <w:rPr>
          <w:rFonts w:ascii="Times New Roman" w:hAnsi="Times New Roman" w:cs="Times New Roman"/>
          <w:sz w:val="28"/>
          <w:szCs w:val="28"/>
        </w:rPr>
        <w:t>Результаты проведенной работы могут служить основой для определения предрасположенности к развитию дислипидемии и инсулинорезистентности, так как полиморфизмы генов являются значимыми предикторами дислипидемии и инсулинорезистентности в казахской популяции. Полиморфизмы генов можно ис</w:t>
      </w:r>
      <w:r w:rsidR="008E1F5D">
        <w:rPr>
          <w:rFonts w:ascii="Times New Roman" w:hAnsi="Times New Roman" w:cs="Times New Roman"/>
          <w:sz w:val="28"/>
          <w:szCs w:val="28"/>
        </w:rPr>
        <w:t>пользовать как допол</w:t>
      </w:r>
      <w:r>
        <w:rPr>
          <w:rFonts w:ascii="Times New Roman" w:hAnsi="Times New Roman" w:cs="Times New Roman"/>
          <w:sz w:val="28"/>
          <w:szCs w:val="28"/>
        </w:rPr>
        <w:t xml:space="preserve">нительные прогностические маркеры риска развития дислипидемии и инсулинорезистентности. </w:t>
      </w:r>
      <w:r>
        <w:rPr>
          <w:rFonts w:ascii="Times New Roman" w:hAnsi="Times New Roman" w:cs="Times New Roman"/>
          <w:sz w:val="28"/>
          <w:szCs w:val="28"/>
          <w:lang w:val="kk-KZ"/>
        </w:rPr>
        <w:t>На</w:t>
      </w:r>
      <w:r w:rsidR="00DE0E94">
        <w:rPr>
          <w:rFonts w:ascii="Times New Roman" w:hAnsi="Times New Roman" w:cs="Times New Roman"/>
          <w:sz w:val="28"/>
          <w:szCs w:val="28"/>
          <w:lang w:val="kk-KZ"/>
        </w:rPr>
        <w:t xml:space="preserve"> </w:t>
      </w:r>
      <w:r>
        <w:rPr>
          <w:rFonts w:ascii="Times New Roman" w:hAnsi="Times New Roman" w:cs="Times New Roman"/>
          <w:sz w:val="28"/>
          <w:szCs w:val="28"/>
          <w:lang w:val="kk-KZ"/>
        </w:rPr>
        <w:t>основе</w:t>
      </w:r>
      <w:r w:rsidR="00DE0E94">
        <w:rPr>
          <w:rFonts w:ascii="Times New Roman" w:hAnsi="Times New Roman" w:cs="Times New Roman"/>
          <w:sz w:val="28"/>
          <w:szCs w:val="28"/>
          <w:lang w:val="kk-KZ"/>
        </w:rPr>
        <w:t xml:space="preserve"> </w:t>
      </w:r>
      <w:r>
        <w:rPr>
          <w:rFonts w:ascii="Times New Roman" w:hAnsi="Times New Roman" w:cs="Times New Roman"/>
          <w:sz w:val="28"/>
          <w:szCs w:val="28"/>
          <w:lang w:val="kk-KZ"/>
        </w:rPr>
        <w:t>полученных</w:t>
      </w:r>
      <w:r w:rsidR="00DE0E94">
        <w:rPr>
          <w:rFonts w:ascii="Times New Roman" w:hAnsi="Times New Roman" w:cs="Times New Roman"/>
          <w:sz w:val="28"/>
          <w:szCs w:val="28"/>
          <w:lang w:val="kk-KZ"/>
        </w:rPr>
        <w:t xml:space="preserve"> </w:t>
      </w:r>
      <w:r>
        <w:rPr>
          <w:rFonts w:ascii="Times New Roman" w:hAnsi="Times New Roman" w:cs="Times New Roman"/>
          <w:sz w:val="28"/>
          <w:szCs w:val="28"/>
          <w:lang w:val="kk-KZ"/>
        </w:rPr>
        <w:t>результатов</w:t>
      </w:r>
      <w:r w:rsidR="00DE0E94">
        <w:rPr>
          <w:rFonts w:ascii="Times New Roman" w:hAnsi="Times New Roman" w:cs="Times New Roman"/>
          <w:sz w:val="28"/>
          <w:szCs w:val="28"/>
          <w:lang w:val="kk-KZ"/>
        </w:rPr>
        <w:t xml:space="preserve"> </w:t>
      </w:r>
      <w:r>
        <w:rPr>
          <w:rFonts w:ascii="Times New Roman" w:hAnsi="Times New Roman" w:cs="Times New Roman"/>
          <w:sz w:val="28"/>
          <w:szCs w:val="28"/>
          <w:lang w:val="kk-KZ"/>
        </w:rPr>
        <w:t>разработаны алгоритмы по</w:t>
      </w:r>
      <w:r w:rsidR="0080095F">
        <w:rPr>
          <w:rFonts w:ascii="Times New Roman" w:hAnsi="Times New Roman" w:cs="Times New Roman"/>
          <w:sz w:val="28"/>
          <w:szCs w:val="28"/>
          <w:lang w:val="kk-KZ"/>
        </w:rPr>
        <w:t xml:space="preserve"> </w:t>
      </w:r>
      <w:r>
        <w:rPr>
          <w:rFonts w:ascii="Times New Roman" w:hAnsi="Times New Roman" w:cs="Times New Roman"/>
          <w:sz w:val="28"/>
          <w:szCs w:val="28"/>
          <w:lang w:val="kk-KZ"/>
        </w:rPr>
        <w:t>прогнозированию</w:t>
      </w:r>
      <w:r w:rsidR="0080095F">
        <w:rPr>
          <w:rFonts w:ascii="Times New Roman" w:hAnsi="Times New Roman" w:cs="Times New Roman"/>
          <w:sz w:val="28"/>
          <w:szCs w:val="28"/>
          <w:lang w:val="kk-KZ"/>
        </w:rPr>
        <w:t xml:space="preserve"> </w:t>
      </w:r>
      <w:r>
        <w:rPr>
          <w:rFonts w:ascii="Times New Roman" w:hAnsi="Times New Roman" w:cs="Times New Roman"/>
          <w:sz w:val="28"/>
          <w:szCs w:val="28"/>
          <w:lang w:val="kk-KZ"/>
        </w:rPr>
        <w:t>риска</w:t>
      </w:r>
      <w:r w:rsidR="0080095F">
        <w:rPr>
          <w:rFonts w:ascii="Times New Roman" w:hAnsi="Times New Roman" w:cs="Times New Roman"/>
          <w:sz w:val="28"/>
          <w:szCs w:val="28"/>
          <w:lang w:val="kk-KZ"/>
        </w:rPr>
        <w:t xml:space="preserve"> </w:t>
      </w:r>
      <w:r>
        <w:rPr>
          <w:rFonts w:ascii="Times New Roman" w:hAnsi="Times New Roman" w:cs="Times New Roman"/>
          <w:sz w:val="28"/>
          <w:szCs w:val="28"/>
          <w:lang w:val="kk-KZ"/>
        </w:rPr>
        <w:t>развития</w:t>
      </w:r>
      <w:r w:rsidR="0080095F">
        <w:rPr>
          <w:rFonts w:ascii="Times New Roman" w:hAnsi="Times New Roman" w:cs="Times New Roman"/>
          <w:sz w:val="28"/>
          <w:szCs w:val="28"/>
          <w:lang w:val="kk-KZ"/>
        </w:rPr>
        <w:t xml:space="preserve"> </w:t>
      </w:r>
      <w:r>
        <w:rPr>
          <w:rFonts w:ascii="Times New Roman" w:hAnsi="Times New Roman" w:cs="Times New Roman"/>
          <w:sz w:val="28"/>
          <w:szCs w:val="28"/>
          <w:lang w:val="kk-KZ"/>
        </w:rPr>
        <w:t>дислипидемии и инсулинорезистентности в казахской</w:t>
      </w:r>
      <w:r w:rsidR="0080095F">
        <w:rPr>
          <w:rFonts w:ascii="Times New Roman" w:hAnsi="Times New Roman" w:cs="Times New Roman"/>
          <w:sz w:val="28"/>
          <w:szCs w:val="28"/>
          <w:lang w:val="kk-KZ"/>
        </w:rPr>
        <w:t xml:space="preserve"> </w:t>
      </w:r>
      <w:r>
        <w:rPr>
          <w:rFonts w:ascii="Times New Roman" w:hAnsi="Times New Roman" w:cs="Times New Roman"/>
          <w:sz w:val="28"/>
          <w:szCs w:val="28"/>
          <w:lang w:val="kk-KZ"/>
        </w:rPr>
        <w:t>популяции.</w:t>
      </w:r>
    </w:p>
    <w:p w:rsidR="00AB12B3" w:rsidRDefault="00AB12B3" w:rsidP="00AB12B3">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Апробация работы</w:t>
      </w:r>
    </w:p>
    <w:p w:rsidR="006629AC"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Основные результаты </w:t>
      </w:r>
      <w:r w:rsidR="00EF5705">
        <w:rPr>
          <w:rFonts w:ascii="Times New Roman" w:hAnsi="Times New Roman" w:cs="Times New Roman"/>
          <w:sz w:val="28"/>
          <w:szCs w:val="28"/>
          <w:lang w:val="kk-KZ"/>
        </w:rPr>
        <w:t xml:space="preserve">настоящей </w:t>
      </w:r>
      <w:r>
        <w:rPr>
          <w:rFonts w:ascii="Times New Roman" w:hAnsi="Times New Roman" w:cs="Times New Roman"/>
          <w:sz w:val="28"/>
          <w:szCs w:val="28"/>
        </w:rPr>
        <w:t xml:space="preserve">диссертационной работы были представлены и обсуждены на: </w:t>
      </w:r>
    </w:p>
    <w:p w:rsidR="006629AC" w:rsidRPr="006629AC" w:rsidRDefault="00AB12B3" w:rsidP="006629AC">
      <w:pPr>
        <w:pStyle w:val="af4"/>
        <w:numPr>
          <w:ilvl w:val="0"/>
          <w:numId w:val="21"/>
        </w:numPr>
        <w:spacing w:after="0" w:line="240" w:lineRule="auto"/>
        <w:ind w:left="360"/>
        <w:jc w:val="both"/>
        <w:rPr>
          <w:rFonts w:ascii="Times New Roman" w:hAnsi="Times New Roman" w:cs="Times New Roman"/>
          <w:sz w:val="28"/>
          <w:szCs w:val="28"/>
        </w:rPr>
      </w:pPr>
      <w:r w:rsidRPr="006629AC">
        <w:rPr>
          <w:rFonts w:ascii="Times New Roman" w:hAnsi="Times New Roman" w:cs="Times New Roman"/>
          <w:sz w:val="28"/>
          <w:szCs w:val="28"/>
        </w:rPr>
        <w:lastRenderedPageBreak/>
        <w:t>VIII Международной научно-практической конференции «Актуальные вопросы медицины» и «Второй спутниковый форум по общественному здоровью и политике здравоохранения»</w:t>
      </w:r>
      <w:r w:rsidR="0084388F">
        <w:rPr>
          <w:rFonts w:ascii="Century" w:hAnsi="Century" w:cs="Times New Roman"/>
          <w:sz w:val="28"/>
          <w:szCs w:val="28"/>
        </w:rPr>
        <w:t>,</w:t>
      </w:r>
      <w:r w:rsidRPr="006629AC">
        <w:rPr>
          <w:rFonts w:ascii="Times New Roman" w:hAnsi="Times New Roman" w:cs="Times New Roman"/>
          <w:sz w:val="28"/>
          <w:szCs w:val="28"/>
        </w:rPr>
        <w:t xml:space="preserve"> г</w:t>
      </w:r>
      <w:r w:rsidR="0084388F">
        <w:rPr>
          <w:rFonts w:ascii="Century" w:hAnsi="Century" w:cs="Times New Roman"/>
          <w:sz w:val="28"/>
          <w:szCs w:val="28"/>
        </w:rPr>
        <w:t>.</w:t>
      </w:r>
      <w:r w:rsidRPr="006629AC">
        <w:rPr>
          <w:rFonts w:ascii="Times New Roman" w:hAnsi="Times New Roman" w:cs="Times New Roman"/>
          <w:sz w:val="28"/>
          <w:szCs w:val="28"/>
        </w:rPr>
        <w:t xml:space="preserve"> Баку</w:t>
      </w:r>
      <w:r w:rsidR="0084388F">
        <w:rPr>
          <w:rFonts w:ascii="Century" w:hAnsi="Century" w:cs="Times New Roman"/>
          <w:sz w:val="28"/>
          <w:szCs w:val="28"/>
        </w:rPr>
        <w:t>,</w:t>
      </w:r>
      <w:r w:rsidRPr="006629AC">
        <w:rPr>
          <w:rFonts w:ascii="Times New Roman" w:hAnsi="Times New Roman" w:cs="Times New Roman"/>
          <w:sz w:val="28"/>
          <w:szCs w:val="28"/>
        </w:rPr>
        <w:t xml:space="preserve"> Азербайджан</w:t>
      </w:r>
      <w:r w:rsidR="0084388F">
        <w:rPr>
          <w:rFonts w:ascii="Century" w:hAnsi="Century" w:cs="Times New Roman"/>
          <w:sz w:val="28"/>
          <w:szCs w:val="28"/>
        </w:rPr>
        <w:t>,</w:t>
      </w:r>
      <w:r w:rsidRPr="006629AC">
        <w:rPr>
          <w:rFonts w:ascii="Times New Roman" w:hAnsi="Times New Roman" w:cs="Times New Roman"/>
          <w:sz w:val="28"/>
          <w:szCs w:val="28"/>
        </w:rPr>
        <w:t xml:space="preserve"> 2019 г</w:t>
      </w:r>
      <w:r w:rsidR="0084388F">
        <w:rPr>
          <w:rFonts w:ascii="Century" w:hAnsi="Century" w:cs="Times New Roman"/>
          <w:sz w:val="28"/>
          <w:szCs w:val="28"/>
        </w:rPr>
        <w:t>.;</w:t>
      </w:r>
      <w:r w:rsidRPr="006629AC">
        <w:rPr>
          <w:rFonts w:ascii="Times New Roman" w:hAnsi="Times New Roman" w:cs="Times New Roman"/>
          <w:sz w:val="28"/>
          <w:szCs w:val="28"/>
        </w:rPr>
        <w:t xml:space="preserve"> </w:t>
      </w:r>
    </w:p>
    <w:p w:rsidR="006629AC" w:rsidRPr="006629AC" w:rsidRDefault="00AB12B3" w:rsidP="006629AC">
      <w:pPr>
        <w:pStyle w:val="af4"/>
        <w:numPr>
          <w:ilvl w:val="0"/>
          <w:numId w:val="21"/>
        </w:numPr>
        <w:spacing w:after="0" w:line="240" w:lineRule="auto"/>
        <w:ind w:left="360"/>
        <w:jc w:val="both"/>
        <w:rPr>
          <w:rFonts w:ascii="Times New Roman" w:hAnsi="Times New Roman" w:cs="Times New Roman"/>
          <w:sz w:val="28"/>
          <w:szCs w:val="28"/>
        </w:rPr>
      </w:pPr>
      <w:r w:rsidRPr="006629AC">
        <w:rPr>
          <w:rFonts w:ascii="Times New Roman" w:hAnsi="Times New Roman" w:cs="Times New Roman"/>
          <w:sz w:val="28"/>
          <w:szCs w:val="28"/>
        </w:rPr>
        <w:t>XIV Международной научно–практической конференции «Экология</w:t>
      </w:r>
      <w:r w:rsidR="0026771C">
        <w:rPr>
          <w:rFonts w:ascii="Century" w:hAnsi="Century" w:cs="Times New Roman"/>
          <w:sz w:val="28"/>
          <w:szCs w:val="28"/>
        </w:rPr>
        <w:t>.</w:t>
      </w:r>
      <w:r w:rsidRPr="006629AC">
        <w:rPr>
          <w:rFonts w:ascii="Times New Roman" w:hAnsi="Times New Roman" w:cs="Times New Roman"/>
          <w:sz w:val="28"/>
          <w:szCs w:val="28"/>
        </w:rPr>
        <w:t xml:space="preserve"> Радиация</w:t>
      </w:r>
      <w:r w:rsidR="0026771C">
        <w:rPr>
          <w:rFonts w:ascii="Century" w:hAnsi="Century" w:cs="Times New Roman"/>
          <w:sz w:val="28"/>
          <w:szCs w:val="28"/>
        </w:rPr>
        <w:t>.</w:t>
      </w:r>
      <w:r w:rsidRPr="006629AC">
        <w:rPr>
          <w:rFonts w:ascii="Times New Roman" w:hAnsi="Times New Roman" w:cs="Times New Roman"/>
          <w:sz w:val="28"/>
          <w:szCs w:val="28"/>
        </w:rPr>
        <w:t xml:space="preserve"> Здоровье</w:t>
      </w:r>
      <w:r w:rsidR="0026771C">
        <w:rPr>
          <w:rFonts w:ascii="Century" w:hAnsi="Century" w:cs="Times New Roman"/>
          <w:sz w:val="28"/>
          <w:szCs w:val="28"/>
        </w:rPr>
        <w:t>.</w:t>
      </w:r>
      <w:r w:rsidRPr="006629AC">
        <w:rPr>
          <w:rFonts w:ascii="Times New Roman" w:hAnsi="Times New Roman" w:cs="Times New Roman"/>
          <w:sz w:val="28"/>
          <w:szCs w:val="28"/>
        </w:rPr>
        <w:t>» г</w:t>
      </w:r>
      <w:r w:rsidR="0026771C">
        <w:rPr>
          <w:rFonts w:ascii="Century" w:hAnsi="Century" w:cs="Times New Roman"/>
          <w:sz w:val="28"/>
          <w:szCs w:val="28"/>
        </w:rPr>
        <w:t>.</w:t>
      </w:r>
      <w:r w:rsidRPr="006629AC">
        <w:rPr>
          <w:rFonts w:ascii="Times New Roman" w:hAnsi="Times New Roman" w:cs="Times New Roman"/>
          <w:sz w:val="28"/>
          <w:szCs w:val="28"/>
        </w:rPr>
        <w:t xml:space="preserve"> Семей</w:t>
      </w:r>
      <w:r w:rsidR="0026771C">
        <w:rPr>
          <w:rFonts w:ascii="Century" w:hAnsi="Century" w:cs="Times New Roman"/>
          <w:sz w:val="28"/>
          <w:szCs w:val="28"/>
        </w:rPr>
        <w:t>,</w:t>
      </w:r>
      <w:r w:rsidRPr="006629AC">
        <w:rPr>
          <w:rFonts w:ascii="Times New Roman" w:hAnsi="Times New Roman" w:cs="Times New Roman"/>
          <w:sz w:val="28"/>
          <w:szCs w:val="28"/>
        </w:rPr>
        <w:t xml:space="preserve"> Республика Казахстан</w:t>
      </w:r>
      <w:r w:rsidR="0026771C">
        <w:rPr>
          <w:rFonts w:ascii="Century" w:hAnsi="Century" w:cs="Times New Roman"/>
          <w:sz w:val="28"/>
          <w:szCs w:val="28"/>
        </w:rPr>
        <w:t>,</w:t>
      </w:r>
      <w:r w:rsidRPr="006629AC">
        <w:rPr>
          <w:rFonts w:ascii="Times New Roman" w:hAnsi="Times New Roman" w:cs="Times New Roman"/>
          <w:sz w:val="28"/>
          <w:szCs w:val="28"/>
        </w:rPr>
        <w:t xml:space="preserve"> 2019 г</w:t>
      </w:r>
      <w:r w:rsidR="0026771C">
        <w:rPr>
          <w:rFonts w:ascii="Century" w:hAnsi="Century" w:cs="Times New Roman"/>
          <w:sz w:val="28"/>
          <w:szCs w:val="28"/>
        </w:rPr>
        <w:t>.;</w:t>
      </w:r>
    </w:p>
    <w:p w:rsidR="00AB12B3" w:rsidRDefault="00AB12B3" w:rsidP="00AB12B3">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Сведения о публикациях</w:t>
      </w:r>
    </w:p>
    <w:p w:rsidR="004A0049" w:rsidRDefault="00AB12B3" w:rsidP="00D07F2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 теме диссертации опубликованы </w:t>
      </w:r>
      <w:r w:rsidR="00215842">
        <w:rPr>
          <w:rFonts w:ascii="Times New Roman" w:hAnsi="Times New Roman" w:cs="Times New Roman"/>
          <w:sz w:val="28"/>
          <w:szCs w:val="28"/>
          <w:lang w:val="kk-KZ"/>
        </w:rPr>
        <w:t>11</w:t>
      </w:r>
      <w:r>
        <w:rPr>
          <w:rFonts w:ascii="Times New Roman" w:hAnsi="Times New Roman" w:cs="Times New Roman"/>
          <w:sz w:val="28"/>
          <w:szCs w:val="28"/>
        </w:rPr>
        <w:t xml:space="preserve"> публикации. Из них 1 статья в издании индексируемой в базе данных Scopus, </w:t>
      </w:r>
      <w:r w:rsidR="00BA67AC">
        <w:rPr>
          <w:rFonts w:ascii="Times New Roman" w:hAnsi="Times New Roman" w:cs="Times New Roman"/>
          <w:sz w:val="28"/>
          <w:szCs w:val="28"/>
          <w:lang w:val="kk-KZ"/>
        </w:rPr>
        <w:t>5</w:t>
      </w:r>
      <w:r>
        <w:rPr>
          <w:rFonts w:ascii="Times New Roman" w:hAnsi="Times New Roman" w:cs="Times New Roman"/>
          <w:sz w:val="28"/>
          <w:szCs w:val="28"/>
        </w:rPr>
        <w:t xml:space="preserve"> стат</w:t>
      </w:r>
      <w:r w:rsidR="00286F1A">
        <w:rPr>
          <w:rFonts w:ascii="Times New Roman" w:hAnsi="Times New Roman" w:cs="Times New Roman"/>
          <w:sz w:val="28"/>
          <w:szCs w:val="28"/>
        </w:rPr>
        <w:t>ей</w:t>
      </w:r>
      <w:r w:rsidR="00CD6849">
        <w:rPr>
          <w:rFonts w:ascii="Times New Roman" w:hAnsi="Times New Roman" w:cs="Times New Roman"/>
          <w:sz w:val="28"/>
          <w:szCs w:val="28"/>
        </w:rPr>
        <w:t xml:space="preserve"> </w:t>
      </w:r>
      <w:r w:rsidR="00C20187">
        <w:rPr>
          <w:rFonts w:ascii="Times New Roman" w:hAnsi="Times New Roman" w:cs="Times New Roman"/>
          <w:sz w:val="28"/>
          <w:szCs w:val="28"/>
        </w:rPr>
        <w:t>в журналах</w:t>
      </w:r>
      <w:r w:rsidR="00016DFA">
        <w:rPr>
          <w:rFonts w:ascii="Century" w:hAnsi="Century" w:cs="Times New Roman"/>
          <w:sz w:val="28"/>
          <w:szCs w:val="28"/>
        </w:rPr>
        <w:t>,</w:t>
      </w:r>
      <w:r>
        <w:rPr>
          <w:rFonts w:ascii="Times New Roman" w:hAnsi="Times New Roman" w:cs="Times New Roman"/>
          <w:sz w:val="28"/>
          <w:szCs w:val="28"/>
        </w:rPr>
        <w:t xml:space="preserve"> рекомендованных Комитетом по контролю в сфере образования и науки МОН РК. Опубликовано </w:t>
      </w:r>
      <w:r w:rsidR="00BA67AC">
        <w:rPr>
          <w:rFonts w:ascii="Times New Roman" w:hAnsi="Times New Roman" w:cs="Times New Roman"/>
          <w:sz w:val="28"/>
          <w:szCs w:val="28"/>
          <w:lang w:val="kk-KZ"/>
        </w:rPr>
        <w:t>2</w:t>
      </w:r>
      <w:r>
        <w:rPr>
          <w:rFonts w:ascii="Times New Roman" w:hAnsi="Times New Roman" w:cs="Times New Roman"/>
          <w:sz w:val="28"/>
          <w:szCs w:val="28"/>
        </w:rPr>
        <w:t xml:space="preserve"> тезиса в материалах международных конференции, в том числе </w:t>
      </w:r>
      <w:r w:rsidR="00BA67AC">
        <w:rPr>
          <w:rFonts w:ascii="Times New Roman" w:hAnsi="Times New Roman" w:cs="Times New Roman"/>
          <w:sz w:val="28"/>
          <w:szCs w:val="28"/>
          <w:lang w:val="kk-KZ"/>
        </w:rPr>
        <w:t>1</w:t>
      </w:r>
      <w:r w:rsidR="00286F1A">
        <w:rPr>
          <w:rFonts w:ascii="Times New Roman" w:hAnsi="Times New Roman" w:cs="Times New Roman"/>
          <w:sz w:val="28"/>
          <w:szCs w:val="28"/>
        </w:rPr>
        <w:t xml:space="preserve"> тезис</w:t>
      </w:r>
      <w:r>
        <w:rPr>
          <w:rFonts w:ascii="Times New Roman" w:hAnsi="Times New Roman" w:cs="Times New Roman"/>
          <w:sz w:val="28"/>
          <w:szCs w:val="28"/>
        </w:rPr>
        <w:t xml:space="preserve"> в зарубежных международных конференциях. Получено авторское свидетельство №1892</w:t>
      </w:r>
      <w:r w:rsidR="00CD6849">
        <w:rPr>
          <w:rFonts w:ascii="Times New Roman" w:hAnsi="Times New Roman" w:cs="Times New Roman"/>
          <w:sz w:val="28"/>
          <w:szCs w:val="28"/>
        </w:rPr>
        <w:t xml:space="preserve"> </w:t>
      </w:r>
      <w:r w:rsidR="000777C5">
        <w:rPr>
          <w:rFonts w:ascii="Times New Roman" w:hAnsi="Times New Roman" w:cs="Times New Roman"/>
          <w:sz w:val="28"/>
          <w:szCs w:val="28"/>
        </w:rPr>
        <w:t>(Приложение В</w:t>
      </w:r>
      <w:r w:rsidR="00C20187">
        <w:rPr>
          <w:rFonts w:ascii="Times New Roman" w:hAnsi="Times New Roman" w:cs="Times New Roman"/>
          <w:sz w:val="28"/>
          <w:szCs w:val="28"/>
        </w:rPr>
        <w:t>)</w:t>
      </w:r>
      <w:r>
        <w:rPr>
          <w:rFonts w:ascii="Times New Roman" w:hAnsi="Times New Roman" w:cs="Times New Roman"/>
          <w:sz w:val="28"/>
          <w:szCs w:val="28"/>
        </w:rPr>
        <w:t xml:space="preserve">. Получен </w:t>
      </w:r>
      <w:r w:rsidR="00C20187">
        <w:rPr>
          <w:rFonts w:ascii="Times New Roman" w:hAnsi="Times New Roman" w:cs="Times New Roman"/>
          <w:sz w:val="28"/>
          <w:szCs w:val="28"/>
        </w:rPr>
        <w:t>инновационн</w:t>
      </w:r>
      <w:r w:rsidR="0097097C">
        <w:rPr>
          <w:rFonts w:ascii="Times New Roman" w:hAnsi="Times New Roman" w:cs="Times New Roman"/>
          <w:sz w:val="28"/>
          <w:szCs w:val="28"/>
        </w:rPr>
        <w:t>ый</w:t>
      </w:r>
      <w:r w:rsidR="00C20187">
        <w:rPr>
          <w:rFonts w:ascii="Times New Roman" w:hAnsi="Times New Roman" w:cs="Times New Roman"/>
          <w:sz w:val="28"/>
          <w:szCs w:val="28"/>
        </w:rPr>
        <w:t xml:space="preserve"> </w:t>
      </w:r>
      <w:r>
        <w:rPr>
          <w:rFonts w:ascii="Times New Roman" w:hAnsi="Times New Roman" w:cs="Times New Roman"/>
          <w:sz w:val="28"/>
          <w:szCs w:val="28"/>
        </w:rPr>
        <w:t>патент</w:t>
      </w:r>
      <w:r w:rsidR="003F0171">
        <w:rPr>
          <w:rFonts w:ascii="Times New Roman" w:hAnsi="Times New Roman" w:cs="Times New Roman"/>
          <w:sz w:val="28"/>
          <w:szCs w:val="28"/>
        </w:rPr>
        <w:t xml:space="preserve"> </w:t>
      </w:r>
      <w:r w:rsidR="00C20187">
        <w:rPr>
          <w:rFonts w:ascii="Times New Roman" w:hAnsi="Times New Roman" w:cs="Times New Roman"/>
          <w:sz w:val="28"/>
          <w:szCs w:val="28"/>
        </w:rPr>
        <w:t>Республики Казахстан</w:t>
      </w:r>
      <w:r w:rsidR="00551A70">
        <w:rPr>
          <w:rFonts w:ascii="Times New Roman" w:hAnsi="Times New Roman" w:cs="Times New Roman"/>
          <w:sz w:val="28"/>
          <w:szCs w:val="28"/>
        </w:rPr>
        <w:t xml:space="preserve"> </w:t>
      </w:r>
      <w:r w:rsidR="0047514F" w:rsidRPr="00B67A0E">
        <w:rPr>
          <w:rFonts w:ascii="Times New Roman" w:hAnsi="Times New Roman" w:cs="Times New Roman"/>
          <w:sz w:val="28"/>
          <w:szCs w:val="28"/>
        </w:rPr>
        <w:t>№</w:t>
      </w:r>
      <w:r w:rsidR="00A56643">
        <w:rPr>
          <w:rFonts w:ascii="Times New Roman" w:hAnsi="Times New Roman" w:cs="Times New Roman"/>
          <w:sz w:val="28"/>
          <w:szCs w:val="28"/>
        </w:rPr>
        <w:t>35154</w:t>
      </w:r>
      <w:r w:rsidR="006F4436">
        <w:rPr>
          <w:rFonts w:ascii="Times New Roman" w:hAnsi="Times New Roman" w:cs="Times New Roman"/>
          <w:sz w:val="28"/>
          <w:szCs w:val="28"/>
        </w:rPr>
        <w:t xml:space="preserve"> (Приложение Г)</w:t>
      </w:r>
      <w:r>
        <w:rPr>
          <w:rFonts w:ascii="Times New Roman" w:hAnsi="Times New Roman" w:cs="Times New Roman"/>
          <w:sz w:val="28"/>
          <w:szCs w:val="28"/>
        </w:rPr>
        <w:t xml:space="preserve">. </w:t>
      </w:r>
      <w:r w:rsidR="004A0049">
        <w:rPr>
          <w:rFonts w:ascii="Times New Roman" w:hAnsi="Times New Roman" w:cs="Times New Roman"/>
          <w:sz w:val="28"/>
          <w:szCs w:val="28"/>
        </w:rPr>
        <w:t>Получен инновационн</w:t>
      </w:r>
      <w:r w:rsidR="0097097C">
        <w:rPr>
          <w:rFonts w:ascii="Times New Roman" w:hAnsi="Times New Roman" w:cs="Times New Roman"/>
          <w:sz w:val="28"/>
          <w:szCs w:val="28"/>
        </w:rPr>
        <w:t>ый</w:t>
      </w:r>
      <w:r w:rsidR="004A0049">
        <w:rPr>
          <w:rFonts w:ascii="Times New Roman" w:hAnsi="Times New Roman" w:cs="Times New Roman"/>
          <w:sz w:val="28"/>
          <w:szCs w:val="28"/>
        </w:rPr>
        <w:t xml:space="preserve"> </w:t>
      </w:r>
      <w:r w:rsidR="004A0049" w:rsidRPr="00941E7B">
        <w:rPr>
          <w:rFonts w:ascii="Times New Roman" w:hAnsi="Times New Roman" w:cs="Times New Roman"/>
          <w:sz w:val="28"/>
          <w:szCs w:val="28"/>
        </w:rPr>
        <w:t>патент Российской Федерации №2</w:t>
      </w:r>
      <w:r w:rsidR="0097097C">
        <w:rPr>
          <w:rFonts w:ascii="Times New Roman" w:hAnsi="Times New Roman" w:cs="Times New Roman"/>
          <w:sz w:val="28"/>
          <w:szCs w:val="28"/>
        </w:rPr>
        <w:t xml:space="preserve">748034 </w:t>
      </w:r>
      <w:r w:rsidR="008024F3">
        <w:rPr>
          <w:rFonts w:ascii="Times New Roman" w:hAnsi="Times New Roman" w:cs="Times New Roman"/>
          <w:sz w:val="28"/>
          <w:szCs w:val="28"/>
        </w:rPr>
        <w:t>(Приложение Д).</w:t>
      </w:r>
    </w:p>
    <w:p w:rsidR="00AB12B3" w:rsidRDefault="00AB12B3" w:rsidP="00AB12B3">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Личный вклад автора</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Автором самостоятельно проанализирована научная литература по теме диссертации. Все разделы представленной работы (цели, задачи и программы исследования, сбор материалов, обработка, анализ материалов исследования, статистическая обработка полученных данных, интерпретация результатов, заключение, выводы и практические рекомендаций) выполнены при непосредственном участии автора.</w:t>
      </w:r>
    </w:p>
    <w:p w:rsidR="00AB12B3" w:rsidRDefault="00AB12B3" w:rsidP="00AB12B3">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Структура и содержание диссертации</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Диссертация изложена на </w:t>
      </w:r>
      <w:r w:rsidR="00FC3260">
        <w:rPr>
          <w:rFonts w:ascii="Times New Roman" w:hAnsi="Times New Roman" w:cs="Times New Roman"/>
          <w:sz w:val="28"/>
          <w:szCs w:val="28"/>
          <w:lang w:val="kk-KZ"/>
        </w:rPr>
        <w:t>1</w:t>
      </w:r>
      <w:r w:rsidR="00CE12A4">
        <w:rPr>
          <w:rFonts w:ascii="Times New Roman" w:hAnsi="Times New Roman" w:cs="Times New Roman"/>
          <w:sz w:val="28"/>
          <w:szCs w:val="28"/>
          <w:lang w:val="kk-KZ"/>
        </w:rPr>
        <w:t>5</w:t>
      </w:r>
      <w:r w:rsidR="00132CF3">
        <w:rPr>
          <w:rFonts w:ascii="Times New Roman" w:hAnsi="Times New Roman" w:cs="Times New Roman"/>
          <w:sz w:val="28"/>
          <w:szCs w:val="28"/>
          <w:lang w:val="kk-KZ"/>
        </w:rPr>
        <w:t>0</w:t>
      </w:r>
      <w:r>
        <w:rPr>
          <w:rFonts w:ascii="Times New Roman" w:hAnsi="Times New Roman" w:cs="Times New Roman"/>
          <w:sz w:val="28"/>
          <w:szCs w:val="28"/>
        </w:rPr>
        <w:t xml:space="preserve"> страницах компьютерного те</w:t>
      </w:r>
      <w:r w:rsidR="00F8690F">
        <w:rPr>
          <w:rFonts w:ascii="Times New Roman" w:hAnsi="Times New Roman" w:cs="Times New Roman"/>
          <w:sz w:val="28"/>
          <w:szCs w:val="28"/>
          <w:lang w:val="kk-KZ"/>
        </w:rPr>
        <w:t>к</w:t>
      </w:r>
      <w:r>
        <w:rPr>
          <w:rFonts w:ascii="Times New Roman" w:hAnsi="Times New Roman" w:cs="Times New Roman"/>
          <w:sz w:val="28"/>
          <w:szCs w:val="28"/>
        </w:rPr>
        <w:t>ста, состоит из введения</w:t>
      </w:r>
      <w:r w:rsidR="00016DFA">
        <w:rPr>
          <w:rFonts w:ascii="Century" w:hAnsi="Century" w:cs="Times New Roman"/>
          <w:sz w:val="28"/>
          <w:szCs w:val="28"/>
        </w:rPr>
        <w:t>,</w:t>
      </w:r>
      <w:r>
        <w:rPr>
          <w:rFonts w:ascii="Times New Roman" w:hAnsi="Times New Roman" w:cs="Times New Roman"/>
          <w:sz w:val="28"/>
          <w:szCs w:val="28"/>
        </w:rPr>
        <w:t xml:space="preserve"> </w:t>
      </w:r>
      <w:r w:rsidR="009C714A" w:rsidRPr="00FC3260">
        <w:rPr>
          <w:rFonts w:ascii="Times New Roman" w:hAnsi="Times New Roman" w:cs="Times New Roman"/>
          <w:sz w:val="28"/>
          <w:szCs w:val="28"/>
        </w:rPr>
        <w:t>5</w:t>
      </w:r>
      <w:r>
        <w:rPr>
          <w:rFonts w:ascii="Times New Roman" w:hAnsi="Times New Roman" w:cs="Times New Roman"/>
          <w:sz w:val="28"/>
          <w:szCs w:val="28"/>
        </w:rPr>
        <w:t xml:space="preserve"> разделов, заключения, выводов, практических рекомендаций</w:t>
      </w:r>
      <w:r w:rsidR="00016DFA">
        <w:rPr>
          <w:rFonts w:ascii="Century" w:hAnsi="Century" w:cs="Times New Roman"/>
          <w:sz w:val="28"/>
          <w:szCs w:val="28"/>
        </w:rPr>
        <w:t>,</w:t>
      </w:r>
      <w:r>
        <w:rPr>
          <w:rFonts w:ascii="Times New Roman" w:hAnsi="Times New Roman" w:cs="Times New Roman"/>
          <w:sz w:val="28"/>
          <w:szCs w:val="28"/>
        </w:rPr>
        <w:t xml:space="preserve"> списка использованных источников</w:t>
      </w:r>
      <w:r w:rsidR="00016DFA">
        <w:rPr>
          <w:rFonts w:ascii="Century" w:hAnsi="Century" w:cs="Times New Roman"/>
          <w:sz w:val="28"/>
          <w:szCs w:val="28"/>
        </w:rPr>
        <w:t>,</w:t>
      </w:r>
      <w:r>
        <w:rPr>
          <w:rFonts w:ascii="Times New Roman" w:hAnsi="Times New Roman" w:cs="Times New Roman"/>
          <w:sz w:val="28"/>
          <w:szCs w:val="28"/>
        </w:rPr>
        <w:t xml:space="preserve"> включающего </w:t>
      </w:r>
      <w:r w:rsidR="00FC3260">
        <w:rPr>
          <w:rFonts w:ascii="Times New Roman" w:hAnsi="Times New Roman" w:cs="Times New Roman"/>
          <w:sz w:val="28"/>
          <w:szCs w:val="28"/>
          <w:lang w:val="kk-KZ"/>
        </w:rPr>
        <w:t>20</w:t>
      </w:r>
      <w:r w:rsidR="00B319E7">
        <w:rPr>
          <w:rFonts w:ascii="Times New Roman" w:hAnsi="Times New Roman" w:cs="Times New Roman"/>
          <w:sz w:val="28"/>
          <w:szCs w:val="28"/>
          <w:lang w:val="kk-KZ"/>
        </w:rPr>
        <w:t>5</w:t>
      </w:r>
      <w:r>
        <w:rPr>
          <w:rFonts w:ascii="Times New Roman" w:hAnsi="Times New Roman" w:cs="Times New Roman"/>
          <w:sz w:val="28"/>
          <w:szCs w:val="28"/>
        </w:rPr>
        <w:t xml:space="preserve"> наименований и </w:t>
      </w:r>
      <w:r w:rsidR="00FC3260">
        <w:rPr>
          <w:rFonts w:ascii="Times New Roman" w:hAnsi="Times New Roman" w:cs="Times New Roman"/>
          <w:sz w:val="28"/>
          <w:szCs w:val="28"/>
          <w:lang w:val="kk-KZ"/>
        </w:rPr>
        <w:t>6</w:t>
      </w:r>
      <w:r>
        <w:rPr>
          <w:rFonts w:ascii="Times New Roman" w:hAnsi="Times New Roman" w:cs="Times New Roman"/>
          <w:sz w:val="28"/>
          <w:szCs w:val="28"/>
        </w:rPr>
        <w:t xml:space="preserve"> приложений</w:t>
      </w:r>
      <w:r w:rsidR="00016DFA">
        <w:rPr>
          <w:rFonts w:ascii="Century" w:hAnsi="Century" w:cs="Times New Roman"/>
          <w:sz w:val="28"/>
          <w:szCs w:val="28"/>
        </w:rPr>
        <w:t>.</w:t>
      </w:r>
      <w:r>
        <w:rPr>
          <w:rFonts w:ascii="Times New Roman" w:hAnsi="Times New Roman" w:cs="Times New Roman"/>
          <w:sz w:val="28"/>
          <w:szCs w:val="28"/>
        </w:rPr>
        <w:t xml:space="preserve"> Работа </w:t>
      </w:r>
      <w:r w:rsidRPr="00FC3260">
        <w:rPr>
          <w:rFonts w:ascii="Times New Roman" w:hAnsi="Times New Roman" w:cs="Times New Roman"/>
          <w:sz w:val="28"/>
          <w:szCs w:val="28"/>
        </w:rPr>
        <w:t xml:space="preserve">иллюстрирована </w:t>
      </w:r>
      <w:r w:rsidR="00AA10F6" w:rsidRPr="00FC3260">
        <w:rPr>
          <w:rFonts w:ascii="Times New Roman" w:hAnsi="Times New Roman" w:cs="Times New Roman"/>
          <w:sz w:val="28"/>
          <w:szCs w:val="28"/>
        </w:rPr>
        <w:t>5</w:t>
      </w:r>
      <w:r w:rsidR="00FE0796" w:rsidRPr="00FC3260">
        <w:rPr>
          <w:rFonts w:ascii="Times New Roman" w:hAnsi="Times New Roman" w:cs="Times New Roman"/>
          <w:sz w:val="28"/>
          <w:szCs w:val="28"/>
          <w:lang w:val="kk-KZ"/>
        </w:rPr>
        <w:t>7</w:t>
      </w:r>
      <w:r w:rsidRPr="00FC3260">
        <w:rPr>
          <w:rFonts w:ascii="Times New Roman" w:hAnsi="Times New Roman" w:cs="Times New Roman"/>
          <w:sz w:val="28"/>
          <w:szCs w:val="28"/>
        </w:rPr>
        <w:t xml:space="preserve"> таблица</w:t>
      </w:r>
      <w:r w:rsidR="00286F1A" w:rsidRPr="00FC3260">
        <w:rPr>
          <w:rFonts w:ascii="Times New Roman" w:hAnsi="Times New Roman" w:cs="Times New Roman"/>
          <w:sz w:val="28"/>
          <w:szCs w:val="28"/>
        </w:rPr>
        <w:t>ми</w:t>
      </w:r>
      <w:r w:rsidR="00CE12A4">
        <w:rPr>
          <w:rFonts w:ascii="Times New Roman" w:hAnsi="Times New Roman" w:cs="Times New Roman"/>
          <w:sz w:val="28"/>
          <w:szCs w:val="28"/>
        </w:rPr>
        <w:t>, 4 формулами</w:t>
      </w:r>
      <w:r w:rsidRPr="00FC3260">
        <w:rPr>
          <w:rFonts w:ascii="Times New Roman" w:hAnsi="Times New Roman" w:cs="Times New Roman"/>
          <w:sz w:val="28"/>
          <w:szCs w:val="28"/>
        </w:rPr>
        <w:t xml:space="preserve"> и </w:t>
      </w:r>
      <w:r w:rsidR="00AA10F6" w:rsidRPr="00FC3260">
        <w:rPr>
          <w:rFonts w:ascii="Times New Roman" w:hAnsi="Times New Roman" w:cs="Times New Roman"/>
          <w:sz w:val="28"/>
          <w:szCs w:val="28"/>
        </w:rPr>
        <w:t>5</w:t>
      </w:r>
      <w:r w:rsidRPr="00FC3260">
        <w:rPr>
          <w:rFonts w:ascii="Times New Roman" w:hAnsi="Times New Roman" w:cs="Times New Roman"/>
          <w:sz w:val="28"/>
          <w:szCs w:val="28"/>
        </w:rPr>
        <w:t xml:space="preserve"> рисунк</w:t>
      </w:r>
      <w:r w:rsidR="00286F1A" w:rsidRPr="00FC3260">
        <w:rPr>
          <w:rFonts w:ascii="Times New Roman" w:hAnsi="Times New Roman" w:cs="Times New Roman"/>
          <w:sz w:val="28"/>
          <w:szCs w:val="28"/>
        </w:rPr>
        <w:t>ами</w:t>
      </w:r>
      <w:r w:rsidR="00016DFA">
        <w:rPr>
          <w:rFonts w:ascii="Century" w:hAnsi="Century" w:cs="Times New Roman"/>
          <w:sz w:val="28"/>
          <w:szCs w:val="28"/>
        </w:rPr>
        <w:t>.</w:t>
      </w:r>
    </w:p>
    <w:p w:rsidR="00AB12B3" w:rsidRDefault="00AB12B3" w:rsidP="00AB12B3">
      <w:pPr>
        <w:spacing w:after="0" w:line="240" w:lineRule="auto"/>
        <w:rPr>
          <w:rFonts w:ascii="Times New Roman" w:hAnsi="Times New Roman" w:cs="Times New Roman"/>
          <w:sz w:val="28"/>
          <w:szCs w:val="28"/>
        </w:rPr>
        <w:sectPr w:rsidR="00AB12B3">
          <w:pgSz w:w="11906" w:h="16838"/>
          <w:pgMar w:top="1134" w:right="850" w:bottom="1134" w:left="1701" w:header="708" w:footer="708" w:gutter="0"/>
          <w:cols w:space="720"/>
        </w:sectPr>
      </w:pPr>
    </w:p>
    <w:p w:rsidR="00AB12B3" w:rsidRDefault="00AB12B3" w:rsidP="00AE2A1E">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lastRenderedPageBreak/>
        <w:t>1 СОВРЕМЕННОЕ ПРЕДСТАВЛЕНИЕ О РОЛИ МОЛЕКУЛЯРНО – ГЕНЕТИЧЕСКИХ ФАКТОРОВ В РАЗВИТИИ ДИСЛИПИДЕМИИ И ИНСУЛИНОРЕЗИСТЕНТНОСТИ (ОБЗОР ЛИТЕРАТУРЫ)</w:t>
      </w:r>
    </w:p>
    <w:p w:rsidR="00AB12B3" w:rsidRDefault="00AB12B3" w:rsidP="00AB12B3">
      <w:pPr>
        <w:spacing w:after="0" w:line="240" w:lineRule="auto"/>
        <w:jc w:val="both"/>
        <w:rPr>
          <w:rFonts w:ascii="Times New Roman" w:hAnsi="Times New Roman" w:cs="Times New Roman"/>
          <w:b/>
          <w:sz w:val="28"/>
          <w:szCs w:val="28"/>
        </w:rPr>
      </w:pPr>
    </w:p>
    <w:p w:rsidR="00AB12B3" w:rsidRDefault="00AB12B3" w:rsidP="00AE2A1E">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1.1 Современное представление о состоянии дислипидемии и инсулинорезистентности</w:t>
      </w:r>
    </w:p>
    <w:p w:rsidR="009B213A" w:rsidRDefault="009B213A" w:rsidP="009B213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Инсулинорезистентность (ИР), дислипидемия, абдоминальное ожирение и артериальная гипертензия (АГ) являются факторами риска, совокупность которых называется метаболическим синдромом (МС). Наличие </w:t>
      </w:r>
      <w:r w:rsidR="00C8752A">
        <w:rPr>
          <w:rFonts w:ascii="Times New Roman" w:hAnsi="Times New Roman" w:cs="Times New Roman"/>
          <w:sz w:val="28"/>
          <w:szCs w:val="28"/>
        </w:rPr>
        <w:t>МС</w:t>
      </w:r>
      <w:r>
        <w:rPr>
          <w:rFonts w:ascii="Times New Roman" w:hAnsi="Times New Roman" w:cs="Times New Roman"/>
          <w:sz w:val="28"/>
          <w:szCs w:val="28"/>
        </w:rPr>
        <w:t xml:space="preserve"> повышает риск как развития сердечно - сосудистых заболеваний (ССЗ), так и фатальных осложнений у пациентов с имеющимися болезнями системы кровообращения (БСК). Взаимосвязи перечисленных факторов риска изучаются, и </w:t>
      </w:r>
      <w:r w:rsidR="005F1C0F">
        <w:rPr>
          <w:rFonts w:ascii="Times New Roman" w:hAnsi="Times New Roman" w:cs="Times New Roman"/>
          <w:sz w:val="28"/>
          <w:szCs w:val="28"/>
        </w:rPr>
        <w:t>вклад генетического компонента в патогенезе этих заболеваний имеет большое значение</w:t>
      </w:r>
      <w:r>
        <w:rPr>
          <w:rFonts w:ascii="Times New Roman" w:hAnsi="Times New Roman" w:cs="Times New Roman"/>
          <w:sz w:val="28"/>
          <w:szCs w:val="28"/>
        </w:rPr>
        <w:t>.</w:t>
      </w:r>
    </w:p>
    <w:p w:rsidR="009B213A" w:rsidRPr="00413ACB" w:rsidRDefault="009B213A" w:rsidP="00A271C1">
      <w:pPr>
        <w:spacing w:after="0" w:line="240" w:lineRule="auto"/>
        <w:ind w:firstLine="708"/>
        <w:jc w:val="both"/>
        <w:rPr>
          <w:rFonts w:ascii="Times New Roman" w:hAnsi="Times New Roman" w:cs="Times New Roman"/>
          <w:sz w:val="28"/>
          <w:szCs w:val="28"/>
          <w:lang w:val="kk-KZ"/>
        </w:rPr>
      </w:pPr>
      <w:r w:rsidRPr="00413ACB">
        <w:rPr>
          <w:rFonts w:ascii="Times New Roman" w:hAnsi="Times New Roman" w:cs="Times New Roman"/>
          <w:sz w:val="28"/>
          <w:szCs w:val="28"/>
        </w:rPr>
        <w:t xml:space="preserve">МС выставляется при наличии диабета, повышенное содержание глюкозы натощак, нарушении толерантности к глюкозе, ИР плюс два других риска </w:t>
      </w:r>
      <w:r w:rsidR="00EA0E64" w:rsidRPr="00413ACB">
        <w:rPr>
          <w:rFonts w:ascii="Times New Roman" w:hAnsi="Times New Roman" w:cs="Times New Roman"/>
          <w:sz w:val="28"/>
          <w:szCs w:val="28"/>
        </w:rPr>
        <w:fldChar w:fldCharType="begin" w:fldLock="1"/>
      </w:r>
      <w:r w:rsidR="0060490D">
        <w:rPr>
          <w:rFonts w:ascii="Times New Roman" w:hAnsi="Times New Roman" w:cs="Times New Roman"/>
          <w:sz w:val="28"/>
          <w:szCs w:val="28"/>
        </w:rPr>
        <w:instrText>ADDIN CSL_CITATION {"citationItems":[{"id":"ITEM-1","itemData":{"id":"ITEM-1","issued":{"date-parts":[["1999"]]},"number-of-pages":"1-66","publisher":"World Health Organization Department of Noncommunicable Disease Surveillance","publisher-place":"Geneva","title":"Definition, Diagnosis and Classification of Diabetes Mellitus and its Complications","type":"book"},"uris":["http://www.mendeley.com/documents/?uuid=1e168594-adf1-45ad-a70d-8244ce0a261f"]}],"mendeley":{"formattedCitation":"[10]","plainTextFormattedCitation":"[10]","previouslyFormattedCitation":"[10]"},"properties":{"noteIndex":0},"schema":"https://github.com/citation-style-language/schema/raw/master/csl-citation.json"}</w:instrText>
      </w:r>
      <w:r w:rsidR="00EA0E64" w:rsidRPr="00413ACB">
        <w:rPr>
          <w:rFonts w:ascii="Times New Roman" w:hAnsi="Times New Roman" w:cs="Times New Roman"/>
          <w:sz w:val="28"/>
          <w:szCs w:val="28"/>
        </w:rPr>
        <w:fldChar w:fldCharType="separate"/>
      </w:r>
      <w:r w:rsidR="0060490D" w:rsidRPr="0060490D">
        <w:rPr>
          <w:rFonts w:ascii="Times New Roman" w:hAnsi="Times New Roman" w:cs="Times New Roman"/>
          <w:noProof/>
          <w:sz w:val="28"/>
          <w:szCs w:val="28"/>
        </w:rPr>
        <w:t>[10]</w:t>
      </w:r>
      <w:r w:rsidR="00EA0E64" w:rsidRPr="00413ACB">
        <w:rPr>
          <w:rFonts w:ascii="Times New Roman" w:hAnsi="Times New Roman" w:cs="Times New Roman"/>
          <w:sz w:val="28"/>
          <w:szCs w:val="28"/>
        </w:rPr>
        <w:fldChar w:fldCharType="end"/>
      </w:r>
      <w:r w:rsidRPr="00413ACB">
        <w:rPr>
          <w:rFonts w:ascii="Times New Roman" w:hAnsi="Times New Roman" w:cs="Times New Roman"/>
          <w:sz w:val="28"/>
          <w:szCs w:val="28"/>
        </w:rPr>
        <w:t xml:space="preserve">. Критерий диагностики МС согласно Всемирной организации здравоохранения (ВОЗ): повышенное содержание глюкозы натощак и/или </w:t>
      </w:r>
      <w:r w:rsidR="00FB7251" w:rsidRPr="00413ACB">
        <w:rPr>
          <w:rFonts w:ascii="Times New Roman" w:hAnsi="Times New Roman" w:cs="Times New Roman"/>
          <w:sz w:val="28"/>
          <w:szCs w:val="28"/>
        </w:rPr>
        <w:t>нарушение толерантности к глюкозе или ИР</w:t>
      </w:r>
      <w:r w:rsidR="00530DB1" w:rsidRPr="00413ACB">
        <w:rPr>
          <w:rFonts w:ascii="Times New Roman" w:hAnsi="Times New Roman" w:cs="Times New Roman"/>
          <w:sz w:val="28"/>
          <w:szCs w:val="28"/>
        </w:rPr>
        <w:t xml:space="preserve"> </w:t>
      </w:r>
      <w:r w:rsidR="00FB7251" w:rsidRPr="00413ACB">
        <w:rPr>
          <w:rFonts w:ascii="Times New Roman" w:hAnsi="Times New Roman" w:cs="Times New Roman"/>
          <w:sz w:val="28"/>
          <w:szCs w:val="28"/>
        </w:rPr>
        <w:t>и</w:t>
      </w:r>
      <w:r w:rsidR="00FB7251" w:rsidRPr="00413ACB">
        <w:rPr>
          <w:rFonts w:ascii="Times New Roman" w:hAnsi="Times New Roman" w:cs="Times New Roman"/>
          <w:sz w:val="28"/>
          <w:szCs w:val="28"/>
          <w:lang w:val="kk-KZ"/>
        </w:rPr>
        <w:t>/</w:t>
      </w:r>
      <w:r w:rsidR="00FB7251" w:rsidRPr="00413ACB">
        <w:rPr>
          <w:rFonts w:ascii="Times New Roman" w:hAnsi="Times New Roman" w:cs="Times New Roman"/>
          <w:sz w:val="28"/>
          <w:szCs w:val="28"/>
        </w:rPr>
        <w:t>или</w:t>
      </w:r>
      <w:r w:rsidR="00530DB1" w:rsidRPr="00413ACB">
        <w:rPr>
          <w:rFonts w:ascii="Times New Roman" w:hAnsi="Times New Roman" w:cs="Times New Roman"/>
          <w:sz w:val="28"/>
          <w:szCs w:val="28"/>
        </w:rPr>
        <w:t xml:space="preserve"> </w:t>
      </w:r>
      <w:r w:rsidRPr="00413ACB">
        <w:rPr>
          <w:rFonts w:ascii="Times New Roman" w:hAnsi="Times New Roman" w:cs="Times New Roman"/>
          <w:sz w:val="28"/>
          <w:szCs w:val="28"/>
        </w:rPr>
        <w:t>наличие диабета</w:t>
      </w:r>
      <w:r w:rsidR="00A271C1" w:rsidRPr="00413ACB">
        <w:rPr>
          <w:rFonts w:ascii="Times New Roman" w:hAnsi="Times New Roman" w:cs="Times New Roman"/>
          <w:sz w:val="28"/>
          <w:szCs w:val="28"/>
        </w:rPr>
        <w:t xml:space="preserve">; повышение </w:t>
      </w:r>
      <w:r w:rsidR="003C0E88" w:rsidRPr="00413ACB">
        <w:rPr>
          <w:rFonts w:ascii="Times New Roman" w:hAnsi="Times New Roman" w:cs="Times New Roman"/>
          <w:sz w:val="28"/>
          <w:szCs w:val="28"/>
        </w:rPr>
        <w:t>артериального давления (</w:t>
      </w:r>
      <w:r w:rsidR="00A271C1" w:rsidRPr="00413ACB">
        <w:rPr>
          <w:rFonts w:ascii="Times New Roman" w:hAnsi="Times New Roman" w:cs="Times New Roman"/>
          <w:sz w:val="28"/>
          <w:szCs w:val="28"/>
        </w:rPr>
        <w:t>АД</w:t>
      </w:r>
      <w:r w:rsidR="003C0E88" w:rsidRPr="00413ACB">
        <w:rPr>
          <w:rFonts w:ascii="Times New Roman" w:hAnsi="Times New Roman" w:cs="Times New Roman"/>
          <w:sz w:val="28"/>
          <w:szCs w:val="28"/>
        </w:rPr>
        <w:t>)</w:t>
      </w:r>
      <w:r w:rsidR="00A271C1" w:rsidRPr="00413ACB">
        <w:rPr>
          <w:rFonts w:ascii="Times New Roman" w:hAnsi="Times New Roman" w:cs="Times New Roman"/>
          <w:sz w:val="28"/>
          <w:szCs w:val="28"/>
        </w:rPr>
        <w:t xml:space="preserve"> &gt;</w:t>
      </w:r>
      <w:r w:rsidRPr="00413ACB">
        <w:rPr>
          <w:rFonts w:ascii="Times New Roman" w:hAnsi="Times New Roman" w:cs="Times New Roman"/>
          <w:sz w:val="28"/>
          <w:szCs w:val="28"/>
        </w:rPr>
        <w:t>140/90 мм рт</w:t>
      </w:r>
      <w:r w:rsidR="00DE4B6C" w:rsidRPr="00413ACB">
        <w:rPr>
          <w:rFonts w:ascii="Times New Roman" w:hAnsi="Times New Roman" w:cs="Times New Roman"/>
          <w:sz w:val="28"/>
          <w:szCs w:val="28"/>
        </w:rPr>
        <w:t>.</w:t>
      </w:r>
      <w:r w:rsidRPr="00413ACB">
        <w:rPr>
          <w:rFonts w:ascii="Times New Roman" w:hAnsi="Times New Roman" w:cs="Times New Roman"/>
          <w:sz w:val="28"/>
          <w:szCs w:val="28"/>
        </w:rPr>
        <w:t>ст</w:t>
      </w:r>
      <w:r w:rsidR="00DE4B6C" w:rsidRPr="00413ACB">
        <w:rPr>
          <w:rFonts w:ascii="Times New Roman" w:hAnsi="Times New Roman" w:cs="Times New Roman"/>
          <w:sz w:val="28"/>
          <w:szCs w:val="28"/>
        </w:rPr>
        <w:t>.;</w:t>
      </w:r>
      <w:r w:rsidRPr="00413ACB">
        <w:rPr>
          <w:rFonts w:ascii="Times New Roman" w:hAnsi="Times New Roman" w:cs="Times New Roman"/>
          <w:sz w:val="28"/>
          <w:szCs w:val="28"/>
        </w:rPr>
        <w:t xml:space="preserve"> содержание триглицеридов (ТГ) выше 1</w:t>
      </w:r>
      <w:r w:rsidR="00DE4B6C" w:rsidRPr="00413ACB">
        <w:rPr>
          <w:rFonts w:ascii="Times New Roman" w:hAnsi="Times New Roman" w:cs="Times New Roman"/>
          <w:sz w:val="28"/>
          <w:szCs w:val="28"/>
        </w:rPr>
        <w:t>,</w:t>
      </w:r>
      <w:r w:rsidRPr="00413ACB">
        <w:rPr>
          <w:rFonts w:ascii="Times New Roman" w:hAnsi="Times New Roman" w:cs="Times New Roman"/>
          <w:sz w:val="28"/>
          <w:szCs w:val="28"/>
        </w:rPr>
        <w:t>7 ммоль/л</w:t>
      </w:r>
      <w:r w:rsidR="00DE4B6C" w:rsidRPr="00413ACB">
        <w:rPr>
          <w:rFonts w:ascii="Times New Roman" w:hAnsi="Times New Roman" w:cs="Times New Roman"/>
          <w:sz w:val="28"/>
          <w:szCs w:val="28"/>
        </w:rPr>
        <w:t>;</w:t>
      </w:r>
      <w:r w:rsidRPr="00413ACB">
        <w:rPr>
          <w:rFonts w:ascii="Times New Roman" w:hAnsi="Times New Roman" w:cs="Times New Roman"/>
          <w:sz w:val="28"/>
          <w:szCs w:val="28"/>
        </w:rPr>
        <w:t xml:space="preserve"> уровень ЛПВП ниже 0</w:t>
      </w:r>
      <w:r w:rsidR="00DE4B6C" w:rsidRPr="00413ACB">
        <w:rPr>
          <w:rFonts w:ascii="Times New Roman" w:hAnsi="Times New Roman" w:cs="Times New Roman"/>
          <w:sz w:val="28"/>
          <w:szCs w:val="28"/>
        </w:rPr>
        <w:t>,</w:t>
      </w:r>
      <w:r w:rsidRPr="00413ACB">
        <w:rPr>
          <w:rFonts w:ascii="Times New Roman" w:hAnsi="Times New Roman" w:cs="Times New Roman"/>
          <w:sz w:val="28"/>
          <w:szCs w:val="28"/>
        </w:rPr>
        <w:t>9 ммоль/л для мужчин и 1</w:t>
      </w:r>
      <w:r w:rsidR="00DE4B6C" w:rsidRPr="00413ACB">
        <w:rPr>
          <w:rFonts w:ascii="Times New Roman" w:hAnsi="Times New Roman" w:cs="Times New Roman"/>
          <w:sz w:val="28"/>
          <w:szCs w:val="28"/>
        </w:rPr>
        <w:t>,</w:t>
      </w:r>
      <w:r w:rsidRPr="00413ACB">
        <w:rPr>
          <w:rFonts w:ascii="Times New Roman" w:hAnsi="Times New Roman" w:cs="Times New Roman"/>
          <w:sz w:val="28"/>
          <w:szCs w:val="28"/>
        </w:rPr>
        <w:t>0 ммоль/л для женщин; соотношение объема талии на объем бедер выше 0</w:t>
      </w:r>
      <w:r w:rsidR="00DE4B6C" w:rsidRPr="00413ACB">
        <w:rPr>
          <w:rFonts w:ascii="Times New Roman" w:hAnsi="Times New Roman" w:cs="Times New Roman"/>
          <w:sz w:val="28"/>
          <w:szCs w:val="28"/>
        </w:rPr>
        <w:t>,</w:t>
      </w:r>
      <w:r w:rsidRPr="00413ACB">
        <w:rPr>
          <w:rFonts w:ascii="Times New Roman" w:hAnsi="Times New Roman" w:cs="Times New Roman"/>
          <w:sz w:val="28"/>
          <w:szCs w:val="28"/>
        </w:rPr>
        <w:t>9 для мужчин и 0</w:t>
      </w:r>
      <w:r w:rsidR="00DE4B6C" w:rsidRPr="00413ACB">
        <w:rPr>
          <w:rFonts w:ascii="Times New Roman" w:hAnsi="Times New Roman" w:cs="Times New Roman"/>
          <w:sz w:val="28"/>
          <w:szCs w:val="28"/>
        </w:rPr>
        <w:t>,</w:t>
      </w:r>
      <w:r w:rsidRPr="00413ACB">
        <w:rPr>
          <w:rFonts w:ascii="Times New Roman" w:hAnsi="Times New Roman" w:cs="Times New Roman"/>
          <w:sz w:val="28"/>
          <w:szCs w:val="28"/>
        </w:rPr>
        <w:t>85 для женщин</w:t>
      </w:r>
      <w:r w:rsidR="00F54EE4" w:rsidRPr="00413ACB">
        <w:rPr>
          <w:rFonts w:ascii="Times New Roman" w:hAnsi="Times New Roman" w:cs="Times New Roman"/>
          <w:sz w:val="28"/>
          <w:szCs w:val="28"/>
        </w:rPr>
        <w:t>;</w:t>
      </w:r>
      <w:r w:rsidRPr="00413ACB">
        <w:rPr>
          <w:rFonts w:ascii="Times New Roman" w:hAnsi="Times New Roman" w:cs="Times New Roman"/>
          <w:sz w:val="28"/>
          <w:szCs w:val="28"/>
        </w:rPr>
        <w:t xml:space="preserve"> экскреци</w:t>
      </w:r>
      <w:r w:rsidR="00A271C1" w:rsidRPr="00413ACB">
        <w:rPr>
          <w:rFonts w:ascii="Times New Roman" w:hAnsi="Times New Roman" w:cs="Times New Roman"/>
          <w:sz w:val="28"/>
          <w:szCs w:val="28"/>
          <w:lang w:val="kk-KZ"/>
        </w:rPr>
        <w:t>я</w:t>
      </w:r>
      <w:r w:rsidRPr="00413ACB">
        <w:rPr>
          <w:rFonts w:ascii="Times New Roman" w:hAnsi="Times New Roman" w:cs="Times New Roman"/>
          <w:sz w:val="28"/>
          <w:szCs w:val="28"/>
        </w:rPr>
        <w:t xml:space="preserve"> альбумина с мочой </w:t>
      </w:r>
      <w:r w:rsidR="00A271C1" w:rsidRPr="00413ACB">
        <w:rPr>
          <w:rFonts w:ascii="Times New Roman" w:hAnsi="Times New Roman" w:cs="Times New Roman"/>
          <w:sz w:val="28"/>
          <w:szCs w:val="28"/>
          <w:lang w:val="kk-KZ"/>
        </w:rPr>
        <w:t xml:space="preserve">со </w:t>
      </w:r>
      <w:r w:rsidR="00A271C1" w:rsidRPr="00413ACB">
        <w:rPr>
          <w:rFonts w:ascii="Times New Roman" w:hAnsi="Times New Roman" w:cs="Times New Roman"/>
          <w:sz w:val="28"/>
          <w:szCs w:val="28"/>
        </w:rPr>
        <w:t>скорость</w:t>
      </w:r>
      <w:r w:rsidR="00A271C1" w:rsidRPr="00413ACB">
        <w:rPr>
          <w:rFonts w:ascii="Times New Roman" w:hAnsi="Times New Roman" w:cs="Times New Roman"/>
          <w:sz w:val="28"/>
          <w:szCs w:val="28"/>
          <w:lang w:val="kk-KZ"/>
        </w:rPr>
        <w:t>ю &gt;</w:t>
      </w:r>
      <w:r w:rsidRPr="00413ACB">
        <w:rPr>
          <w:rFonts w:ascii="Times New Roman" w:hAnsi="Times New Roman" w:cs="Times New Roman"/>
          <w:sz w:val="28"/>
          <w:szCs w:val="28"/>
        </w:rPr>
        <w:t xml:space="preserve">20 мг/мин или соотношение альбумина к креатинину равен и выше 30 мг/г </w:t>
      </w:r>
      <w:r w:rsidR="00EA0E64" w:rsidRPr="00413ACB">
        <w:rPr>
          <w:rFonts w:ascii="Times New Roman" w:hAnsi="Times New Roman" w:cs="Times New Roman"/>
          <w:sz w:val="28"/>
          <w:szCs w:val="28"/>
        </w:rPr>
        <w:fldChar w:fldCharType="begin" w:fldLock="1"/>
      </w:r>
      <w:r w:rsidR="00D27643">
        <w:rPr>
          <w:rFonts w:ascii="Times New Roman" w:hAnsi="Times New Roman" w:cs="Times New Roman"/>
          <w:sz w:val="28"/>
          <w:szCs w:val="28"/>
        </w:rPr>
        <w:instrText>ADDIN CSL_CITATION {"citationItems":[{"id":"ITEM-1","itemData":{"id":"ITEM-1","issued":{"date-parts":[["1999"]]},"number-of-pages":"1-66","publisher":"World Health Organization Department of Noncommunicable Disease Surveillance","publisher-place":"Geneva","title":"Definition, Diagnosis and Classification of Diabetes Mellitus and its Complications","type":"book"},"uris":["http://www.mendeley.com/documents/?uuid=1e168594-adf1-45ad-a70d-8244ce0a261f"]}],"mendeley":{"formattedCitation":"[10]","manualFormatting":"[10, р. 31-33]","plainTextFormattedCitation":"[10]","previouslyFormattedCitation":"[10]"},"properties":{"noteIndex":0},"schema":"https://github.com/citation-style-language/schema/raw/master/csl-citation.json"}</w:instrText>
      </w:r>
      <w:r w:rsidR="00EA0E64" w:rsidRPr="00413ACB">
        <w:rPr>
          <w:rFonts w:ascii="Times New Roman" w:hAnsi="Times New Roman" w:cs="Times New Roman"/>
          <w:sz w:val="28"/>
          <w:szCs w:val="28"/>
        </w:rPr>
        <w:fldChar w:fldCharType="separate"/>
      </w:r>
      <w:r w:rsidR="0060490D" w:rsidRPr="0060490D">
        <w:rPr>
          <w:rFonts w:ascii="Times New Roman" w:hAnsi="Times New Roman" w:cs="Times New Roman"/>
          <w:noProof/>
          <w:sz w:val="28"/>
          <w:szCs w:val="28"/>
        </w:rPr>
        <w:t>[10</w:t>
      </w:r>
      <w:r w:rsidR="0060490D">
        <w:rPr>
          <w:rFonts w:ascii="Times New Roman" w:hAnsi="Times New Roman" w:cs="Times New Roman"/>
          <w:noProof/>
          <w:sz w:val="28"/>
          <w:szCs w:val="28"/>
        </w:rPr>
        <w:t>, р. 31-33</w:t>
      </w:r>
      <w:r w:rsidR="0060490D" w:rsidRPr="0060490D">
        <w:rPr>
          <w:rFonts w:ascii="Times New Roman" w:hAnsi="Times New Roman" w:cs="Times New Roman"/>
          <w:noProof/>
          <w:sz w:val="28"/>
          <w:szCs w:val="28"/>
        </w:rPr>
        <w:t>]</w:t>
      </w:r>
      <w:r w:rsidR="00EA0E64" w:rsidRPr="00413ACB">
        <w:rPr>
          <w:rFonts w:ascii="Times New Roman" w:hAnsi="Times New Roman" w:cs="Times New Roman"/>
          <w:sz w:val="28"/>
          <w:szCs w:val="28"/>
        </w:rPr>
        <w:fldChar w:fldCharType="end"/>
      </w:r>
      <w:r w:rsidRPr="00413ACB">
        <w:rPr>
          <w:rFonts w:ascii="Times New Roman" w:hAnsi="Times New Roman" w:cs="Times New Roman"/>
          <w:sz w:val="28"/>
          <w:szCs w:val="28"/>
        </w:rPr>
        <w:t xml:space="preserve">. </w:t>
      </w:r>
    </w:p>
    <w:p w:rsidR="002B2F7A" w:rsidRDefault="002B2F7A" w:rsidP="002B2F7A">
      <w:pPr>
        <w:spacing w:after="0" w:line="240" w:lineRule="auto"/>
        <w:ind w:firstLine="708"/>
        <w:jc w:val="both"/>
        <w:rPr>
          <w:rFonts w:ascii="Times New Roman" w:hAnsi="Times New Roman" w:cs="Times New Roman"/>
          <w:sz w:val="28"/>
          <w:szCs w:val="28"/>
        </w:rPr>
      </w:pPr>
      <w:r w:rsidRPr="009B213A">
        <w:rPr>
          <w:rFonts w:ascii="Times New Roman" w:hAnsi="Times New Roman" w:cs="Times New Roman"/>
          <w:sz w:val="28"/>
          <w:szCs w:val="28"/>
          <w:lang w:val="kk-KZ"/>
        </w:rPr>
        <w:t xml:space="preserve">Lorenzo С. с соавторами провели исследования, где они применяли критерий определения МС </w:t>
      </w:r>
      <w:r w:rsidR="008A7291">
        <w:rPr>
          <w:rFonts w:ascii="Times New Roman" w:hAnsi="Times New Roman" w:cs="Times New Roman"/>
          <w:sz w:val="28"/>
          <w:szCs w:val="28"/>
          <w:lang w:val="kk-KZ"/>
        </w:rPr>
        <w:t>четырех</w:t>
      </w:r>
      <w:r w:rsidRPr="009B213A">
        <w:rPr>
          <w:rFonts w:ascii="Times New Roman" w:hAnsi="Times New Roman" w:cs="Times New Roman"/>
          <w:sz w:val="28"/>
          <w:szCs w:val="28"/>
          <w:lang w:val="kk-KZ"/>
        </w:rPr>
        <w:t xml:space="preserve"> программ: The National Cholesterol Education Program (NCEP)</w:t>
      </w:r>
      <w:r w:rsidR="000603B9">
        <w:rPr>
          <w:rFonts w:ascii="Century" w:hAnsi="Century" w:cs="Times New Roman"/>
          <w:sz w:val="28"/>
          <w:szCs w:val="28"/>
          <w:lang w:val="kk-KZ"/>
        </w:rPr>
        <w:t>,</w:t>
      </w:r>
      <w:r w:rsidRPr="009B213A">
        <w:rPr>
          <w:rFonts w:ascii="Times New Roman" w:hAnsi="Times New Roman" w:cs="Times New Roman"/>
          <w:sz w:val="28"/>
          <w:szCs w:val="28"/>
          <w:lang w:val="kk-KZ"/>
        </w:rPr>
        <w:t xml:space="preserve"> Adult Treatment Panel III (ATPIII)</w:t>
      </w:r>
      <w:r w:rsidR="000603B9">
        <w:rPr>
          <w:rFonts w:ascii="Century" w:hAnsi="Century" w:cs="Times New Roman"/>
          <w:sz w:val="28"/>
          <w:szCs w:val="28"/>
          <w:lang w:val="kk-KZ"/>
        </w:rPr>
        <w:t>,</w:t>
      </w:r>
      <w:r w:rsidRPr="009B213A">
        <w:rPr>
          <w:rFonts w:ascii="Times New Roman" w:hAnsi="Times New Roman" w:cs="Times New Roman"/>
          <w:sz w:val="28"/>
          <w:szCs w:val="28"/>
          <w:lang w:val="kk-KZ"/>
        </w:rPr>
        <w:t xml:space="preserve"> International Diabetes Federation (IDF) и ВОЗ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lang w:val="kk-KZ"/>
        </w:rPr>
        <w:instrText>ADDIN CSL_CITATION {"citationItems":[{"id":"ITEM-1","itemData":{"DOI":"10.2337/dc06-1414","ISSN":"0149-5992","abstract":"OBJECTIVE - The clinical value of metabolic syndrome is uncertain. Thus, we examined cardiovascular disease (CVD) and diabetes risk prediction by the National Cholesterol Education Program (NCEP)-Adult Treatment Panel III (ATPIII), International Diabetes Federation, and World Health Organization definitions of the metabolic syndrome. RESEARCH DESIGN AND METHODS - We analyzed the risks associated with metabolic syndrome, the NCEP multiple risk factor categories, and 2-h glucose values in the San Antonio Heart Study (n = 2,559; age range 25-64 years; 7.4 years of follow-up). RESULTS - Both ATPIII metabolic syndrome plus age ≥45 years (odds ratio 9.25 [95% CI 4.85-17.7]) and multiple (two or more) risk factors plus a 10-year coronary heart disease (CHD) risk of 10-20% (11.9 [6.00 -23.6]) had similar CVD risk in men without CHD, as well as CHD risk equivalents. In women counterparts, multiple (two or more) risk factors plus a 10-year CHD risk of 10-20% was infrequent (10 of 1,254). However, either a 10-year CHD risk of 5-20% (7.72 [3.42-17.4]) or ATPIII metabolic syndrome plus age ≥55 years (4.98 [2.08 -12.0]) predicted CVD. ATPIII metabolic syndrome increased the area under the receiver operating characteristic curve of a model containing age, sex, ethnic origin, family history of diabetes, and 2-h and fasting glucose values (0.857 vs. 0.842, P = 0.013). All three metabolic syndrome definitions imparted similar CVD and diabetes risks. CONCLUSIONS - Metabolic syndrome is associated with a significant CVD risk, particularly in men aged ≥45 years and women aged ≥55 years. The metabolic syndrome predicts diabetes beyond glucose intolerance alone. © 2007 by the American Diabetes Association.","author":[{"dropping-particle":"","family":"Lorenzo","given":"Carlos","non-dropping-particle":"","parse-names":false,"suffix":""},{"dropping-particle":"","family":"Williams","given":"Ken","non-dropping-particle":"","parse-names":false,"suffix":""},{"dropping-particle":"","family":"Hunt","given":"Kelly J.","non-dropping-particle":"","parse-names":false,"suffix":""},{"dropping-particle":"","family":"Haffner","given":"Steven M.","non-dropping-particle":"","parse-names":false,"suffix":""}],"container-title":"Diabetes Care","id":"ITEM-1","issue":"1","issued":{"date-parts":[["2007","1","1"]]},"page":"8-13","title":"The National Cholesterol Education Program-Adult Treatment Panel III, International Diabetes Federation, and World Health Organization Definitions of the Metabolic Syndrome as Predictors of Incident Cardiovascular Disease and Diabetes","type":"article-journal","volume":"30"},"uris":["http://www.mendeley.com/documents/?uuid=807b9a79-8f61-468e-8a1e-58c002bb2093"]}],"mendeley":{"formattedCitation":"[11]","plainTextFormattedCitation":"[11]","previouslyFormattedCitation":"[11]"},"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[11]</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Они утверждают, </w:t>
      </w:r>
      <w:r w:rsidR="00413ACB">
        <w:rPr>
          <w:rFonts w:ascii="Times New Roman" w:hAnsi="Times New Roman" w:cs="Times New Roman"/>
          <w:sz w:val="28"/>
          <w:szCs w:val="28"/>
        </w:rPr>
        <w:t>что,</w:t>
      </w:r>
      <w:r>
        <w:rPr>
          <w:rFonts w:ascii="Times New Roman" w:hAnsi="Times New Roman" w:cs="Times New Roman"/>
          <w:sz w:val="28"/>
          <w:szCs w:val="28"/>
        </w:rPr>
        <w:t xml:space="preserve"> несмотря на то, что</w:t>
      </w:r>
      <w:r w:rsidR="00443CFC">
        <w:rPr>
          <w:rFonts w:ascii="Times New Roman" w:hAnsi="Times New Roman" w:cs="Times New Roman"/>
          <w:sz w:val="28"/>
          <w:szCs w:val="28"/>
        </w:rPr>
        <w:t xml:space="preserve">, </w:t>
      </w:r>
      <w:r>
        <w:rPr>
          <w:rFonts w:ascii="Times New Roman" w:hAnsi="Times New Roman" w:cs="Times New Roman"/>
          <w:sz w:val="28"/>
          <w:szCs w:val="28"/>
        </w:rPr>
        <w:t>эти программы имеют разную чувствительность по определению МС, однако могут прогнозировать ССЗ и диабет.</w:t>
      </w:r>
    </w:p>
    <w:p w:rsidR="002B2F7A" w:rsidRDefault="002B2F7A" w:rsidP="002B2F7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 критериям МС, согласно Рекомендации IDF, относятся ожирение, ИР, дислипидемия и АГ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author":[{"dropping-particle":"","family":"Alberti","given":"George","non-dropping-particle":"","parse-names":false,"suffix":""},{"dropping-particle":"","family":"Zimmet","given":"Paul","non-dropping-particle":"","parse-names":false,"suffix":""},{"dropping-particle":"","family":"Shaw","given":"Jonathan","non-dropping-particle":"","parse-names":false,"suffix":""},{"dropping-particle":"","family":"Grundy","given":"Scott M.","non-dropping-particle":"","parse-names":false,"suffix":""}],"container-title":"IDF Communications","id":"ITEM-1","issued":{"date-parts":[["2006"]]},"number-of-pages":"1-24","publisher":"International Diabetes Federation","publisher-place":"Brussels, Belgium","title":"The IDF consensus worldwide defi nition of the metabolic syndrome","type":"book"},"uris":["http://www.mendeley.com/documents/?uuid=18fc130b-bee6-42c4-bd16-d5cfcef2e27f"]}],"mendeley":{"formattedCitation":"[12]","plainTextFormattedCitation":"[12]","previouslyFormattedCitation":"[12]"},"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[12]</w:t>
      </w:r>
      <w:r w:rsidR="00EA0E64">
        <w:rPr>
          <w:rFonts w:ascii="Times New Roman" w:hAnsi="Times New Roman" w:cs="Times New Roman"/>
          <w:sz w:val="28"/>
          <w:szCs w:val="28"/>
        </w:rPr>
        <w:fldChar w:fldCharType="end"/>
      </w:r>
      <w:r>
        <w:rPr>
          <w:rFonts w:ascii="Times New Roman" w:hAnsi="Times New Roman" w:cs="Times New Roman"/>
          <w:sz w:val="28"/>
          <w:szCs w:val="28"/>
        </w:rPr>
        <w:t>. IDF утверждают, что основным причинам МС считаются ИР и абдоминальное ожирение. Роль генети</w:t>
      </w:r>
      <w:r w:rsidR="00CF3976">
        <w:rPr>
          <w:rFonts w:ascii="Times New Roman" w:hAnsi="Times New Roman" w:cs="Times New Roman"/>
          <w:sz w:val="28"/>
          <w:szCs w:val="28"/>
        </w:rPr>
        <w:t>ческой составляющей</w:t>
      </w:r>
      <w:r>
        <w:rPr>
          <w:rFonts w:ascii="Times New Roman" w:hAnsi="Times New Roman" w:cs="Times New Roman"/>
          <w:sz w:val="28"/>
          <w:szCs w:val="28"/>
        </w:rPr>
        <w:t>, гиподинамии, старения, изменение провоспалительных и гормональных состоянии могут повлиять на развитие МС, но их действие варьи</w:t>
      </w:r>
      <w:r w:rsidR="00CF3976">
        <w:rPr>
          <w:rFonts w:ascii="Times New Roman" w:hAnsi="Times New Roman" w:cs="Times New Roman"/>
          <w:sz w:val="28"/>
          <w:szCs w:val="28"/>
        </w:rPr>
        <w:t>рует в разных этнических</w:t>
      </w:r>
      <w:r>
        <w:rPr>
          <w:rFonts w:ascii="Times New Roman" w:hAnsi="Times New Roman" w:cs="Times New Roman"/>
          <w:sz w:val="28"/>
          <w:szCs w:val="28"/>
        </w:rPr>
        <w:t xml:space="preserve"> г</w:t>
      </w:r>
      <w:r w:rsidR="00CF3976">
        <w:rPr>
          <w:rFonts w:ascii="Times New Roman" w:hAnsi="Times New Roman" w:cs="Times New Roman"/>
          <w:sz w:val="28"/>
          <w:szCs w:val="28"/>
        </w:rPr>
        <w:t>руппах</w:t>
      </w:r>
      <w:r>
        <w:rPr>
          <w:rFonts w:ascii="Times New Roman" w:hAnsi="Times New Roman" w:cs="Times New Roman"/>
          <w:sz w:val="28"/>
          <w:szCs w:val="28"/>
        </w:rPr>
        <w:t xml:space="preserve">. ИР возникает в клетках печени, скелетных мышц, жировой ткани, когда появляется сначала снижение чувствительности, потом устойчивость к инсулину, что в свою очередь, приводит к гиперинсулинемии. После длительного выделения повышенного количества инсулина бета – клетки поджелудочной железы истощается, что приводит к гипергликемии и </w:t>
      </w:r>
      <w:r w:rsidR="00473926">
        <w:rPr>
          <w:rFonts w:ascii="Times New Roman" w:hAnsi="Times New Roman" w:cs="Times New Roman"/>
          <w:sz w:val="28"/>
          <w:szCs w:val="28"/>
          <w:lang w:val="kk-KZ"/>
        </w:rPr>
        <w:t xml:space="preserve">в </w:t>
      </w:r>
      <w:r>
        <w:rPr>
          <w:rFonts w:ascii="Times New Roman" w:hAnsi="Times New Roman" w:cs="Times New Roman"/>
          <w:sz w:val="28"/>
          <w:szCs w:val="28"/>
        </w:rPr>
        <w:t xml:space="preserve">дальнейшем к </w:t>
      </w:r>
      <w:r w:rsidR="00AC751E">
        <w:rPr>
          <w:rFonts w:ascii="Times New Roman" w:hAnsi="Times New Roman" w:cs="Times New Roman"/>
          <w:sz w:val="28"/>
          <w:szCs w:val="28"/>
        </w:rPr>
        <w:t>сахарному диабету (</w:t>
      </w:r>
      <w:r>
        <w:rPr>
          <w:rFonts w:ascii="Times New Roman" w:hAnsi="Times New Roman" w:cs="Times New Roman"/>
          <w:sz w:val="28"/>
          <w:szCs w:val="28"/>
        </w:rPr>
        <w:t>СД</w:t>
      </w:r>
      <w:r w:rsidR="00AC751E">
        <w:rPr>
          <w:rFonts w:ascii="Times New Roman" w:hAnsi="Times New Roman" w:cs="Times New Roman"/>
          <w:sz w:val="28"/>
          <w:szCs w:val="28"/>
        </w:rPr>
        <w:t>)</w:t>
      </w:r>
      <w:r>
        <w:rPr>
          <w:rFonts w:ascii="Times New Roman" w:hAnsi="Times New Roman" w:cs="Times New Roman"/>
          <w:sz w:val="28"/>
          <w:szCs w:val="28"/>
        </w:rPr>
        <w:t xml:space="preserve"> 2 типа. Абдоминальное ожирение и ожирение связаны с ИР и МС, что в свою очередь приводит к повышению риска ССЗ </w:t>
      </w:r>
      <w:r w:rsidR="00EA0E64">
        <w:rPr>
          <w:rFonts w:ascii="Times New Roman" w:hAnsi="Times New Roman" w:cs="Times New Roman"/>
          <w:sz w:val="28"/>
          <w:szCs w:val="28"/>
        </w:rPr>
        <w:fldChar w:fldCharType="begin" w:fldLock="1"/>
      </w:r>
      <w:r w:rsidR="006541A4">
        <w:rPr>
          <w:rFonts w:ascii="Times New Roman" w:hAnsi="Times New Roman" w:cs="Times New Roman"/>
          <w:sz w:val="28"/>
          <w:szCs w:val="28"/>
        </w:rPr>
        <w:instrText>ADDIN CSL_CITATION {"citationItems":[{"id":"ITEM-1","itemData":{"author":[{"dropping-particle":"","family":"Alberti","given":"George","non-dropping-particle":"","parse-names":false,"suffix":""},{"dropping-particle":"","family":"Zimmet","given":"Paul","non-dropping-particle":"","parse-names":false,"suffix":""},{"dropping-particle":"","family":"Shaw","given":"Jonathan","non-dropping-particle":"","parse-names":false,"suffix":""},{"dropping-particle":"","family":"Grundy","given":"Scott M.","non-dropping-particle":"","parse-names":false,"suffix":""}],"container-title":"IDF Communications","id":"ITEM-1","issued":{"date-parts":[["2006"]]},"number-of-pages":"1-24","publisher":"International Diabetes Federation","publisher-place":"Brussels, Belgium","title":"The IDF consensus worldwide defi nition of the metabolic syndrome","type":"book"},"uris":["http://www.mendeley.com/documents/?uuid=18fc130b-bee6-42c4-bd16-d5cfcef2e27f"]}],"mendeley":{"formattedCitation":"[12]","manualFormatting":"[12, р.10 ]","plainTextFormattedCitation":"[12]","previouslyFormattedCitation":"[12]"},"properties":{"noteIndex":0},"schema":"https://github.com/citation-style-language/schema/raw/master/csl-citation.json"}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[12</w:t>
      </w:r>
      <w:r w:rsidR="00D27643">
        <w:rPr>
          <w:rFonts w:ascii="Times New Roman" w:hAnsi="Times New Roman" w:cs="Times New Roman"/>
          <w:noProof/>
          <w:sz w:val="28"/>
          <w:szCs w:val="28"/>
        </w:rPr>
        <w:t>,</w:t>
      </w:r>
      <w:r w:rsidR="006541A4">
        <w:rPr>
          <w:rFonts w:ascii="Times New Roman" w:hAnsi="Times New Roman" w:cs="Times New Roman"/>
          <w:noProof/>
          <w:sz w:val="28"/>
          <w:szCs w:val="28"/>
        </w:rPr>
        <w:t xml:space="preserve"> р.10</w:t>
      </w:r>
      <w:r w:rsidR="00D27643">
        <w:rPr>
          <w:rFonts w:ascii="Times New Roman" w:hAnsi="Times New Roman" w:cs="Times New Roman"/>
          <w:noProof/>
          <w:sz w:val="28"/>
          <w:szCs w:val="28"/>
        </w:rPr>
        <w:t xml:space="preserve"> </w:t>
      </w:r>
      <w:r w:rsidR="00224447" w:rsidRPr="00224447">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2B2F7A" w:rsidRDefault="002B2F7A" w:rsidP="002B2F7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Как правило, избыток жира в организме чаще связывается с метаболическими нарушениями, чем с высоким уровнем мышечной массы. Жировая ткань в настоящее время рассматривается как ключевой орган, определяющий судьбу избыточных пищевых липидов, который может определить, будет ли поддерживаться гомеостаз организма (метаболически здоровое ожирение) или возникнет состояние воспаления или ИР с вредными последствиями ССЗ. Ожирение, особенно висцеральное ожирение, также вызывает различные структурные адаптации, изменения в структуре и функциях сердечно - сосудистой системы (ССС). Жировая ткань теперь может рассматриваться как эндокринный орган, организующий важные взаимодействия с жизненно важными органами и тканями, такими как мозг, печень, скелетные мышцы, сердце и кровеносные сосуды. Таким образом, для определения общего риска для здоровья пациента и риска развития ССЗ при избыточном весе и ожирении качество и функция жировой ткани столь же важны, как и её количество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pcad.2013.10.016","ISSN":"00330620","author":[{"dropping-particle":"","family":"Bastien","given":"Marjorie","non-dropping-particle":"","parse-names":false,"suffix":""},{"dropping-particle":"","family":"Poirier","given":"Paul","non-dropping-particle":"","parse-names":false,"suffix":""},{"dropping-particle":"","family":"Lemieux","given":"Isabelle","non-dropping-particle":"","parse-names":false,"suffix":""},{"dropping-particle":"","family":"Després","given":"Jean-Pierre","non-dropping-particle":"","parse-names":false,"suffix":""}],"container-title":"Progress in Cardiovascular Diseases","id":"ITEM-1","issue":"4","issued":{"date-parts":[["2014","1"]]},"page":"369-381","title":"Overview of Epidemiology and Contribution of Obesity to Cardiovascular Disease","type":"article-journal","volume":"56"},"uris":["http://www.mendeley.com/documents/?uuid=a740cde0-d714-4828-ab84-63bc4e84bd7f","http://www.mendeley.com/documents/?uuid=6c33e6fe-3783-4ca7-a8de-cfd474bc6775"]}],"mendeley":{"formattedCitation":"[13]","plainTextFormattedCitation":"[13]","previouslyFormattedCitation":"[13]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[13]</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2B2F7A" w:rsidRDefault="002B2F7A" w:rsidP="002B2F7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Во всем мире имеется тенденция роста ожирение и СД 2 типа, которые</w:t>
      </w:r>
      <w:r w:rsidR="001E3413">
        <w:rPr>
          <w:rFonts w:ascii="Times New Roman" w:hAnsi="Times New Roman" w:cs="Times New Roman"/>
          <w:sz w:val="28"/>
          <w:szCs w:val="28"/>
          <w:lang w:val="kk-KZ"/>
        </w:rPr>
        <w:t xml:space="preserve"> </w:t>
      </w:r>
      <w:r>
        <w:rPr>
          <w:rFonts w:ascii="Times New Roman" w:hAnsi="Times New Roman" w:cs="Times New Roman"/>
          <w:sz w:val="28"/>
          <w:szCs w:val="28"/>
        </w:rPr>
        <w:t xml:space="preserve">связаны с образом жизни, гиподинамией, употреблением высококалорийной пищи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{"citationItems":[{"id":"ITEM-1","itemData":{"DOI":"10.1016/j.cjca.2017.12.005","ISSN":"0828282X","abstract":"Hypertension and type 2 diabetes are common comorbidities. Hypertension is twice as frequent in patients with diabetes compared with those who do not have diabetes. Moreover, patients with hypertension often exhibit insulin resistance and are at greater risk of diabetes developing than are normotensive individuals. The major cause of morbidity and mortality in diabetes is cardiovascular disease, which is exacerbated by hypertension. Accordingly, diabetes and hypertension are closely interlinked because of similar risk factors, such as endothelial dysfunction, vascular inflammation, arterial remodelling, atherosclerosis, dyslipidemia, and obesity. There is also substantial overlap in the cardiovascular complications of diabetes and hypertension related primarily to microvascular and macrovascular disease. Common mechanisms, such as upregulation of the renin-angiotensin-aldosterone system, oxidative stress, inflammation, and activation of the immune system likely contribute to the close relationship between diabetes and hypertension. In this article we discuss diabetes and hypertension as comorbidities and discuss the pathophysiological features of vascular complications associated with these conditions. We also highlight some vascular mechanisms that predispose to both conditions, focusing on advanced glycation end products, oxidative stress, inflammation, the immune system, and microRNAs. Finally, we provide some insights into current therapies targeting diabetes and cardiovascular complications and introduce some new agents that may have vasoprotective therapeutic potential in diabetes.","author":[{"dropping-particle":"","family":"Petrie","given":"John R.","non-dropping-particle":"","parse-names":false,"suffix":""},{"dropping-particle":"","family":"Guzik","given":"Tomasz J.","non-dropping-particle":"","parse-names":false,"suffix":""},{"dropping-particle":"","family":"Touyz","given":"Rhian M.","non-dropping-particle":"","parse-names":false,"suffix":""}],"container-title":"Canadian Journal of Cardiology","id":"ITEM-1","issue":"5","issued":{"date-parts":[["2018","5"]]},"page":"575-584","publisher":"The Authors","title":"Diabetes, Hypertension, and Cardiovascular Disease: Clinical Insights and Vascular Mechanisms","type":"article-journal","volume":"34"},"uris":["http://www.mendeley.com/documents/?uuid=c96183ce-04da-4089-82c1-baf68b49d444"]}],"mendeley":{"formattedCitation":"[14]","plainTextFormattedCitation":"[14]","previouslyFormattedCitation":"[14]"},"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[14]</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Снижение чувствительности к инсулину в первую очередь влияет на печень, мышцы и жировые ткани. ИР развивается за несколько лет до начала СД 2 типа, она связана с ожирением, абдоминальным ожирением, но также может встречаться у худых людей с АГ. У пациентов с лишним весом при постоянном поступлении избыточно калорийной пищи адипоциты начинают гипертрофироваться. В гипертрофированных адипоцитах накапливаются большие запасы ТГ, появляется высокая липолитическая функция и в плазме повышается концентрация ЛПНП, ТГ, и их остатков, ЛПОНП, </w:t>
      </w:r>
      <w:r w:rsidR="0077173E">
        <w:rPr>
          <w:rFonts w:ascii="Times New Roman" w:hAnsi="Times New Roman" w:cs="Times New Roman"/>
          <w:sz w:val="28"/>
          <w:szCs w:val="28"/>
        </w:rPr>
        <w:t>аполипопротеина В (</w:t>
      </w:r>
      <w:r>
        <w:rPr>
          <w:rFonts w:ascii="Times New Roman" w:hAnsi="Times New Roman" w:cs="Times New Roman"/>
          <w:sz w:val="28"/>
          <w:szCs w:val="28"/>
        </w:rPr>
        <w:t>апоВ</w:t>
      </w:r>
      <w:r w:rsidR="0077173E">
        <w:rPr>
          <w:rFonts w:ascii="Times New Roman" w:hAnsi="Times New Roman" w:cs="Times New Roman"/>
          <w:sz w:val="28"/>
          <w:szCs w:val="28"/>
        </w:rPr>
        <w:t>)</w:t>
      </w:r>
      <w:r>
        <w:rPr>
          <w:rFonts w:ascii="Times New Roman" w:hAnsi="Times New Roman" w:cs="Times New Roman"/>
          <w:sz w:val="28"/>
          <w:szCs w:val="28"/>
        </w:rPr>
        <w:t xml:space="preserve"> и понижается уровень ЛПВП </w:t>
      </w:r>
      <w:r w:rsidR="00EA0E64">
        <w:rPr>
          <w:rFonts w:ascii="Times New Roman" w:hAnsi="Times New Roman" w:cs="Times New Roman"/>
          <w:sz w:val="28"/>
          <w:szCs w:val="28"/>
        </w:rPr>
        <w:fldChar w:fldCharType="begin" w:fldLock="1"/>
      </w:r>
      <w:r w:rsidR="004D076D">
        <w:rPr>
          <w:rFonts w:ascii="Times New Roman" w:hAnsi="Times New Roman" w:cs="Times New Roman"/>
          <w:sz w:val="28"/>
          <w:szCs w:val="28"/>
        </w:rPr>
        <w:instrText>ADDIN CSL_CITATION {"citationItems":[{"id":"ITEM-1","itemData":{"DOI":"10.1016/j.cjca.2017.12.005","ISSN":"0828282X","abstract":"Hypertension and type 2 diabetes are common comorbidities. Hypertension is twice as frequent in patients with diabetes compared with those who do not have diabetes. Moreover, patients with hypertension often exhibit insulin resistance and are at greater risk of diabetes developing than are normotensive individuals. The major cause of morbidity and mortality in diabetes is cardiovascular disease, which is exacerbated by hypertension. Accordingly, diabetes and hypertension are closely interlinked because of similar risk factors, such as endothelial dysfunction, vascular inflammation, arterial remodelling, atherosclerosis, dyslipidemia, and obesity. There is also substantial overlap in the cardiovascular complications of diabetes and hypertension related primarily to microvascular and macrovascular disease. Common mechanisms, such as upregulation of the renin-angiotensin-aldosterone system, oxidative stress, inflammation, and activation of the immune system likely contribute to the close relationship between diabetes and hypertension. In this article we discuss diabetes and hypertension as comorbidities and discuss the pathophysiological features of vascular complications associated with these conditions. We also highlight some vascular mechanisms that predispose to both conditions, focusing on advanced glycation end products, oxidative stress, inflammation, the immune system, and microRNAs. Finally, we provide some insights into current therapies targeting diabetes and cardiovascular complications and introduce some new agents that may have vasoprotective therapeutic potential in diabetes.","author":[{"dropping-particle":"","family":"Petrie","given":"John R.","non-dropping-particle":"","parse-names":false,"suffix":""},{"dropping-particle":"","family":"Guzik","given":"Tomasz J.","non-dropping-particle":"","parse-names":false,"suffix":""},{"dropping-particle":"","family":"Touyz","given":"Rhian M.","non-dropping-particle":"","parse-names":false,"suffix":""}],"container-title":"Canadian Journal of Cardiology","id":"ITEM-1","issue":"5","issued":{"date-parts":[["2018","5"]]},"page":"575-584","publisher":"The Authors","title":"Diabetes, Hypertension, and Cardiovascular Disease: Clinical Insights and Vascular Mechanisms","type":"article-journal","volume":"34"},"uris":["http://www.mendeley.com/documents/?uuid=c96183ce-04da-4089-82c1-baf68b49d444"]},{"id":"ITEM-2","itemData":{"DOI":"10.1089/met.2019.0115","ISSN":"1540-4196","abstract":"Current algorithms for assessing risk of atherosclerotic cardiovascular disease (ASCVD) and, in particular, the reliance on low-density lipoprotein (LDL) cholesterol in conditions where this measurement is discordant with apoB and LDL-particle concentrations fail to identify a sizeable part of the population at high risk for adverse cardiovascular events. This results in missed opportunities for ASCVD prevention, most notably in those with metabolic syndrome, prediabetes, and diabetes. There is substantial evidence that accumulation of ectopic fat and associated metabolic traits are markers for and pathogenic components of high-risk atherosclerosis. Conceptually, the subset of advanced lesions in high-risk atherosclerosis that triggers vascular complications is closely related to a set of coordinated high-risk traits clustering around a distinct metabolic phenotype. A key feature of this phenotype is accumulation of ectopic fat, which, coupled with age-related muscle loss, creates a milieu conducive for the development of ASCVD: atherogenic dyslipidemia, nonresolving inflammation, endothelial dysfunction, hyperinsulinemia, and impaired fibrinolysis. Sustained vascular inflammation, a hallmark of high-risk atherosclerosis, impairs plaque stabilization in this phenotype. This review describes how metabolic and inflammatory processes that are promoted in large measure by ectopic adiposity, as opposed to subcutaneous adipose tissue, relate to the pathogenesis of high-risk atherosclerosis. Clinical biomarkers indicative of these processes provide incremental information to standard risk factor algorithms and advanced lipid testing identifies atherogenic lipoprotein patterns that are below the discrimination level of standard lipid testing. This has the potential to enable improved identification of high-risk patients who are candidates for therapeutic interventions aimed at prevention of ASCVD.","author":[{"dropping-particle":"","family":"Lechner","given":"Katharina","non-dropping-particle":"","parse-names":false,"suffix":""},{"dropping-particle":"","family":"McKenzie","given":"Amy L.","non-dropping-particle":"","parse-names":false,"suffix":""},{"dropping-particle":"","family":"Kränkel","given":"Nicolle","non-dropping-particle":"","parse-names":false,"suffix":""},{"dropping-particle":"","family":"Schacky","given":"Clemens","non-dropping-particle":"Von","parse-names":false,"suffix":""},{"dropping-particle":"","family":"Worm","given":"Nicolai","non-dropping-particle":"","parse-names":false,"suffix":""},{"dropping-particle":"","family":"Nixdorff","given":"Uwe","non-dropping-particle":"","parse-names":false,"suffix":""},{"dropping-particle":"","family":"Lechner","given":"Benjamin","non-dropping-particle":"","parse-names":false,"suffix":""},{"dropping-particle":"","family":"Scherr","given":"Johannes","non-dropping-particle":"","parse-names":false,"suffix":""},{"dropping-particle":"","family":"Weingärtner","given":"Oliver","non-dropping-particle":"","parse-names":false,"suffix":""},{"dropping-particle":"","family":"Krauss","given":"Ronald M.","non-dropping-particle":"","parse-names":false,"suffix":""}],"container-title":"Metabolic Syndrome and Related Disorders","id":"ITEM-2","issue":"XX","issued":{"date-parts":[["2020","3","2"]]},"page":"176-185","title":"High-Risk Atherosclerosis and Metabolic Phenotype: The Roles of Ectopic Adiposity, Atherogenic Dyslipidemia, and Inflammation","type":"article-journal","volume":"XX"},"uris":["http://www.mendeley.com/documents/?uuid=b75ad960-2c9d-416a-a8ae-3acd17ba22f8"]},{"id":"ITEM-3","itemData":{"DOI":"10.1080/23328940.2017.1384089","ISSN":"2332-8940","abstract":"Obesity and associated metabolic dysfunction have reached epidemic proportions worldwide. The current theory linking metabolic disease and obesity involves ischemic adipose tissue initiating an inflammatory cascade that results in systemic insulin resistance and may eventually lead to type II diabetes mellitus. Diabetes and associated metabolic dysfunction increase the risk of developing cardiovascular disease and fatal cardiovascular events. By targeting key steps in this process, ischemia and inflammation, this cascade may be prevented or reversed and thus metabolic and cardiovascular health may be preserved in obesity. Regular heat exposure (termed ‘heat therapy’) offers potential to improve cardiometabolic health in obese individuals through a variety of mechanisms that include but are not limited to heat shock proteins, hypoxia-inducible factor 1α, and hemodynamic effects. The purpose of this review is to highlight the cardiometabolic decline in obese individuals stemming from adipose tissue dysfunction, and examine the ways in which heat therapy and associated cellular and systemic adaptations can intersect with this decline in function to improve or restore cardiovascular and metabolic health.","author":[{"dropping-particle":"","family":"Ely","given":"Brett R.","non-dropping-particle":"","parse-names":false,"suffix":""},{"dropping-particle":"","family":"Clayton","given":"Zachary S.","non-dropping-particle":"","parse-names":false,"suffix":""},{"dropping-particle":"","family":"McCurdy","given":"Carrie E.","non-dropping-particle":"","parse-names":false,"suffix":""},{"dropping-particle":"","family":"Pfeiffer","given":"Joshua","non-dropping-particle":"","parse-names":false,"suffix":""},{"dropping-particle":"","family":"Minson","given":"Christopher T.","non-dropping-particle":"","parse-names":false,"suffix":""}],"container-title":"Temperature","id":"ITEM-3","issue":"1","issued":{"date-parts":[["2018","1","2"]]},"page":"9-21","publisher":"Taylor &amp; Francis","title":"Meta-inflammation and cardiometabolic disease in obesity: Can heat therapy help?","type":"article-journal","volume":"5"},"uris":["http://www.mendeley.com/documents/?uuid=f8dd82b5-eb0f-4734-a3e6-5be51d5cbbe5"]}],"mendeley":{"formattedCitation":"[14–16]","plainTextFormattedCitation":"[14–16]","previouslyFormattedCitation":"[14–16]"},"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[14</w:t>
      </w:r>
      <w:r w:rsidR="002C6F1D">
        <w:rPr>
          <w:rFonts w:ascii="Times New Roman" w:hAnsi="Times New Roman" w:cs="Times New Roman"/>
          <w:noProof/>
          <w:sz w:val="28"/>
          <w:szCs w:val="28"/>
          <w:lang w:val="kk-KZ"/>
        </w:rPr>
        <w:t>, р</w:t>
      </w:r>
      <w:r w:rsidR="006D45A8">
        <w:rPr>
          <w:rFonts w:ascii="Times New Roman" w:hAnsi="Times New Roman" w:cs="Times New Roman"/>
          <w:noProof/>
          <w:sz w:val="28"/>
          <w:szCs w:val="28"/>
          <w:lang w:val="kk-KZ"/>
        </w:rPr>
        <w:t>.</w:t>
      </w:r>
      <w:r w:rsidR="002C6F1D">
        <w:rPr>
          <w:rFonts w:ascii="Times New Roman" w:hAnsi="Times New Roman" w:cs="Times New Roman"/>
          <w:noProof/>
          <w:sz w:val="28"/>
          <w:szCs w:val="28"/>
          <w:lang w:val="kk-KZ"/>
        </w:rPr>
        <w:t xml:space="preserve"> 576</w:t>
      </w:r>
      <w:r w:rsidR="002C6F1D">
        <w:rPr>
          <w:rFonts w:ascii="Times New Roman" w:hAnsi="Times New Roman" w:cs="Times New Roman"/>
          <w:noProof/>
          <w:sz w:val="28"/>
          <w:szCs w:val="28"/>
        </w:rPr>
        <w:t>;</w:t>
      </w:r>
      <w:r w:rsidR="002C6F1D">
        <w:rPr>
          <w:rFonts w:ascii="Times New Roman" w:hAnsi="Times New Roman" w:cs="Times New Roman"/>
          <w:noProof/>
          <w:sz w:val="28"/>
          <w:szCs w:val="28"/>
          <w:lang w:val="kk-KZ"/>
        </w:rPr>
        <w:t xml:space="preserve"> 15, </w:t>
      </w:r>
      <w:r w:rsidR="00224447" w:rsidRPr="00224447">
        <w:rPr>
          <w:rFonts w:ascii="Times New Roman" w:hAnsi="Times New Roman" w:cs="Times New Roman"/>
          <w:noProof/>
          <w:sz w:val="28"/>
          <w:szCs w:val="28"/>
        </w:rPr>
        <w:t>16]</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И это все приводит к гибели клеток висцеральных адипоцитов и экспрессии цитокинов. Все провоспалительные и метаболические последствия ожирения и ИР приводят к эндотелиальным нарушениям, которые являются ключевыми пусковыми механизмы атеросклероза </w:t>
      </w:r>
      <w:r w:rsidR="00EA0E64">
        <w:rPr>
          <w:rFonts w:ascii="Times New Roman" w:hAnsi="Times New Roman" w:cs="Times New Roman"/>
          <w:sz w:val="28"/>
          <w:szCs w:val="28"/>
        </w:rPr>
        <w:fldChar w:fldCharType="begin" w:fldLock="1"/>
      </w:r>
      <w:r w:rsidR="004D076D">
        <w:rPr>
          <w:rFonts w:ascii="Times New Roman" w:hAnsi="Times New Roman" w:cs="Times New Roman"/>
          <w:sz w:val="28"/>
          <w:szCs w:val="28"/>
        </w:rPr>
        <w:instrText>ADDIN CSL_CITATION {"citationItems":[{"id":"ITEM-1","itemData":{"DOI":"10.1016/j.cjca.2017.12.005","ISSN":"0828282X","abstract":"Hypertension and type 2 diabetes are common comorbidities. Hypertension is twice as frequent in patients with diabetes compared with those who do not have diabetes. Moreover, patients with hypertension often exhibit insulin resistance and are at greater risk of diabetes developing than are normotensive individuals. The major cause of morbidity and mortality in diabetes is cardiovascular disease, which is exacerbated by hypertension. Accordingly, diabetes and hypertension are closely interlinked because of similar risk factors, such as endothelial dysfunction, vascular inflammation, arterial remodelling, atherosclerosis, dyslipidemia, and obesity. There is also substantial overlap in the cardiovascular complications of diabetes and hypertension related primarily to microvascular and macrovascular disease. Common mechanisms, such as upregulation of the renin-angiotensin-aldosterone system, oxidative stress, inflammation, and activation of the immune system likely contribute to the close relationship between diabetes and hypertension. In this article we discuss diabetes and hypertension as comorbidities and discuss the pathophysiological features of vascular complications associated with these conditions. We also highlight some vascular mechanisms that predispose to both conditions, focusing on advanced glycation end products, oxidative stress, inflammation, the immune system, and microRNAs. Finally, we provide some insights into current therapies targeting diabetes and cardiovascular complications and introduce some new agents that may have vasoprotective therapeutic potential in diabetes.","author":[{"dropping-particle":"","family":"Petrie","given":"John R.","non-dropping-particle":"","parse-names":false,"suffix":""},{"dropping-particle":"","family":"Guzik","given":"Tomasz J.","non-dropping-particle":"","parse-names":false,"suffix":""},{"dropping-particle":"","family":"Touyz","given":"Rhian M.","non-dropping-particle":"","parse-names":false,"suffix":""}],"container-title":"Canadian Journal of Cardiology","id":"ITEM-1","issue":"5","issued":{"date-parts":[["2018","5"]]},"page":"575-584","publisher":"The Authors","title":"Diabetes, Hypertension, and Cardiovascular Disease: Clinical Insights and Vascular Mechanisms","type":"article-journal","volume":"34"},"uris":["http://www.mendeley.com/documents/?uuid=c96183ce-04da-4089-82c1-baf68b49d444"]},{"id":"ITEM-2","itemData":{"DOI":"10.1089/met.2019.0115","ISSN":"1540-4196","abstract":"Current algorithms for assessing risk of atherosclerotic cardiovascular disease (ASCVD) and, in particular, the reliance on low-density lipoprotein (LDL) cholesterol in conditions where this measurement is discordant with apoB and LDL-particle concentrations fail to identify a sizeable part of the population at high risk for adverse cardiovascular events. This results in missed opportunities for ASCVD prevention, most notably in those with metabolic syndrome, prediabetes, and diabetes. There is substantial evidence that accumulation of ectopic fat and associated metabolic traits are markers for and pathogenic components of high-risk atherosclerosis. Conceptually, the subset of advanced lesions in high-risk atherosclerosis that triggers vascular complications is closely related to a set of coordinated high-risk traits clustering around a distinct metabolic phenotype. A key feature of this phenotype is accumulation of ectopic fat, which, coupled with age-related muscle loss, creates a milieu conducive for the development of ASCVD: atherogenic dyslipidemia, nonresolving inflammation, endothelial dysfunction, hyperinsulinemia, and impaired fibrinolysis. Sustained vascular inflammation, a hallmark of high-risk atherosclerosis, impairs plaque stabilization in this phenotype. This review describes how metabolic and inflammatory processes that are promoted in large measure by ectopic adiposity, as opposed to subcutaneous adipose tissue, relate to the pathogenesis of high-risk atherosclerosis. Clinical biomarkers indicative of these processes provide incremental information to standard risk factor algorithms and advanced lipid testing identifies atherogenic lipoprotein patterns that are below the discrimination level of standard lipid testing. This has the potential to enable improved identification of high-risk patients who are candidates for therapeutic interventions aimed at prevention of ASCVD.","author":[{"dropping-particle":"","family":"Lechner","given":"Katharina","non-dropping-particle":"","parse-names":false,"suffix":""},{"dropping-particle":"","family":"McKenzie","given":"Amy L.","non-dropping-particle":"","parse-names":false,"suffix":""},{"dropping-particle":"","family":"Kränkel","given":"Nicolle","non-dropping-particle":"","parse-names":false,"suffix":""},{"dropping-particle":"","family":"Schacky","given":"Clemens","non-dropping-particle":"Von","parse-names":false,"suffix":""},{"dropping-particle":"","family":"Worm","given":"Nicolai","non-dropping-particle":"","parse-names":false,"suffix":""},{"dropping-particle":"","family":"Nixdorff","given":"Uwe","non-dropping-particle":"","parse-names":false,"suffix":""},{"dropping-particle":"","family":"Lechner","given":"Benjamin","non-dropping-particle":"","parse-names":false,"suffix":""},{"dropping-particle":"","family":"Scherr","given":"Johannes","non-dropping-particle":"","parse-names":false,"suffix":""},{"dropping-particle":"","family":"Weingärtner","given":"Oliver","non-dropping-particle":"","parse-names":false,"suffix":""},{"dropping-particle":"","family":"Krauss","given":"Ronald M.","non-dropping-particle":"","parse-names":false,"suffix":""}],"container-title":"Metabolic Syndrome and Related Disorders","id":"ITEM-2","issue":"XX","issued":{"date-parts":[["2020","3","2"]]},"page":"176-185","title":"High-Risk Atherosclerosis and Metabolic Phenotype: The Roles of Ectopic Adiposity, Atherogenic Dyslipidemia, and Inflammation","type":"article-journal","volume":"XX"},"uris":["http://www.mendeley.com/documents/?uuid=b75ad960-2c9d-416a-a8ae-3acd17ba22f8"]},{"id":"ITEM-3","itemData":{"DOI":"10.1080/23328940.2017.1384089","ISSN":"2332-8940","abstract":"Obesity and associated metabolic dysfunction have reached epidemic proportions worldwide. The current theory linking metabolic disease and obesity involves ischemic adipose tissue initiating an inflammatory cascade that results in systemic insulin resistance and may eventually lead to type II diabetes mellitus. Diabetes and associated metabolic dysfunction increase the risk of developing cardiovascular disease and fatal cardiovascular events. By targeting key steps in this process, ischemia and inflammation, this cascade may be prevented or reversed and thus metabolic and cardiovascular health may be preserved in obesity. Regular heat exposure (termed ‘heat therapy’) offers potential to improve cardiometabolic health in obese individuals through a variety of mechanisms that include but are not limited to heat shock proteins, hypoxia-inducible factor 1α, and hemodynamic effects. The purpose of this review is to highlight the cardiometabolic decline in obese individuals stemming from adipose tissue dysfunction, and examine the ways in which heat therapy and associated cellular and systemic adaptations can intersect with this decline in function to improve or restore cardiovascular and metabolic health.","author":[{"dropping-particle":"","family":"Ely","given":"Brett R.","non-dropping-particle":"","parse-names":false,"suffix":""},{"dropping-particle":"","family":"Clayton","given":"Zachary S.","non-dropping-particle":"","parse-names":false,"suffix":""},{"dropping-particle":"","family":"McCurdy","given":"Carrie E.","non-dropping-particle":"","parse-names":false,"suffix":""},{"dropping-particle":"","family":"Pfeiffer","given":"Joshua","non-dropping-particle":"","parse-names":false,"suffix":""},{"dropping-particle":"","family":"Minson","given":"Christopher T.","non-dropping-particle":"","parse-names":false,"suffix":""}],"container-title":"Temperature","id":"ITEM-3","issue":"1","issued":{"date-parts":[["2018","1","2"]]},"page":"9-21","publisher":"Taylor &amp; Francis","title":"Meta-inflammation and cardiometabolic disease in obesity: Can heat therapy help?","type":"article-journal","volume":"5"},"uris":["http://www.mendeley.com/documents/?uuid=f8dd82b5-eb0f-4734-a3e6-5be51d5cbbe5"]}],"mendeley":{"formattedCitation":"[14–16]","manualFormatting":"[14, р 576; 15, р. 180, 16, р. 10]","plainTextFormattedCitation":"[14–16]","previouslyFormattedCitation":"[14–16]"},"properties":{"noteIndex":0},"schema":"https://github.com/citation-style-language/schema/raw/master/csl-citation.json"}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[14</w:t>
      </w:r>
      <w:r w:rsidR="006541A4">
        <w:rPr>
          <w:rFonts w:ascii="Times New Roman" w:hAnsi="Times New Roman" w:cs="Times New Roman"/>
          <w:noProof/>
          <w:sz w:val="28"/>
          <w:szCs w:val="28"/>
        </w:rPr>
        <w:t xml:space="preserve">, р 576; 15, р. 180, </w:t>
      </w:r>
      <w:r w:rsidR="00224447" w:rsidRPr="00224447">
        <w:rPr>
          <w:rFonts w:ascii="Times New Roman" w:hAnsi="Times New Roman" w:cs="Times New Roman"/>
          <w:noProof/>
          <w:sz w:val="28"/>
          <w:szCs w:val="28"/>
        </w:rPr>
        <w:t>16</w:t>
      </w:r>
      <w:r w:rsidR="006541A4">
        <w:rPr>
          <w:rFonts w:ascii="Times New Roman" w:hAnsi="Times New Roman" w:cs="Times New Roman"/>
          <w:noProof/>
          <w:sz w:val="28"/>
          <w:szCs w:val="28"/>
        </w:rPr>
        <w:t>, р. 10</w:t>
      </w:r>
      <w:r w:rsidR="00224447" w:rsidRPr="00224447">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Это нарушает баланс между вазоконстрикторами и сосудорасширяющими веществами, стимулирующие и ингибирующие рост факторы, проатерогенных и антиатерогенных факторов </w:t>
      </w:r>
      <w:r w:rsidR="00EA0E64">
        <w:rPr>
          <w:rFonts w:ascii="Times New Roman" w:hAnsi="Times New Roman" w:cs="Times New Roman"/>
          <w:sz w:val="28"/>
          <w:szCs w:val="28"/>
        </w:rPr>
        <w:fldChar w:fldCharType="begin" w:fldLock="1"/>
      </w:r>
      <w:r w:rsidR="00490086">
        <w:rPr>
          <w:rFonts w:ascii="Times New Roman" w:hAnsi="Times New Roman" w:cs="Times New Roman"/>
          <w:sz w:val="28"/>
          <w:szCs w:val="28"/>
        </w:rPr>
        <w:instrText>ADDIN CSL_CITATION {"citationItems":[{"id":"ITEM-1","itemData":{"DOI":"10.1016/j.cjca.2017.12.005","ISSN":"0828282X","abstract":"Hypertension and type 2 diabetes are common comorbidities. Hypertension is twice as frequent in patients with diabetes compared with those who do not have diabetes. Moreover, patients with hypertension often exhibit insulin resistance and are at greater risk of diabetes developing than are normotensive individuals. The major cause of morbidity and mortality in diabetes is cardiovascular disease, which is exacerbated by hypertension. Accordingly, diabetes and hypertension are closely interlinked because of similar risk factors, such as endothelial dysfunction, vascular inflammation, arterial remodelling, atherosclerosis, dyslipidemia, and obesity. There is also substantial overlap in the cardiovascular complications of diabetes and hypertension related primarily to microvascular and macrovascular disease. Common mechanisms, such as upregulation of the renin-angiotensin-aldosterone system, oxidative stress, inflammation, and activation of the immune system likely contribute to the close relationship between diabetes and hypertension. In this article we discuss diabetes and hypertension as comorbidities and discuss the pathophysiological features of vascular complications associated with these conditions. We also highlight some vascular mechanisms that predispose to both conditions, focusing on advanced glycation end products, oxidative stress, inflammation, the immune system, and microRNAs. Finally, we provide some insights into current therapies targeting diabetes and cardiovascular complications and introduce some new agents that may have vasoprotective therapeutic potential in diabetes.","author":[{"dropping-particle":"","family":"Petrie","given":"John R.","non-dropping-particle":"","parse-names":false,"suffix":""},{"dropping-particle":"","family":"Guzik","given":"Tomasz J.","non-dropping-particle":"","parse-names":false,"suffix":""},{"dropping-particle":"","family":"Touyz","given":"Rhian M.","non-dropping-particle":"","parse-names":false,"suffix":""}],"container-title":"Canadian Journal of Cardiology","id":"ITEM-1","issue":"5","issued":{"date-parts":[["2018","5"]]},"page":"575-584","publisher":"The Authors","title":"Diabetes, Hypertension, and Cardiovascular Disease: Clinical Insights and Vascular Mechanisms","type":"article-journal","volume":"34"},"uris":["http://www.mendeley.com/documents/?uuid=c96183ce-04da-4089-82c1-baf68b49d444"]}],"mendeley":{"formattedCitation":"[14]","manualFormatting":"[14, р. 576]","plainTextFormattedCitation":"[14]","previouslyFormattedCitation":"[14]"},"properties":{"noteIndex":0},"schema":"https://github.com/citation-style-language/schema/raw/master/csl-citation.json"}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[14</w:t>
      </w:r>
      <w:r w:rsidR="006541A4">
        <w:rPr>
          <w:rFonts w:ascii="Times New Roman" w:hAnsi="Times New Roman" w:cs="Times New Roman"/>
          <w:noProof/>
          <w:sz w:val="28"/>
          <w:szCs w:val="28"/>
        </w:rPr>
        <w:t>, р. 576</w:t>
      </w:r>
      <w:r w:rsidR="00224447" w:rsidRPr="00224447">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2B2F7A" w:rsidRDefault="002B2F7A" w:rsidP="002B2F7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Ожирение</w:t>
      </w:r>
      <w:r w:rsidR="00DB1E7B">
        <w:rPr>
          <w:rFonts w:ascii="Times New Roman" w:hAnsi="Times New Roman" w:cs="Times New Roman"/>
          <w:sz w:val="28"/>
          <w:szCs w:val="28"/>
        </w:rPr>
        <w:t xml:space="preserve"> в целом</w:t>
      </w:r>
      <w:r>
        <w:rPr>
          <w:rFonts w:ascii="Times New Roman" w:hAnsi="Times New Roman" w:cs="Times New Roman"/>
          <w:sz w:val="28"/>
          <w:szCs w:val="28"/>
        </w:rPr>
        <w:t xml:space="preserve"> и абдоминальное ожирение</w:t>
      </w:r>
      <w:r w:rsidR="00DB1E7B">
        <w:rPr>
          <w:rFonts w:ascii="Times New Roman" w:hAnsi="Times New Roman" w:cs="Times New Roman"/>
          <w:sz w:val="28"/>
          <w:szCs w:val="28"/>
        </w:rPr>
        <w:t xml:space="preserve"> в частности</w:t>
      </w:r>
      <w:r>
        <w:rPr>
          <w:rFonts w:ascii="Times New Roman" w:hAnsi="Times New Roman" w:cs="Times New Roman"/>
          <w:sz w:val="28"/>
          <w:szCs w:val="28"/>
        </w:rPr>
        <w:t xml:space="preserve"> вызывают изменения на гормональном уровне, воспалительные изменения эндотелия, которые, в свою очередь стимулируют такие механизмы, как </w:t>
      </w:r>
      <w:r w:rsidR="00962CE1">
        <w:rPr>
          <w:rFonts w:ascii="Times New Roman" w:hAnsi="Times New Roman" w:cs="Times New Roman"/>
          <w:sz w:val="28"/>
          <w:szCs w:val="28"/>
          <w:lang w:val="kk-KZ"/>
        </w:rPr>
        <w:t>гипер</w:t>
      </w:r>
      <w:r w:rsidR="00962CE1">
        <w:rPr>
          <w:rFonts w:ascii="Times New Roman" w:hAnsi="Times New Roman" w:cs="Times New Roman"/>
          <w:sz w:val="28"/>
          <w:szCs w:val="28"/>
        </w:rPr>
        <w:t>тонус</w:t>
      </w:r>
      <w:r>
        <w:rPr>
          <w:rFonts w:ascii="Times New Roman" w:hAnsi="Times New Roman" w:cs="Times New Roman"/>
          <w:sz w:val="28"/>
          <w:szCs w:val="28"/>
        </w:rPr>
        <w:t xml:space="preserve"> симпатической нервной системы и изменения функции почек на уровне клубочковой фильтрации, что в последующем способствуют повышению АД и развитию БСК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phrs.2017.05.013","ISSN":"10436618","author":[{"dropping-particle":"","family":"Seravalle","given":"Gino","non-dropping-particle":"","parse-names":false,"suffix":""},{"dropping-particle":"","family":"Grassi","given":"Guido","non-dropping-particle":"","parse-names":false,"suffix":""}],"container-title":"Pharmacological Research","id":"ITEM-1","issued":{"date-parts":[["2017","8"]]},"page":"1-7","title":"Obesity and hypertension","type":"article-journal","volume":"122"},"uris":["http://www.mendeley.com/documents/?uuid=536c723d-3f59-4d15-b9f2-4c94f9b7ad39"]}],"mendeley":{"formattedCitation":"[17]","plainTextFormattedCitation":"[17]","previouslyFormattedCitation":"[17]"},"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[17]</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Seravalle G., </w:t>
      </w:r>
      <w:r w:rsidRPr="00B35C47">
        <w:rPr>
          <w:rFonts w:ascii="Times New Roman" w:hAnsi="Times New Roman" w:cs="Times New Roman"/>
          <w:sz w:val="28"/>
          <w:szCs w:val="28"/>
        </w:rPr>
        <w:t xml:space="preserve">Grassi G. </w:t>
      </w:r>
      <w:r>
        <w:rPr>
          <w:rFonts w:ascii="Times New Roman" w:hAnsi="Times New Roman" w:cs="Times New Roman"/>
          <w:sz w:val="28"/>
          <w:szCs w:val="28"/>
        </w:rPr>
        <w:t xml:space="preserve">(2017) описывают ИР, как фактор, который стимулирует и потенцирует различные механизмы повышения АД </w:t>
      </w:r>
      <w:r w:rsidR="00EA0E64">
        <w:rPr>
          <w:rFonts w:ascii="Times New Roman" w:hAnsi="Times New Roman" w:cs="Times New Roman"/>
          <w:sz w:val="28"/>
          <w:szCs w:val="28"/>
        </w:rPr>
        <w:fldChar w:fldCharType="begin" w:fldLock="1"/>
      </w:r>
      <w:r w:rsidR="00C55712">
        <w:rPr>
          <w:rFonts w:ascii="Times New Roman" w:hAnsi="Times New Roman" w:cs="Times New Roman"/>
          <w:sz w:val="28"/>
          <w:szCs w:val="28"/>
        </w:rPr>
        <w:instrText>ADDIN CSL_CITATION {"citationItems":[{"id":"ITEM-1","itemData":{"DOI":"10.1016/j.phrs.2017.05.013","ISSN":"10436618","author":[{"dropping-particle":"","family":"Seravalle","given":"Gino","non-dropping-particle":"","parse-names":false,"suffix":""},{"dropping-particle":"","family":"Grassi","given":"Guido","non-dropping-particle":"","parse-names":false,"suffix":""}],"container-title":"Pharmacological Research","id":"ITEM-1","issued":{"date-parts":[["2017","8"]]},"page":"1-7","title":"Obesity and hypertension","type":"article-journal","volume":"122"},"uris":["http://www.mendeley.com/documents/?uuid=536c723d-3f59-4d15-b9f2-4c94f9b7ad39"]}],"mendeley":{"formattedCitation":"[17]","manualFormatting":"[17, р. 4]","plainTextFormattedCitation":"[17]","previouslyFormattedCitation":"[17]"},"properties":{"noteIndex":0},"schema":"https://github.com/citation-style-language/schema/raw/master/csl-citation.json"}</w:instrText>
      </w:r>
      <w:r w:rsidR="00EA0E64">
        <w:rPr>
          <w:rFonts w:ascii="Times New Roman" w:hAnsi="Times New Roman" w:cs="Times New Roman"/>
          <w:sz w:val="28"/>
          <w:szCs w:val="28"/>
        </w:rPr>
        <w:fldChar w:fldCharType="separate"/>
      </w:r>
      <w:r w:rsidR="00490086" w:rsidRPr="00490086">
        <w:rPr>
          <w:rFonts w:ascii="Times New Roman" w:hAnsi="Times New Roman" w:cs="Times New Roman"/>
          <w:noProof/>
          <w:sz w:val="28"/>
          <w:szCs w:val="28"/>
        </w:rPr>
        <w:t>[17</w:t>
      </w:r>
      <w:r w:rsidR="00490086">
        <w:rPr>
          <w:rFonts w:ascii="Times New Roman" w:hAnsi="Times New Roman" w:cs="Times New Roman"/>
          <w:noProof/>
          <w:sz w:val="28"/>
          <w:szCs w:val="28"/>
        </w:rPr>
        <w:t>, р. 4</w:t>
      </w:r>
      <w:r w:rsidR="00490086" w:rsidRPr="0049008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2B2F7A" w:rsidRDefault="002B2F7A" w:rsidP="002B2F7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развитии </w:t>
      </w:r>
      <w:r w:rsidR="000D6CBD">
        <w:rPr>
          <w:rFonts w:ascii="Times New Roman" w:hAnsi="Times New Roman" w:cs="Times New Roman"/>
          <w:sz w:val="28"/>
          <w:szCs w:val="28"/>
        </w:rPr>
        <w:t>атеросклеротических ССЗ (</w:t>
      </w:r>
      <w:r>
        <w:rPr>
          <w:rFonts w:ascii="Times New Roman" w:hAnsi="Times New Roman" w:cs="Times New Roman"/>
          <w:sz w:val="28"/>
          <w:szCs w:val="28"/>
        </w:rPr>
        <w:t>АССЗ</w:t>
      </w:r>
      <w:r w:rsidR="000D6CBD">
        <w:rPr>
          <w:rFonts w:ascii="Times New Roman" w:hAnsi="Times New Roman" w:cs="Times New Roman"/>
          <w:sz w:val="28"/>
          <w:szCs w:val="28"/>
        </w:rPr>
        <w:t>)</w:t>
      </w:r>
      <w:r>
        <w:rPr>
          <w:rFonts w:ascii="Times New Roman" w:hAnsi="Times New Roman" w:cs="Times New Roman"/>
          <w:sz w:val="28"/>
          <w:szCs w:val="28"/>
        </w:rPr>
        <w:t xml:space="preserve"> вносит свой вклад состав тела, в частности это накопление д</w:t>
      </w:r>
      <w:r w:rsidR="000D6CBD">
        <w:rPr>
          <w:rFonts w:ascii="Times New Roman" w:hAnsi="Times New Roman" w:cs="Times New Roman"/>
          <w:sz w:val="28"/>
          <w:szCs w:val="28"/>
        </w:rPr>
        <w:t>исфункциональной жировой ткань в</w:t>
      </w:r>
      <w:r>
        <w:rPr>
          <w:rFonts w:ascii="Times New Roman" w:hAnsi="Times New Roman" w:cs="Times New Roman"/>
          <w:sz w:val="28"/>
          <w:szCs w:val="28"/>
        </w:rPr>
        <w:t xml:space="preserve"> животе, потеря скелетных мышц</w:t>
      </w:r>
      <w:r w:rsidR="00C0266F">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4D076D">
        <w:rPr>
          <w:rFonts w:ascii="Times New Roman" w:hAnsi="Times New Roman" w:cs="Times New Roman"/>
          <w:sz w:val="28"/>
          <w:szCs w:val="28"/>
        </w:rPr>
        <w:instrText>ADDIN CSL_CITATION {"citationItems":[{"id":"ITEM-1","itemData":{"DOI":"10.1089/met.2019.0115","ISSN":"1540-4196","abstract":"Current algorithms for assessing risk of atherosclerotic cardiovascular disease (ASCVD) and, in particular, the reliance on low-density lipoprotein (LDL) cholesterol in conditions where this measurement is discordant with apoB and LDL-particle concentrations fail to identify a sizeable part of the population at high risk for adverse cardiovascular events. This results in missed opportunities for ASCVD prevention, most notably in those with metabolic syndrome, prediabetes, and diabetes. There is substantial evidence that accumulation of ectopic fat and associated metabolic traits are markers for and pathogenic components of high-risk atherosclerosis. Conceptually, the subset of advanced lesions in high-risk atherosclerosis that triggers vascular complications is closely related to a set of coordinated high-risk traits clustering around a distinct metabolic phenotype. A key feature of this phenotype is accumulation of ectopic fat, which, coupled with age-related muscle loss, creates a milieu conducive for the development of ASCVD: atherogenic dyslipidemia, nonresolving inflammation, endothelial dysfunction, hyperinsulinemia, and impaired fibrinolysis. Sustained vascular inflammation, a hallmark of high-risk atherosclerosis, impairs plaque stabilization in this phenotype. This review describes how metabolic and inflammatory processes that are promoted in large measure by ectopic adiposity, as opposed to subcutaneous adipose tissue, relate to the pathogenesis of high-risk atherosclerosis. Clinical biomarkers indicative of these processes provide incremental information to standard risk factor algorithms and advanced lipid testing identifies atherogenic lipoprotein patterns that are below the discrimination level of standard lipid testing. This has the potential to enable improved identification of high-risk patients who are candidates for therapeutic interventions aimed at prevention of ASCVD.","author":[{"dropping-particle":"","family":"Lechner","given":"Katharina","non-dropping-particle":"","parse-names":false,"suffix":""},{"dropping-particle":"","family":"McKenzie","given":"Amy L.","non-dropping-particle":"","parse-names":false,"suffix":""},{"dropping-particle":"","family":"Kränkel","given":"Nicolle","non-dropping-particle":"","parse-names":false,"suffix":""},{"dropping-particle":"","family":"Schacky","given":"Clemens","non-dropping-particle":"Von","parse-names":false,"suffix":""},{"dropping-particle":"","family":"Worm","given":"Nicolai","non-dropping-particle":"","parse-names":false,"suffix":""},{"dropping-particle":"","family":"Nixdorff","given":"Uwe","non-dropping-particle":"","parse-names":false,"suffix":""},{"dropping-particle":"","family":"Lechner","given":"Benjamin","non-dropping-particle":"","parse-names":false,"suffix":""},{"dropping-particle":"","family":"Scherr","given":"Johannes","non-dropping-particle":"","parse-names":false,"suffix":""},{"dropping-particle":"","family":"Weingärtner","given":"Oliver","non-dropping-particle":"","parse-names":false,"suffix":""},{"dropping-particle":"","family":"Krauss","given":"Ronald M.","non-dropping-particle":"","parse-names":false,"suffix":""}],"container-title":"Metabolic Syndrome and Related Disorders","id":"ITEM-1","issue":"XX","issued":{"date-parts":[["2020","3","2"]]},"page":"176-185","title":"High-Risk Atherosclerosis and Metabolic Phenotype: The Roles of Ectopic Adiposity, Atherogenic Dyslipidemia, and Inflammation","type":"article-journal","volume":"XX"},"uris":["http://www.mendeley.com/documents/?uuid=b75ad960-2c9d-416a-a8ae-3acd17ba22f8"]}],"mendeley":{"formattedCitation":"[15]","manualFormatting":"[16, р. 181]","plainTextFormattedCitation":"[15]","previouslyFormattedCitation":"[15]"},"properties":{"noteIndex":0},"schema":"https://github.com/citation-style-language/schema/raw/master/csl-citation.json"}</w:instrText>
      </w:r>
      <w:r w:rsidR="00EA0E64">
        <w:rPr>
          <w:rFonts w:ascii="Times New Roman" w:hAnsi="Times New Roman" w:cs="Times New Roman"/>
          <w:sz w:val="28"/>
          <w:szCs w:val="28"/>
        </w:rPr>
        <w:fldChar w:fldCharType="separate"/>
      </w:r>
      <w:r w:rsidR="00A13EC3" w:rsidRPr="00A13EC3">
        <w:rPr>
          <w:rFonts w:ascii="Times New Roman" w:hAnsi="Times New Roman" w:cs="Times New Roman"/>
          <w:noProof/>
          <w:sz w:val="28"/>
          <w:szCs w:val="28"/>
        </w:rPr>
        <w:t>[16</w:t>
      </w:r>
      <w:r w:rsidR="00781E19">
        <w:rPr>
          <w:rFonts w:ascii="Times New Roman" w:hAnsi="Times New Roman" w:cs="Times New Roman"/>
          <w:noProof/>
          <w:sz w:val="28"/>
          <w:szCs w:val="28"/>
        </w:rPr>
        <w:t>, р. 181</w:t>
      </w:r>
      <w:r w:rsidR="00A13EC3" w:rsidRPr="00A13EC3">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Избыточное синтезирование липидов в печени может быть пусковым механизмом неалкогольной жировой </w:t>
      </w:r>
      <w:r>
        <w:rPr>
          <w:rFonts w:ascii="Times New Roman" w:hAnsi="Times New Roman" w:cs="Times New Roman"/>
          <w:sz w:val="28"/>
          <w:szCs w:val="28"/>
        </w:rPr>
        <w:lastRenderedPageBreak/>
        <w:t xml:space="preserve">болезни печени, атерогенной дислипидемии, дисфункции поджелудочной железы </w:t>
      </w:r>
      <w:r w:rsidR="00EA0E64">
        <w:rPr>
          <w:rFonts w:ascii="Times New Roman" w:hAnsi="Times New Roman" w:cs="Times New Roman"/>
          <w:sz w:val="28"/>
          <w:szCs w:val="28"/>
        </w:rPr>
        <w:fldChar w:fldCharType="begin" w:fldLock="1"/>
      </w:r>
      <w:r w:rsidR="004D076D">
        <w:rPr>
          <w:rFonts w:ascii="Times New Roman" w:hAnsi="Times New Roman" w:cs="Times New Roman"/>
          <w:sz w:val="28"/>
          <w:szCs w:val="28"/>
        </w:rPr>
        <w:instrText>ADDIN CSL_CITATION {"citationItems":[{"id":"ITEM-1","itemData":{"DOI":"10.1089/met.2019.0115","ISSN":"1540-4196","abstract":"Current algorithms for assessing risk of atherosclerotic cardiovascular disease (ASCVD) and, in particular, the reliance on low-density lipoprotein (LDL) cholesterol in conditions where this measurement is discordant with apoB and LDL-particle concentrations fail to identify a sizeable part of the population at high risk for adverse cardiovascular events. This results in missed opportunities for ASCVD prevention, most notably in those with metabolic syndrome, prediabetes, and diabetes. There is substantial evidence that accumulation of ectopic fat and associated metabolic traits are markers for and pathogenic components of high-risk atherosclerosis. Conceptually, the subset of advanced lesions in high-risk atherosclerosis that triggers vascular complications is closely related to a set of coordinated high-risk traits clustering around a distinct metabolic phenotype. A key feature of this phenotype is accumulation of ectopic fat, which, coupled with age-related muscle loss, creates a milieu conducive for the development of ASCVD: atherogenic dyslipidemia, nonresolving inflammation, endothelial dysfunction, hyperinsulinemia, and impaired fibrinolysis. Sustained vascular inflammation, a hallmark of high-risk atherosclerosis, impairs plaque stabilization in this phenotype. This review describes how metabolic and inflammatory processes that are promoted in large measure by ectopic adiposity, as opposed to subcutaneous adipose tissue, relate to the pathogenesis of high-risk atherosclerosis. Clinical biomarkers indicative of these processes provide incremental information to standard risk factor algorithms and advanced lipid testing identifies atherogenic lipoprotein patterns that are below the discrimination level of standard lipid testing. This has the potential to enable improved identification of high-risk patients who are candidates for therapeutic interventions aimed at prevention of ASCVD.","author":[{"dropping-particle":"","family":"Lechner","given":"Katharina","non-dropping-particle":"","parse-names":false,"suffix":""},{"dropping-particle":"","family":"McKenzie","given":"Amy L.","non-dropping-particle":"","parse-names":false,"suffix":""},{"dropping-particle":"","family":"Kränkel","given":"Nicolle","non-dropping-particle":"","parse-names":false,"suffix":""},{"dropping-particle":"","family":"Schacky","given":"Clemens","non-dropping-particle":"Von","parse-names":false,"suffix":""},{"dropping-particle":"","family":"Worm","given":"Nicolai","non-dropping-particle":"","parse-names":false,"suffix":""},{"dropping-particle":"","family":"Nixdorff","given":"Uwe","non-dropping-particle":"","parse-names":false,"suffix":""},{"dropping-particle":"","family":"Lechner","given":"Benjamin","non-dropping-particle":"","parse-names":false,"suffix":""},{"dropping-particle":"","family":"Scherr","given":"Johannes","non-dropping-particle":"","parse-names":false,"suffix":""},{"dropping-particle":"","family":"Weingärtner","given":"Oliver","non-dropping-particle":"","parse-names":false,"suffix":""},{"dropping-particle":"","family":"Krauss","given":"Ronald M.","non-dropping-particle":"","parse-names":false,"suffix":""}],"container-title":"Metabolic Syndrome and Related Disorders","id":"ITEM-1","issue":"XX","issued":{"date-parts":[["2020","3","2"]]},"page":"176-185","title":"High-Risk Atherosclerosis and Metabolic Phenotype: The Roles of Ectopic Adiposity, Atherogenic Dyslipidemia, and Inflammation","type":"article-journal","volume":"XX"},"uris":["http://www.mendeley.com/documents/?uuid=b75ad960-2c9d-416a-a8ae-3acd17ba22f8"]}],"mendeley":{"formattedCitation":"[15]","manualFormatting":"[16, р. 181]","plainTextFormattedCitation":"[15]","previouslyFormattedCitation":"[15]"},"properties":{"noteIndex":0},"schema":"https://github.com/citation-style-language/schema/raw/master/csl-citation.json"}</w:instrText>
      </w:r>
      <w:r w:rsidR="00EA0E64">
        <w:rPr>
          <w:rFonts w:ascii="Times New Roman" w:hAnsi="Times New Roman" w:cs="Times New Roman"/>
          <w:sz w:val="28"/>
          <w:szCs w:val="28"/>
        </w:rPr>
        <w:fldChar w:fldCharType="separate"/>
      </w:r>
      <w:r w:rsidR="00F273C8" w:rsidRPr="00F273C8">
        <w:rPr>
          <w:rFonts w:ascii="Times New Roman" w:hAnsi="Times New Roman" w:cs="Times New Roman"/>
          <w:noProof/>
          <w:sz w:val="28"/>
          <w:szCs w:val="28"/>
        </w:rPr>
        <w:t>[16</w:t>
      </w:r>
      <w:r w:rsidR="00781E19">
        <w:rPr>
          <w:rFonts w:ascii="Times New Roman" w:hAnsi="Times New Roman" w:cs="Times New Roman"/>
          <w:noProof/>
          <w:sz w:val="28"/>
          <w:szCs w:val="28"/>
        </w:rPr>
        <w:t>, р. 181</w:t>
      </w:r>
      <w:r w:rsidR="00F273C8" w:rsidRPr="00F273C8">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905F06" w:rsidRDefault="00457392" w:rsidP="00905F0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Общий холестерин (</w:t>
      </w:r>
      <w:r w:rsidR="00905F06">
        <w:rPr>
          <w:rFonts w:ascii="Times New Roman" w:hAnsi="Times New Roman" w:cs="Times New Roman"/>
          <w:sz w:val="28"/>
          <w:szCs w:val="28"/>
        </w:rPr>
        <w:t>ОХС</w:t>
      </w:r>
      <w:r>
        <w:rPr>
          <w:rFonts w:ascii="Times New Roman" w:hAnsi="Times New Roman" w:cs="Times New Roman"/>
          <w:sz w:val="28"/>
          <w:szCs w:val="28"/>
        </w:rPr>
        <w:t>)</w:t>
      </w:r>
      <w:r w:rsidR="00905F06">
        <w:rPr>
          <w:rFonts w:ascii="Times New Roman" w:hAnsi="Times New Roman" w:cs="Times New Roman"/>
          <w:sz w:val="28"/>
          <w:szCs w:val="28"/>
        </w:rPr>
        <w:t xml:space="preserve"> является одн</w:t>
      </w:r>
      <w:r w:rsidR="0036498A">
        <w:rPr>
          <w:rFonts w:ascii="Times New Roman" w:hAnsi="Times New Roman" w:cs="Times New Roman"/>
          <w:sz w:val="28"/>
          <w:szCs w:val="28"/>
        </w:rPr>
        <w:t>им из известных липидов, которы</w:t>
      </w:r>
      <w:r w:rsidR="00A75D36">
        <w:rPr>
          <w:rFonts w:ascii="Times New Roman" w:hAnsi="Times New Roman" w:cs="Times New Roman"/>
          <w:sz w:val="28"/>
          <w:szCs w:val="28"/>
          <w:lang w:val="kk-KZ"/>
        </w:rPr>
        <w:t>е</w:t>
      </w:r>
      <w:r w:rsidR="0036498A">
        <w:rPr>
          <w:rFonts w:ascii="Times New Roman" w:hAnsi="Times New Roman" w:cs="Times New Roman"/>
          <w:sz w:val="28"/>
          <w:szCs w:val="28"/>
        </w:rPr>
        <w:t xml:space="preserve"> связан</w:t>
      </w:r>
      <w:r w:rsidR="00A75D36">
        <w:rPr>
          <w:rFonts w:ascii="Times New Roman" w:hAnsi="Times New Roman" w:cs="Times New Roman"/>
          <w:sz w:val="28"/>
          <w:szCs w:val="28"/>
          <w:lang w:val="kk-KZ"/>
        </w:rPr>
        <w:t>ы</w:t>
      </w:r>
      <w:r w:rsidR="00905F06">
        <w:rPr>
          <w:rFonts w:ascii="Times New Roman" w:hAnsi="Times New Roman" w:cs="Times New Roman"/>
          <w:sz w:val="28"/>
          <w:szCs w:val="28"/>
        </w:rPr>
        <w:t xml:space="preserve"> с риском </w:t>
      </w:r>
      <w:r w:rsidR="000E60AA">
        <w:rPr>
          <w:rFonts w:ascii="Times New Roman" w:hAnsi="Times New Roman" w:cs="Times New Roman"/>
          <w:sz w:val="28"/>
          <w:szCs w:val="28"/>
        </w:rPr>
        <w:t xml:space="preserve">развития </w:t>
      </w:r>
      <w:r w:rsidR="00905F06">
        <w:rPr>
          <w:rFonts w:ascii="Times New Roman" w:hAnsi="Times New Roman" w:cs="Times New Roman"/>
          <w:sz w:val="28"/>
          <w:szCs w:val="28"/>
        </w:rPr>
        <w:t xml:space="preserve">атеросклероза и ССЗ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mendeley":{"formattedCitation":"[18]","plainTextFormattedCitation":"[18]","previouslyFormattedCitation":"[18]"},"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[18]</w:t>
      </w:r>
      <w:r w:rsidR="00EA0E64">
        <w:rPr>
          <w:rFonts w:ascii="Times New Roman" w:hAnsi="Times New Roman" w:cs="Times New Roman"/>
          <w:sz w:val="28"/>
          <w:szCs w:val="28"/>
        </w:rPr>
        <w:fldChar w:fldCharType="end"/>
      </w:r>
      <w:r w:rsidR="00905F06">
        <w:rPr>
          <w:rFonts w:ascii="Times New Roman" w:hAnsi="Times New Roman" w:cs="Times New Roman"/>
          <w:sz w:val="28"/>
          <w:szCs w:val="28"/>
        </w:rPr>
        <w:t xml:space="preserve">. </w:t>
      </w:r>
      <w:r w:rsidR="000E60AA">
        <w:rPr>
          <w:rFonts w:ascii="Times New Roman" w:hAnsi="Times New Roman" w:cs="Times New Roman"/>
          <w:sz w:val="28"/>
          <w:szCs w:val="28"/>
        </w:rPr>
        <w:t>Х</w:t>
      </w:r>
      <w:r w:rsidR="003A1146">
        <w:rPr>
          <w:rFonts w:ascii="Times New Roman" w:hAnsi="Times New Roman" w:cs="Times New Roman"/>
          <w:sz w:val="28"/>
          <w:szCs w:val="28"/>
        </w:rPr>
        <w:t>олестерин</w:t>
      </w:r>
      <w:r w:rsidR="000E60AA">
        <w:rPr>
          <w:rFonts w:ascii="Times New Roman" w:hAnsi="Times New Roman" w:cs="Times New Roman"/>
          <w:sz w:val="28"/>
          <w:szCs w:val="28"/>
        </w:rPr>
        <w:t xml:space="preserve"> </w:t>
      </w:r>
      <w:r w:rsidR="003A1146">
        <w:rPr>
          <w:rFonts w:ascii="Times New Roman" w:hAnsi="Times New Roman" w:cs="Times New Roman"/>
          <w:sz w:val="28"/>
          <w:szCs w:val="28"/>
        </w:rPr>
        <w:t>(</w:t>
      </w:r>
      <w:r w:rsidR="00905F06">
        <w:rPr>
          <w:rFonts w:ascii="Times New Roman" w:hAnsi="Times New Roman" w:cs="Times New Roman"/>
          <w:sz w:val="28"/>
          <w:szCs w:val="28"/>
        </w:rPr>
        <w:t>ХС</w:t>
      </w:r>
      <w:r w:rsidR="003A1146">
        <w:rPr>
          <w:rFonts w:ascii="Times New Roman" w:hAnsi="Times New Roman" w:cs="Times New Roman"/>
          <w:sz w:val="28"/>
          <w:szCs w:val="28"/>
        </w:rPr>
        <w:t>)</w:t>
      </w:r>
      <w:r w:rsidR="00905F06">
        <w:rPr>
          <w:rFonts w:ascii="Times New Roman" w:hAnsi="Times New Roman" w:cs="Times New Roman"/>
          <w:sz w:val="28"/>
          <w:szCs w:val="28"/>
        </w:rPr>
        <w:t xml:space="preserve"> поступает </w:t>
      </w:r>
      <w:r w:rsidR="000E60AA">
        <w:rPr>
          <w:rFonts w:ascii="Times New Roman" w:hAnsi="Times New Roman" w:cs="Times New Roman"/>
          <w:sz w:val="28"/>
          <w:szCs w:val="28"/>
        </w:rPr>
        <w:t xml:space="preserve">экзогенно </w:t>
      </w:r>
      <w:r w:rsidR="00905F06">
        <w:rPr>
          <w:rFonts w:ascii="Times New Roman" w:hAnsi="Times New Roman" w:cs="Times New Roman"/>
          <w:sz w:val="28"/>
          <w:szCs w:val="28"/>
        </w:rPr>
        <w:t xml:space="preserve">с пищей и </w:t>
      </w:r>
      <w:r w:rsidR="000E60AA">
        <w:rPr>
          <w:rFonts w:ascii="Times New Roman" w:hAnsi="Times New Roman" w:cs="Times New Roman"/>
          <w:sz w:val="28"/>
          <w:szCs w:val="28"/>
        </w:rPr>
        <w:t xml:space="preserve">часть </w:t>
      </w:r>
      <w:r w:rsidR="00905F06">
        <w:rPr>
          <w:rFonts w:ascii="Times New Roman" w:hAnsi="Times New Roman" w:cs="Times New Roman"/>
          <w:sz w:val="28"/>
          <w:szCs w:val="28"/>
        </w:rPr>
        <w:t>его синтез</w:t>
      </w:r>
      <w:r w:rsidR="000E60AA">
        <w:rPr>
          <w:rFonts w:ascii="Times New Roman" w:hAnsi="Times New Roman" w:cs="Times New Roman"/>
          <w:sz w:val="28"/>
          <w:szCs w:val="28"/>
        </w:rPr>
        <w:t>ируется</w:t>
      </w:r>
      <w:r w:rsidR="00905F06">
        <w:rPr>
          <w:rFonts w:ascii="Times New Roman" w:hAnsi="Times New Roman" w:cs="Times New Roman"/>
          <w:sz w:val="28"/>
          <w:szCs w:val="28"/>
        </w:rPr>
        <w:t xml:space="preserve"> в печени и кишечнике. Транспортировка ХС в основном осуществляется ЛПНП и в малом количестве ЛПВП, ЛПОНП, хиломикронах. </w:t>
      </w:r>
    </w:p>
    <w:p w:rsidR="00905F06" w:rsidRDefault="00905F06" w:rsidP="0025184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резкой задержке выведения гидролизированных частиц ЛПОНП и хиломикронов печень усиливает обмен липидов, что в свою очередь приводит к увеличению концентрации остаточных частиц, которые богаты ХС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{"citationItems":[{"id":"ITEM-1","itemData":{"DOI":"10.1097/MOL.0000000000000192","ISSN":"1473-6535","PMID":"26103610","abstract":"PURPOSE OF REVIEW Lipoprotein metabolism and the role of apolipoprotein E in the pathogenesis of dysbetalipoproteinemia. RECENT FINDINGS Remnant lipoproteins, modulated by lifestyle and genetic factors, are atherogenic. Dysbetalipoproteinemia could be viewed as a monogenic disorder of remnant metabolism. SUMMARY Elevated plasma triglyceride and cholesterol concentrations (mixed hyperlipidemias) are commonly encountered and dysbetaliproteinemia should be considered in this setting. Dysbetalipoproteinemia (remnant clearance disease, Fredrickson type III hyperlipidemia) is an uncommon dyslipoproteinemia related to mutations in apolipoprotein E that disrupt the clearance of remnants of triglyceride-rich lipoproteins; it may be overlooked because xanthomata of the skin and/or tendons occur in a minority of patients. The diagnosis ideally requires the demonstration of remnant lipoprotein accumulation and a genetic cause. Genotyping for apolipoprotein E2 may not prove the diagnosis as it may be associated with low plasma lipid values. The recent association of remnant lipoproteins with atherosclerosis along with many factors that modulate remnant lipoprotein metabolism underscores the importance of recognising dysbetalipoproteinemia as an extreme state of remnant lipoprotein accumulation. Although there may be some differences between remnants in the general population and dysbetalipoproteinemia, it is clear that remnants promote atherosclerosis. Current treatment strategies are adequate but new strategies could also be of benefit in dysbetalipoproteinemia.","author":[{"dropping-particle":"","family":"Marais","given":"David","non-dropping-particle":"","parse-names":false,"suffix":""}],"container-title":"Current opinion in lipidology","id":"ITEM-1","issue":"4","issued":{"date-parts":[["2015","8"]]},"page":"292-7","title":"Dysbetalipoproteinemia: an extreme disorder of remnant metabolism.","type":"article-journal","volume":"26"},"uris":["http://www.mendeley.com/documents/?uuid=6ccab7d0-5c11-4cdd-b686-63c3914337f5"]}],"mendeley":{"formattedCitation":"[19]","plainTextFormattedCitation":"[19]","previouslyFormattedCitation":"[19]"},"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[19]</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Эти расстройства создают высокий риск ССЗ, который можно диагностировать с помощью концентрации ОХС, </w:t>
      </w:r>
      <w:r>
        <w:rPr>
          <w:rFonts w:ascii="Times New Roman" w:hAnsi="Times New Roman" w:cs="Times New Roman"/>
          <w:sz w:val="28"/>
          <w:szCs w:val="28"/>
          <w:lang w:val="kk-KZ"/>
        </w:rPr>
        <w:t>ТГ</w:t>
      </w:r>
      <w:r>
        <w:rPr>
          <w:rFonts w:ascii="Times New Roman" w:hAnsi="Times New Roman" w:cs="Times New Roman"/>
          <w:sz w:val="28"/>
          <w:szCs w:val="28"/>
        </w:rPr>
        <w:t xml:space="preserve"> и апоВ.</w:t>
      </w:r>
      <w:r w:rsidR="008224E9">
        <w:rPr>
          <w:rFonts w:ascii="Times New Roman" w:hAnsi="Times New Roman" w:cs="Times New Roman"/>
          <w:sz w:val="28"/>
          <w:szCs w:val="28"/>
        </w:rPr>
        <w:t xml:space="preserve"> </w:t>
      </w:r>
      <w:r>
        <w:rPr>
          <w:rFonts w:ascii="Times New Roman" w:hAnsi="Times New Roman" w:cs="Times New Roman"/>
          <w:sz w:val="28"/>
          <w:szCs w:val="28"/>
        </w:rPr>
        <w:t xml:space="preserve">На уровень ОХС влияют возраст, пол, пищевые привычки, генетические факторы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10.11909/j.issn.1671-5411.2018.01.011","ISSN":"1671-5411","author":[{"dropping-particle":"","family":"Zhu","given":"Jun-Ren","non-dropping-particle":"","parse-names":false,"suffix":""},{"dropping-particle":"","family":"Gao","given":"Run-Lin","non-dropping-particle":"","parse-names":false,"suffix":""},{"dropping-particle":"","family":"Zhao","given":"Shui-Ping","non-dropping-particle":"","parse-names":false,"suffix":""},{"dropping-particle":"","family":"Lu","given":"Guo-Ping","non-dropping-particle":"","parse-names":false,"suffix":""},{"dropping-particle":"","family":"Zhao","given":"Dong","non-dropping-particle":"","parse-names":false,"suffix":""},{"dropping-particle":"","family":"Li","given":"Jian-Jun","non-dropping-particle":"","parse-names":false,"suffix":""}],"container-title":"Journal of geriatric cardiology","id":"ITEM-1","issue":"1","issued":{"date-parts":[["2018"]]},"page":"1-29","title":"2016 Chinese guidelines for the management of dyslipidemia in adults.","type":"article-journal","volume":"15"},"uris":["http://www.mendeley.com/documents/?uuid=e958d0e8-ef8e-4422-8a1c-ccb76ea9659e"]}],"mendeley":{"formattedCitation":"[20]","plainTextFormattedCitation":"[20]","previouslyFormattedCitation":"[20]"},"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[20]</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с возрастом уровень ОХС увеличивается, у женщин в молодом и среднем возрасте, наоборот, снижается. В клинической практике уровень ОХС часто используется для оценки </w:t>
      </w:r>
      <w:r w:rsidR="00E93A53">
        <w:rPr>
          <w:rFonts w:ascii="Times New Roman" w:hAnsi="Times New Roman" w:cs="Times New Roman"/>
          <w:sz w:val="28"/>
          <w:szCs w:val="28"/>
        </w:rPr>
        <w:t>сердечно-сосудистого риска (</w:t>
      </w:r>
      <w:r>
        <w:rPr>
          <w:rFonts w:ascii="Times New Roman" w:hAnsi="Times New Roman" w:cs="Times New Roman"/>
          <w:sz w:val="28"/>
          <w:szCs w:val="28"/>
        </w:rPr>
        <w:t>ССР</w:t>
      </w:r>
      <w:r w:rsidR="00E93A53">
        <w:rPr>
          <w:rFonts w:ascii="Times New Roman" w:hAnsi="Times New Roman" w:cs="Times New Roman"/>
          <w:sz w:val="28"/>
          <w:szCs w:val="28"/>
        </w:rPr>
        <w:t>)</w:t>
      </w:r>
      <w:r>
        <w:rPr>
          <w:rFonts w:ascii="Times New Roman" w:hAnsi="Times New Roman" w:cs="Times New Roman"/>
          <w:sz w:val="28"/>
          <w:szCs w:val="28"/>
        </w:rPr>
        <w:t xml:space="preserve"> (например, </w:t>
      </w:r>
      <w:r w:rsidR="0054412C">
        <w:rPr>
          <w:rFonts w:ascii="Times New Roman" w:hAnsi="Times New Roman" w:cs="Times New Roman"/>
          <w:sz w:val="28"/>
          <w:szCs w:val="28"/>
        </w:rPr>
        <w:t>Systematic Coronary Risk Estimation (</w:t>
      </w:r>
      <w:r>
        <w:rPr>
          <w:rFonts w:ascii="Times New Roman" w:hAnsi="Times New Roman" w:cs="Times New Roman"/>
          <w:sz w:val="28"/>
          <w:szCs w:val="28"/>
        </w:rPr>
        <w:t>SCORE</w:t>
      </w:r>
      <w:r w:rsidR="0054412C">
        <w:rPr>
          <w:rFonts w:ascii="Times New Roman" w:hAnsi="Times New Roman" w:cs="Times New Roman"/>
          <w:sz w:val="28"/>
          <w:szCs w:val="28"/>
        </w:rPr>
        <w:t>)</w:t>
      </w:r>
      <w:r>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C55712">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id":"ITEM-2","itemData":{"DOI":"10.11909/j.issn.1671-5411.2018.01.011","ISSN":"1671-5411","author":[{"dropping-particle":"","family":"Zhu","given":"Jun-Ren","non-dropping-particle":"","parse-names":false,"suffix":""},{"dropping-particle":"","family":"Gao","given":"Run-Lin","non-dropping-particle":"","parse-names":false,"suffix":""},{"dropping-particle":"","family":"Zhao","given":"Shui-Ping","non-dropping-particle":"","parse-names":false,"suffix":""},{"dropping-particle":"","family":"Lu","given":"Guo-Ping","non-dropping-particle":"","parse-names":false,"suffix":""},{"dropping-particle":"","family":"Zhao","given":"Dong","non-dropping-particle":"","parse-names":false,"suffix":""},{"dropping-particle":"","family":"Li","given":"Jian-Jun","non-dropping-particle":"","parse-names":false,"suffix":""}],"container-title":"Journal of geriatric cardiology","id":"ITEM-2","issue":"1","issued":{"date-parts":[["2018"]]},"page":"1-29","title":"2016 Chinese guidelines for the management of dyslipidemia in adults.","type":"article-journal","volume":"15"},"uris":["http://www.mendeley.com/documents/?uuid=e958d0e8-ef8e-4422-8a1c-ccb76ea9659e"]}],"mendeley":{"formattedCitation":"[18,20]","manualFormatting":"[18, р. 242, 20, р. 5]","plainTextFormattedCitation":"[18,20]","previouslyFormattedCitation":"[18,20]"},"properties":{"noteIndex":0},"schema":"https://github.com/citation-style-language/schema/raw/master/csl-citation.json"}</w:instrText>
      </w:r>
      <w:r w:rsidR="00EA0E64">
        <w:rPr>
          <w:rFonts w:ascii="Times New Roman" w:hAnsi="Times New Roman" w:cs="Times New Roman"/>
          <w:sz w:val="28"/>
          <w:szCs w:val="28"/>
        </w:rPr>
        <w:fldChar w:fldCharType="separate"/>
      </w:r>
      <w:r w:rsidR="00C55712" w:rsidRPr="00C55712">
        <w:rPr>
          <w:rFonts w:ascii="Times New Roman" w:hAnsi="Times New Roman" w:cs="Times New Roman"/>
          <w:noProof/>
          <w:sz w:val="28"/>
          <w:szCs w:val="28"/>
        </w:rPr>
        <w:t>[18</w:t>
      </w:r>
      <w:r w:rsidR="00C55712">
        <w:rPr>
          <w:rFonts w:ascii="Times New Roman" w:hAnsi="Times New Roman" w:cs="Times New Roman"/>
          <w:noProof/>
          <w:sz w:val="28"/>
          <w:szCs w:val="28"/>
        </w:rPr>
        <w:t>, р. 242</w:t>
      </w:r>
      <w:r w:rsidR="00C55712" w:rsidRPr="00C55712">
        <w:rPr>
          <w:rFonts w:ascii="Times New Roman" w:hAnsi="Times New Roman" w:cs="Times New Roman"/>
          <w:noProof/>
          <w:sz w:val="28"/>
          <w:szCs w:val="28"/>
        </w:rPr>
        <w:t>,</w:t>
      </w:r>
      <w:r w:rsidR="00C55712">
        <w:rPr>
          <w:rFonts w:ascii="Times New Roman" w:hAnsi="Times New Roman" w:cs="Times New Roman"/>
          <w:noProof/>
          <w:sz w:val="28"/>
          <w:szCs w:val="28"/>
        </w:rPr>
        <w:t xml:space="preserve"> </w:t>
      </w:r>
      <w:r w:rsidR="00C55712" w:rsidRPr="00C55712">
        <w:rPr>
          <w:rFonts w:ascii="Times New Roman" w:hAnsi="Times New Roman" w:cs="Times New Roman"/>
          <w:noProof/>
          <w:sz w:val="28"/>
          <w:szCs w:val="28"/>
        </w:rPr>
        <w:t>20</w:t>
      </w:r>
      <w:r w:rsidR="00C55712">
        <w:rPr>
          <w:rFonts w:ascii="Times New Roman" w:hAnsi="Times New Roman" w:cs="Times New Roman"/>
          <w:noProof/>
          <w:sz w:val="28"/>
          <w:szCs w:val="28"/>
        </w:rPr>
        <w:t>, р. 5</w:t>
      </w:r>
      <w:r w:rsidR="00C55712" w:rsidRPr="00C55712">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905F06" w:rsidRDefault="00905F06" w:rsidP="00905F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Диагностика </w:t>
      </w:r>
      <w:r w:rsidR="00A8438A">
        <w:rPr>
          <w:rFonts w:ascii="Times New Roman" w:hAnsi="Times New Roman" w:cs="Times New Roman"/>
          <w:sz w:val="28"/>
          <w:szCs w:val="28"/>
        </w:rPr>
        <w:t xml:space="preserve">показателей </w:t>
      </w:r>
      <w:r>
        <w:rPr>
          <w:rFonts w:ascii="Times New Roman" w:hAnsi="Times New Roman" w:cs="Times New Roman"/>
          <w:sz w:val="28"/>
          <w:szCs w:val="28"/>
        </w:rPr>
        <w:t>липидного обмена является частью оценки и контроля риска развития атеросклероза и ССЗ, здесь особенное значение имеет уровень ТГ, который составляет основной компонент жировых клеток</w:t>
      </w:r>
      <w:r w:rsidR="00E6595E">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C55712">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disorders.","type":"article-journal","volume":"16"},"uris":["http://www.mendeley.com/documents/?uuid=c34613a0-bf02-4657-92df-ceedf4f3100e"]}],"mendeley":{"formattedCitation":"[18]","manualFormatting":"[18, р. 242]","plainTextFormattedCitation":"[18]","previouslyFormattedCitation":"[18]"},"properties":{"noteIndex":0},"schema":"https://github.com/citation-style-language/schema/raw/master/csl-citation.json"}</w:instrText>
      </w:r>
      <w:r w:rsidR="00EA0E64">
        <w:rPr>
          <w:rFonts w:ascii="Times New Roman" w:hAnsi="Times New Roman" w:cs="Times New Roman"/>
          <w:sz w:val="28"/>
          <w:szCs w:val="28"/>
        </w:rPr>
        <w:fldChar w:fldCharType="separate"/>
      </w:r>
      <w:r w:rsidR="00C55712" w:rsidRPr="00C55712">
        <w:rPr>
          <w:rFonts w:ascii="Times New Roman" w:hAnsi="Times New Roman" w:cs="Times New Roman"/>
          <w:noProof/>
          <w:sz w:val="28"/>
          <w:szCs w:val="28"/>
        </w:rPr>
        <w:t>[18</w:t>
      </w:r>
      <w:r w:rsidR="00C55712">
        <w:rPr>
          <w:rFonts w:ascii="Times New Roman" w:hAnsi="Times New Roman" w:cs="Times New Roman"/>
          <w:noProof/>
          <w:sz w:val="28"/>
          <w:szCs w:val="28"/>
        </w:rPr>
        <w:t>, р. 242</w:t>
      </w:r>
      <w:r w:rsidR="00C55712" w:rsidRPr="00C55712">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ТГ в основном находится в составе хиломикронов, ЛПОНП и промежуточной фракции липопротеинов </w:t>
      </w:r>
      <w:r w:rsidR="00EA0E64">
        <w:rPr>
          <w:rFonts w:ascii="Times New Roman" w:hAnsi="Times New Roman" w:cs="Times New Roman"/>
          <w:sz w:val="28"/>
          <w:szCs w:val="28"/>
        </w:rPr>
        <w:fldChar w:fldCharType="begin" w:fldLock="1"/>
      </w:r>
      <w:r w:rsidR="00C55712">
        <w:rPr>
          <w:rFonts w:ascii="Times New Roman" w:hAnsi="Times New Roman" w:cs="Times New Roman"/>
          <w:sz w:val="28"/>
          <w:szCs w:val="28"/>
        </w:rPr>
        <w:instrText>ADDIN CSL_CITATION {"citationItems":[{"id":"ITEM-1","itemData":{"DOI":"10.11909/j.issn.1671-5411.2018.01.011","ISSN":"1671-5411","author":[{"dropping-particle":"","family":"Zhu","given":"Jun-Ren","non-dropping-particle":"","parse-names":false,"suffix":""},{"dropping-particle":"","family":"Gao","given":"Run-Lin","non-dropping-particle":"","parse-names":false,"suffix":""},{"dropping-particle":"","family":"Zhao","given":"Shui-Ping","non-dropping-particle":"","parse-names":false,"suffix":""},{"dropping-particle":"","family":"Lu","given":"Guo-Ping","non-dropping-particle":"","parse-names":false,"suffix":""},{"dropping-particle":"","family":"Zhao","given":"Dong","non-dropping-particle":"","parse-names":false,"suffix":""},{"dropping-particle":"","family":"Li","given":"Jian-Jun","non-dropping-particle":"","parse-names":false,"suffix":""}],"container-title":"Journal of geriatric cardiology","id":"ITEM-1","issue":"1","issued":{"date-parts":[["2018"]]},"page":"1-29","title":"2016 Chinese guidelines for the management of dyslipidemia in adults.","type":"article-journal","volume":"15"},"uris":["http://www.mendeley.com/documents/?uuid=e958d0e8-ef8e-4422-8a1c-ccb76ea9659e"]}],"mendeley":{"formattedCitation":"[20]","manualFormatting":"[20, р. 5]","plainTextFormattedCitation":"[20]","previouslyFormattedCitation":"[20]"},"properties":{"noteIndex":0},"schema":"https://github.com/citation-style-language/schema/raw/master/csl-citation.json"}</w:instrText>
      </w:r>
      <w:r w:rsidR="00EA0E64">
        <w:rPr>
          <w:rFonts w:ascii="Times New Roman" w:hAnsi="Times New Roman" w:cs="Times New Roman"/>
          <w:sz w:val="28"/>
          <w:szCs w:val="28"/>
        </w:rPr>
        <w:fldChar w:fldCharType="separate"/>
      </w:r>
      <w:r w:rsidR="00C55712" w:rsidRPr="00C55712">
        <w:rPr>
          <w:rFonts w:ascii="Times New Roman" w:hAnsi="Times New Roman" w:cs="Times New Roman"/>
          <w:noProof/>
          <w:sz w:val="28"/>
          <w:szCs w:val="28"/>
        </w:rPr>
        <w:t>[20</w:t>
      </w:r>
      <w:r w:rsidR="00C55712">
        <w:rPr>
          <w:rFonts w:ascii="Times New Roman" w:hAnsi="Times New Roman" w:cs="Times New Roman"/>
          <w:noProof/>
          <w:sz w:val="28"/>
          <w:szCs w:val="28"/>
        </w:rPr>
        <w:t>, р. 5</w:t>
      </w:r>
      <w:r w:rsidR="00C55712" w:rsidRPr="00C55712">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Липопротеины образуются из ядер, которые состоят из ТГ и эфиров ХС, и снаружи окружены фосфолипидами, свободным ХС </w:t>
      </w:r>
      <w:r w:rsidR="00EA0E64">
        <w:rPr>
          <w:rFonts w:ascii="Times New Roman" w:hAnsi="Times New Roman" w:cs="Times New Roman"/>
          <w:sz w:val="28"/>
          <w:szCs w:val="28"/>
        </w:rPr>
        <w:fldChar w:fldCharType="begin" w:fldLock="1"/>
      </w:r>
      <w:r w:rsidR="00C55712">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disorders.","type":"article-journal","volume":"16"},"uris":["http://www.mendeley.com/documents/?uuid=c34613a0-bf02-4657-92df-ceedf4f3100e"]}],"mendeley":{"formattedCitation":"[18]","manualFormatting":"[18, р. 242]","plainTextFormattedCitation":"[18]","previouslyFormattedCitation":"[18]"},"properties":{"noteIndex":0},"schema":"https://github.com/citation-style-language/schema/raw/master/csl-citation.json"}</w:instrText>
      </w:r>
      <w:r w:rsidR="00EA0E64">
        <w:rPr>
          <w:rFonts w:ascii="Times New Roman" w:hAnsi="Times New Roman" w:cs="Times New Roman"/>
          <w:sz w:val="28"/>
          <w:szCs w:val="28"/>
        </w:rPr>
        <w:fldChar w:fldCharType="separate"/>
      </w:r>
      <w:r w:rsidR="00C55712" w:rsidRPr="00C55712">
        <w:rPr>
          <w:rFonts w:ascii="Times New Roman" w:hAnsi="Times New Roman" w:cs="Times New Roman"/>
          <w:noProof/>
          <w:sz w:val="28"/>
          <w:szCs w:val="28"/>
        </w:rPr>
        <w:t>[18</w:t>
      </w:r>
      <w:r w:rsidR="00C55712">
        <w:rPr>
          <w:rFonts w:ascii="Times New Roman" w:hAnsi="Times New Roman" w:cs="Times New Roman"/>
          <w:noProof/>
          <w:sz w:val="28"/>
          <w:szCs w:val="28"/>
        </w:rPr>
        <w:t>, р. 242</w:t>
      </w:r>
      <w:r w:rsidR="00C55712" w:rsidRPr="00C55712">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Липидная часть связана с аполипопротеинами</w:t>
      </w:r>
      <w:r w:rsidR="008224E9">
        <w:rPr>
          <w:rFonts w:ascii="Times New Roman" w:hAnsi="Times New Roman" w:cs="Times New Roman"/>
          <w:sz w:val="28"/>
          <w:szCs w:val="28"/>
        </w:rPr>
        <w:t xml:space="preserve"> (апоЛП)</w:t>
      </w:r>
      <w:r>
        <w:rPr>
          <w:rFonts w:ascii="Times New Roman" w:hAnsi="Times New Roman" w:cs="Times New Roman"/>
          <w:sz w:val="28"/>
          <w:szCs w:val="28"/>
        </w:rPr>
        <w:t xml:space="preserve"> – это специальные белки, которые определяют физические и биологические свойства липопротеинов. Растворимость липидов в плазме осуществляется благодаря </w:t>
      </w:r>
      <w:r w:rsidR="00851EF8">
        <w:rPr>
          <w:rFonts w:ascii="Times New Roman" w:hAnsi="Times New Roman" w:cs="Times New Roman"/>
          <w:sz w:val="28"/>
          <w:szCs w:val="28"/>
        </w:rPr>
        <w:t>апоЛП</w:t>
      </w:r>
      <w:r>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C55712">
        <w:rPr>
          <w:rFonts w:ascii="Times New Roman" w:hAnsi="Times New Roman" w:cs="Times New Roman"/>
          <w:sz w:val="28"/>
          <w:szCs w:val="28"/>
        </w:rPr>
        <w:instrText>ADDIN CSL_CITATION {"citationItems":[{"id":"ITEM-1","itemData":{"DOI":"10.11909/j.issn.1671-5411.2018.01.011","ISSN":"1671-5411","author":[{"dropping-particle":"","family":"Zhu","given":"Jun-Ren","non-dropping-particle":"","parse-names":false,"suffix":""},{"dropping-particle":"","family":"Gao","given":"Run-Lin","non-dropping-particle":"","parse-names":false,"suffix":""},{"dropping-particle":"","family":"Zhao","given":"Shui-Ping","non-dropping-particle":"","parse-names":false,"suffix":""},{"dropping-particle":"","family":"Lu","given":"Guo-Ping","non-dropping-particle":"","parse-names":false,"suffix":""},{"dropping-particle":"","family":"Zhao","given":"Dong","non-dropping-particle":"","parse-names":false,"suffix":""},{"dropping-particle":"","family":"Li","given":"Jian-Jun","non-dropping-particle":"","parse-names":false,"suffix":""}],"container-title":"Journal of geriatric cardiology","id":"ITEM-1","issue":"1","issued":{"date-parts":[["2018"]]},"page":"1-29","title":"2016 Chinese guidelines for the management of dyslipidemia in adults.","type":"article-journal","volume":"15"},"uris":["http://www.mendeley.com/documents/?uuid=e958d0e8-ef8e-4422-8a1c-ccb76ea9659e"]}],"mendeley":{"formattedCitation":"[20]","manualFormatting":"[20, р. 5]","plainTextFormattedCitation":"[20]","previouslyFormattedCitation":"[20]"},"properties":{"noteIndex":0},"schema":"https://github.com/citation-style-language/schema/raw/master/csl-citation.json"}</w:instrText>
      </w:r>
      <w:r w:rsidR="00EA0E64">
        <w:rPr>
          <w:rFonts w:ascii="Times New Roman" w:hAnsi="Times New Roman" w:cs="Times New Roman"/>
          <w:sz w:val="28"/>
          <w:szCs w:val="28"/>
        </w:rPr>
        <w:fldChar w:fldCharType="separate"/>
      </w:r>
      <w:r w:rsidR="00C55712" w:rsidRPr="00C55712">
        <w:rPr>
          <w:rFonts w:ascii="Times New Roman" w:hAnsi="Times New Roman" w:cs="Times New Roman"/>
          <w:noProof/>
          <w:sz w:val="28"/>
          <w:szCs w:val="28"/>
        </w:rPr>
        <w:t>[20</w:t>
      </w:r>
      <w:r w:rsidR="00C55712">
        <w:rPr>
          <w:rFonts w:ascii="Times New Roman" w:hAnsi="Times New Roman" w:cs="Times New Roman"/>
          <w:noProof/>
          <w:sz w:val="28"/>
          <w:szCs w:val="28"/>
        </w:rPr>
        <w:t>, р. 5</w:t>
      </w:r>
      <w:r w:rsidR="00C55712" w:rsidRPr="00C55712">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Транспорт липидов с участием липопротеинов состоит из транспортировки ТГ из кишечника, печени в жировую ткань и мышцы и транспортировка ХС в периферические для синтеза мембраны клетки биосинтеза стероидных гормонов и в печень для синтеза </w:t>
      </w:r>
      <w:r w:rsidR="00EA0E64">
        <w:rPr>
          <w:rFonts w:ascii="Times New Roman" w:hAnsi="Times New Roman" w:cs="Times New Roman"/>
          <w:sz w:val="28"/>
          <w:szCs w:val="28"/>
        </w:rPr>
        <w:fldChar w:fldCharType="begin" w:fldLock="1"/>
      </w:r>
      <w:r w:rsidR="00C55712">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disorders.","type":"article-journal","volume":"16"},"uris":["http://www.mendeley.com/documents/?uuid=c34613a0-bf02-4657-92df-ceedf4f3100e"]}],"mendeley":{"formattedCitation":"[18]","manualFormatting":"[18, р. 241]","plainTextFormattedCitation":"[18]","previouslyFormattedCitation":"[18]"},"properties":{"noteIndex":0},"schema":"https://github.com/citation-style-language/schema/raw/master/csl-citation.json"}</w:instrText>
      </w:r>
      <w:r w:rsidR="00EA0E64">
        <w:rPr>
          <w:rFonts w:ascii="Times New Roman" w:hAnsi="Times New Roman" w:cs="Times New Roman"/>
          <w:sz w:val="28"/>
          <w:szCs w:val="28"/>
        </w:rPr>
        <w:fldChar w:fldCharType="separate"/>
      </w:r>
      <w:r w:rsidR="00C55712" w:rsidRPr="00C55712">
        <w:rPr>
          <w:rFonts w:ascii="Times New Roman" w:hAnsi="Times New Roman" w:cs="Times New Roman"/>
          <w:noProof/>
          <w:sz w:val="28"/>
          <w:szCs w:val="28"/>
        </w:rPr>
        <w:t>[18</w:t>
      </w:r>
      <w:r w:rsidR="00C55712">
        <w:rPr>
          <w:rFonts w:ascii="Times New Roman" w:hAnsi="Times New Roman" w:cs="Times New Roman"/>
          <w:noProof/>
          <w:sz w:val="28"/>
          <w:szCs w:val="28"/>
        </w:rPr>
        <w:t>, р. 241</w:t>
      </w:r>
      <w:r w:rsidR="00C55712" w:rsidRPr="00C55712">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ТГ, которые поступают с пищей в кишечнике гидролизуются на свободные жирные кислоты, моно</w:t>
      </w:r>
      <w:r w:rsidR="00A75D36">
        <w:rPr>
          <w:rFonts w:ascii="Times New Roman" w:hAnsi="Times New Roman" w:cs="Times New Roman"/>
          <w:sz w:val="28"/>
          <w:szCs w:val="28"/>
          <w:lang w:val="kk-KZ"/>
        </w:rPr>
        <w:t xml:space="preserve"> </w:t>
      </w:r>
      <w:r>
        <w:rPr>
          <w:rFonts w:ascii="Times New Roman" w:hAnsi="Times New Roman" w:cs="Times New Roman"/>
          <w:sz w:val="28"/>
          <w:szCs w:val="28"/>
        </w:rPr>
        <w:t xml:space="preserve">- и диглицериды, далее поглощаются с экзогенным ХС в энтероцитах и транспортируются через лимфатические сосуды в печень </w:t>
      </w:r>
      <w:r w:rsidR="00EA0E64">
        <w:rPr>
          <w:rFonts w:ascii="Times New Roman" w:hAnsi="Times New Roman" w:cs="Times New Roman"/>
          <w:sz w:val="28"/>
          <w:szCs w:val="28"/>
        </w:rPr>
        <w:fldChar w:fldCharType="begin" w:fldLock="1"/>
      </w:r>
      <w:r w:rsidR="00C55712">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disorders.","type":"article-journal","volume":"16"},"uris":["http://www.mendeley.com/documents/?uuid=c34613a0-bf02-4657-92df-ceedf4f3100e"]}],"mendeley":{"formattedCitation":"[18]","manualFormatting":"[18, р. 242]","plainTextFormattedCitation":"[18]","previouslyFormattedCitation":"[18]"},"properties":{"noteIndex":0},"schema":"https://github.com/citation-style-language/schema/raw/master/csl-citation.json"}</w:instrText>
      </w:r>
      <w:r w:rsidR="00EA0E64">
        <w:rPr>
          <w:rFonts w:ascii="Times New Roman" w:hAnsi="Times New Roman" w:cs="Times New Roman"/>
          <w:sz w:val="28"/>
          <w:szCs w:val="28"/>
        </w:rPr>
        <w:fldChar w:fldCharType="separate"/>
      </w:r>
      <w:r w:rsidR="00C55712" w:rsidRPr="00C55712">
        <w:rPr>
          <w:rFonts w:ascii="Times New Roman" w:hAnsi="Times New Roman" w:cs="Times New Roman"/>
          <w:noProof/>
          <w:sz w:val="28"/>
          <w:szCs w:val="28"/>
        </w:rPr>
        <w:t>[18</w:t>
      </w:r>
      <w:r w:rsidR="00C55712">
        <w:rPr>
          <w:rFonts w:ascii="Times New Roman" w:hAnsi="Times New Roman" w:cs="Times New Roman"/>
          <w:noProof/>
          <w:sz w:val="28"/>
          <w:szCs w:val="28"/>
        </w:rPr>
        <w:t>, р. 242</w:t>
      </w:r>
      <w:r w:rsidR="00C55712" w:rsidRPr="00C55712">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Липопротеинлипаза</w:t>
      </w:r>
      <w:r w:rsidR="00EA3D0C">
        <w:rPr>
          <w:rFonts w:ascii="Times New Roman" w:hAnsi="Times New Roman" w:cs="Times New Roman"/>
          <w:sz w:val="28"/>
          <w:szCs w:val="28"/>
        </w:rPr>
        <w:t xml:space="preserve"> (ЛПЛ)</w:t>
      </w:r>
      <w:r>
        <w:rPr>
          <w:rFonts w:ascii="Times New Roman" w:hAnsi="Times New Roman" w:cs="Times New Roman"/>
          <w:sz w:val="28"/>
          <w:szCs w:val="28"/>
        </w:rPr>
        <w:t xml:space="preserve">, которая находится в адиноцитах и мышцах гидролизует ТГ в глицерин и свободные жирные кислоты, далее формируется хиломикроны, которые содержат в себе промежуточную фракцию липопротеинов </w:t>
      </w:r>
      <w:r w:rsidR="00EA0E64">
        <w:rPr>
          <w:rFonts w:ascii="Times New Roman" w:hAnsi="Times New Roman" w:cs="Times New Roman"/>
          <w:sz w:val="28"/>
          <w:szCs w:val="28"/>
        </w:rPr>
        <w:fldChar w:fldCharType="begin" w:fldLock="1"/>
      </w:r>
      <w:r w:rsidR="00C55712">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disorders.","type":"article-journal","volume":"16"},"uris":["http://www.mendeley.com/documents/?uuid=c34613a0-bf02-4657-92df-ceedf4f3100e"]}],"mendeley":{"formattedCitation":"[18]","manualFormatting":"[18, р. 242]","plainTextFormattedCitation":"[18]","previouslyFormattedCitation":"[18]"},"properties":{"noteIndex":0},"schema":"https://github.com/citation-style-language/schema/raw/master/csl-citation.json"}</w:instrText>
      </w:r>
      <w:r w:rsidR="00EA0E64">
        <w:rPr>
          <w:rFonts w:ascii="Times New Roman" w:hAnsi="Times New Roman" w:cs="Times New Roman"/>
          <w:sz w:val="28"/>
          <w:szCs w:val="28"/>
        </w:rPr>
        <w:fldChar w:fldCharType="separate"/>
      </w:r>
      <w:r w:rsidR="00C55712" w:rsidRPr="00C55712">
        <w:rPr>
          <w:rFonts w:ascii="Times New Roman" w:hAnsi="Times New Roman" w:cs="Times New Roman"/>
          <w:noProof/>
          <w:sz w:val="28"/>
          <w:szCs w:val="28"/>
        </w:rPr>
        <w:t>[18</w:t>
      </w:r>
      <w:r w:rsidR="00C55712">
        <w:rPr>
          <w:rFonts w:ascii="Times New Roman" w:hAnsi="Times New Roman" w:cs="Times New Roman"/>
          <w:noProof/>
          <w:sz w:val="28"/>
          <w:szCs w:val="28"/>
        </w:rPr>
        <w:t>, р. 242</w:t>
      </w:r>
      <w:r w:rsidR="00C55712" w:rsidRPr="00C55712">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Эндогенные ТГ, которые синтезируются в печени, потом входят в состав ЛПОНП вместе с ХС и апо</w:t>
      </w:r>
      <w:r w:rsidR="00F432CD">
        <w:rPr>
          <w:rFonts w:ascii="Times New Roman" w:hAnsi="Times New Roman" w:cs="Times New Roman"/>
          <w:sz w:val="28"/>
          <w:szCs w:val="28"/>
        </w:rPr>
        <w:t>ЛП</w:t>
      </w:r>
      <w:r>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C55712">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disorders.","type":"article-journal","volume":"16"},"uris":["http://www.mendeley.com/documents/?uuid=c34613a0-bf02-4657-92df-ceedf4f3100e"]}],"mendeley":{"formattedCitation":"[18]","manualFormatting":"[18, р. 242]","plainTextFormattedCitation":"[18]","previouslyFormattedCitation":"[18]"},"properties":{"noteIndex":0},"schema":"https://github.com/citation-style-language/schema/raw/master/csl-citation.json"}</w:instrText>
      </w:r>
      <w:r w:rsidR="00EA0E64">
        <w:rPr>
          <w:rFonts w:ascii="Times New Roman" w:hAnsi="Times New Roman" w:cs="Times New Roman"/>
          <w:sz w:val="28"/>
          <w:szCs w:val="28"/>
        </w:rPr>
        <w:fldChar w:fldCharType="separate"/>
      </w:r>
      <w:r w:rsidR="00C55712" w:rsidRPr="00C55712">
        <w:rPr>
          <w:rFonts w:ascii="Times New Roman" w:hAnsi="Times New Roman" w:cs="Times New Roman"/>
          <w:noProof/>
          <w:sz w:val="28"/>
          <w:szCs w:val="28"/>
        </w:rPr>
        <w:t>[18</w:t>
      </w:r>
      <w:r w:rsidR="00C55712">
        <w:rPr>
          <w:rFonts w:ascii="Times New Roman" w:hAnsi="Times New Roman" w:cs="Times New Roman"/>
          <w:noProof/>
          <w:sz w:val="28"/>
          <w:szCs w:val="28"/>
        </w:rPr>
        <w:t>, р. 242</w:t>
      </w:r>
      <w:r w:rsidR="00C55712" w:rsidRPr="00C55712">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7046FE">
        <w:rPr>
          <w:rFonts w:ascii="Times New Roman" w:hAnsi="Times New Roman" w:cs="Times New Roman"/>
          <w:sz w:val="28"/>
          <w:szCs w:val="28"/>
        </w:rPr>
        <w:t>.</w:t>
      </w:r>
      <w:r>
        <w:rPr>
          <w:rFonts w:ascii="Times New Roman" w:hAnsi="Times New Roman" w:cs="Times New Roman"/>
          <w:sz w:val="28"/>
          <w:szCs w:val="28"/>
        </w:rPr>
        <w:t xml:space="preserve"> </w:t>
      </w:r>
    </w:p>
    <w:p w:rsidR="00905F06" w:rsidRDefault="00905F06" w:rsidP="00905F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Уровень ТГ зависит от генетических и эк</w:t>
      </w:r>
      <w:r w:rsidR="007F706C">
        <w:rPr>
          <w:rFonts w:ascii="Times New Roman" w:hAnsi="Times New Roman" w:cs="Times New Roman"/>
          <w:sz w:val="28"/>
          <w:szCs w:val="28"/>
        </w:rPr>
        <w:t>зогенных</w:t>
      </w:r>
      <w:r>
        <w:rPr>
          <w:rFonts w:ascii="Times New Roman" w:hAnsi="Times New Roman" w:cs="Times New Roman"/>
          <w:sz w:val="28"/>
          <w:szCs w:val="28"/>
        </w:rPr>
        <w:t xml:space="preserve"> факторов </w:t>
      </w:r>
      <w:r w:rsidR="007F706C">
        <w:rPr>
          <w:rFonts w:ascii="Times New Roman" w:hAnsi="Times New Roman" w:cs="Times New Roman"/>
          <w:sz w:val="28"/>
          <w:szCs w:val="28"/>
        </w:rPr>
        <w:t>(</w:t>
      </w:r>
      <w:r>
        <w:rPr>
          <w:rFonts w:ascii="Times New Roman" w:hAnsi="Times New Roman" w:cs="Times New Roman"/>
          <w:sz w:val="28"/>
          <w:szCs w:val="28"/>
        </w:rPr>
        <w:t>рас</w:t>
      </w:r>
      <w:r w:rsidR="007F706C">
        <w:rPr>
          <w:rFonts w:ascii="Times New Roman" w:hAnsi="Times New Roman" w:cs="Times New Roman"/>
          <w:sz w:val="28"/>
          <w:szCs w:val="28"/>
        </w:rPr>
        <w:t>а</w:t>
      </w:r>
      <w:r>
        <w:rPr>
          <w:rFonts w:ascii="Times New Roman" w:hAnsi="Times New Roman" w:cs="Times New Roman"/>
          <w:sz w:val="28"/>
          <w:szCs w:val="28"/>
        </w:rPr>
        <w:t>, возраст, пол, пищевы</w:t>
      </w:r>
      <w:r w:rsidR="007F706C">
        <w:rPr>
          <w:rFonts w:ascii="Times New Roman" w:hAnsi="Times New Roman" w:cs="Times New Roman"/>
          <w:sz w:val="28"/>
          <w:szCs w:val="28"/>
        </w:rPr>
        <w:t>е</w:t>
      </w:r>
      <w:r>
        <w:rPr>
          <w:rFonts w:ascii="Times New Roman" w:hAnsi="Times New Roman" w:cs="Times New Roman"/>
          <w:sz w:val="28"/>
          <w:szCs w:val="28"/>
        </w:rPr>
        <w:t xml:space="preserve"> привычки, физическ</w:t>
      </w:r>
      <w:r w:rsidR="007F706C">
        <w:rPr>
          <w:rFonts w:ascii="Times New Roman" w:hAnsi="Times New Roman" w:cs="Times New Roman"/>
          <w:sz w:val="28"/>
          <w:szCs w:val="28"/>
        </w:rPr>
        <w:t>ая</w:t>
      </w:r>
      <w:r>
        <w:rPr>
          <w:rFonts w:ascii="Times New Roman" w:hAnsi="Times New Roman" w:cs="Times New Roman"/>
          <w:sz w:val="28"/>
          <w:szCs w:val="28"/>
        </w:rPr>
        <w:t xml:space="preserve"> активность</w:t>
      </w:r>
      <w:r w:rsidR="007F706C">
        <w:rPr>
          <w:rFonts w:ascii="Times New Roman" w:hAnsi="Times New Roman" w:cs="Times New Roman"/>
          <w:sz w:val="28"/>
          <w:szCs w:val="28"/>
        </w:rPr>
        <w:t>)</w:t>
      </w:r>
      <w:r>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C55712">
        <w:rPr>
          <w:rFonts w:ascii="Times New Roman" w:hAnsi="Times New Roman" w:cs="Times New Roman"/>
          <w:sz w:val="28"/>
          <w:szCs w:val="28"/>
        </w:rPr>
        <w:instrText>ADDIN CSL_CITATION {"citationItems":[{"id":"ITEM-1","itemData":{"DOI":"10.11909/j.issn.1671-5411.2018.01.011","ISSN":"1671-5411","author":[{"dropping-particle":"","family":"Zhu","given":"Jun-Ren","non-dropping-particle":"","parse-names":false,"suffix":""},{"dropping-particle":"","family":"Gao","given":"Run-Lin","non-dropping-particle":"","parse-names":false,"suffix":""},{"dropping-particle":"","family":"Zhao","given":"Shui-Ping","non-dropping-particle":"","parse-names":false,"suffix":""},{"dropping-particle":"","family":"Lu","given":"Guo-Ping","non-dropping-particle":"","parse-names":false,"suffix":""},{"dropping-particle":"","family":"Zhao","given":"Dong","non-dropping-particle":"","parse-names":false,"suffix":""},{"dropping-particle":"","family":"Li","given":"Jian-Jun","non-dropping-particle":"","parse-names":false,"suffix":""}],"container-title":"Journal of geriatric cardiology","id":"ITEM-1","issue":"1","issued":{"date-parts":[["2018"]]},"page":"1-29","title":"2016 Chinese guidelines for the management of dyslipidemia in adults.","type":"article-journal","volume":"15"},"uris":["http://www.mendeley.com/documents/?uuid=e958d0e8-ef8e-4422-8a1c-ccb76ea9659e"]}],"mendeley":{"formattedCitation":"[20]","manualFormatting":"[20, р. 5]","plainTextFormattedCitation":"[20]","previouslyFormattedCitation":"[20]"},"properties":{"noteIndex":0},"schema":"https://github.com/citation-style-language/schema/raw/master/csl-citation.json"}</w:instrText>
      </w:r>
      <w:r w:rsidR="00EA0E64">
        <w:rPr>
          <w:rFonts w:ascii="Times New Roman" w:hAnsi="Times New Roman" w:cs="Times New Roman"/>
          <w:sz w:val="28"/>
          <w:szCs w:val="28"/>
        </w:rPr>
        <w:fldChar w:fldCharType="separate"/>
      </w:r>
      <w:r w:rsidR="00C55712" w:rsidRPr="00C55712">
        <w:rPr>
          <w:rFonts w:ascii="Times New Roman" w:hAnsi="Times New Roman" w:cs="Times New Roman"/>
          <w:noProof/>
          <w:sz w:val="28"/>
          <w:szCs w:val="28"/>
        </w:rPr>
        <w:t>[20</w:t>
      </w:r>
      <w:r w:rsidR="00C55712">
        <w:rPr>
          <w:rFonts w:ascii="Times New Roman" w:hAnsi="Times New Roman" w:cs="Times New Roman"/>
          <w:noProof/>
          <w:sz w:val="28"/>
          <w:szCs w:val="28"/>
        </w:rPr>
        <w:t>, р. 5</w:t>
      </w:r>
      <w:r w:rsidR="00C55712" w:rsidRPr="00C55712">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Небольшое увеличение уровня ТГ отражает увеличение концентрации ЛПОНП и его остатков и в некоторых случаях повышение концентрации ЛПНП и ЛПВП </w:t>
      </w:r>
      <w:r w:rsidR="00EA0E64">
        <w:rPr>
          <w:rFonts w:ascii="Times New Roman" w:hAnsi="Times New Roman" w:cs="Times New Roman"/>
          <w:sz w:val="28"/>
          <w:szCs w:val="28"/>
        </w:rPr>
        <w:fldChar w:fldCharType="begin" w:fldLock="1"/>
      </w:r>
      <w:r w:rsidR="00C55712">
        <w:rPr>
          <w:rFonts w:ascii="Times New Roman" w:hAnsi="Times New Roman" w:cs="Times New Roman"/>
          <w:sz w:val="28"/>
          <w:szCs w:val="28"/>
        </w:rPr>
        <w:instrText>ADDIN CSL_CITATION {"citationItems":[{"id":"ITEM-1","itemData":{"DOI":"10.11909/j.issn.1671-5411.2018.01.011","ISSN":"1671-5411","author":[{"dropping-particle":"","family":"Zhu","given":"Jun-Ren","non-dropping-particle":"","parse-names":false,"suffix":""},{"dropping-particle":"","family":"Gao","given":"Run-Lin","non-dropping-particle":"","parse-names":false,"suffix":""},{"dropping-particle":"","family":"Zhao","given":"Shui-Ping","non-dropping-particle":"","parse-names":false,"suffix":""},{"dropping-particle":"","family":"Lu","given":"Guo-Ping","non-dropping-particle":"","parse-names":false,"suffix":""},{"dropping-particle":"","family":"Zhao","given":"Dong","non-dropping-particle":"","parse-names":false,"suffix":""},{"dropping-particle":"","family":"Li","given":"Jian-Jun","non-dropping-particle":"","parse-names":false,"suffix":""}],"container-title":"Journal of geriatric cardiology","id":"ITEM-1","issue":"1","issued":{"date-parts":[["2018"]]},"page":"1-29","title":"2016 Chinese guidelines for the management of dyslipidemia in adults.","type":"article-journal","volume":"15"},"uris":["http://www.mendeley.com/documents/?uuid=e958d0e8-ef8e-4422-8a1c-ccb76ea9659e"]}],"mendeley":{"formattedCitation":"[20]","manualFormatting":"[20, р. 5]","plainTextFormattedCitation":"[20]","previouslyFormattedCitation":"[20]"},"properties":{"noteIndex":0},"schema":"https://github.com/citation-style-language/schema/raw/master/csl-citation.json"}</w:instrText>
      </w:r>
      <w:r w:rsidR="00EA0E64">
        <w:rPr>
          <w:rFonts w:ascii="Times New Roman" w:hAnsi="Times New Roman" w:cs="Times New Roman"/>
          <w:sz w:val="28"/>
          <w:szCs w:val="28"/>
        </w:rPr>
        <w:fldChar w:fldCharType="separate"/>
      </w:r>
      <w:r w:rsidR="00C55712" w:rsidRPr="00C55712">
        <w:rPr>
          <w:rFonts w:ascii="Times New Roman" w:hAnsi="Times New Roman" w:cs="Times New Roman"/>
          <w:noProof/>
          <w:sz w:val="28"/>
          <w:szCs w:val="28"/>
        </w:rPr>
        <w:t>[20</w:t>
      </w:r>
      <w:r w:rsidR="00C55712">
        <w:rPr>
          <w:rFonts w:ascii="Times New Roman" w:hAnsi="Times New Roman" w:cs="Times New Roman"/>
          <w:noProof/>
          <w:sz w:val="28"/>
          <w:szCs w:val="28"/>
        </w:rPr>
        <w:t>, р. 5</w:t>
      </w:r>
      <w:r w:rsidR="00C55712" w:rsidRPr="00C55712">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r w:rsidR="002E491D">
        <w:rPr>
          <w:rFonts w:ascii="Times New Roman" w:hAnsi="Times New Roman" w:cs="Times New Roman"/>
          <w:sz w:val="28"/>
          <w:szCs w:val="28"/>
        </w:rPr>
        <w:t xml:space="preserve"> </w:t>
      </w:r>
      <w:r>
        <w:rPr>
          <w:rFonts w:ascii="Times New Roman" w:hAnsi="Times New Roman" w:cs="Times New Roman"/>
          <w:sz w:val="28"/>
          <w:szCs w:val="28"/>
        </w:rPr>
        <w:t xml:space="preserve">Концентрация ТГ в плазме отражает концентрацию </w:t>
      </w:r>
      <w:r>
        <w:rPr>
          <w:rFonts w:ascii="Times New Roman" w:hAnsi="Times New Roman" w:cs="Times New Roman"/>
          <w:sz w:val="28"/>
          <w:szCs w:val="28"/>
        </w:rPr>
        <w:lastRenderedPageBreak/>
        <w:t xml:space="preserve">ТГ, которые находятся в составе апоВ – содержащих липопротеинов, поэтому повышение уровня ТГ в плазме связано с повышенным риском АССЗ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Journal","id":"ITEM-1","issue":"1","issued":{"date-parts":[["2020","1","1"]]},"page":"111-188","title":"2019 ESC/EAS Guidelines for the management of dyslipidaemias: lipid modification to reduce cardiovascular risk","type":"article-journal","volume":"41"},"uris":["http://www.mendeley.com/documents/?uuid=596ff8fa-459c-486e-8041-242d096c7b8b"]}],"mendeley":{"formattedCitation":"[2]","manualFormatting":"[1, р. 127]","plainTextFormattedCitation":"[2]","previouslyFormattedCitation":"[2]"},"properties":{"noteIndex":0},"schema":"https://github.com/citation-style-language/schema/raw/master/csl-citation.json"}</w:instrText>
      </w:r>
      <w:r w:rsidR="00EA0E64">
        <w:rPr>
          <w:rFonts w:ascii="Times New Roman" w:hAnsi="Times New Roman" w:cs="Times New Roman"/>
          <w:sz w:val="28"/>
          <w:szCs w:val="28"/>
        </w:rPr>
        <w:fldChar w:fldCharType="separate"/>
      </w:r>
      <w:r w:rsidR="00F273C8" w:rsidRPr="00F273C8">
        <w:rPr>
          <w:rFonts w:ascii="Times New Roman" w:hAnsi="Times New Roman" w:cs="Times New Roman"/>
          <w:noProof/>
          <w:sz w:val="28"/>
          <w:szCs w:val="28"/>
        </w:rPr>
        <w:t>[1</w:t>
      </w:r>
      <w:r w:rsidR="00FA135A">
        <w:rPr>
          <w:rFonts w:ascii="Times New Roman" w:hAnsi="Times New Roman" w:cs="Times New Roman"/>
          <w:noProof/>
          <w:sz w:val="28"/>
          <w:szCs w:val="28"/>
        </w:rPr>
        <w:t>, р. 127</w:t>
      </w:r>
      <w:r w:rsidR="00F273C8" w:rsidRPr="00F273C8">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Также по уровню ТГ можно оценить терапию по снижению риска АССЗ и сердечно – сосудистых событий </w:t>
      </w:r>
      <w:r w:rsidR="00EA0E64">
        <w:rPr>
          <w:rFonts w:ascii="Times New Roman" w:hAnsi="Times New Roman" w:cs="Times New Roman"/>
          <w:sz w:val="28"/>
          <w:szCs w:val="28"/>
        </w:rPr>
        <w:fldChar w:fldCharType="begin" w:fldLock="1"/>
      </w:r>
      <w:r w:rsidR="00130632">
        <w:rPr>
          <w:rFonts w:ascii="Times New Roman" w:hAnsi="Times New Roman" w:cs="Times New Roman"/>
          <w:sz w:val="28"/>
          <w:szCs w:val="28"/>
        </w:rPr>
        <w:instrText>ADDIN CSL_CITATION {"citationItems":[{"id":"ITEM-1","itemData":{"DOI":"10.1001/jama.2016.13985","ISSN":"0098-7484","abstract":"IMPORTANCE The comparative clinical benefit of nonstatin therapies that reduce low-density lipoprotein cholesterol (LDL-C) remains uncertain. OBJECTIVE To evaluate the association between lowering LDL-C and relative cardiovascular risk reduction across different statin and nonstatin therapies. DATA SOURCES AND STUDY SELECTION The MEDLINE and EMBASE databaseswere searched (1966-July 2016). The key inclusion criteria were that the study was a randomized clinical trial and the reported clinical outcomes includedmyocardial infarction (MI). Studies were excluded if the duration was less than 6 months or had fewer than 50 clinical events. Studies of 9 different types of LDL-C reduction approaches were included. DATA EXTRACTION AND SYNTHESIS Two authors independently extracted and entered data into standardized data sheets and data were analyzed usingmeta-regression. MAIN OUTCOMES AND MEASURES The relative risk (RR) of major vascular events (a composite of cardiovascular death, acute MI or other acute coronary syndrome, coronary revascularization, or stroke) associated with the absolute reduction in LDL-C level; 5-year rate of major coronary events (coronary death or MI) associated with achieved LDL-C level. RESULTS A total of 312 175 participants (mean age, 62 years; 24%women; mean baseline LDL-C level of 3.16 mmol/L [122.3mg/dL]) from 49 trials with 39 645 major vascular eventswere included. The RR for major vascular events per 1-mmol/L (38.7-mg/dL) reduction in LDL-C level was 0.77 (95%CI, 0.71-0.84; P &lt; .001) for statins and 0.75 (95%CI, 0.66-0.86; P = .002) for established nonstatin interventions thatwork primarily via upregulation of LDL receptor expression (ie, diet, bile acid sequestrants, ileal bypass, and ezetimibe) (between-group difference, P = .72). For these 5 therapies combined, the RRwas 0.77 (95%CI, 0.75-0.79, P &lt; .001) for major vascular events per 1-mmol/L reduction in LDL-C level. For other interventions, the observed RRs vs the expected RRs based on the degree of LDL-C reduction in the trialswere 0.94 (95%CI, 0.89-0.99) vs 0.91 (95%CI, 0.90-0.92) for niacin (P = .24); 0.88 (95%CI, 0.83-0.92) vs 0.94 (95%CI, 0.93-0.94) for fibrates (P = .02), whichwas lower than expected (ie, greater risk reduction); 1.01 (95%CI, 0.94-1.09) vs 0.90 (95%CI, 0.89-0.91) for cholesteryl ester transfer protein inhibitors (P = .002), whichwas higher than expected (ie, less risk reduction); and 0.49 (95%CI, 0.34-0.71) vs 0.61 (95%CI, 0.58-0.65) for proprotein conv…","author":[{"dropping-particle":"","family":"Silverman","given":"Michael G.","non-dropping-particle":"","parse-names":false,"suffix":""},{"dropping-particle":"","family":"Ference","given":"Brian A.","non-dropping-particle":"","parse-names":false,"suffix":""},{"dropping-particle":"","family":"Im","given":"Kyungah","non-dropping-particle":"","parse-names":false,"suffix":""},{"dropping-particle":"","family":"Wiviott","given":"Stephen D.","non-dropping-particle":"","parse-names":false,"suffix":""},{"dropping-particle":"","family":"Giugliano","given":"Robert P.","non-dropping-particle":"","parse-names":false,"suffix":""},{"dropping-particle":"","family":"Grundy","given":"Scott M.","non-dropping-particle":"","parse-names":false,"suffix":""},{"dropping-particle":"","family":"Braunwald","given":"Eugene","non-dropping-particle":"","parse-names":false,"suffix":""},{"dropping-particle":"","family":"Sabatine","given":"Marc S.","non-dropping-particle":"","parse-names":false,"suffix":""}],"container-title":"JAMA","id":"ITEM-1","issue":"12","issued":{"date-parts":[["2016","9","27"]]},"page":"1289-1297","title":"Association Between Lowering LDL-C and Cardiovascular Risk Reduction Among Different Therapeutic Interventions","type":"article-journal","volume":"316"},"uris":["http://www.mendeley.com/documents/?uuid=3754fbba-a5d7-4e1d-9be2-e411e3cc8176"]}],"mendeley":{"formattedCitation":"[21]","plainTextFormattedCitation":"[21]","previouslyFormattedCitation":"[21]"},"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[21]</w:t>
      </w:r>
      <w:r w:rsidR="00EA0E64">
        <w:rPr>
          <w:rFonts w:ascii="Times New Roman" w:hAnsi="Times New Roman" w:cs="Times New Roman"/>
          <w:sz w:val="28"/>
          <w:szCs w:val="28"/>
        </w:rPr>
        <w:fldChar w:fldCharType="end"/>
      </w:r>
      <w:r>
        <w:rPr>
          <w:rFonts w:ascii="Times New Roman" w:hAnsi="Times New Roman" w:cs="Times New Roman"/>
          <w:sz w:val="28"/>
          <w:szCs w:val="28"/>
        </w:rPr>
        <w:t>, так как снижение уровня ТГ в плазме происходит за счет снижение ТГ в составе липопротеинов.</w:t>
      </w:r>
      <w:r w:rsidR="002E491D">
        <w:rPr>
          <w:rFonts w:ascii="Times New Roman" w:hAnsi="Times New Roman" w:cs="Times New Roman"/>
          <w:sz w:val="28"/>
          <w:szCs w:val="28"/>
        </w:rPr>
        <w:t xml:space="preserve"> </w:t>
      </w:r>
      <w:r>
        <w:rPr>
          <w:rFonts w:ascii="Times New Roman" w:hAnsi="Times New Roman" w:cs="Times New Roman"/>
          <w:sz w:val="28"/>
          <w:szCs w:val="28"/>
        </w:rPr>
        <w:t xml:space="preserve">Повышенный уровень ТГ чаще сопровождается низким уровнем ЛПВП и высоким уровнем ЛПНП, поэтому определение уровня ТГ является важным для оценки риска сердечно-сосудистых событий </w:t>
      </w:r>
      <w:r w:rsidR="00EA0E64">
        <w:rPr>
          <w:rFonts w:ascii="Times New Roman" w:hAnsi="Times New Roman" w:cs="Times New Roman"/>
          <w:sz w:val="28"/>
          <w:szCs w:val="28"/>
        </w:rPr>
        <w:fldChar w:fldCharType="begin" w:fldLock="1"/>
      </w:r>
      <w:r w:rsidR="00C55712">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disorders.","type":"article-journal","volume":"16"},"uris":["http://www.mendeley.com/documents/?uuid=c34613a0-bf02-4657-92df-ceedf4f3100e"]}],"mendeley":{"formattedCitation":"[18]","manualFormatting":"[18, р. 241]","plainTextFormattedCitation":"[18]","previouslyFormattedCitation":"[18]"},"properties":{"noteIndex":0},"schema":"https://github.com/citation-style-language/schema/raw/master/csl-citation.json"}</w:instrText>
      </w:r>
      <w:r w:rsidR="00EA0E64">
        <w:rPr>
          <w:rFonts w:ascii="Times New Roman" w:hAnsi="Times New Roman" w:cs="Times New Roman"/>
          <w:sz w:val="28"/>
          <w:szCs w:val="28"/>
        </w:rPr>
        <w:fldChar w:fldCharType="separate"/>
      </w:r>
      <w:r w:rsidR="00C55712" w:rsidRPr="00C55712">
        <w:rPr>
          <w:rFonts w:ascii="Times New Roman" w:hAnsi="Times New Roman" w:cs="Times New Roman"/>
          <w:noProof/>
          <w:sz w:val="28"/>
          <w:szCs w:val="28"/>
        </w:rPr>
        <w:t>[18</w:t>
      </w:r>
      <w:r w:rsidR="00C55712">
        <w:rPr>
          <w:rFonts w:ascii="Times New Roman" w:hAnsi="Times New Roman" w:cs="Times New Roman"/>
          <w:noProof/>
          <w:sz w:val="28"/>
          <w:szCs w:val="28"/>
        </w:rPr>
        <w:t>, р. 241</w:t>
      </w:r>
      <w:r w:rsidR="00C55712" w:rsidRPr="00C55712">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905F06" w:rsidRDefault="00905F06" w:rsidP="00905F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Атерогенную дислипидемию вызывает нарушение липидного обмена в печени, повышенный липогенез повышает уровень ТГ и ЛПОНП в печени, далее в плазме повышается концентрация ЛПНП и уменьшается концентрация ЛПВП </w:t>
      </w:r>
      <w:r w:rsidR="00EA0E64">
        <w:rPr>
          <w:rFonts w:ascii="Times New Roman" w:hAnsi="Times New Roman" w:cs="Times New Roman"/>
          <w:sz w:val="28"/>
          <w:szCs w:val="28"/>
        </w:rPr>
        <w:fldChar w:fldCharType="begin" w:fldLock="1"/>
      </w:r>
      <w:r w:rsidR="004D076D">
        <w:rPr>
          <w:rFonts w:ascii="Times New Roman" w:hAnsi="Times New Roman" w:cs="Times New Roman"/>
          <w:sz w:val="28"/>
          <w:szCs w:val="28"/>
        </w:rPr>
        <w:instrText>ADDIN CSL_CITATION {"citationItems":[{"id":"ITEM-1","itemData":{"DOI":"10.1089/met.2019.0115","ISSN":"1540-4196","abstract":"Current algorithms for assessing risk of atherosclerotic cardiovascular disease (ASCVD) and, in particular, the reliance on low-density lipoprotein (LDL) cholesterol in conditions where this measurement is discordant with apoB and LDL-particle concentrations fail to identify a sizeable part of the population at high risk for adverse cardiovascular events. This results in missed opportunities for ASCVD prevention, most notably in those with metabolic syndrome, prediabetes, and diabetes. There is substantial evidence that accumulation of ectopic fat and associated metabolic traits are markers for and pathogenic components of high-risk atherosclerosis. Conceptually, the subset of advanced lesions in high-risk atherosclerosis that triggers vascular complications is closely related to a set of coordinated high-risk traits clustering around a distinct metabolic phenotype. A key feature of this phenotype is accumulation of ectopic fat, which, coupled with age-related muscle loss, creates a milieu conducive for the development of ASCVD: atherogenic dyslipidemia, nonresolving inflammation, endothelial dysfunction, hyperinsulinemia, and impaired fibrinolysis. Sustained vascular inflammation, a hallmark of high-risk atherosclerosis, impairs plaque stabilization in this phenotype. This review describes how metabolic and inflammatory processes that are promoted in large measure by ectopic adiposity, as opposed to subcutaneous adipose tissue, relate to the pathogenesis of high-risk atherosclerosis. Clinical biomarkers indicative of these processes provide incremental information to standard risk factor algorithms and advanced lipid testing identifies atherogenic lipoprotein patterns that are below the discrimination level of standard lipid testing. This has the potential to enable improved identification of high-risk patients who are candidates for therapeutic interventions aimed at prevention of ASCVD.","author":[{"dropping-particle":"","family":"Lechner","given":"Katharina","non-dropping-particle":"","parse-names":false,"suffix":""},{"dropping-particle":"","family":"McKenzie","given":"Amy L.","non-dropping-particle":"","parse-names":false,"suffix":""},{"dropping-particle":"","family":"Kränkel","given":"Nicolle","non-dropping-particle":"","parse-names":false,"suffix":""},{"dropping-particle":"","family":"Schacky","given":"Clemens","non-dropping-particle":"Von","parse-names":false,"suffix":""},{"dropping-particle":"","family":"Worm","given":"Nicolai","non-dropping-particle":"","parse-names":false,"suffix":""},{"dropping-particle":"","family":"Nixdorff","given":"Uwe","non-dropping-particle":"","parse-names":false,"suffix":""},{"dropping-particle":"","family":"Lechner","given":"Benjamin","non-dropping-particle":"","parse-names":false,"suffix":""},{"dropping-particle":"","family":"Scherr","given":"Johannes","non-dropping-particle":"","parse-names":false,"suffix":""},{"dropping-particle":"","family":"Weingärtner","given":"Oliver","non-dropping-particle":"","parse-names":false,"suffix":""},{"dropping-particle":"","family":"Krauss","given":"Ronald M.","non-dropping-particle":"","parse-names":false,"suffix":""}],"container-title":"Metabolic Syndrome and Related Disorders","id":"ITEM-1","issue":"XX","issued":{"date-parts":[["2020","3","2"]]},"page":"176-185","title":"High-Risk Atherosclerosis and Metabolic Phenotype: The Roles of Ectopic Adiposity, Atherogenic Dyslipidemia, and Inflammation","type":"article-journal","volume":"XX"},"uris":["http://www.mendeley.com/documents/?uuid=b75ad960-2c9d-416a-a8ae-3acd17ba22f8"]}],"mendeley":{"formattedCitation":"[15]","manualFormatting":"[15, р. 182]","plainTextFormattedCitation":"[15]","previouslyFormattedCitation":"[15]"},"properties":{"noteIndex":0},"schema":"https://github.com/citation-style-language/schema/raw/master/csl-citation.json"}</w:instrText>
      </w:r>
      <w:r w:rsidR="00EA0E64">
        <w:rPr>
          <w:rFonts w:ascii="Times New Roman" w:hAnsi="Times New Roman" w:cs="Times New Roman"/>
          <w:sz w:val="28"/>
          <w:szCs w:val="28"/>
        </w:rPr>
        <w:fldChar w:fldCharType="separate"/>
      </w:r>
      <w:r w:rsidR="00C55712" w:rsidRPr="00C55712">
        <w:rPr>
          <w:rFonts w:ascii="Times New Roman" w:hAnsi="Times New Roman" w:cs="Times New Roman"/>
          <w:noProof/>
          <w:sz w:val="28"/>
          <w:szCs w:val="28"/>
        </w:rPr>
        <w:t>[15</w:t>
      </w:r>
      <w:r w:rsidR="00130632">
        <w:rPr>
          <w:rFonts w:ascii="Times New Roman" w:hAnsi="Times New Roman" w:cs="Times New Roman"/>
          <w:noProof/>
          <w:sz w:val="28"/>
          <w:szCs w:val="28"/>
        </w:rPr>
        <w:t>, р. 182</w:t>
      </w:r>
      <w:r w:rsidR="00C55712" w:rsidRPr="00C55712">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ЛПНП формируются из промежуточной фракции липопротеинов с помощью печеночной липазы и с помощью белка переноса эфира ХС обогощается ХС ЛПВП </w:t>
      </w:r>
      <w:r w:rsidR="00EA0E64">
        <w:rPr>
          <w:rFonts w:ascii="Times New Roman" w:hAnsi="Times New Roman" w:cs="Times New Roman"/>
          <w:sz w:val="28"/>
          <w:szCs w:val="28"/>
        </w:rPr>
        <w:fldChar w:fldCharType="begin" w:fldLock="1"/>
      </w:r>
      <w:r w:rsidR="00130632">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disorders.","type":"article-journal","volume":"16"},"uris":["http://www.mendeley.com/documents/?uuid=c34613a0-bf02-4657-92df-ceedf4f3100e"]}],"mendeley":{"formattedCitation":"[18]","manualFormatting":"[18, р. 243]","plainTextFormattedCitation":"[18]","previouslyFormattedCitation":"[18]"},"properties":{"noteIndex":0},"schema":"https://github.com/citation-style-language/schema/raw/master/csl-citation.json"}</w:instrText>
      </w:r>
      <w:r w:rsidR="00EA0E64">
        <w:rPr>
          <w:rFonts w:ascii="Times New Roman" w:hAnsi="Times New Roman" w:cs="Times New Roman"/>
          <w:sz w:val="28"/>
          <w:szCs w:val="28"/>
        </w:rPr>
        <w:fldChar w:fldCharType="separate"/>
      </w:r>
      <w:r w:rsidR="00130632" w:rsidRPr="00130632">
        <w:rPr>
          <w:rFonts w:ascii="Times New Roman" w:hAnsi="Times New Roman" w:cs="Times New Roman"/>
          <w:noProof/>
          <w:sz w:val="28"/>
          <w:szCs w:val="28"/>
        </w:rPr>
        <w:t>[18</w:t>
      </w:r>
      <w:r w:rsidR="00130632">
        <w:rPr>
          <w:rFonts w:ascii="Times New Roman" w:hAnsi="Times New Roman" w:cs="Times New Roman"/>
          <w:noProof/>
          <w:sz w:val="28"/>
          <w:szCs w:val="28"/>
        </w:rPr>
        <w:t>, р. 243</w:t>
      </w:r>
      <w:r w:rsidR="00130632" w:rsidRPr="00130632">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ЛПНП на 40–50% состоит из ХС и его эфиров и с помощью его транспортируется около 70% ХС в крови, поэтому ЛПНП является основным липидным фактором в развитии атеросклероза </w:t>
      </w:r>
      <w:r w:rsidR="00EA0E64">
        <w:rPr>
          <w:rFonts w:ascii="Times New Roman" w:hAnsi="Times New Roman" w:cs="Times New Roman"/>
          <w:sz w:val="28"/>
          <w:szCs w:val="28"/>
        </w:rPr>
        <w:fldChar w:fldCharType="begin" w:fldLock="1"/>
      </w:r>
      <w:r w:rsidR="00130632">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disorders.","type":"article-journal","volume":"16"},"uris":["http://www.mendeley.com/documents/?uuid=c34613a0-bf02-4657-92df-ceedf4f3100e"]}],"mendeley":{"formattedCitation":"[18]","manualFormatting":"[18, р. 245]","plainTextFormattedCitation":"[18]","previouslyFormattedCitation":"[18]"},"properties":{"noteIndex":0},"schema":"https://github.com/citation-style-language/schema/raw/master/csl-citation.json"}</w:instrText>
      </w:r>
      <w:r w:rsidR="00EA0E64">
        <w:rPr>
          <w:rFonts w:ascii="Times New Roman" w:hAnsi="Times New Roman" w:cs="Times New Roman"/>
          <w:sz w:val="28"/>
          <w:szCs w:val="28"/>
        </w:rPr>
        <w:fldChar w:fldCharType="separate"/>
      </w:r>
      <w:r w:rsidR="00130632" w:rsidRPr="00130632">
        <w:rPr>
          <w:rFonts w:ascii="Times New Roman" w:hAnsi="Times New Roman" w:cs="Times New Roman"/>
          <w:noProof/>
          <w:sz w:val="28"/>
          <w:szCs w:val="28"/>
        </w:rPr>
        <w:t>[18</w:t>
      </w:r>
      <w:r w:rsidR="00130632">
        <w:rPr>
          <w:rFonts w:ascii="Times New Roman" w:hAnsi="Times New Roman" w:cs="Times New Roman"/>
          <w:noProof/>
          <w:sz w:val="28"/>
          <w:szCs w:val="28"/>
        </w:rPr>
        <w:t>, р. 245</w:t>
      </w:r>
      <w:r w:rsidR="00130632" w:rsidRPr="00130632">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О причинной связи ЛПНП с риском АССЗ свидетельствуют многие исследования последних лет </w:t>
      </w:r>
      <w:r w:rsidR="00EA0E64" w:rsidRPr="00130632">
        <w:rPr>
          <w:rFonts w:ascii="Times New Roman" w:hAnsi="Times New Roman" w:cs="Times New Roman"/>
          <w:sz w:val="28"/>
          <w:szCs w:val="28"/>
        </w:rPr>
        <w:fldChar w:fldCharType="begin" w:fldLock="1"/>
      </w:r>
      <w:r w:rsidR="00130632">
        <w:rPr>
          <w:rFonts w:ascii="Times New Roman" w:hAnsi="Times New Roman" w:cs="Times New Roman"/>
          <w:sz w:val="28"/>
          <w:szCs w:val="28"/>
        </w:rPr>
        <w:instrText>ADDIN CSL_CITATION {"citationItems":[{"id":"ITEM-1","itemData":{"DOI":"10.1001/jama.2016.13985","ISSN":"0098-7484","abstract":"IMPORTANCE The comparative clinical benefit of nonstatin therapies that reduce low-density lipoprotein cholesterol (LDL-C) remains uncertain. OBJECTIVE To evaluate the association between lowering LDL-C and relative cardiovascular risk reduction across different statin and nonstatin therapies. DATA SOURCES AND STUDY SELECTION The MEDLINE and EMBASE databaseswere searched (1966-July 2016). The key inclusion criteria were that the study was a randomized clinical trial and the reported clinical outcomes includedmyocardial infarction (MI). Studies were excluded if the duration was less than 6 months or had fewer than 50 clinical events. Studies of 9 different types of LDL-C reduction approaches were included. DATA EXTRACTION AND SYNTHESIS Two authors independently extracted and entered data into standardized data sheets and data were analyzed usingmeta-regression. MAIN OUTCOMES AND MEASURES The relative risk (RR) of major vascular events (a composite of cardiovascular death, acute MI or other acute coronary syndrome, coronary revascularization, or stroke) associated with the absolute reduction in LDL-C level; 5-year rate of major coronary events (coronary death or MI) associated with achieved LDL-C level. RESULTS A total of 312 175 participants (mean age, 62 years; 24%women; mean baseline LDL-C level of 3.16 mmol/L [122.3mg/dL]) from 49 trials with 39 645 major vascular eventswere included. The RR for major vascular events per 1-mmol/L (38.7-mg/dL) reduction in LDL-C level was 0.77 (95%CI, 0.71-0.84; P &lt; .001) for statins and 0.75 (95%CI, 0.66-0.86; P = .002) for established nonstatin interventions thatwork primarily via upregulation of LDL receptor expression (ie, diet, bile acid sequestrants, ileal bypass, and ezetimibe) (between-group difference, P = .72). For these 5 therapies combined, the RRwas 0.77 (95%CI, 0.75-0.79, P &lt; .001) for major vascular events per 1-mmol/L reduction in LDL-C level. For other interventions, the observed RRs vs the expected RRs based on the degree of LDL-C reduction in the trialswere 0.94 (95%CI, 0.89-0.99) vs 0.91 (95%CI, 0.90-0.92) for niacin (P = .24); 0.88 (95%CI, 0.83-0.92) vs 0.94 (95%CI, 0.93-0.94) for fibrates (P = .02), whichwas lower than expected (ie, greater risk reduction); 1.01 (95%CI, 0.94-1.09) vs 0.90 (95%CI, 0.89-0.91) for cholesteryl ester transfer protein inhibitors (P = .002), whichwas higher than expected (ie, less risk reduction); and 0.49 (95%CI, 0.34-0.71) vs 0.61 (95%CI, 0.58-0.65) for proprotein conv…","author":[{"dropping-particle":"","family":"Silverman","given":"Michael G.","non-dropping-particle":"","parse-names":false,"suffix":""},{"dropping-particle":"","family":"Ference","given":"Brian A.","non-dropping-particle":"","parse-names":false,"suffix":""},{"dropping-particle":"","family":"Im","given":"Kyungah","non-dropping-particle":"","parse-names":false,"suffix":""},{"dropping-particle":"","family":"Wiviott","given":"Stephen D.","non-dropping-particle":"","parse-names":false,"suffix":""},{"dropping-particle":"","family":"Giugliano","given":"Robert P.","non-dropping-particle":"","parse-names":false,"suffix":""},{"dropping-particle":"","family":"Grundy","given":"Scott M.","non-dropping-particle":"","parse-names":false,"suffix":""},{"dropping-particle":"","family":"Braunwald","given":"Eugene","non-dropping-particle":"","parse-names":false,"suffix":""},{"dropping-particle":"","family":"Sabatine","given":"Marc S.","non-dropping-particle":"","parse-names":false,"suffix":""}],"container-title":"JAMA","id":"ITEM-1","issue":"12","issued":{"date-parts":[["2016","9","27"]]},"page":"1289-1297","title":"Association Between Lowering LDL-C and Cardiovascular Risk Reduction Among Different Therapeutic Interventions","type":"article-journal","volume":"316"},"uris":["http://www.mendeley.com/documents/?uuid=3754fbba-a5d7-4e1d-9be2-e411e3cc8176"]}],"mendeley":{"formattedCitation":"[21]","manualFormatting":"[21, р. 1291]","plainTextFormattedCitation":"[21]","previouslyFormattedCitation":"[21]"},"properties":{"noteIndex":0},"schema":"https://github.com/citation-style-language/schema/raw/master/csl-citation.json"}</w:instrText>
      </w:r>
      <w:r w:rsidR="00EA0E64" w:rsidRPr="00130632">
        <w:rPr>
          <w:rFonts w:ascii="Times New Roman" w:hAnsi="Times New Roman" w:cs="Times New Roman"/>
          <w:sz w:val="28"/>
          <w:szCs w:val="28"/>
        </w:rPr>
        <w:fldChar w:fldCharType="separate"/>
      </w:r>
      <w:r w:rsidR="00130632" w:rsidRPr="00130632">
        <w:rPr>
          <w:rFonts w:ascii="Times New Roman" w:hAnsi="Times New Roman" w:cs="Times New Roman"/>
          <w:noProof/>
          <w:sz w:val="28"/>
          <w:szCs w:val="28"/>
        </w:rPr>
        <w:t>[21</w:t>
      </w:r>
      <w:r w:rsidR="00130632">
        <w:rPr>
          <w:rFonts w:ascii="Times New Roman" w:hAnsi="Times New Roman" w:cs="Times New Roman"/>
          <w:noProof/>
          <w:sz w:val="28"/>
          <w:szCs w:val="28"/>
        </w:rPr>
        <w:t>, р. 1291</w:t>
      </w:r>
      <w:r w:rsidR="00130632" w:rsidRPr="00130632">
        <w:rPr>
          <w:rFonts w:ascii="Times New Roman" w:hAnsi="Times New Roman" w:cs="Times New Roman"/>
          <w:noProof/>
          <w:sz w:val="28"/>
          <w:szCs w:val="28"/>
        </w:rPr>
        <w:t>]</w:t>
      </w:r>
      <w:r w:rsidR="00EA0E64" w:rsidRPr="00130632">
        <w:rPr>
          <w:rFonts w:ascii="Times New Roman" w:hAnsi="Times New Roman" w:cs="Times New Roman"/>
          <w:sz w:val="28"/>
          <w:szCs w:val="28"/>
        </w:rPr>
        <w:fldChar w:fldCharType="end"/>
      </w:r>
      <w:r w:rsidRPr="00130632">
        <w:rPr>
          <w:rFonts w:ascii="Times New Roman" w:hAnsi="Times New Roman" w:cs="Times New Roman"/>
          <w:sz w:val="28"/>
          <w:szCs w:val="28"/>
        </w:rPr>
        <w:t xml:space="preserve">, </w:t>
      </w:r>
      <w:r>
        <w:rPr>
          <w:rFonts w:ascii="Times New Roman" w:hAnsi="Times New Roman" w:cs="Times New Roman"/>
          <w:sz w:val="28"/>
          <w:szCs w:val="28"/>
        </w:rPr>
        <w:t xml:space="preserve">где они показывают, что снижение уровня ЛПНП в плазме пропорционально снижает риск АССЗ. Кроме определения уровней ЛПВП и ЛПНП есть еще такой индикатор, как не – ЛПВП, который рассчитывается с помощью формулы ОХС – ЛПВП </w:t>
      </w:r>
      <w:r w:rsidR="00EA0E64">
        <w:rPr>
          <w:rFonts w:ascii="Times New Roman" w:hAnsi="Times New Roman" w:cs="Times New Roman"/>
          <w:sz w:val="28"/>
          <w:szCs w:val="28"/>
        </w:rPr>
        <w:fldChar w:fldCharType="begin" w:fldLock="1"/>
      </w:r>
      <w:r w:rsidR="00130632">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disorders.","type":"article-journal","volume":"16"},"uris":["http://www.mendeley.com/documents/?uuid=c34613a0-bf02-4657-92df-ceedf4f3100e"]},{"id":"ITEM-2","itemData":{"DOI":"10.1093/eurheartj/ehw152","ISSN":"0195-668X","abstract":"Aims To critically evaluate the clinical implications of the use of non-fasting rather than fasting lipid profiles and to provide guidance for the laboratory reporting of abnormal non-fasting or fasting lipid profiles. Methods and results Extensive observational data, in which random non-fasting lipid profiles have been compared with those determined under fasting conditions, indicate that the maximal mean changes at 1-6 h after habitual meals are not clinically significant [+0.3 mmol/L (26 mg/dL) for triglycerides; -0.2 mmol/L (8 mg/dL) for total cholesterol; -0.2 mmol/L (8 mg/dL) for LDL cholesterol; +0.2 mmol/L (8 mg/dL) for calculated remnant cholesterol; -0.2 mmol/L (8 mg/dL) for calculated non-HDL cholesterol]; concentrations of HDL cholesterol, apolipoprotein A1, apolipoprotein B, and lipoprotein(a) are not affected by fasting/non-fasting status. In addition, non-fasting and fasting concentrations vary similarly over time and are comparable in the prediction of cardiovascular disease. To improve patient compliance with lipid testing, we therefore recommend the routine use of non-fasting lipid profiles, while fasting sampling may be considered when non-fasting triglycerides &gt;5 mmol/L (440 mg/dL). For non-fasting samples, laboratory reports should flag abnormal concentrations as triglycerides ≥2 mmol/L (175 mg/dL), total cholesterol ≥5 mmol/L (190 mg/dL), LDL cholesterol ≥3 mmol/L (115 mg/dL), calculated remnant cholesterol ≥0.9 mmol/L (35 mg/dL), calculated non-HDL cholesterol ≥3.9 mmol/L (150 mg/dL), HDL cholesterol ≤1 mmol/L (40 mg/dL), apolipoprotein A1 ≤1.25 g/L (125 mg/dL), apolipoprotein B ≥1.0 g/L (100 mg/dL), and lipoprotein(a) ≥50 mg/dL (80th percentile); for fasting samples, abnormal concentrations correspond to triglycerides ≥1.7 mmol/L (150 mg/dL). Life-threatening concentrations require separate referral when triglycerides &gt;10 mmol/L (880 mg/dL) for the risk of pancreatitis, LDL cholesterol &gt;13 mmol/L (500 mg/dL) for homozygous familial hypercholesterolaemia, LDL cholesterol &gt;5 mmol/L (190 mg/dL) for heterozygous familial hypercholesterolaemia, and lipoprotein(a) &gt;150 mg/dL (99th percentile) for very high cardiovascular risk. Conclusion We recommend that non-fasting blood samples be routinely used for the assessment of plasma lipid profiles. Laboratory reports should flag abnormal values on the basis of desirable concentration cut-points. Non-fasting and fasting measurements should be complementary but not mutually exclusive.","author":[{"dropping-particle":"","family":"Nordestgaard","given":"Børge G.","non-dropping-particle":"","parse-names":false,"suffix":""},{"dropping-particle":"","family":"Langsted","given":"Anne","non-dropping-particle":"","parse-names":false,"suffix":""},{"dropping-particle":"","family":"Mora","given":"Samia","non-dropping-particle":"","parse-names":false,"suffix":""},{"dropping-particle":"","family":"Kolovou","given":"Genovefa","non-dropping-particle":"","parse-names":false,"suffix":""},{"dropping-particle":"","family":"Baum","given":"Hannsjörg","non-dropping-particle":"","parse-names":false,"suffix":""},{"dropping-particle":"","family":"Bruckert","given":"Eric","non-dropping-particle":"","parse-names":false,"suffix":""},{"dropping-particle":"","family":"Watts","given":"Gerald F.","non-dropping-particle":"","parse-names":false,"suffix":""},{"dropping-particle":"","family":"Sypniewska","given":"Grazyna","non-dropping-particle":"","parse-names":false,"suffix":""},{"dropping-particle":"","family":"Wiklund","given":"Olov","non-dropping-particle":"","parse-names":false,"suffix":""},{"dropping-particle":"","family":"Borén","given":"Jan","non-dropping-particle":"","parse-names":false,"suffix":""},{"dropping-particle":"","family":"Chapman","given":"M. John","non-dropping-particle":"","parse-names":false,"suffix":""},{"dropping-particle":"","family":"Cobbaert","given":"Christa","non-dropping-particle":"","parse-names":false,"suffix":""},{"dropping-particle":"","family":"Descamps","given":"Olivier S.","non-dropping-particle":"","parse-names":false,"suffix":""},{"dropping-particle":"","family":"Eckardstein","given":"Arnold","non-dropping-particle":"von","parse-names":false,"suffix":""},{"dropping-particle":"","family":"Kamstrup","given":"Pia R.","non-dropping-particle":"","parse-names":false,"suffix":""},{"dropping-particle":"","family":"Pulkki","given":"Kari","non-dropping-particle":"","parse-names":false,"suffix":""},{"dropping-particle":"","family":"Kronenberg","given":"Florian","non-dropping-particle":"","parse-names":false,"suffix":""},{"dropping-particle":"","family":"Remaley","given":"Alan T.","non-dropping-particle":"","parse-names":false,"suffix":""},{"dropping-particle":"","family":"Rifai","given":"Nader","non-dropping-particle":"","parse-names":false,"suffix":""},{"dropping-particle":"","family":"Ros","given":"Emilio","non-dropping-particle":"","parse-names":false,"suffix":""},{"dropping-particle":"","family":"Langlois","given":"Michel","non-dropping-particle":"","parse-names":false,"suffix":""}],"container-title":"European Heart Journal","id":"ITEM-2","issue":"25","issued":{"date-parts":[["2016","7","1"]]},"page":"1944-1958","title":"Fasting is not routinely required for determination of a lipid profile: clinical and laboratory implications including flagging at desirable concentration cut-points—a joint consensus statement from the European Atherosclerosis Society and European Federa","type":"article-journal","volume":"37"},"uris":["http://www.mendeley.com/documents/?uuid=15153d98-f23a-447e-a4cc-f98a74ed5965"]}],"mendeley":{"formattedCitation":"[18,22]","manualFormatting":"[18, р. 244; 22]","plainTextFormattedCitation":"[18,22]","previouslyFormattedCitation":"[18,22]"},"properties":{"noteIndex":0},"schema":"https://github.com/citation-style-language/schema/raw/master/csl-citation.json"}</w:instrText>
      </w:r>
      <w:r w:rsidR="00EA0E64">
        <w:rPr>
          <w:rFonts w:ascii="Times New Roman" w:hAnsi="Times New Roman" w:cs="Times New Roman"/>
          <w:sz w:val="28"/>
          <w:szCs w:val="28"/>
        </w:rPr>
        <w:fldChar w:fldCharType="separate"/>
      </w:r>
      <w:r w:rsidR="00130632" w:rsidRPr="00130632">
        <w:rPr>
          <w:rFonts w:ascii="Times New Roman" w:hAnsi="Times New Roman" w:cs="Times New Roman"/>
          <w:noProof/>
          <w:sz w:val="28"/>
          <w:szCs w:val="28"/>
        </w:rPr>
        <w:t>[18,</w:t>
      </w:r>
      <w:r w:rsidR="00130632">
        <w:rPr>
          <w:rFonts w:ascii="Times New Roman" w:hAnsi="Times New Roman" w:cs="Times New Roman"/>
          <w:noProof/>
          <w:sz w:val="28"/>
          <w:szCs w:val="28"/>
        </w:rPr>
        <w:t xml:space="preserve"> р. 244; </w:t>
      </w:r>
      <w:r w:rsidR="00130632" w:rsidRPr="00130632">
        <w:rPr>
          <w:rFonts w:ascii="Times New Roman" w:hAnsi="Times New Roman" w:cs="Times New Roman"/>
          <w:noProof/>
          <w:sz w:val="28"/>
          <w:szCs w:val="28"/>
        </w:rPr>
        <w:t>22]</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Этот индикатор состоит из частиц ЛПНП, ЛПОНП, промежуточной фракции липопротеинов, хиломикронов, поэтому он представляет концентрацию всех атерогенных фракции липопротеинов </w:t>
      </w:r>
      <w:r w:rsidR="00EA0E64">
        <w:rPr>
          <w:rFonts w:ascii="Times New Roman" w:hAnsi="Times New Roman" w:cs="Times New Roman"/>
          <w:sz w:val="28"/>
          <w:szCs w:val="28"/>
        </w:rPr>
        <w:fldChar w:fldCharType="begin" w:fldLock="1"/>
      </w:r>
      <w:r w:rsidR="00695E10">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disorders.","type":"article-journal","volume":"16"},"uris":["http://www.mendeley.com/documents/?uuid=c34613a0-bf02-4657-92df-ceedf4f3100e"]},{"id":"ITEM-2","itemData":{"DOI":"10.1093/eurheartj/ehw152","ISSN":"0195-668X","abstract":"Aims To critically evaluate the clinical implications of the use of non-fasting rather than fasting lipid profiles and to provide guidance for the laboratory reporting of abnormal non-fasting or fasting lipid profiles. Methods and results Extensive observational data, in which random non-fasting lipid profiles have been compared with those determined under fasting conditions, indicate that the maximal mean changes at 1-6 h after habitual meals are not clinically significant [+0.3 mmol/L (26 mg/dL) for triglycerides; -0.2 mmol/L (8 mg/dL) for total cholesterol; -0.2 mmol/L (8 mg/dL) for LDL cholesterol; +0.2 mmol/L (8 mg/dL) for calculated remnant cholesterol; -0.2 mmol/L (8 mg/dL) for calculated non-HDL cholesterol]; concentrations of HDL cholesterol, apolipoprotein A1, apolipoprotein B, and lipoprotein(a) are not affected by fasting/non-fasting status. In addition, non-fasting and fasting concentrations vary similarly over time and are comparable in the prediction of cardiovascular disease. To improve patient compliance with lipid testing, we therefore recommend the routine use of non-fasting lipid profiles, while fasting sampling may be considered when non-fasting triglycerides &gt;5 mmol/L (440 mg/dL). For non-fasting samples, laboratory reports should flag abnormal concentrations as triglycerides ≥2 mmol/L (175 mg/dL), total cholesterol ≥5 mmol/L (190 mg/dL), LDL cholesterol ≥3 mmol/L (115 mg/dL), calculated remnant cholesterol ≥0.9 mmol/L (35 mg/dL), calculated non-HDL cholesterol ≥3.9 mmol/L (150 mg/dL), HDL cholesterol ≤1 mmol/L (40 mg/dL), apolipoprotein A1 ≤1.25 g/L (125 mg/dL), apolipoprotein B ≥1.0 g/L (100 mg/dL), and lipoprotein(a) ≥50 mg/dL (80th percentile); for fasting samples, abnormal concentrations correspond to triglycerides ≥1.7 mmol/L (150 mg/dL). Life-threatening concentrations require separate referral when triglycerides &gt;10 mmol/L (880 mg/dL) for the risk of pancreatitis, LDL cholesterol &gt;13 mmol/L (500 mg/dL) for homozygous familial hypercholesterolaemia, LDL cholesterol &gt;5 mmol/L (190 mg/dL) for heterozygous familial hypercholesterolaemia, and lipoprotein(a) &gt;150 mg/dL (99th percentile) for very high cardiovascular risk. Conclusion We recommend that non-fasting blood samples be routinely used for the assessment of plasma lipid profiles. Laboratory reports should flag abnormal values on the basis of desirable concentration cut-points. Non-fasting and fasting measurements should be complementary but not mutually exclusive.","author":[{"dropping-particle":"","family":"Nordestgaard","given":"Børge G.","non-dropping-particle":"","parse-names":false,"suffix":""},{"dropping-particle":"","family":"Langsted","given":"Anne","non-dropping-particle":"","parse-names":false,"suffix":""},{"dropping-particle":"","family":"Mora","given":"Samia","non-dropping-particle":"","parse-names":false,"suffix":""},{"dropping-particle":"","family":"Kolovou","given":"Genovefa","non-dropping-particle":"","parse-names":false,"suffix":""},{"dropping-particle":"","family":"Baum","given":"Hannsjörg","non-dropping-particle":"","parse-names":false,"suffix":""},{"dropping-particle":"","family":"Bruckert","given":"Eric","non-dropping-particle":"","parse-names":false,"suffix":""},{"dropping-particle":"","family":"Watts","given":"Gerald F.","non-dropping-particle":"","parse-names":false,"suffix":""},{"dropping-particle":"","family":"Sypniewska","given":"Grazyna","non-dropping-particle":"","parse-names":false,"suffix":""},{"dropping-particle":"","family":"Wiklund","given":"Olov","non-dropping-particle":"","parse-names":false,"suffix":""},{"dropping-particle":"","family":"Borén","given":"Jan","non-dropping-particle":"","parse-names":false,"suffix":""},{"dropping-particle":"","family":"Chapman","given":"M. John","non-dropping-particle":"","parse-names":false,"suffix":""},{"dropping-particle":"","family":"Cobbaert","given":"Christa","non-dropping-particle":"","parse-names":false,"suffix":""},{"dropping-particle":"","family":"Descamps","given":"Olivier S.","non-dropping-particle":"","parse-names":false,"suffix":""},{"dropping-particle":"","family":"Eckardstein","given":"Arnold","non-dropping-particle":"von","parse-names":false,"suffix":""},{"dropping-particle":"","family":"Kamstrup","given":"Pia R.","non-dropping-particle":"","parse-names":false,"suffix":""},{"dropping-particle":"","family":"Pulkki","given":"Kari","non-dropping-particle":"","parse-names":false,"suffix":""},{"dropping-particle":"","family":"Kronenberg","given":"Florian","non-dropping-particle":"","parse-names":false,"suffix":""},{"dropping-particle":"","family":"Remaley","given":"Alan T.","non-dropping-particle":"","parse-names":false,"suffix":""},{"dropping-particle":"","family":"Rifai","given":"Nader","non-dropping-particle":"","parse-names":false,"suffix":""},{"dropping-particle":"","family":"Ros","given":"Emilio","non-dropping-particle":"","parse-names":false,"suffix":""},{"dropping-particle":"","family":"Langlois","given":"Michel","non-dropping-particle":"","parse-names":false,"suffix":""}],"container-title":"European Heart Journal","id":"ITEM-2","issue":"25","issued":{"date-parts":[["2016","7","1"]]},"page":"1944-1958","title":"Fasting is not routinely required for determination of a lipid profile: clinical and laboratory implications including flagging at desirable concentration cut-points—a joint consensus statement from the European Atherosclerosis Society and European Federa","type":"article-journal","volume":"37"},"uris":["http://www.mendeley.com/documents/?uuid=15153d98-f23a-447e-a4cc-f98a74ed5965"]}],"mendeley":{"formattedCitation":"[18,22]","manualFormatting":"[18, р. 244; 22, р. 1946]","plainTextFormattedCitation":"[18,22]","previouslyFormattedCitation":"[18,22]"},"properties":{"noteIndex":0},"schema":"https://github.com/citation-style-language/schema/raw/master/csl-citation.json"}</w:instrText>
      </w:r>
      <w:r w:rsidR="00EA0E64">
        <w:rPr>
          <w:rFonts w:ascii="Times New Roman" w:hAnsi="Times New Roman" w:cs="Times New Roman"/>
          <w:sz w:val="28"/>
          <w:szCs w:val="28"/>
        </w:rPr>
        <w:fldChar w:fldCharType="separate"/>
      </w:r>
      <w:r w:rsidR="00130632" w:rsidRPr="00130632">
        <w:rPr>
          <w:rFonts w:ascii="Times New Roman" w:hAnsi="Times New Roman" w:cs="Times New Roman"/>
          <w:noProof/>
          <w:sz w:val="28"/>
          <w:szCs w:val="28"/>
        </w:rPr>
        <w:t>[18,</w:t>
      </w:r>
      <w:r w:rsidR="00130632">
        <w:rPr>
          <w:rFonts w:ascii="Times New Roman" w:hAnsi="Times New Roman" w:cs="Times New Roman"/>
          <w:noProof/>
          <w:sz w:val="28"/>
          <w:szCs w:val="28"/>
        </w:rPr>
        <w:t xml:space="preserve"> р. 244; </w:t>
      </w:r>
      <w:r w:rsidR="00130632" w:rsidRPr="00130632">
        <w:rPr>
          <w:rFonts w:ascii="Times New Roman" w:hAnsi="Times New Roman" w:cs="Times New Roman"/>
          <w:noProof/>
          <w:sz w:val="28"/>
          <w:szCs w:val="28"/>
        </w:rPr>
        <w:t>22</w:t>
      </w:r>
      <w:r w:rsidR="00130632">
        <w:rPr>
          <w:rFonts w:ascii="Times New Roman" w:hAnsi="Times New Roman" w:cs="Times New Roman"/>
          <w:noProof/>
          <w:sz w:val="28"/>
          <w:szCs w:val="28"/>
        </w:rPr>
        <w:t>, р. 1946</w:t>
      </w:r>
      <w:r w:rsidR="00130632" w:rsidRPr="00130632">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905F06" w:rsidRDefault="00905F06" w:rsidP="00905F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ЛПВП состоит из низкого содержания липидов с высоким содержанием белков. Он важен в транспортировке ХС в кровь и количество ХС в крови изменчив (около 25%). ЛПВП формируется из поверхностных фосфолипидов и свободных ХС, которые появились в результате деградации хиломикронов и ЛПОНП </w:t>
      </w:r>
      <w:r w:rsidR="00EA0E64">
        <w:rPr>
          <w:rFonts w:ascii="Times New Roman" w:hAnsi="Times New Roman" w:cs="Times New Roman"/>
          <w:sz w:val="28"/>
          <w:szCs w:val="28"/>
        </w:rPr>
        <w:fldChar w:fldCharType="begin" w:fldLock="1"/>
      </w:r>
      <w:r w:rsidR="0020409B">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id":"ITEM-2","itemData":{"DOI":"10.11909/j.issn.1671-5411.2018.01.011","ISSN":"1671-5411","author":[{"dropping-particle":"","family":"Zhu","given":"Jun-Ren","non-dropping-particle":"","parse-names":false,"suffix":""},{"dropping-particle":"","family":"Gao","given":"Run-Lin","non-dropping-particle":"","parse-names":false,"suffix":""},{"dropping-particle":"","family":"Zhao","given":"Shui-Ping","non-dropping-particle":"","parse-names":false,"suffix":""},{"dropping-particle":"","family":"Lu","given":"Guo-Ping","non-dropping-particle":"","parse-names":false,"suffix":""},{"dropping-particle":"","family":"Zhao","given":"Dong","non-dropping-particle":"","parse-names":false,"suffix":""},{"dropping-particle":"","family":"Li","given":"Jian-Jun","non-dropping-particle":"","parse-names":false,"suffix":""}],"container-title":"Journal of geriatric cardiology","id":"ITEM-2","issue":"1","issued":{"date-parts":[["2018"]]},"page":"1-29","title":"2016 Chinese guidelines for the management of dyslipidemia in adults.","type":"article-journal","volume":"15"},"uris":["http://www.mendeley.com/documents/?uuid=e958d0e8-ef8e-4422-8a1c-ccb76ea9659e"]}],"mendeley":{"formattedCitation":"[18,20]","manualFormatting":"[18, р.244; 20, р. 5]","plainTextFormattedCitation":"[18,20]","previouslyFormattedCitation":"[18,20]"},"properties":{"noteIndex":0},"schema":"https://github.com/citation-style-language/schema/raw/master/csl-citation.json"}</w:instrText>
      </w:r>
      <w:r w:rsidR="00EA0E64">
        <w:rPr>
          <w:rFonts w:ascii="Times New Roman" w:hAnsi="Times New Roman" w:cs="Times New Roman"/>
          <w:sz w:val="28"/>
          <w:szCs w:val="28"/>
        </w:rPr>
        <w:fldChar w:fldCharType="separate"/>
      </w:r>
      <w:r w:rsidR="00695E10" w:rsidRPr="00695E10">
        <w:rPr>
          <w:rFonts w:ascii="Times New Roman" w:hAnsi="Times New Roman" w:cs="Times New Roman"/>
          <w:noProof/>
          <w:sz w:val="28"/>
          <w:szCs w:val="28"/>
        </w:rPr>
        <w:t>[18,</w:t>
      </w:r>
      <w:r w:rsidR="00695E10">
        <w:rPr>
          <w:rFonts w:ascii="Times New Roman" w:hAnsi="Times New Roman" w:cs="Times New Roman"/>
          <w:noProof/>
          <w:sz w:val="28"/>
          <w:szCs w:val="28"/>
        </w:rPr>
        <w:t xml:space="preserve"> р.244; </w:t>
      </w:r>
      <w:r w:rsidR="00695E10" w:rsidRPr="00695E10">
        <w:rPr>
          <w:rFonts w:ascii="Times New Roman" w:hAnsi="Times New Roman" w:cs="Times New Roman"/>
          <w:noProof/>
          <w:sz w:val="28"/>
          <w:szCs w:val="28"/>
        </w:rPr>
        <w:t>20</w:t>
      </w:r>
      <w:r w:rsidR="00695E10">
        <w:rPr>
          <w:rFonts w:ascii="Times New Roman" w:hAnsi="Times New Roman" w:cs="Times New Roman"/>
          <w:noProof/>
          <w:sz w:val="28"/>
          <w:szCs w:val="28"/>
        </w:rPr>
        <w:t>, р. 5</w:t>
      </w:r>
      <w:r w:rsidR="00695E10" w:rsidRPr="00695E10">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Свободный ХС, полученный из периферических клеток, с помощью АТФ-</w:t>
      </w:r>
      <w:r w:rsidR="00635993">
        <w:rPr>
          <w:rFonts w:ascii="Times New Roman" w:hAnsi="Times New Roman" w:cs="Times New Roman"/>
          <w:sz w:val="28"/>
          <w:szCs w:val="28"/>
        </w:rPr>
        <w:t>связанного</w:t>
      </w:r>
      <w:r>
        <w:rPr>
          <w:rFonts w:ascii="Times New Roman" w:hAnsi="Times New Roman" w:cs="Times New Roman"/>
          <w:sz w:val="28"/>
          <w:szCs w:val="28"/>
        </w:rPr>
        <w:t xml:space="preserve"> кассетного транспортера A1 связывается с </w:t>
      </w:r>
      <w:r w:rsidR="002C0F16">
        <w:rPr>
          <w:rFonts w:ascii="Times New Roman" w:hAnsi="Times New Roman" w:cs="Times New Roman"/>
          <w:sz w:val="28"/>
          <w:szCs w:val="28"/>
          <w:lang w:val="kk-KZ"/>
        </w:rPr>
        <w:t xml:space="preserve">аполипопротеином </w:t>
      </w:r>
      <w:r w:rsidR="00B76894">
        <w:rPr>
          <w:rFonts w:ascii="Times New Roman" w:hAnsi="Times New Roman" w:cs="Times New Roman"/>
          <w:sz w:val="28"/>
          <w:szCs w:val="28"/>
          <w:lang w:val="kk-KZ"/>
        </w:rPr>
        <w:t xml:space="preserve">А1 </w:t>
      </w:r>
      <w:r w:rsidR="002C0F16">
        <w:rPr>
          <w:rFonts w:ascii="Times New Roman" w:hAnsi="Times New Roman" w:cs="Times New Roman"/>
          <w:sz w:val="28"/>
          <w:szCs w:val="28"/>
          <w:lang w:val="kk-KZ"/>
        </w:rPr>
        <w:t>(</w:t>
      </w:r>
      <w:r>
        <w:rPr>
          <w:rFonts w:ascii="Times New Roman" w:hAnsi="Times New Roman" w:cs="Times New Roman"/>
          <w:sz w:val="28"/>
          <w:szCs w:val="28"/>
        </w:rPr>
        <w:t>апоА1</w:t>
      </w:r>
      <w:r w:rsidR="002C0F16">
        <w:rPr>
          <w:rFonts w:ascii="Times New Roman" w:hAnsi="Times New Roman" w:cs="Times New Roman"/>
          <w:sz w:val="28"/>
          <w:szCs w:val="28"/>
          <w:lang w:val="kk-KZ"/>
        </w:rPr>
        <w:t>)</w:t>
      </w:r>
      <w:r>
        <w:rPr>
          <w:rFonts w:ascii="Times New Roman" w:hAnsi="Times New Roman" w:cs="Times New Roman"/>
          <w:sz w:val="28"/>
          <w:szCs w:val="28"/>
        </w:rPr>
        <w:t xml:space="preserve"> в ЛПВП </w:t>
      </w:r>
      <w:r w:rsidR="00EA0E64">
        <w:rPr>
          <w:rFonts w:ascii="Times New Roman" w:hAnsi="Times New Roman" w:cs="Times New Roman"/>
          <w:sz w:val="28"/>
          <w:szCs w:val="28"/>
        </w:rPr>
        <w:fldChar w:fldCharType="begin" w:fldLock="1"/>
      </w:r>
      <w:r w:rsidR="0020409B">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disorders.","type":"article-journal","volume":"16"},"uris":["http://www.mendeley.com/documents/?uuid=c34613a0-bf02-4657-92df-ceedf4f3100e"]}],"mendeley":{"formattedCitation":"[18]","manualFormatting":"[18, р. 244]","plainTextFormattedCitation":"[18]","previouslyFormattedCitation":"[18]"},"properties":{"noteIndex":0},"schema":"https://github.com/citation-style-language/schema/raw/master/csl-citation.json"}</w:instrText>
      </w:r>
      <w:r w:rsidR="00EA0E64">
        <w:rPr>
          <w:rFonts w:ascii="Times New Roman" w:hAnsi="Times New Roman" w:cs="Times New Roman"/>
          <w:sz w:val="28"/>
          <w:szCs w:val="28"/>
        </w:rPr>
        <w:fldChar w:fldCharType="separate"/>
      </w:r>
      <w:r w:rsidR="0020409B" w:rsidRPr="0020409B">
        <w:rPr>
          <w:rFonts w:ascii="Times New Roman" w:hAnsi="Times New Roman" w:cs="Times New Roman"/>
          <w:noProof/>
          <w:sz w:val="28"/>
          <w:szCs w:val="28"/>
        </w:rPr>
        <w:t>[18</w:t>
      </w:r>
      <w:r w:rsidR="0020409B">
        <w:rPr>
          <w:rFonts w:ascii="Times New Roman" w:hAnsi="Times New Roman" w:cs="Times New Roman"/>
          <w:noProof/>
          <w:sz w:val="28"/>
          <w:szCs w:val="28"/>
        </w:rPr>
        <w:t>, р. 244</w:t>
      </w:r>
      <w:r w:rsidR="0020409B" w:rsidRPr="0020409B">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Далее ХС передается из ЛПВП в апоВ, которые потом поглощаются в печени. Эфиры ХС также транспортируются ЛПВП в печень, где из них синтезируются желчные кислоты </w:t>
      </w:r>
      <w:r w:rsidR="00EA0E64">
        <w:rPr>
          <w:rFonts w:ascii="Times New Roman" w:hAnsi="Times New Roman" w:cs="Times New Roman"/>
          <w:sz w:val="28"/>
          <w:szCs w:val="28"/>
        </w:rPr>
        <w:fldChar w:fldCharType="begin" w:fldLock="1"/>
      </w:r>
      <w:r w:rsidR="0020409B">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disorders.","type":"article-journal","volume":"16"},"uris":["http://www.mendeley.com/documents/?uuid=c34613a0-bf02-4657-92df-ceedf4f3100e"]}],"mendeley":{"formattedCitation":"[18]","manualFormatting":"[18, р. 244]","plainTextFormattedCitation":"[18]","previouslyFormattedCitation":"[18]"},"properties":{"noteIndex":0},"schema":"https://github.com/citation-style-language/schema/raw/master/csl-citation.json"}</w:instrText>
      </w:r>
      <w:r w:rsidR="00EA0E64">
        <w:rPr>
          <w:rFonts w:ascii="Times New Roman" w:hAnsi="Times New Roman" w:cs="Times New Roman"/>
          <w:sz w:val="28"/>
          <w:szCs w:val="28"/>
        </w:rPr>
        <w:fldChar w:fldCharType="separate"/>
      </w:r>
      <w:r w:rsidR="0020409B" w:rsidRPr="0020409B">
        <w:rPr>
          <w:rFonts w:ascii="Times New Roman" w:hAnsi="Times New Roman" w:cs="Times New Roman"/>
          <w:noProof/>
          <w:sz w:val="28"/>
          <w:szCs w:val="28"/>
        </w:rPr>
        <w:t>[18</w:t>
      </w:r>
      <w:r w:rsidR="0020409B">
        <w:rPr>
          <w:rFonts w:ascii="Times New Roman" w:hAnsi="Times New Roman" w:cs="Times New Roman"/>
          <w:noProof/>
          <w:sz w:val="28"/>
          <w:szCs w:val="28"/>
        </w:rPr>
        <w:t>, р. 244</w:t>
      </w:r>
      <w:r w:rsidR="0020409B" w:rsidRPr="0020409B">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Так как, ЛПВП участвует </w:t>
      </w:r>
      <w:r w:rsidR="0025184B">
        <w:rPr>
          <w:rFonts w:ascii="Times New Roman" w:hAnsi="Times New Roman" w:cs="Times New Roman"/>
          <w:sz w:val="28"/>
          <w:szCs w:val="28"/>
        </w:rPr>
        <w:t xml:space="preserve">в </w:t>
      </w:r>
      <w:r>
        <w:rPr>
          <w:rFonts w:ascii="Times New Roman" w:hAnsi="Times New Roman" w:cs="Times New Roman"/>
          <w:sz w:val="28"/>
          <w:szCs w:val="28"/>
        </w:rPr>
        <w:t xml:space="preserve">обратной транспортировке ХС, он имеет антиатеросклеротический эффект и антиоксидантное, антикоагулянтное и цитопротекторное действие. Измененный ЛПВП вызывает воспаление, окислительный стресс и гликолиз </w:t>
      </w:r>
      <w:r w:rsidR="00EA0E64">
        <w:rPr>
          <w:rFonts w:ascii="Times New Roman" w:hAnsi="Times New Roman" w:cs="Times New Roman"/>
          <w:sz w:val="28"/>
          <w:szCs w:val="28"/>
        </w:rPr>
        <w:fldChar w:fldCharType="begin" w:fldLock="1"/>
      </w:r>
      <w:r w:rsidR="0020409B">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disorders.","type":"article-journal","volume":"16"},"uris":["http://www.mendeley.com/documents/?uuid=c34613a0-bf02-4657-92df-ceedf4f3100e"]}],"mendeley":{"formattedCitation":"[18]","manualFormatting":"[18, р. 244]","plainTextFormattedCitation":"[18]","previouslyFormattedCitation":"[18]"},"properties":{"noteIndex":0},"schema":"https://github.com/citation-style-language/schema/raw/master/csl-citation.json"}</w:instrText>
      </w:r>
      <w:r w:rsidR="00EA0E64">
        <w:rPr>
          <w:rFonts w:ascii="Times New Roman" w:hAnsi="Times New Roman" w:cs="Times New Roman"/>
          <w:sz w:val="28"/>
          <w:szCs w:val="28"/>
        </w:rPr>
        <w:fldChar w:fldCharType="separate"/>
      </w:r>
      <w:r w:rsidR="0020409B" w:rsidRPr="0020409B">
        <w:rPr>
          <w:rFonts w:ascii="Times New Roman" w:hAnsi="Times New Roman" w:cs="Times New Roman"/>
          <w:noProof/>
          <w:sz w:val="28"/>
          <w:szCs w:val="28"/>
        </w:rPr>
        <w:t>[18</w:t>
      </w:r>
      <w:r w:rsidR="0020409B">
        <w:rPr>
          <w:rFonts w:ascii="Times New Roman" w:hAnsi="Times New Roman" w:cs="Times New Roman"/>
          <w:noProof/>
          <w:sz w:val="28"/>
          <w:szCs w:val="28"/>
        </w:rPr>
        <w:t>, р. 244</w:t>
      </w:r>
      <w:r w:rsidR="0020409B" w:rsidRPr="0020409B">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далее способствует образованию жировой инфильтрации кровеносного сосуда. Уровень ЛПВП, определенный в плазме или сыворотке крови имеет косвенную информацию, поэтому ЛПВП не рекомендуется для оценки риска развития ССЗ и мониторинга лечения дислипидемии </w:t>
      </w:r>
      <w:r w:rsidR="00EA0E64">
        <w:rPr>
          <w:rFonts w:ascii="Times New Roman" w:hAnsi="Times New Roman" w:cs="Times New Roman"/>
          <w:sz w:val="28"/>
          <w:szCs w:val="28"/>
        </w:rPr>
        <w:fldChar w:fldCharType="begin" w:fldLock="1"/>
      </w:r>
      <w:r w:rsidR="0066775B">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disorders.","type":"article-journal","volume":"16"},"uris":["http://www.mendeley.com/documents/?uuid=c34613a0-bf02-4657-92df-ceedf4f3100e"]}],"mendeley":{"formattedCitation":"[18]","manualFormatting":"[18, р. 244]","plainTextFormattedCitation":"[18]","previouslyFormattedCitation":"[18]"},"properties":{"noteIndex":0},"schema":"https://github.com/citation-style-language/schema/raw/master/csl-citation.json"}</w:instrText>
      </w:r>
      <w:r w:rsidR="00EA0E64">
        <w:rPr>
          <w:rFonts w:ascii="Times New Roman" w:hAnsi="Times New Roman" w:cs="Times New Roman"/>
          <w:sz w:val="28"/>
          <w:szCs w:val="28"/>
        </w:rPr>
        <w:fldChar w:fldCharType="separate"/>
      </w:r>
      <w:r w:rsidR="0020409B" w:rsidRPr="0020409B">
        <w:rPr>
          <w:rFonts w:ascii="Times New Roman" w:hAnsi="Times New Roman" w:cs="Times New Roman"/>
          <w:noProof/>
          <w:sz w:val="28"/>
          <w:szCs w:val="28"/>
        </w:rPr>
        <w:t>[18</w:t>
      </w:r>
      <w:r w:rsidR="0020409B">
        <w:rPr>
          <w:rFonts w:ascii="Times New Roman" w:hAnsi="Times New Roman" w:cs="Times New Roman"/>
          <w:noProof/>
          <w:sz w:val="28"/>
          <w:szCs w:val="28"/>
        </w:rPr>
        <w:t>, р. 244</w:t>
      </w:r>
      <w:r w:rsidR="0020409B" w:rsidRPr="0020409B">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905F06" w:rsidRDefault="00905F06" w:rsidP="00905F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Атерогенная дислипидемия, которая включает в себя уровни ЛПНП, ЛПОНП, промежуточную фракцию липопротеинов, часто не увеличивается </w:t>
      </w:r>
      <w:r>
        <w:rPr>
          <w:rFonts w:ascii="Times New Roman" w:hAnsi="Times New Roman" w:cs="Times New Roman"/>
          <w:sz w:val="28"/>
          <w:szCs w:val="28"/>
        </w:rPr>
        <w:lastRenderedPageBreak/>
        <w:t xml:space="preserve">при МС по сравнению с уровнем апоВ </w:t>
      </w:r>
      <w:r w:rsidR="00EA0E64">
        <w:rPr>
          <w:rFonts w:ascii="Times New Roman" w:hAnsi="Times New Roman" w:cs="Times New Roman"/>
          <w:sz w:val="28"/>
          <w:szCs w:val="28"/>
        </w:rPr>
        <w:fldChar w:fldCharType="begin" w:fldLock="1"/>
      </w:r>
      <w:r w:rsidR="004D076D">
        <w:rPr>
          <w:rFonts w:ascii="Times New Roman" w:hAnsi="Times New Roman" w:cs="Times New Roman"/>
          <w:sz w:val="28"/>
          <w:szCs w:val="28"/>
        </w:rPr>
        <w:instrText>ADDIN CSL_CITATION {"citationItems":[{"id":"ITEM-1","itemData":{"DOI":"10.1089/met.2019.0115","ISSN":"1540-4196","abstract":"Current algorithms for assessing risk of atherosclerotic cardiovascular disease (ASCVD) and, in particular, the reliance on low-density lipoprotein (LDL) cholesterol in conditions where this measurement is discordant with apoB and LDL-particle concentrations fail to identify a sizeable part of the population at high risk for adverse cardiovascular events. This results in missed opportunities for ASCVD prevention, most notably in those with metabolic syndrome, prediabetes, and diabetes. There is substantial evidence that accumulation of ectopic fat and associated metabolic traits are markers for and pathogenic components of high-risk atherosclerosis. Conceptually, the subset of advanced lesions in high-risk atherosclerosis that triggers vascular complications is closely related to a set of coordinated high-risk traits clustering around a distinct metabolic phenotype. A key feature of this phenotype is accumulation of ectopic fat, which, coupled with age-related muscle loss, creates a milieu conducive for the development of ASCVD: atherogenic dyslipidemia, nonresolving inflammation, endothelial dysfunction, hyperinsulinemia, and impaired fibrinolysis. Sustained vascular inflammation, a hallmark of high-risk atherosclerosis, impairs plaque stabilization in this phenotype. This review describes how metabolic and inflammatory processes that are promoted in large measure by ectopic adiposity, as opposed to subcutaneous adipose tissue, relate to the pathogenesis of high-risk atherosclerosis. Clinical biomarkers indicative of these processes provide incremental information to standard risk factor algorithms and advanced lipid testing identifies atherogenic lipoprotein patterns that are below the discrimination level of standard lipid testing. This has the potential to enable improved identification of high-risk patients who are candidates for therapeutic interventions aimed at prevention of ASCVD.","author":[{"dropping-particle":"","family":"Lechner","given":"Katharina","non-dropping-particle":"","parse-names":false,"suffix":""},{"dropping-particle":"","family":"McKenzie","given":"Amy L.","non-dropping-particle":"","parse-names":false,"suffix":""},{"dropping-particle":"","family":"Kränkel","given":"Nicolle","non-dropping-particle":"","parse-names":false,"suffix":""},{"dropping-particle":"","family":"Schacky","given":"Clemens","non-dropping-particle":"Von","parse-names":false,"suffix":""},{"dropping-particle":"","family":"Worm","given":"Nicolai","non-dropping-particle":"","parse-names":false,"suffix":""},{"dropping-particle":"","family":"Nixdorff","given":"Uwe","non-dropping-particle":"","parse-names":false,"suffix":""},{"dropping-particle":"","family":"Lechner","given":"Benjamin","non-dropping-particle":"","parse-names":false,"suffix":""},{"dropping-particle":"","family":"Scherr","given":"Johannes","non-dropping-particle":"","parse-names":false,"suffix":""},{"dropping-particle":"","family":"Weingärtner","given":"Oliver","non-dropping-particle":"","parse-names":false,"suffix":""},{"dropping-particle":"","family":"Krauss","given":"Ronald M.","non-dropping-particle":"","parse-names":false,"suffix":""}],"container-title":"Metabolic Syndrome and Related Disorders","id":"ITEM-1","issue":"XX","issued":{"date-parts":[["2020","3","2"]]},"page":"176-185","title":"High-Risk Atherosclerosis and Metabolic Phenotype: The Roles of Ectopic Adiposity, Atherogenic Dyslipidemia, and Inflammation","type":"article-journal","volume":"XX"},"uris":["http://www.mendeley.com/documents/?uuid=b75ad960-2c9d-416a-a8ae-3acd17ba22f8"]}],"mendeley":{"formattedCitation":"[15]","manualFormatting":"[15, р. 181]","plainTextFormattedCitation":"[15]","previouslyFormattedCitation":"[15]"},"properties":{"noteIndex":0},"schema":"https://github.com/citation-style-language/schema/raw/master/csl-citation.json"}</w:instrText>
      </w:r>
      <w:r w:rsidR="00EA0E64">
        <w:rPr>
          <w:rFonts w:ascii="Times New Roman" w:hAnsi="Times New Roman" w:cs="Times New Roman"/>
          <w:sz w:val="28"/>
          <w:szCs w:val="28"/>
        </w:rPr>
        <w:fldChar w:fldCharType="separate"/>
      </w:r>
      <w:r w:rsidR="0066775B" w:rsidRPr="0066775B">
        <w:rPr>
          <w:rFonts w:ascii="Times New Roman" w:hAnsi="Times New Roman" w:cs="Times New Roman"/>
          <w:noProof/>
          <w:sz w:val="28"/>
          <w:szCs w:val="28"/>
        </w:rPr>
        <w:t>[15</w:t>
      </w:r>
      <w:r w:rsidR="0066775B">
        <w:rPr>
          <w:rFonts w:ascii="Times New Roman" w:hAnsi="Times New Roman" w:cs="Times New Roman"/>
          <w:noProof/>
          <w:sz w:val="28"/>
          <w:szCs w:val="28"/>
        </w:rPr>
        <w:t>, р. 181</w:t>
      </w:r>
      <w:r w:rsidR="0066775B" w:rsidRPr="0066775B">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что в свою очередь, может привести к недооценке риска АССЗ.</w:t>
      </w:r>
      <w:r w:rsidR="00173868">
        <w:rPr>
          <w:rFonts w:ascii="Times New Roman" w:hAnsi="Times New Roman" w:cs="Times New Roman"/>
          <w:sz w:val="28"/>
          <w:szCs w:val="28"/>
        </w:rPr>
        <w:t xml:space="preserve"> </w:t>
      </w:r>
      <w:r>
        <w:rPr>
          <w:rFonts w:ascii="Times New Roman" w:hAnsi="Times New Roman" w:cs="Times New Roman"/>
          <w:sz w:val="28"/>
          <w:szCs w:val="28"/>
        </w:rPr>
        <w:t xml:space="preserve">Структурным компонентом всех липопротеинов, кроме ЛПВП является апоВ, который состоит из 2 изоформ – апоВ 100 и апоВ 48 </w:t>
      </w:r>
      <w:r w:rsidR="00EA0E64">
        <w:rPr>
          <w:rFonts w:ascii="Times New Roman" w:hAnsi="Times New Roman" w:cs="Times New Roman"/>
          <w:sz w:val="28"/>
          <w:szCs w:val="28"/>
        </w:rPr>
        <w:fldChar w:fldCharType="begin" w:fldLock="1"/>
      </w:r>
      <w:r w:rsidR="00733F51">
        <w:rPr>
          <w:rFonts w:ascii="Times New Roman" w:hAnsi="Times New Roman" w:cs="Times New Roman"/>
          <w:sz w:val="28"/>
          <w:szCs w:val="28"/>
        </w:rPr>
        <w:instrText>ADDIN CSL_CITATION {"citationItems":[{"id":"ITEM-1","itemData":{"DOI":"10.1093/eurheartj/ehw152","ISSN":"0195-668X","abstract":"Aims To critically evaluate the clinical implications of the use of non-fasting rather than fasting lipid profiles and to provide guidance for the laboratory reporting of abnormal non-fasting or fasting lipid profiles. Methods and results Extensive observational data, in which random non-fasting lipid profiles have been compared with those determined under fasting conditions, indicate that the maximal mean changes at 1-6 h after habitual meals are not clinically significant [+0.3 mmol/L (26 mg/dL) for triglycerides; -0.2 mmol/L (8 mg/dL) for total cholesterol; -0.2 mmol/L (8 mg/dL) for LDL cholesterol; +0.2 mmol/L (8 mg/dL) for calculated remnant cholesterol; -0.2 mmol/L (8 mg/dL) for calculated non-HDL cholesterol]; concentrations of HDL cholesterol, apolipoprotein A1, apolipoprotein B, and lipoprotein(a) are not affected by fasting/non-fasting status. In addition, non-fasting and fasting concentrations vary similarly over time and are comparable in the prediction of cardiovascular disease. To improve patient compliance with lipid testing, we therefore recommend the routine use of non-fasting lipid profiles, while fasting sampling may be considered when non-fasting triglycerides &gt;5 mmol/L (440 mg/dL). For non-fasting samples, laboratory reports should flag abnormal concentrations as triglycerides ≥2 mmol/L (175 mg/dL), total cholesterol ≥5 mmol/L (190 mg/dL), LDL cholesterol ≥3 mmol/L (115 mg/dL), calculated remnant cholesterol ≥0.9 mmol/L (35 mg/dL), calculated non-HDL cholesterol ≥3.9 mmol/L (150 mg/dL), HDL cholesterol ≤1 mmol/L (40 mg/dL), apolipoprotein A1 ≤1.25 g/L (125 mg/dL), apolipoprotein B ≥1.0 g/L (100 mg/dL), and lipoprotein(a) ≥50 mg/dL (80th percentile); for fasting samples, abnormal concentrations correspond to triglycerides ≥1.7 mmol/L (150 mg/dL). Life-threatening concentrations require separate referral when triglycerides &gt;10 mmol/L (880 mg/dL) for the risk of pancreatitis, LDL cholesterol &gt;13 mmol/L (500 mg/dL) for homozygous familial hypercholesterolaemia, LDL cholesterol &gt;5 mmol/L (190 mg/dL) for heterozygous familial hypercholesterolaemia, and lipoprotein(a) &gt;150 mg/dL (99th percentile) for very high cardiovascular risk. Conclusion We recommend that non-fasting blood samples be routinely used for the assessment of plasma lipid profiles. Laboratory reports should flag abnormal values on the basis of desirable concentration cut-points. Non-fasting and fasting measurements should be complementary but not mutually exclusive.","author":[{"dropping-particle":"","family":"Nordestgaard","given":"Børge G.","non-dropping-particle":"","parse-names":false,"suffix":""},{"dropping-particle":"","family":"Langsted","given":"Anne","non-dropping-particle":"","parse-names":false,"suffix":""},{"dropping-particle":"","family":"Mora","given":"Samia","non-dropping-particle":"","parse-names":false,"suffix":""},{"dropping-particle":"","family":"Kolovou","given":"Genovefa","non-dropping-particle":"","parse-names":false,"suffix":""},{"dropping-particle":"","family":"Baum","given":"Hannsjörg","non-dropping-particle":"","parse-names":false,"suffix":""},{"dropping-particle":"","family":"Bruckert","given":"Eric","non-dropping-particle":"","parse-names":false,"suffix":""},{"dropping-particle":"","family":"Watts","given":"Gerald F.","non-dropping-particle":"","parse-names":false,"suffix":""},{"dropping-particle":"","family":"Sypniewska","given":"Grazyna","non-dropping-particle":"","parse-names":false,"suffix":""},{"dropping-particle":"","family":"Wiklund","given":"Olov","non-dropping-particle":"","parse-names":false,"suffix":""},{"dropping-particle":"","family":"Borén","given":"Jan","non-dropping-particle":"","parse-names":false,"suffix":""},{"dropping-particle":"","family":"Chapman","given":"M. John","non-dropping-particle":"","parse-names":false,"suffix":""},{"dropping-particle":"","family":"Cobbaert","given":"Christa","non-dropping-particle":"","parse-names":false,"suffix":""},{"dropping-particle":"","family":"Descamps","given":"Olivier S.","non-dropping-particle":"","parse-names":false,"suffix":""},{"dropping-particle":"","family":"Eckardstein","given":"Arnold","non-dropping-particle":"von","parse-names":false,"suffix":""},{"dropping-particle":"","family":"Kamstrup","given":"Pia R.","non-dropping-particle":"","parse-names":false,"suffix":""},{"dropping-particle":"","family":"Pulkki","given":"Kari","non-dropping-particle":"","parse-names":false,"suffix":""},{"dropping-particle":"","family":"Kronenberg","given":"Florian","non-dropping-particle":"","parse-names":false,"suffix":""},{"dropping-particle":"","family":"Remaley","given":"Alan T.","non-dropping-particle":"","parse-names":false,"suffix":""},{"dropping-particle":"","family":"Rifai","given":"Nader","non-dropping-particle":"","parse-names":false,"suffix":""},{"dropping-particle":"","family":"Ros","given":"Emilio","non-dropping-particle":"","parse-names":false,"suffix":""},{"dropping-particle":"","family":"Langlois","given":"Michel","non-dropping-particle":"","parse-names":false,"suffix":""}],"container-title":"European Heart Journal","id":"ITEM-1","issue":"25","issued":{"date-parts":[["2016","7","1"]]},"page":"1944-1958","title":"Fasting is not routinely required for determination of a lipid profile: clinical and laboratory implications including flagging at desirable concentration cut-points—a joint consensus statement from the European Atherosclerosis Society and European Federa","type":"article-journal","volume":"37"},"uris":["http://www.mendeley.com/documents/?uuid=15153d98-f23a-447e-a4cc-f98a74ed5965"]},{"id":"ITEM-2","itemData":{"DOI":"10.5114/aoms.2020.93253","abstract":"The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Sci","id":"ITEM-2","issue":"2","issued":{"date-parts":[["2020"]]},"page":"237-252","title":"2020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id":"ITEM-3","itemData":{"DOI":"10.11909/j.issn.1671-5411.2018.01.011","ISSN":"1671-5411","author":[{"dropping-particle":"","family":"Zhu","given":"Jun-Ren","non-dropping-particle":"","parse-names":false,"suffix":""},{"dropping-particle":"","family":"Gao","given":"Run-Lin","non-dropping-particle":"","parse-names":false,"suffix":""},{"dropping-particle":"","family":"Zhao","given":"Shui-Ping","non-dropping-particle":"","parse-names":false,"suffix":""},{"dropping-particle":"","family":"Lu","given":"Guo-Ping","non-dropping-particle":"","parse-names":false,"suffix":""},{"dropping-particle":"","family":"Zhao","given":"Dong","non-dropping-particle":"","parse-names":false,"suffix":""},{"dropping-particle":"","family":"Li","given":"Jian-Jun","non-dropping-particle":"","parse-names":false,"suffix":""}],"container-title":"Journal of geriatric cardiology","id":"ITEM-3","issue":"1","issued":{"date-parts":[["2018"]]},"page":"1-29","title":"2016 Chinese guidelines for the management of dyslipidemia in adults.","type":"article-journal","volume":"15"},"uris":["http://www.mendeley.com/documents/?uuid=e958d0e8-ef8e-4422-8a1c-ccb76ea9659e"]}],"mendeley":{"formattedCitation":"[18,20,22]","manualFormatting":"[18, р. 246; 20, р. 6; 22, р. 1946]","plainTextFormattedCitation":"[18,20,22]","previouslyFormattedCitation":"[18,20,22]"},"properties":{"noteIndex":0},"schema":"https://github.com/citation-style-language/schema/raw/master/csl-citation.json"}</w:instrText>
      </w:r>
      <w:r w:rsidR="00EA0E64">
        <w:rPr>
          <w:rFonts w:ascii="Times New Roman" w:hAnsi="Times New Roman" w:cs="Times New Roman"/>
          <w:sz w:val="28"/>
          <w:szCs w:val="28"/>
        </w:rPr>
        <w:fldChar w:fldCharType="separate"/>
      </w:r>
      <w:r w:rsidR="004D076D" w:rsidRPr="004D076D">
        <w:rPr>
          <w:rFonts w:ascii="Times New Roman" w:hAnsi="Times New Roman" w:cs="Times New Roman"/>
          <w:noProof/>
          <w:sz w:val="28"/>
          <w:szCs w:val="28"/>
        </w:rPr>
        <w:t>[18,</w:t>
      </w:r>
      <w:r w:rsidR="004D076D">
        <w:rPr>
          <w:rFonts w:ascii="Times New Roman" w:hAnsi="Times New Roman" w:cs="Times New Roman"/>
          <w:noProof/>
          <w:sz w:val="28"/>
          <w:szCs w:val="28"/>
        </w:rPr>
        <w:t xml:space="preserve"> р. 246; </w:t>
      </w:r>
      <w:r w:rsidR="004D076D" w:rsidRPr="004D076D">
        <w:rPr>
          <w:rFonts w:ascii="Times New Roman" w:hAnsi="Times New Roman" w:cs="Times New Roman"/>
          <w:noProof/>
          <w:sz w:val="28"/>
          <w:szCs w:val="28"/>
        </w:rPr>
        <w:t>20,</w:t>
      </w:r>
      <w:r w:rsidR="004D076D">
        <w:rPr>
          <w:rFonts w:ascii="Times New Roman" w:hAnsi="Times New Roman" w:cs="Times New Roman"/>
          <w:noProof/>
          <w:sz w:val="28"/>
          <w:szCs w:val="28"/>
        </w:rPr>
        <w:t xml:space="preserve"> р. 6; </w:t>
      </w:r>
      <w:r w:rsidR="004D076D" w:rsidRPr="004D076D">
        <w:rPr>
          <w:rFonts w:ascii="Times New Roman" w:hAnsi="Times New Roman" w:cs="Times New Roman"/>
          <w:noProof/>
          <w:sz w:val="28"/>
          <w:szCs w:val="28"/>
        </w:rPr>
        <w:t>22</w:t>
      </w:r>
      <w:r w:rsidR="004D076D">
        <w:rPr>
          <w:rFonts w:ascii="Times New Roman" w:hAnsi="Times New Roman" w:cs="Times New Roman"/>
          <w:noProof/>
          <w:sz w:val="28"/>
          <w:szCs w:val="28"/>
        </w:rPr>
        <w:t>, р. 1946</w:t>
      </w:r>
      <w:r w:rsidR="004D076D" w:rsidRPr="004D076D">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Изоформа апоВ 100 синтезируется в печени и входит в состав ЛПОНП, ЛПНП и промежуточной фракции липопротеинов. Изоформа апоВ 48 синтезируется в кишечнике и присутствует в хиломикронах и его остатках </w:t>
      </w:r>
      <w:r w:rsidR="00EA0E64">
        <w:rPr>
          <w:rFonts w:ascii="Times New Roman" w:hAnsi="Times New Roman" w:cs="Times New Roman"/>
          <w:sz w:val="28"/>
          <w:szCs w:val="28"/>
        </w:rPr>
        <w:fldChar w:fldCharType="begin" w:fldLock="1"/>
      </w:r>
      <w:r w:rsidR="00733F51">
        <w:rPr>
          <w:rFonts w:ascii="Times New Roman" w:hAnsi="Times New Roman" w:cs="Times New Roman"/>
          <w:sz w:val="28"/>
          <w:szCs w:val="28"/>
        </w:rPr>
        <w:instrText>ADDIN CSL_CITATION {"citationItems":[{"id":"ITEM-1","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Journal","id":"ITEM-1","issue":"1","issued":{"date-parts":[["2020","1","1"]]},"page":"111-188","title":"2019 ESC/EAS Guidelines for the management of dyslipidaemias: lipid modification to reduce cardiovascular risk","type":"article-journal","volume":"41"},"uris":["http://www.mendeley.com/documents/?uuid=596ff8fa-459c-486e-8041-242d096c7b8b"]},{"id":"ITEM-2","itemData":{"DOI":"10.1093/eurheartj/ehw152","ISSN":"0195-668X","abstract":"Aims To critically evaluate the clinical implications of the use of non-fasting rather than fasting lipid profiles and to provide guidance for the laboratory reporting of abnormal non-fasting or fasting lipid profiles. Methods and results Extensive observational data, in which random non-fasting lipid profiles have been compared with those determined under fasting conditions, indicate that the maximal mean changes at 1-6 h after habitual meals are not clinically significant [+0.3 mmol/L (26 mg/dL) for triglycerides; -0.2 mmol/L (8 mg/dL) for total cholesterol; -0.2 mmol/L (8 mg/dL) for LDL cholesterol; +0.2 mmol/L (8 mg/dL) for calculated remnant cholesterol; -0.2 mmol/L (8 mg/dL) for calculated non-HDL cholesterol]; concentrations of HDL cholesterol, apolipoprotein A1, apolipoprotein B, and lipoprotein(a) are not affected by fasting/non-fasting status. In addition, non-fasting and fasting concentrations vary similarly over time and are comparable in the prediction of cardiovascular disease. To improve patient compliance with lipid testing, we therefore recommend the routine use of non-fasting lipid profiles, while fasting sampling may be considered when non-fasting triglycerides &gt;5 mmol/L (440 mg/dL). For non-fasting samples, laboratory reports should flag abnormal concentrations as triglycerides ≥2 mmol/L (175 mg/dL), total cholesterol ≥5 mmol/L (190 mg/dL), LDL cholesterol ≥3 mmol/L (115 mg/dL), calculated remnant cholesterol ≥0.9 mmol/L (35 mg/dL), calculated non-HDL cholesterol ≥3.9 mmol/L (150 mg/dL), HDL cholesterol ≤1 mmol/L (40 mg/dL), apolipoprotein A1 ≤1.25 g/L (125 mg/dL), apolipoprotein B ≥1.0 g/L (100 mg/dL), and lipoprotein(a) ≥50 mg/dL (80th percentile); for fasting samples, abnormal concentrations correspond to triglycerides ≥1.7 mmol/L (150 mg/dL). Life-threatening concentrations require separate referral when triglycerides &gt;10 mmol/L (880 mg/dL) for the risk of pancreatitis, LDL cholesterol &gt;13 mmol/L (500 mg/dL) for homozygous familial hypercholesterolaemia, LDL cholesterol &gt;5 mmol/L (190 mg/dL) for heterozygous familial hypercholesterolaemia, and lipoprotein(a) &gt;150 mg/dL (99th percentile) for very high cardiovascular risk. Conclusion We recommend that non-fasting blood samples be routinely used for the assessment of plasma lipid profiles. Laboratory reports should flag abnormal values on the basis of desirable concentration cut-points. Non-fasting and fasting measurements should be complementary but not mutually exclusive.","author":[{"dropping-particle":"","family":"Nordestgaard","given":"Børge G.","non-dropping-particle":"","parse-names":false,"suffix":""},{"dropping-particle":"","family":"Langsted","given":"Anne","non-dropping-particle":"","parse-names":false,"suffix":""},{"dropping-particle":"","family":"Mora","given":"Samia","non-dropping-particle":"","parse-names":false,"suffix":""},{"dropping-particle":"","family":"Kolovou","given":"Genovefa","non-dropping-particle":"","parse-names":false,"suffix":""},{"dropping-particle":"","family":"Baum","given":"Hannsjörg","non-dropping-particle":"","parse-names":false,"suffix":""},{"dropping-particle":"","family":"Bruckert","given":"Eric","non-dropping-particle":"","parse-names":false,"suffix":""},{"dropping-particle":"","family":"Watts","given":"Gerald F.","non-dropping-particle":"","parse-names":false,"suffix":""},{"dropping-particle":"","family":"Sypniewska","given":"Grazyna","non-dropping-particle":"","parse-names":false,"suffix":""},{"dropping-particle":"","family":"Wiklund","given":"Olov","non-dropping-particle":"","parse-names":false,"suffix":""},{"dropping-particle":"","family":"Borén","given":"Jan","non-dropping-particle":"","parse-names":false,"suffix":""},{"dropping-particle":"","family":"Chapman","given":"M. John","non-dropping-particle":"","parse-names":false,"suffix":""},{"dropping-particle":"","family":"Cobbaert","given":"Christa","non-dropping-particle":"","parse-names":false,"suffix":""},{"dropping-particle":"","family":"Descamps","given":"Olivier S.","non-dropping-particle":"","parse-names":false,"suffix":""},{"dropping-particle":"","family":"Eckardstein","given":"Arnold","non-dropping-particle":"von","parse-names":false,"suffix":""},{"dropping-particle":"","family":"Kamstrup","given":"Pia R.","non-dropping-particle":"","parse-names":false,"suffix":""},{"dropping-particle":"","family":"Pulkki","given":"Kari","non-dropping-particle":"","parse-names":false,"suffix":""},{"dropping-particle":"","family":"Kronenberg","given":"Florian","non-dropping-particle":"","parse-names":false,"suffix":""},{"dropping-particle":"","family":"Remaley","given":"Alan T.","non-dropping-particle":"","parse-names":false,"suffix":""},{"dropping-particle":"","family":"Rifai","given":"Nader","non-dropping-particle":"","parse-names":false,"suffix":""},{"dropping-particle":"","family":"Ros","given":"Emilio","non-dropping-particle":"","parse-names":false,"suffix":""},{"dropping-particle":"","family":"Langlois","given":"Michel","non-dropping-particle":"","parse-names":false,"suffix":""}],"container-title":"European Heart Journal","id":"ITEM-2","issue":"25","issued":{"date-parts":[["2016","7","1"]]},"page":"1944-1958","title":"Fasting is not routinely required for determination of a lipid profile: clinical and laboratory implications including flagging at desirable concentration cut-points—a joint consensus statement from the European Atherosclerosis Society and European Federa","type":"article-journal","volume":"37"},"uris":["http://www.mendeley.com/documents/?uuid=15153d98-f23a-447e-a4cc-f98a74ed5965"]},{"id":"ITEM-3","itemData":{"DOI":"10.11909/j.issn.1671-5411.2018.01.011","ISSN":"1671-5411","author":[{"dropping-particle":"","family":"Zhu","given":"Jun-Ren","non-dropping-particle":"","parse-names":false,"suffix":""},{"dropping-particle":"","family":"Gao","given":"Run-Lin","non-dropping-particle":"","parse-names":false,"suffix":""},{"dropping-particle":"","family":"Zhao","given":"Shui-Ping","non-dropping-particle":"","parse-names":false,"suffix":""},{"dropping-particle":"","family":"Lu","given":"Guo-Ping","non-dropping-particle":"","parse-names":false,"suffix":""},{"dropping-particle":"","family":"Zhao","given":"Dong","non-dropping-particle":"","parse-names":false,"suffix":""},{"dropping-particle":"","family":"Li","given":"Jian-Jun","non-dropping-particle":"","parse-names":false,"suffix":""}],"container-title":"Journal of geriatric cardiology","id":"ITEM-3","issue":"1","issued":{"date-parts":[["2018"]]},"page":"1-29","title":"2016 Chinese guidelines for the management of dyslipidemia in adults.","type":"article-journal","volume":"15"},"uris":["http://www.mendeley.com/documents/?uuid=e958d0e8-ef8e-4422-8a1c-ccb76ea9659e"]}],"mendeley":{"formattedCitation":"[2,20,22]","manualFormatting":"[2, р. 127; 20, р. 6; 22, р.1946]","plainTextFormattedCitation":"[2,20,22]","previouslyFormattedCitation":"[2,20,22]"},"properties":{"noteIndex":0},"schema":"https://github.com/citation-style-language/schema/raw/master/csl-citation.json"}</w:instrText>
      </w:r>
      <w:r w:rsidR="00EA0E64">
        <w:rPr>
          <w:rFonts w:ascii="Times New Roman" w:hAnsi="Times New Roman" w:cs="Times New Roman"/>
          <w:sz w:val="28"/>
          <w:szCs w:val="28"/>
        </w:rPr>
        <w:fldChar w:fldCharType="separate"/>
      </w:r>
      <w:r w:rsidR="00733F51" w:rsidRPr="00733F51">
        <w:rPr>
          <w:rFonts w:ascii="Times New Roman" w:hAnsi="Times New Roman" w:cs="Times New Roman"/>
          <w:noProof/>
          <w:sz w:val="28"/>
          <w:szCs w:val="28"/>
        </w:rPr>
        <w:t>[2,</w:t>
      </w:r>
      <w:r w:rsidR="00733F51">
        <w:rPr>
          <w:rFonts w:ascii="Times New Roman" w:hAnsi="Times New Roman" w:cs="Times New Roman"/>
          <w:noProof/>
          <w:sz w:val="28"/>
          <w:szCs w:val="28"/>
        </w:rPr>
        <w:t xml:space="preserve"> р. 127; </w:t>
      </w:r>
      <w:r w:rsidR="00733F51" w:rsidRPr="00733F51">
        <w:rPr>
          <w:rFonts w:ascii="Times New Roman" w:hAnsi="Times New Roman" w:cs="Times New Roman"/>
          <w:noProof/>
          <w:sz w:val="28"/>
          <w:szCs w:val="28"/>
        </w:rPr>
        <w:t>20,</w:t>
      </w:r>
      <w:r w:rsidR="00733F51">
        <w:rPr>
          <w:rFonts w:ascii="Times New Roman" w:hAnsi="Times New Roman" w:cs="Times New Roman"/>
          <w:noProof/>
          <w:sz w:val="28"/>
          <w:szCs w:val="28"/>
        </w:rPr>
        <w:t xml:space="preserve"> р. 6; </w:t>
      </w:r>
      <w:r w:rsidR="00733F51" w:rsidRPr="00733F51">
        <w:rPr>
          <w:rFonts w:ascii="Times New Roman" w:hAnsi="Times New Roman" w:cs="Times New Roman"/>
          <w:noProof/>
          <w:sz w:val="28"/>
          <w:szCs w:val="28"/>
        </w:rPr>
        <w:t>22</w:t>
      </w:r>
      <w:r w:rsidR="00733F51">
        <w:rPr>
          <w:rFonts w:ascii="Times New Roman" w:hAnsi="Times New Roman" w:cs="Times New Roman"/>
          <w:noProof/>
          <w:sz w:val="28"/>
          <w:szCs w:val="28"/>
        </w:rPr>
        <w:t>, р.</w:t>
      </w:r>
      <w:r w:rsidR="00947F5B">
        <w:rPr>
          <w:rFonts w:ascii="Times New Roman" w:hAnsi="Times New Roman" w:cs="Times New Roman"/>
          <w:noProof/>
          <w:sz w:val="28"/>
          <w:szCs w:val="28"/>
        </w:rPr>
        <w:t xml:space="preserve"> </w:t>
      </w:r>
      <w:r w:rsidR="00733F51">
        <w:rPr>
          <w:rFonts w:ascii="Times New Roman" w:hAnsi="Times New Roman" w:cs="Times New Roman"/>
          <w:noProof/>
          <w:sz w:val="28"/>
          <w:szCs w:val="28"/>
        </w:rPr>
        <w:t>1946</w:t>
      </w:r>
      <w:r w:rsidR="00733F51" w:rsidRPr="00733F51">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Содержащие апоВ</w:t>
      </w:r>
      <w:r w:rsidR="004A3CF1">
        <w:rPr>
          <w:rFonts w:ascii="Times New Roman" w:hAnsi="Times New Roman" w:cs="Times New Roman"/>
          <w:sz w:val="28"/>
          <w:szCs w:val="28"/>
        </w:rPr>
        <w:t xml:space="preserve"> </w:t>
      </w:r>
      <w:r>
        <w:rPr>
          <w:rFonts w:ascii="Times New Roman" w:hAnsi="Times New Roman" w:cs="Times New Roman"/>
          <w:sz w:val="28"/>
          <w:szCs w:val="28"/>
        </w:rPr>
        <w:t xml:space="preserve">48 хиломикроны поступают в общий </w:t>
      </w:r>
      <w:r w:rsidR="00290CA4">
        <w:rPr>
          <w:rFonts w:ascii="Times New Roman" w:hAnsi="Times New Roman" w:cs="Times New Roman"/>
          <w:sz w:val="28"/>
          <w:szCs w:val="28"/>
        </w:rPr>
        <w:t>кровоток,</w:t>
      </w:r>
      <w:r>
        <w:rPr>
          <w:rFonts w:ascii="Times New Roman" w:hAnsi="Times New Roman" w:cs="Times New Roman"/>
          <w:sz w:val="28"/>
          <w:szCs w:val="28"/>
        </w:rPr>
        <w:t xml:space="preserve"> и связывается с </w:t>
      </w:r>
      <w:r w:rsidR="00851EF8">
        <w:rPr>
          <w:rFonts w:ascii="Times New Roman" w:hAnsi="Times New Roman" w:cs="Times New Roman"/>
          <w:sz w:val="28"/>
          <w:szCs w:val="28"/>
        </w:rPr>
        <w:t>ЛПЛ</w:t>
      </w:r>
      <w:r>
        <w:rPr>
          <w:rFonts w:ascii="Times New Roman" w:hAnsi="Times New Roman" w:cs="Times New Roman"/>
          <w:sz w:val="28"/>
          <w:szCs w:val="28"/>
        </w:rPr>
        <w:t xml:space="preserve"> в эндотелии капилляров жировой ткани, скелетных мышц и сердце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{"citationItems":[{"id":"ITEM-1","itemData":{"DOI":"10.1097/MED.0000000000000389","ISSN":"1752-296X","abstract":"PURPOSE OF REVIEW: The cholesterol content within atherogenic apolipoprotein-B (apoB) containing lipid particles is the center of consensus guidelines and clinicians' focus whenever evaluating a patient's risk for atherosclerotic cardiovascular disease. The pathobiology of atherosclerosis requires the retention of lipoprotein particles within the vascular intima over time followed by maladaptive inflammation resulting in plaque formation and rupture in some. The cholesterol content is widely variable within each particle creating either cholesterol-deplete or cholesterol-enriched particles. This variance in particle cholesterol content varies within and between individuals. Discordance analysis exploits this difference in cholesterol content of particles to demonstrate the differential significance of LDL-cholesterol (LDL-C) and non-HDL-C from measures of lipoprotein particle number in terms of assessing atherosclerotic cardiovascular disease risks. RECENT FINDINGS: Three studies have added to the growing body of literature of discordance analysis. Despite wide variability of discordance cutoffs, baseline risk of atherosclerotic disease, and populations sampled, the conclusion remains the same: risk of atherosclerotic disease follows apoB lipid particle concentration rather than cholesterol content of lipid particles. SUMMARY: In addition to traditional lipid fractions, assessments of atherogenic particle number should be strongly considered whenever assessing CVD risk in nontreated and treated individuals. There is a need for clinical trials that focus not only on the reduction in LDL-C but apoB, as well.","author":[{"dropping-particle":"","family":"Cantey","given":"Eric P.","non-dropping-particle":"","parse-names":false,"suffix":""},{"dropping-particle":"","family":"Wilkins","given":"John T.","non-dropping-particle":"","parse-names":false,"suffix":""}],"container-title":"Current Opinion in Endocrinology &amp; Diabetes and Obesity","id":"ITEM-1","issue":"2","issued":{"date-parts":[["2018","4"]]},"page":"130-136","title":"Discordance between lipoprotein particle number and cholesterol content","type":"article-journal","volume":"25"},"uris":["http://www.mendeley.com/documents/?uuid=5e00bff5-1067-406b-b0af-ff6664180ed8"]}],"mendeley":{"formattedCitation":"[23]","plainTextFormattedCitation":"[23]","previouslyFormattedCitation":"[23]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[23]</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Под действием </w:t>
      </w:r>
      <w:r w:rsidR="00851EF8">
        <w:rPr>
          <w:rFonts w:ascii="Times New Roman" w:hAnsi="Times New Roman" w:cs="Times New Roman"/>
          <w:sz w:val="28"/>
          <w:szCs w:val="28"/>
        </w:rPr>
        <w:t>ЛПЛ</w:t>
      </w:r>
      <w:r>
        <w:rPr>
          <w:rFonts w:ascii="Times New Roman" w:hAnsi="Times New Roman" w:cs="Times New Roman"/>
          <w:sz w:val="28"/>
          <w:szCs w:val="28"/>
        </w:rPr>
        <w:t xml:space="preserve"> ТГ расщепляются в свободные жирные кислоты, которые поглощаются адиптоцитами </w:t>
      </w:r>
      <w:r w:rsidR="00EA0E64">
        <w:rPr>
          <w:rFonts w:ascii="Times New Roman" w:hAnsi="Times New Roman" w:cs="Times New Roman"/>
          <w:sz w:val="28"/>
          <w:szCs w:val="28"/>
        </w:rPr>
        <w:fldChar w:fldCharType="begin" w:fldLock="1"/>
      </w:r>
      <w:r w:rsidR="00E8081B">
        <w:rPr>
          <w:rFonts w:ascii="Times New Roman" w:hAnsi="Times New Roman" w:cs="Times New Roman"/>
          <w:sz w:val="28"/>
          <w:szCs w:val="28"/>
        </w:rPr>
        <w:instrText>ADDIN CSL_CITATION {"citationItems":[{"id":"ITEM-1","itemData":{"DOI":"10.1097/MED.0000000000000389","ISSN":"1752-296X","abstract":"PURPOSE OF REVIEW: The cholesterol content within atherogenic apolipoprotein-B (apoB) containing lipid particles is the center of consensus guidelines and clinicians' focus whenever evaluating a patient's risk for atherosclerotic cardiovascular disease. The pathobiology of atherosclerosis requires the retention of lipoprotein particles within the vascular intima over time followed by maladaptive inflammation resulting in plaque formation and rupture in some. The cholesterol content is widely variable within each particle creating either cholesterol-deplete or cholesterol-enriched particles. This variance in particle cholesterol content varies within and between individuals. Discordance analysis exploits this difference in cholesterol content of particles to demonstrate the differential significance of LDL-cholesterol (LDL-C) and non-HDL-C from measures of lipoprotein particle number in terms of assessing atherosclerotic cardiovascular disease risks. RECENT FINDINGS: Three studies have added to the growing body of literature of discordance analysis. Despite wide variability of discordance cutoffs, baseline risk of atherosclerotic disease, and populations sampled, the conclusion remains the same: risk of atherosclerotic disease follows apoB lipid particle concentration rather than cholesterol content of lipid particles. SUMMARY: In addition to traditional lipid fractions, assessments of atherogenic particle number should be strongly considered whenever assessing CVD risk in nontreated and treated individuals. There is a need for clinical trials that focus not only on the reduction in LDL-C but apoB, as well.","author":[{"dropping-particle":"","family":"Cantey","given":"Eric P.","non-dropping-particle":"","parse-names":false,"suffix":""},{"dropping-particle":"","family":"Wilkins","given":"John T.","non-dropping-particle":"","parse-names":false,"suffix":""}],"container-title":"Current Opinion in Endocrinology &amp; Diabetes and Obesity","id":"ITEM-1","issue":"2","issued":{"date-parts":[["2018","4"]]},"page":"130-136","title":"Discordance between lipoprotein particle number and cholesterol content","type":"article-journal","volume":"25"},"uris":["http://www.mendeley.com/documents/?uuid=5e00bff5-1067-406b-b0af-ff6664180ed8"]}],"mendeley":{"formattedCitation":"[23]","manualFormatting":"[23, р. 134]","plainTextFormattedCitation":"[23]","previouslyFormattedCitation":"[23]"},"properties":{"noteIndex":0},"schema":"https://github.com/citation-style-language/schema/raw/master/csl-citation.json"}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[23</w:t>
      </w:r>
      <w:r w:rsidR="00733F51">
        <w:rPr>
          <w:rFonts w:ascii="Times New Roman" w:hAnsi="Times New Roman" w:cs="Times New Roman"/>
          <w:noProof/>
          <w:sz w:val="28"/>
          <w:szCs w:val="28"/>
        </w:rPr>
        <w:t xml:space="preserve">, р. </w:t>
      </w:r>
      <w:r w:rsidR="00E8081B">
        <w:rPr>
          <w:rFonts w:ascii="Times New Roman" w:hAnsi="Times New Roman" w:cs="Times New Roman"/>
          <w:noProof/>
          <w:sz w:val="28"/>
          <w:szCs w:val="28"/>
        </w:rPr>
        <w:t>134</w:t>
      </w:r>
      <w:r w:rsidR="00224447" w:rsidRPr="00224447">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Так как апоВ 48 – содержащие хиломикроны составляют меньше 1% от общей концентрации апоВ – содержащих липопротеинов, то для определения уровня апоВ необязательно сдавать кровь натощак </w:t>
      </w:r>
      <w:r w:rsidR="00EA0E64">
        <w:rPr>
          <w:rFonts w:ascii="Times New Roman" w:hAnsi="Times New Roman" w:cs="Times New Roman"/>
          <w:sz w:val="28"/>
          <w:szCs w:val="28"/>
        </w:rPr>
        <w:fldChar w:fldCharType="begin" w:fldLock="1"/>
      </w:r>
      <w:r w:rsidR="00E8081B">
        <w:rPr>
          <w:rFonts w:ascii="Times New Roman" w:hAnsi="Times New Roman" w:cs="Times New Roman"/>
          <w:sz w:val="28"/>
          <w:szCs w:val="28"/>
        </w:rPr>
        <w:instrText>ADDIN CSL_CITATION {"citationItems":[{"id":"ITEM-1","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Journal","id":"ITEM-1","issue":"1","issued":{"date-parts":[["2020","1","1"]]},"page":"111-188","title":"2019 ESC/EAS Guidelines for the management of dyslipidaemias: lipid modification to reduce cardiovascular risk","type":"article-journal","volume":"41"},"uris":["http://www.mendeley.com/documents/?uuid=596ff8fa-459c-486e-8041-242d096c7b8b"]},{"id":"ITEM-2","itemData":{"DOI":"10.1016/j.cjca.2016.07.510","ISBN":"1916-7075 (Electronic)\\r0828-282X (Linking)","ISSN":"0828282X","PMID":"23351925","abstract":"Since the publication of the 2012 guidelines new literature has emerged to inform decision-making. The 2016 guidelines primary panel selected a number of clinically relevant questions and has produced updated recommendations, on the basis of important new findings. In subjects with clinical atherosclerosis, abdominal aortic aneurysm, most subjects with diabetes or chronic kidney disease, and those with low-density lipoprotein cholesterol ??? 5 mmol/L, statin therapy is recommended. For all others, there is an emphasis on risk assessment linked to lipid determination to optimize decision-making. We have recommended nonfasting lipid determination as a suitable alternative to fasting levels. Risk assessment and lipid determination should be considered in individuals older than 40 years of age or in those at increased risk regardless of age. Pharmacotherapy is generally not indicated for those at low Framingham Risk Score (FRS; &lt;10%). A wider range of patients are now eligible for statin therapy in the FRS intermediate risk category (10%-19%) and in those with a high FRS (&gt; 20%). Despite the controversy, we continue to advocate for low-density lipoprotein cholesterol targets for subjects who start therapy. Detailed recommendations are also presented for health behaviour modification that is indicated in all subjects. Finally, recommendation for the use of nonstatin medications is provided. Shared decision-making is vital because there are many areas in which clinical trials do not fully inform practice. The guidelines are meant to be a platform for meaningful conversation between patient and care provider so that individual decisions can be made for risk screening, assessment, and treatment.","author":[{"dropping-particle":"","family":"Anderson","given":"Todd J.","non-dropping-particle":"","parse-names":false,"suffix":""},{"dropping-particle":"","family":"Gr??goire","given":"Jean","non-dropping-particle":"","parse-names":false,"suffix":""},{"dropping-particle":"","family":"Pearson","given":"Glen J.","non-dropping-particle":"","parse-names":false,"suffix":""},{"dropping-particle":"","family":"Barry","given":"Arden R.","non-dropping-particle":"","parse-names":false,"suffix":""},{"dropping-particle":"","family":"Couture","given":"Patrick","non-dropping-particle":"","parse-names":false,"suffix":""},{"dropping-particle":"","family":"Dawes","given":"Martin","non-dropping-particle":"","parse-names":false,"suffix":""},{"dropping-particle":"","family":"Francis","given":"Gordon A.","non-dropping-particle":"","parse-names":false,"suffix":""},{"dropping-particle":"","family":"Genest","given":"Jacques","non-dropping-particle":"","parse-names":false,"suffix":""},{"dropping-particle":"","family":"Grover","given":"Steven","non-dropping-particle":"","parse-names":false,"suffix":""},{"dropping-particle":"","family":"Gupta","given":"Milan","non-dropping-particle":"","parse-names":false,"suffix":""},{"dropping-particle":"","family":"Hegele","given":"Robert A.","non-dropping-particle":"","parse-names":false,"suffix":""},{"dropping-particle":"","family":"Lau","given":"David C.","non-dropping-particle":"","parse-names":false,"suffix":""},{"dropping-particle":"","family":"Leiter","given":"Lawrence A.","non-dropping-particle":"","parse-names":false,"suffix":""},{"dropping-particle":"","family":"Lonn","given":"Eva","non-dropping-particle":"","parse-names":false,"suffix":""},{"dropping-particle":"","family":"Mancini","given":"G. B John","non-dropping-particle":"","parse-names":false,"suffix":""},{"dropping-particle":"","family":"McPherson","given":"Ruth","non-dropping-particle":"","parse-names":false,"suffix":""},{"dropping-particle":"","family":"Ngui","given":"Daniel","non-dropping-particle":"","parse-names":false,"suffix":""},{"dropping-particle":"","family":"Poirier","given":"Paul","non-dropping-particle":"","parse-names":false,"suffix":""},{"dropping-particle":"","family":"Sievenpiper","given":"John L.","non-dropping-particle":"","parse-names":false,"suffix":""},{"dropping-particle":"","family":"Stone","given":"James A.","non-dropping-particle":"","parse-names":false,"suffix":""},{"dropping-particle":"","family":"Thanassoulis","given":"George","non-dropping-particle":"","parse-names":false,"suffix":""},{"dropping-particle":"","family":"Ward","given":"Richard","non-dropping-particle":"","parse-names":false,"suffix":""}],"container-title":"Canadian Journal of Cardiology","id":"ITEM-2","issue":"11","issued":{"date-parts":[["2016"]]},"title":"2016 Canadian Cardiovascular Society Guidelines for the Management of Dyslipidemia for the Prevention of Cardiovascular Disease in the Adult","type":"article-journal","volume":"32"},"uris":["http://www.mendeley.com/documents/?uuid=e1dd7ed9-56cc-3035-85d3-905728c23fbb"]}],"mendeley":{"formattedCitation":"[2,24]","manualFormatting":"[2, р. 127; 24]","plainTextFormattedCitation":"[2,24]","previouslyFormattedCitation":"[2,24]"},"properties":{"noteIndex":0},"schema":"https://github.com/citation-style-language/schema/raw/master/csl-citation.json"}</w:instrText>
      </w:r>
      <w:r w:rsidR="00EA0E64">
        <w:rPr>
          <w:rFonts w:ascii="Times New Roman" w:hAnsi="Times New Roman" w:cs="Times New Roman"/>
          <w:sz w:val="28"/>
          <w:szCs w:val="28"/>
        </w:rPr>
        <w:fldChar w:fldCharType="separate"/>
      </w:r>
      <w:r w:rsidR="00E8081B" w:rsidRPr="00E8081B">
        <w:rPr>
          <w:rFonts w:ascii="Times New Roman" w:hAnsi="Times New Roman" w:cs="Times New Roman"/>
          <w:noProof/>
          <w:sz w:val="28"/>
          <w:szCs w:val="28"/>
        </w:rPr>
        <w:t>[2,</w:t>
      </w:r>
      <w:r w:rsidR="00E8081B">
        <w:rPr>
          <w:rFonts w:ascii="Times New Roman" w:hAnsi="Times New Roman" w:cs="Times New Roman"/>
          <w:noProof/>
          <w:sz w:val="28"/>
          <w:szCs w:val="28"/>
        </w:rPr>
        <w:t xml:space="preserve"> р. 127; </w:t>
      </w:r>
      <w:r w:rsidR="00E8081B" w:rsidRPr="00E8081B">
        <w:rPr>
          <w:rFonts w:ascii="Times New Roman" w:hAnsi="Times New Roman" w:cs="Times New Roman"/>
          <w:noProof/>
          <w:sz w:val="28"/>
          <w:szCs w:val="28"/>
        </w:rPr>
        <w:t>24]</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Учитывая ключевую роль апоВ – содержащих липопротеинов в развитии и прогрессировании атеросклероза измерение концентрации апоВ – содержащих липопротеинов необходим для оценки риска АССЗ и мониторинга лечения </w:t>
      </w:r>
      <w:r w:rsidR="00EA0E64">
        <w:rPr>
          <w:rFonts w:ascii="Times New Roman" w:hAnsi="Times New Roman" w:cs="Times New Roman"/>
          <w:sz w:val="28"/>
          <w:szCs w:val="28"/>
        </w:rPr>
        <w:fldChar w:fldCharType="begin" w:fldLock="1"/>
      </w:r>
      <w:r w:rsidR="00E8081B">
        <w:rPr>
          <w:rFonts w:ascii="Times New Roman" w:hAnsi="Times New Roman" w:cs="Times New Roman"/>
          <w:sz w:val="28"/>
          <w:szCs w:val="28"/>
        </w:rPr>
        <w:instrText>ADDIN CSL_CITATION {"citationItems":[{"id":"ITEM-1","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Journal","id":"ITEM-1","issue":"1","issued":{"date-parts":[["2020","1","1"]]},"page":"111-188","title":"2019 ESC/EAS Guidelines for the management of dyslipidaemias: lipid modification to reduce cardiovascular risk","type":"article-journal","volume":"41"},"uris":["http://www.mendeley.com/documents/?uuid=596ff8fa-459c-486e-8041-242d096c7b8b"]}],"mendeley":{"formattedCitation":"[2]","manualFormatting":"[2, р. 127]","plainTextFormattedCitation":"[2]","previouslyFormattedCitation":"[2]"},"properties":{"noteIndex":0},"schema":"https://github.com/citation-style-language/schema/raw/master/csl-citation.json"}</w:instrText>
      </w:r>
      <w:r w:rsidR="00EA0E64">
        <w:rPr>
          <w:rFonts w:ascii="Times New Roman" w:hAnsi="Times New Roman" w:cs="Times New Roman"/>
          <w:sz w:val="28"/>
          <w:szCs w:val="28"/>
        </w:rPr>
        <w:fldChar w:fldCharType="separate"/>
      </w:r>
      <w:r w:rsidR="00E8081B" w:rsidRPr="00E8081B">
        <w:rPr>
          <w:rFonts w:ascii="Times New Roman" w:hAnsi="Times New Roman" w:cs="Times New Roman"/>
          <w:noProof/>
          <w:sz w:val="28"/>
          <w:szCs w:val="28"/>
        </w:rPr>
        <w:t>[2</w:t>
      </w:r>
      <w:r w:rsidR="00E8081B">
        <w:rPr>
          <w:rFonts w:ascii="Times New Roman" w:hAnsi="Times New Roman" w:cs="Times New Roman"/>
          <w:noProof/>
          <w:sz w:val="28"/>
          <w:szCs w:val="28"/>
        </w:rPr>
        <w:t>, р. 127</w:t>
      </w:r>
      <w:r w:rsidR="00E8081B" w:rsidRPr="00E8081B">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905F06" w:rsidRDefault="00905F06" w:rsidP="00905F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Атерогенность апоВ – содержащих липопротеинов зависить от их концентрации в плазме, потому что при высоком показатели апоВ вероятность накопления апоВ в эндотелиях артерии повышается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{"citationItems":[{"id":"ITEM-1","itemData":{"DOI":"10.1097/MOL.0000000000000330","ISBN":"0000000000000","ISSN":"0957-9672","abstract":"Purpose of review Today, it is no longer a hypothesis, but an established fact, that increased plasma concentrations of cholesterol-rich apolipoprotein-B (apoB)-containing lipoproteins are causatively linked to atherosclerotic cardiovascular disease (ASCVD) and that lowering plasma LDL concentrations reduces cardiovascular events in humans. Here, we review evidence behind this assertion, with an emphasis on recent studies supporting the 'response-To-retention' model - namely, that the key initiating event in atherogenesis is the retention, or trapping, of cholesterol-rich apoB-containing lipoproteins within the arterial wall. Recent findings New clinical trials have shown that ezetimibe and anti-PCSK9 antibodies - both nonstatins - lower ASCVD events, and they do so to the same extent as would be expected from comparable plasma LDL lowering by a statin. These studies demonstrate beyond any doubt the causal role of apoB-containing lipoproteins in atherogenesis. In addition, recent laboratory experimentation and human Mendelian randomization studies have revealed novel information about the critical role of apoB-containing lipoproteins in atherogenesis. New information has also emerged on mechanisms for the accumulation in plasma of harmful cholesterol-rich and triglyceride-rich apoB-containing remnant lipoproteins in states of overnutrition. Like LDL, these harmful cholesterol-rich and triglyceride-rich apoB-containing remnant lipoprotein remnants become retained and modified within the arterial wall, causing atherosclerosis. Summary LDL and other cholesterol-rich, apoB-containing lipoproteins, once they become retained and modified within the arterial wall, cause atherosclerosis. This simple, robust pathophysiologic understanding may finally allow us to eradicate ASCVD, the leading killer in the world.","author":[{"dropping-particle":"","family":"Borén","given":"Jan","non-dropping-particle":"","parse-names":false,"suffix":""},{"dropping-particle":"","family":"Williams","given":"Kevin Jon","non-dropping-particle":"","parse-names":false,"suffix":""}],"container-title":"Current Opinion in Lipidology","id":"ITEM-1","issue":"5","issued":{"date-parts":[["2016","10"]]},"page":"473-483","title":"The central role of arterial retention of cholesterol-rich apolipoprotein-B-containing lipoproteins in the pathogenesis of atherosclerosis","type":"article-journal","volume":"27"},"uris":["http://www.mendeley.com/documents/?uuid=92c5106f-6cc8-46ff-b941-3cf533e1adbe"]}],"mendeley":{"formattedCitation":"[25]","plainTextFormattedCitation":"[25]","previouslyFormattedCitation":"[25]"},"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[25]</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что в последующем приводит к росту и прогрессированию атеросклерозных бляшек. Основываясь на это пожизненное стремление к поддержке низкого уровней апоВ – содержащих липопротеинов замедляет прогрессирование атеросклероза и является первичной профилактикой АССЗ и сердечно –сосудистых событий </w:t>
      </w:r>
      <w:r w:rsidR="00EA0E64">
        <w:rPr>
          <w:rFonts w:ascii="Times New Roman" w:hAnsi="Times New Roman" w:cs="Times New Roman"/>
          <w:sz w:val="28"/>
          <w:szCs w:val="28"/>
        </w:rPr>
        <w:fldChar w:fldCharType="begin" w:fldLock="1"/>
      </w:r>
      <w:r w:rsidR="00E8081B">
        <w:rPr>
          <w:rFonts w:ascii="Times New Roman" w:hAnsi="Times New Roman" w:cs="Times New Roman"/>
          <w:sz w:val="28"/>
          <w:szCs w:val="28"/>
        </w:rPr>
        <w:instrText>ADDIN CSL_CITATION {"citationItems":[{"id":"ITEM-1","itemData":{"DOI":"10.1097/MOL.0000000000000330","ISBN":"0000000000000","ISSN":"0957-9672","abstract":"Purpose of review Today, it is no longer a hypothesis, but an established fact, that increased plasma concentrations of cholesterol-rich apolipoprotein-B (apoB)-containing lipoproteins are causatively linked to atherosclerotic cardiovascular disease (ASCVD) and that lowering plasma LDL concentrations reduces cardiovascular events in humans. Here, we review evidence behind this assertion, with an emphasis on recent studies supporting the 'response-To-retention' model - namely, that the key initiating event in atherogenesis is the retention, or trapping, of cholesterol-rich apoB-containing lipoproteins within the arterial wall. Recent findings New clinical trials have shown that ezetimibe and anti-PCSK9 antibodies - both nonstatins - lower ASCVD events, and they do so to the same extent as would be expected from comparable plasma LDL lowering by a statin. These studies demonstrate beyond any doubt the causal role of apoB-containing lipoproteins in atherogenesis. In addition, recent laboratory experimentation and human Mendelian randomization studies have revealed novel information about the critical role of apoB-containing lipoproteins in atherogenesis. New information has also emerged on mechanisms for the accumulation in plasma of harmful cholesterol-rich and triglyceride-rich apoB-containing remnant lipoproteins in states of overnutrition. Like LDL, these harmful cholesterol-rich and triglyceride-rich apoB-containing remnant lipoprotein remnants become retained and modified within the arterial wall, causing atherosclerosis. Summary LDL and other cholesterol-rich, apoB-containing lipoproteins, once they become retained and modified within the arterial wall, cause atherosclerosis. This simple, robust pathophysiologic understanding may finally allow us to eradicate ASCVD, the leading killer in the world.","author":[{"dropping-particle":"","family":"Borén","given":"Jan","non-dropping-particle":"","parse-names":false,"suffix":""},{"dropping-particle":"","family":"Williams","given":"Kevin Jon","non-dropping-particle":"","parse-names":false,"suffix":""}],"container-title":"Current Opinion in Lipidology","id":"ITEM-1","issue":"5","issued":{"date-parts":[["2016","10"]]},"page":"473-483","title":"The central role of arterial retention of cholesterol-rich apolipoprotein-B-containing lipoproteins in the pathogenesis of atherosclerosis","type":"article-journal","volume":"27"},"uris":["http://www.mendeley.com/documents/?uuid=92c5106f-6cc8-46ff-b941-3cf533e1adbe"]}],"mendeley":{"formattedCitation":"[25]","manualFormatting":"[25, р. 474]","plainTextFormattedCitation":"[25]","previouslyFormattedCitation":"[25]"},"properties":{"noteIndex":0},"schema":"https://github.com/citation-style-language/schema/raw/master/csl-citation.json"}</w:instrText>
      </w:r>
      <w:r w:rsidR="00EA0E64">
        <w:rPr>
          <w:rFonts w:ascii="Times New Roman" w:hAnsi="Times New Roman" w:cs="Times New Roman"/>
          <w:sz w:val="28"/>
          <w:szCs w:val="28"/>
        </w:rPr>
        <w:fldChar w:fldCharType="separate"/>
      </w:r>
      <w:r w:rsidR="00E8081B" w:rsidRPr="00E8081B">
        <w:rPr>
          <w:rFonts w:ascii="Times New Roman" w:hAnsi="Times New Roman" w:cs="Times New Roman"/>
          <w:noProof/>
          <w:sz w:val="28"/>
          <w:szCs w:val="28"/>
        </w:rPr>
        <w:t>[25</w:t>
      </w:r>
      <w:r w:rsidR="00E8081B">
        <w:rPr>
          <w:rFonts w:ascii="Times New Roman" w:hAnsi="Times New Roman" w:cs="Times New Roman"/>
          <w:noProof/>
          <w:sz w:val="28"/>
          <w:szCs w:val="28"/>
        </w:rPr>
        <w:t>, р. 474</w:t>
      </w:r>
      <w:r w:rsidR="00E8081B" w:rsidRPr="00E8081B">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r w:rsidR="006338D0">
        <w:rPr>
          <w:rFonts w:ascii="Times New Roman" w:hAnsi="Times New Roman" w:cs="Times New Roman"/>
          <w:sz w:val="28"/>
          <w:szCs w:val="28"/>
        </w:rPr>
        <w:t xml:space="preserve"> </w:t>
      </w:r>
      <w:r>
        <w:rPr>
          <w:rFonts w:ascii="Times New Roman" w:hAnsi="Times New Roman" w:cs="Times New Roman"/>
          <w:sz w:val="28"/>
          <w:szCs w:val="28"/>
        </w:rPr>
        <w:t xml:space="preserve">АпоВ диаметром малы по сравнению с липопротеинами, что позволяет ему эффективно проходит через интактный эндотелий </w:t>
      </w:r>
      <w:r w:rsidR="00EA0E64">
        <w:rPr>
          <w:rFonts w:ascii="Times New Roman" w:hAnsi="Times New Roman" w:cs="Times New Roman"/>
          <w:sz w:val="28"/>
          <w:szCs w:val="28"/>
        </w:rPr>
        <w:fldChar w:fldCharType="begin" w:fldLock="1"/>
      </w:r>
      <w:r w:rsidR="00E8081B">
        <w:rPr>
          <w:rFonts w:ascii="Times New Roman" w:hAnsi="Times New Roman" w:cs="Times New Roman"/>
          <w:sz w:val="28"/>
          <w:szCs w:val="28"/>
        </w:rPr>
        <w:instrText>ADDIN CSL_CITATION {"citationItems":[{"id":"ITEM-1","itemData":{"DOI":"10.1097/MOL.0000000000000330","ISBN":"0000000000000","ISSN":"0957-9672","abstract":"Purpose of review Today, it is no longer a hypothesis, but an established fact, that increased plasma concentrations of cholesterol-rich apolipoprotein-B (apoB)-containing lipoproteins are causatively linked to atherosclerotic cardiovascular disease (ASCVD) and that lowering plasma LDL concentrations reduces cardiovascular events in humans. Here, we review evidence behind this assertion, with an emphasis on recent studies supporting the 'response-To-retention' model - namely, that the key initiating event in atherogenesis is the retention, or trapping, of cholesterol-rich apoB-containing lipoproteins within the arterial wall. Recent findings New clinical trials have shown that ezetimibe and anti-PCSK9 antibodies - both nonstatins - lower ASCVD events, and they do so to the same extent as would be expected from comparable plasma LDL lowering by a statin. These studies demonstrate beyond any doubt the causal role of apoB-containing lipoproteins in atherogenesis. In addition, recent laboratory experimentation and human Mendelian randomization studies have revealed novel information about the critical role of apoB-containing lipoproteins in atherogenesis. New information has also emerged on mechanisms for the accumulation in plasma of harmful cholesterol-rich and triglyceride-rich apoB-containing remnant lipoproteins in states of overnutrition. Like LDL, these harmful cholesterol-rich and triglyceride-rich apoB-containing remnant lipoprotein remnants become retained and modified within the arterial wall, causing atherosclerosis. Summary LDL and other cholesterol-rich, apoB-containing lipoproteins, once they become retained and modified within the arterial wall, cause atherosclerosis. This simple, robust pathophysiologic understanding may finally allow us to eradicate ASCVD, the leading killer in the world.","author":[{"dropping-particle":"","family":"Borén","given":"Jan","non-dropping-particle":"","parse-names":false,"suffix":""},{"dropping-particle":"","family":"Williams","given":"Kevin Jon","non-dropping-particle":"","parse-names":false,"suffix":""}],"container-title":"Current Opinion in Lipidology","id":"ITEM-1","issue":"5","issued":{"date-parts":[["2016","10"]]},"page":"473-483","title":"The central role of arterial retention of cholesterol-rich apolipoprotein-B-containing lipoproteins in the pathogenesis of atherosclerosis","type":"article-journal","volume":"27"},"uris":["http://www.mendeley.com/documents/?uuid=92c5106f-6cc8-46ff-b941-3cf533e1adbe"]}],"mendeley":{"formattedCitation":"[25]","manualFormatting":"[25, р. 474]","plainTextFormattedCitation":"[25]","previouslyFormattedCitation":"[25]"},"properties":{"noteIndex":0},"schema":"https://github.com/citation-style-language/schema/raw/master/csl-citation.json"}</w:instrText>
      </w:r>
      <w:r w:rsidR="00EA0E64">
        <w:rPr>
          <w:rFonts w:ascii="Times New Roman" w:hAnsi="Times New Roman" w:cs="Times New Roman"/>
          <w:sz w:val="28"/>
          <w:szCs w:val="28"/>
        </w:rPr>
        <w:fldChar w:fldCharType="separate"/>
      </w:r>
      <w:r w:rsidR="00E8081B" w:rsidRPr="00E8081B">
        <w:rPr>
          <w:rFonts w:ascii="Times New Roman" w:hAnsi="Times New Roman" w:cs="Times New Roman"/>
          <w:noProof/>
          <w:sz w:val="28"/>
          <w:szCs w:val="28"/>
        </w:rPr>
        <w:t>[25</w:t>
      </w:r>
      <w:r w:rsidR="00E8081B">
        <w:rPr>
          <w:rFonts w:ascii="Times New Roman" w:hAnsi="Times New Roman" w:cs="Times New Roman"/>
          <w:noProof/>
          <w:sz w:val="28"/>
          <w:szCs w:val="28"/>
        </w:rPr>
        <w:t>, р. 474</w:t>
      </w:r>
      <w:r w:rsidR="00E8081B" w:rsidRPr="00E8081B">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Такой размер апоВ </w:t>
      </w:r>
      <w:r w:rsidR="00733181">
        <w:rPr>
          <w:rFonts w:ascii="Times New Roman" w:hAnsi="Times New Roman" w:cs="Times New Roman"/>
          <w:sz w:val="28"/>
          <w:szCs w:val="28"/>
        </w:rPr>
        <w:t>объясняет,</w:t>
      </w:r>
      <w:r>
        <w:rPr>
          <w:rFonts w:ascii="Times New Roman" w:hAnsi="Times New Roman" w:cs="Times New Roman"/>
          <w:sz w:val="28"/>
          <w:szCs w:val="28"/>
        </w:rPr>
        <w:t xml:space="preserve"> почему у пациентов с дефицитом </w:t>
      </w:r>
      <w:r w:rsidR="00E700B2">
        <w:rPr>
          <w:rFonts w:ascii="Times New Roman" w:hAnsi="Times New Roman" w:cs="Times New Roman"/>
          <w:sz w:val="28"/>
          <w:szCs w:val="28"/>
        </w:rPr>
        <w:t>ЛПЛ</w:t>
      </w:r>
      <w:r>
        <w:rPr>
          <w:rFonts w:ascii="Times New Roman" w:hAnsi="Times New Roman" w:cs="Times New Roman"/>
          <w:sz w:val="28"/>
          <w:szCs w:val="28"/>
        </w:rPr>
        <w:t xml:space="preserve"> не развивается </w:t>
      </w:r>
      <w:r w:rsidR="00733181">
        <w:rPr>
          <w:rFonts w:ascii="Times New Roman" w:hAnsi="Times New Roman" w:cs="Times New Roman"/>
          <w:sz w:val="28"/>
          <w:szCs w:val="28"/>
        </w:rPr>
        <w:t>атеросклероз, несмотря на повышени</w:t>
      </w:r>
      <w:r w:rsidR="00733181">
        <w:rPr>
          <w:rFonts w:ascii="Times New Roman" w:hAnsi="Times New Roman" w:cs="Times New Roman"/>
          <w:sz w:val="28"/>
          <w:szCs w:val="28"/>
          <w:lang w:val="kk-KZ"/>
        </w:rPr>
        <w:t>е</w:t>
      </w:r>
      <w:r>
        <w:rPr>
          <w:rFonts w:ascii="Times New Roman" w:hAnsi="Times New Roman" w:cs="Times New Roman"/>
          <w:sz w:val="28"/>
          <w:szCs w:val="28"/>
        </w:rPr>
        <w:t xml:space="preserve"> уровней апоВ – содержащих хиломикронов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{"citationItems":[{"id":"ITEM-1","itemData":{"DOI":"10.1097/MOL.0000000000000330","ISBN":"0000000000000","ISSN":"0957-9672","abstract":"Purpose of review Today, it is no longer a hypothesis, but an established fact, that increased plasma concentrations of cholesterol-rich apolipoprotein-B (apoB)-containing lipoproteins are causatively linked to atherosclerotic cardiovascular disease (ASCVD) and that lowering plasma LDL concentrations reduces cardiovascular events in humans. Here, we review evidence behind this assertion, with an emphasis on recent studies supporting the 'response-To-retention' model - namely, that the key initiating event in atherogenesis is the retention, or trapping, of cholesterol-rich apoB-containing lipoproteins within the arterial wall. Recent findings New clinical trials have shown that ezetimibe and anti-PCSK9 antibodies - both nonstatins - lower ASCVD events, and they do so to the same extent as would be expected from comparable plasma LDL lowering by a statin. These studies demonstrate beyond any doubt the causal role of apoB-containing lipoproteins in atherogenesis. In addition, recent laboratory experimentation and human Mendelian randomization studies have revealed novel information about the critical role of apoB-containing lipoproteins in atherogenesis. New information has also emerged on mechanisms for the accumulation in plasma of harmful cholesterol-rich and triglyceride-rich apoB-containing remnant lipoproteins in states of overnutrition. Like LDL, these harmful cholesterol-rich and triglyceride-rich apoB-containing remnant lipoprotein remnants become retained and modified within the arterial wall, causing atherosclerosis. Summary LDL and other cholesterol-rich, apoB-containing lipoproteins, once they become retained and modified within the arterial wall, cause atherosclerosis. This simple, robust pathophysiologic understanding may finally allow us to eradicate ASCVD, the leading killer in the world.","author":[{"dropping-particle":"","family":"Borén","given":"Jan","non-dropping-particle":"","parse-names":false,"suffix":""},{"dropping-particle":"","family":"Williams","given":"Kevin Jon","non-dropping-particle":"","parse-names":false,"suffix":""}],"container-title":"Current Opinion in Lipidology","id":"ITEM-1","issue":"5","issued":{"date-parts":[["2016","10"]]},"page":"473-483","title":"The central role of arterial retention of cholesterol-rich apolipoprotein-B-containing lipoproteins in the pathogenesis of atherosclerosis","type":"article-journal","volume":"27"},"uris":["http://www.mendeley.com/documents/?uuid=92c5106f-6cc8-46ff-b941-3cf533e1adbe"]}],"mendeley":{"formattedCitation":"[25]","manualFormatting":"[25, р. 475]","plainTextFormattedCitation":"[25]","previouslyFormattedCitation":"[25]"},"properties":{"noteIndex":0},"schema":"https://github.com/citation-style-language/schema/raw/master/csl-citation.json"}</w:instrText>
      </w:r>
      <w:r w:rsidR="00EA0E64">
        <w:rPr>
          <w:rFonts w:ascii="Times New Roman" w:hAnsi="Times New Roman" w:cs="Times New Roman"/>
          <w:sz w:val="28"/>
          <w:szCs w:val="28"/>
        </w:rPr>
        <w:fldChar w:fldCharType="separate"/>
      </w:r>
      <w:r w:rsidR="00E8081B" w:rsidRPr="00E8081B">
        <w:rPr>
          <w:rFonts w:ascii="Times New Roman" w:hAnsi="Times New Roman" w:cs="Times New Roman"/>
          <w:noProof/>
          <w:sz w:val="28"/>
          <w:szCs w:val="28"/>
        </w:rPr>
        <w:t>[25</w:t>
      </w:r>
      <w:r w:rsidR="00E8081B">
        <w:rPr>
          <w:rFonts w:ascii="Times New Roman" w:hAnsi="Times New Roman" w:cs="Times New Roman"/>
          <w:noProof/>
          <w:sz w:val="28"/>
          <w:szCs w:val="28"/>
        </w:rPr>
        <w:t>, р. 475</w:t>
      </w:r>
      <w:r w:rsidR="00E8081B" w:rsidRPr="00E8081B">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905F06" w:rsidRDefault="00905F06" w:rsidP="00905F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Эндотелиальный слой артерий остается интактным </w:t>
      </w:r>
      <w:r w:rsidR="00733181">
        <w:rPr>
          <w:rFonts w:ascii="Times New Roman" w:hAnsi="Times New Roman" w:cs="Times New Roman"/>
          <w:sz w:val="28"/>
          <w:szCs w:val="28"/>
        </w:rPr>
        <w:t>ко</w:t>
      </w:r>
      <w:r>
        <w:rPr>
          <w:rFonts w:ascii="Times New Roman" w:hAnsi="Times New Roman" w:cs="Times New Roman"/>
          <w:sz w:val="28"/>
          <w:szCs w:val="28"/>
        </w:rPr>
        <w:t xml:space="preserve"> многим атеросклеротическим поражениям, но проницаемость эндотелия к ЛПНП остается высокой. Молекулярн</w:t>
      </w:r>
      <w:r w:rsidR="00064313">
        <w:rPr>
          <w:rFonts w:ascii="Times New Roman" w:hAnsi="Times New Roman" w:cs="Times New Roman"/>
          <w:sz w:val="28"/>
          <w:szCs w:val="28"/>
        </w:rPr>
        <w:t>о – генетические основы, обуславливающие механизм</w:t>
      </w:r>
      <w:r>
        <w:rPr>
          <w:rFonts w:ascii="Times New Roman" w:hAnsi="Times New Roman" w:cs="Times New Roman"/>
          <w:sz w:val="28"/>
          <w:szCs w:val="28"/>
        </w:rPr>
        <w:t xml:space="preserve"> проницаемости неизвестны, но в исследовании Bartels и соавторов была обнаружена связь между проницаемостью эндотелия к </w:t>
      </w:r>
      <w:r w:rsidR="00064313">
        <w:rPr>
          <w:rFonts w:ascii="Times New Roman" w:hAnsi="Times New Roman" w:cs="Times New Roman"/>
          <w:sz w:val="28"/>
          <w:szCs w:val="28"/>
        </w:rPr>
        <w:t xml:space="preserve">уровню </w:t>
      </w:r>
      <w:r>
        <w:rPr>
          <w:rFonts w:ascii="Times New Roman" w:hAnsi="Times New Roman" w:cs="Times New Roman"/>
          <w:sz w:val="28"/>
          <w:szCs w:val="28"/>
        </w:rPr>
        <w:t xml:space="preserve">ЛПНП и апоВ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{"citationItems":[{"id":"ITEM-1","itemData":{"DOI":"10.1161/CIRCRESAHA.115.307182","ISSN":"0009-7330","abstract":"Rationale: Plasma cholesterol lowering is beneficial in patients with atherosclerosis. However, it is unknown how it affects entry and degradation of low-density lipoprotein (LDL) particles in the lesioned arterial wall. Objective: We studied the effect of lipid-lowering therapy on LDL permeability and degradation of LDL particles in atherosclerotic aortas of mice by measuring the accumulation of iodinated LDL particles in the arterial wall. Methods and Results: Cholesterol-fed, LDL receptor-deficient mice were treated with either an anti-Apob antisense oligonucleotide or a mismatch control antisense oligonucleotide once a week for 1 or 4 weeks before injection with preparations of iodinated LDL particles. The anti-Apob antisense oligonucleotide reduced plasma cholesterol by ≈90%. The aortic LDL permeability and degradation rates of newly entered LDL particles were reduced by ≈50% and ≈85% already after 1 week of treatment despite an unchanged pool size of aortic iodinated LDL particles. In contrast, the size, foam cell content, and aortic pool size of iodinated LDL particles of aortic atherosclerotic plaques were not reduced until after 4 weeks of treatment with the anti-Apob antisense oligonucleotide. Conclusions: Improved endothelial barrier function toward the entry of plasma LDL particles and diminished aortic degradation of the newly entered LDL particles precede plaque regression.","author":[{"dropping-particle":"","family":"Bartels","given":"Emil D.","non-dropping-particle":"","parse-names":false,"suffix":""},{"dropping-particle":"","family":"Christoffersen","given":"Christina","non-dropping-particle":"","parse-names":false,"suffix":""},{"dropping-particle":"","family":"Lindholm","given":"Marie W.","non-dropping-particle":"","parse-names":false,"suffix":""},{"dropping-particle":"","family":"Nielsen","given":"Lars B.","non-dropping-particle":"","parse-names":false,"suffix":""}],"container-title":"Circulation Research","id":"ITEM-1","issue":"11","issued":{"date-parts":[["2015","11","6"]]},"page":"933-942","title":"Altered Metabolism of LDL in the Arterial Wall Precedes Atherosclerosis Regression","type":"article-journal","volume":"117"},"uris":["http://www.mendeley.com/documents/?uuid=b7c874e1-5c7f-42f4-9aa2-32ae0220ed7b"]}],"mendeley":{"formattedCitation":"[26]","plainTextFormattedCitation":"[26]","previouslyFormattedCitation":"[26]"},"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[26]</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Они выявили, что повышение концентрации апоВ у мышей провоцировали образование атеросклерозных бляшек в аорте. И при уменьшении уровня апоВ в плазме они добились уменьшение количеств атеросклерозных бляшек в аорте. Авторы утверждают, что снижение уровня апоВ в плазме в свою очередь снижало проницаемость ЛПНП в эндотелий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{"citationItems":[{"id":"ITEM-1","itemData":{"DOI":"10.1161/CIRCRESAHA.115.307182","ISSN":"0009-7330","abstract":"Rationale: Plasma cholesterol lowering is beneficial in patients with atherosclerosis. However, it is unknown how it affects entry and degradation of low-density lipoprotein (LDL) particles in the lesioned arterial wall. Objective: We studied the effect of lipid-lowering therapy on LDL permeability and degradation of LDL particles in atherosclerotic aortas of mice by measuring the accumulation of iodinated LDL particles in the arterial wall. Methods and Results: Cholesterol-fed, LDL receptor-deficient mice were treated with either an anti-Apob antisense oligonucleotide or a mismatch control antisense oligonucleotide once a week for 1 or 4 weeks before injection with preparations of iodinated LDL particles. The anti-Apob antisense oligonucleotide reduced plasma cholesterol by ≈90%. The aortic LDL permeability and degradation rates of newly entered LDL particles were reduced by ≈50% and ≈85% already after 1 week of treatment despite an unchanged pool size of aortic iodinated LDL particles. In contrast, the size, foam cell content, and aortic pool size of iodinated LDL particles of aortic atherosclerotic plaques were not reduced until after 4 weeks of treatment with the anti-Apob antisense oligonucleotide. Conclusions: Improved endothelial barrier function toward the entry of plasma LDL particles and diminished aortic degradation of the newly entered LDL particles precede plaque regression.","author":[{"dropping-particle":"","family":"Bartels","given":"Emil D.","non-dropping-particle":"","parse-names":false,"suffix":""},{"dropping-particle":"","family":"Christoffersen","given":"Christina","non-dropping-particle":"","parse-names":false,"suffix":""},{"dropping-particle":"","family":"Lindholm","given":"Marie W.","non-dropping-particle":"","parse-names":false,"suffix":""},{"dropping-particle":"","family":"Nielsen","given":"Lars B.","non-dropping-particle":"","parse-names":false,"suffix":""}],"container-title":"Circulation Research","id":"ITEM-1","issue":"11","issued":{"date-parts":[["2015","11","6"]]},"page":"933-942","title":"Altered Metabolism of LDL in the Arterial Wall Precedes Atherosclerosis Regression","type":"article-journal","volume":"117"},"uris":["http://www.mendeley.com/documents/?uuid=b7c874e1-5c7f-42f4-9aa2-32ae0220ed7b"]}],"mendeley":{"formattedCitation":"[26]","manualFormatting":"[26, р. 934]","plainTextFormattedCitation":"[26]","previouslyFormattedCitation":"[26]"},"properties":{"noteIndex":0},"schema":"https://github.com/citation-style-language/schema/raw/master/csl-citation.json"}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[26</w:t>
      </w:r>
      <w:r w:rsidR="00034556">
        <w:rPr>
          <w:rFonts w:ascii="Times New Roman" w:hAnsi="Times New Roman" w:cs="Times New Roman"/>
          <w:noProof/>
          <w:sz w:val="28"/>
          <w:szCs w:val="28"/>
        </w:rPr>
        <w:t>, р. 934</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905F06" w:rsidRDefault="00905F06" w:rsidP="00905F0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Накопле</w:t>
      </w:r>
      <w:r w:rsidR="004E7049">
        <w:rPr>
          <w:rFonts w:ascii="Times New Roman" w:hAnsi="Times New Roman" w:cs="Times New Roman"/>
          <w:sz w:val="28"/>
          <w:szCs w:val="28"/>
        </w:rPr>
        <w:t>ние апоВ в стенках артерий играе</w:t>
      </w:r>
      <w:r>
        <w:rPr>
          <w:rFonts w:ascii="Times New Roman" w:hAnsi="Times New Roman" w:cs="Times New Roman"/>
          <w:sz w:val="28"/>
          <w:szCs w:val="28"/>
        </w:rPr>
        <w:t xml:space="preserve">т ключевую роль в патогенезе атеросклероза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{"citationItems":[{"id":"ITEM-1","itemData":{"DOI":"10.1097/MOL.0000000000000330","ISBN":"0000000000000","ISSN":"0957-9672","abstract":"Purpose of review Today, it is no longer a hypothesis, but an established fact, that increased plasma concentrations of cholesterol-rich apolipoprotein-B (apoB)-containing lipoproteins are causatively linked to atherosclerotic cardiovascular disease (ASCVD) and that lowering plasma LDL concentrations reduces cardiovascular events in humans. Here, we review evidence behind this assertion, with an emphasis on recent studies supporting the 'response-To-retention' model - namely, that the key initiating event in atherogenesis is the retention, or trapping, of cholesterol-rich apoB-containing lipoproteins within the arterial wall. Recent findings New clinical trials have shown that ezetimibe and anti-PCSK9 antibodies - both nonstatins - lower ASCVD events, and they do so to the same extent as would be expected from comparable plasma LDL lowering by a statin. These studies demonstrate beyond any doubt the causal role of apoB-containing lipoproteins in atherogenesis. In addition, recent laboratory experimentation and human Mendelian randomization studies have revealed novel information about the critical role of apoB-containing lipoproteins in atherogenesis. New information has also emerged on mechanisms for the accumulation in plasma of harmful cholesterol-rich and triglyceride-rich apoB-containing remnant lipoproteins in states of overnutrition. Like LDL, these harmful cholesterol-rich and triglyceride-rich apoB-containing remnant lipoprotein remnants become retained and modified within the arterial wall, causing atherosclerosis. Summary LDL and other cholesterol-rich, apoB-containing lipoproteins, once they become retained and modified within the arterial wall, cause atherosclerosis. This simple, robust pathophysiologic understanding may finally allow us to eradicate ASCVD, the leading killer in the world.","author":[{"dropping-particle":"","family":"Borén","given":"Jan","non-dropping-particle":"","parse-names":false,"suffix":""},{"dropping-particle":"","family":"Williams","given":"Kevin Jon","non-dropping-particle":"","parse-names":false,"suffix":""}],"container-title":"Current Opinion in Lipidology","id":"ITEM-1","issue":"5","issued":{"date-parts":[["2016","10"]]},"page":"473-483","title":"The central role of arterial retention of cholesterol-rich apolipoprotein-B-containing lipoproteins in the pathogenesis of atherosclerosis","type":"article-journal","volume":"27"},"uris":["http://www.mendeley.com/documents/?uuid=92c5106f-6cc8-46ff-b941-3cf533e1adbe"]}],"mendeley":{"formattedCitation":"[25]","manualFormatting":"[25, р. 475]","plainTextFormattedCitation":"[25]","previouslyFormattedCitation":"[25]"},"properties":{"noteIndex":0},"schema":"https://github.com/citation-style-language/schema/raw/master/csl-citation.json"}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[25</w:t>
      </w:r>
      <w:r w:rsidR="00034556">
        <w:rPr>
          <w:rFonts w:ascii="Times New Roman" w:hAnsi="Times New Roman" w:cs="Times New Roman"/>
          <w:noProof/>
          <w:sz w:val="28"/>
          <w:szCs w:val="28"/>
        </w:rPr>
        <w:t>, р. 475</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В начале отрицательно заряженные протеогликаны, которые находятся внеклеточном матриксе интимы артерии связывает и притягивает к себе апоВ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{"citationItems":[{"id":"ITEM-1","itemData":{"DOI":"10.1097/MOL.0000000000000330","ISBN":"0000000000000","ISSN":"0957-9672","abstract":"Purpose of review Today, it is no longer a hypothesis, but an established fact, that increased plasma concentrations of cholesterol-rich apolipoprotein-B (apoB)-containing lipoproteins are causatively linked to atherosclerotic cardiovascular disease (ASCVD) and that lowering plasma LDL concentrations reduces cardiovascular events in humans. Here, we review evidence behind this assertion, with an emphasis on recent studies supporting the 'response-To-retention' model - namely, that the key initiating event in atherogenesis is the retention, or trapping, of cholesterol-rich apoB-containing lipoproteins within the arterial wall. Recent findings New clinical trials have shown that ezetimibe and anti-PCSK9 antibodies - both nonstatins - lower ASCVD events, and they do so to the same extent as would be expected from comparable plasma LDL lowering by a statin. These studies demonstrate beyond any doubt the causal role of apoB-containing lipoproteins in atherogenesis. In addition, recent laboratory experimentation and human Mendelian randomization studies have revealed novel information about the critical role of apoB-containing lipoproteins in atherogenesis. New information has also emerged on mechanisms for the accumulation in plasma of harmful cholesterol-rich and triglyceride-rich apoB-containing remnant lipoproteins in states of overnutrition. Like LDL, these harmful cholesterol-rich and triglyceride-rich apoB-containing remnant lipoprotein remnants become retained and modified within the arterial wall, causing atherosclerosis. Summary LDL and other cholesterol-rich, apoB-containing lipoproteins, once they become retained and modified within the arterial wall, cause atherosclerosis. This simple, robust pathophysiologic understanding may finally allow us to eradicate ASCVD, the leading killer in the world.","author":[{"dropping-particle":"","family":"Borén","given":"Jan","non-dropping-particle":"","parse-names":false,"suffix":""},{"dropping-particle":"","family":"Williams","given":"Kevin Jon","non-dropping-particle":"","parse-names":false,"suffix":""}],"container-title":"Current Opinion in Lipidology","id":"ITEM-1","issue":"5","issued":{"date-parts":[["2016","10"]]},"page":"473-483","title":"The central role of arterial retention of cholesterol-rich apolipoprotein-B-containing lipoproteins in the pathogenesis of atherosclerosis","type":"article-journal","volume":"27"},"uris":["http://www.mendeley.com/documents/?uuid=92c5106f-6cc8-46ff-b941-3cf533e1adbe"]}],"mendeley":{"formattedCitation":"[25]","manualFormatting":"[25, р. 476]","plainTextFormattedCitation":"[25]","previouslyFormattedCitation":"[25]"},"properties":{"noteIndex":0},"schema":"https://github.com/citation-style-language/schema/raw/master/csl-citation.json"}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[25</w:t>
      </w:r>
      <w:r w:rsidR="00034556">
        <w:rPr>
          <w:rFonts w:ascii="Times New Roman" w:hAnsi="Times New Roman" w:cs="Times New Roman"/>
          <w:noProof/>
          <w:sz w:val="28"/>
          <w:szCs w:val="28"/>
        </w:rPr>
        <w:t>, р. 476</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Потому что, даже небольшое накопление апоВ в стенках артерий приводит к повышении </w:t>
      </w:r>
      <w:r>
        <w:rPr>
          <w:rFonts w:ascii="Times New Roman" w:hAnsi="Times New Roman" w:cs="Times New Roman"/>
          <w:sz w:val="28"/>
          <w:szCs w:val="28"/>
        </w:rPr>
        <w:lastRenderedPageBreak/>
        <w:t xml:space="preserve">проницаемости эндотелия для ЛПНП и </w:t>
      </w:r>
      <w:r>
        <w:rPr>
          <w:rFonts w:ascii="Times New Roman" w:hAnsi="Times New Roman" w:cs="Times New Roman"/>
          <w:sz w:val="28"/>
          <w:szCs w:val="28"/>
          <w:lang w:val="kk-KZ"/>
        </w:rPr>
        <w:t>аккумуляции</w:t>
      </w:r>
      <w:r>
        <w:rPr>
          <w:rFonts w:ascii="Times New Roman" w:hAnsi="Times New Roman" w:cs="Times New Roman"/>
          <w:sz w:val="28"/>
          <w:szCs w:val="28"/>
        </w:rPr>
        <w:t xml:space="preserve"> его в стенках, что в результате приводит к атерогенезу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{"citationItems":[{"id":"ITEM-1","itemData":{"DOI":"10.1097/MOL.0000000000000330","ISBN":"0000000000000","ISSN":"0957-9672","abstract":"Purpose of review Today, it is no longer a hypothesis, but an established fact, that increased plasma concentrations of cholesterol-rich apolipoprotein-B (apoB)-containing lipoproteins are causatively linked to atherosclerotic cardiovascular disease (ASCVD) and that lowering plasma LDL concentrations reduces cardiovascular events in humans. Here, we review evidence behind this assertion, with an emphasis on recent studies supporting the 'response-To-retention' model - namely, that the key initiating event in atherogenesis is the retention, or trapping, of cholesterol-rich apoB-containing lipoproteins within the arterial wall. Recent findings New clinical trials have shown that ezetimibe and anti-PCSK9 antibodies - both nonstatins - lower ASCVD events, and they do so to the same extent as would be expected from comparable plasma LDL lowering by a statin. These studies demonstrate beyond any doubt the causal role of apoB-containing lipoproteins in atherogenesis. In addition, recent laboratory experimentation and human Mendelian randomization studies have revealed novel information about the critical role of apoB-containing lipoproteins in atherogenesis. New information has also emerged on mechanisms for the accumulation in plasma of harmful cholesterol-rich and triglyceride-rich apoB-containing remnant lipoproteins in states of overnutrition. Like LDL, these harmful cholesterol-rich and triglyceride-rich apoB-containing remnant lipoprotein remnants become retained and modified within the arterial wall, causing atherosclerosis. Summary LDL and other cholesterol-rich, apoB-containing lipoproteins, once they become retained and modified within the arterial wall, cause atherosclerosis. This simple, robust pathophysiologic understanding may finally allow us to eradicate ASCVD, the leading killer in the world.","author":[{"dropping-particle":"","family":"Borén","given":"Jan","non-dropping-particle":"","parse-names":false,"suffix":""},{"dropping-particle":"","family":"Williams","given":"Kevin Jon","non-dropping-particle":"","parse-names":false,"suffix":""}],"container-title":"Current Opinion in Lipidology","id":"ITEM-1","issue":"5","issued":{"date-parts":[["2016","10"]]},"page":"473-483","title":"The central role of arterial retention of cholesterol-rich apolipoprotein-B-containing lipoproteins in the pathogenesis of atherosclerosis","type":"article-journal","volume":"27"},"uris":["http://www.mendeley.com/documents/?uuid=92c5106f-6cc8-46ff-b941-3cf533e1adbe"]}],"mendeley":{"formattedCitation":"[25]","manualFormatting":"[25, р. 476]","plainTextFormattedCitation":"[25]","previouslyFormattedCitation":"[25]"},"properties":{"noteIndex":0},"schema":"https://github.com/citation-style-language/schema/raw/master/csl-citation.json"}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[25</w:t>
      </w:r>
      <w:r w:rsidR="00034556">
        <w:rPr>
          <w:rFonts w:ascii="Times New Roman" w:hAnsi="Times New Roman" w:cs="Times New Roman"/>
          <w:noProof/>
          <w:sz w:val="28"/>
          <w:szCs w:val="28"/>
        </w:rPr>
        <w:t>, р. 476</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r w:rsidR="006A69F8">
        <w:rPr>
          <w:rFonts w:ascii="Times New Roman" w:hAnsi="Times New Roman" w:cs="Times New Roman"/>
          <w:sz w:val="28"/>
          <w:szCs w:val="28"/>
        </w:rPr>
        <w:t xml:space="preserve"> </w:t>
      </w:r>
      <w:r>
        <w:rPr>
          <w:rFonts w:ascii="Times New Roman" w:hAnsi="Times New Roman" w:cs="Times New Roman"/>
          <w:sz w:val="28"/>
          <w:szCs w:val="28"/>
        </w:rPr>
        <w:t xml:space="preserve">В процессе задержки, накоплении апоВ и атерогенеза участвуют ключевые ферменты секреторная сфингомиелиназа, </w:t>
      </w:r>
      <w:r w:rsidR="00851EF8">
        <w:rPr>
          <w:rFonts w:ascii="Times New Roman" w:hAnsi="Times New Roman" w:cs="Times New Roman"/>
          <w:sz w:val="28"/>
          <w:szCs w:val="28"/>
        </w:rPr>
        <w:t>ЛПЛ</w:t>
      </w:r>
      <w:r>
        <w:rPr>
          <w:rFonts w:ascii="Times New Roman" w:hAnsi="Times New Roman" w:cs="Times New Roman"/>
          <w:sz w:val="28"/>
          <w:szCs w:val="28"/>
        </w:rPr>
        <w:t xml:space="preserve"> и непанкреатическая фосфолипаза А2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{"citationItems":[{"id":"ITEM-1","itemData":{"DOI":"10.1097/MOL.0000000000000330","ISBN":"0000000000000","ISSN":"0957-9672","abstract":"Purpose of review Today, it is no longer a hypothesis, but an established fact, that increased plasma concentrations of cholesterol-rich apolipoprotein-B (apoB)-containing lipoproteins are causatively linked to atherosclerotic cardiovascular disease (ASCVD) and that lowering plasma LDL concentrations reduces cardiovascular events in humans. Here, we review evidence behind this assertion, with an emphasis on recent studies supporting the 'response-To-retention' model - namely, that the key initiating event in atherogenesis is the retention, or trapping, of cholesterol-rich apoB-containing lipoproteins within the arterial wall. Recent findings New clinical trials have shown that ezetimibe and anti-PCSK9 antibodies - both nonstatins - lower ASCVD events, and they do so to the same extent as would be expected from comparable plasma LDL lowering by a statin. These studies demonstrate beyond any doubt the causal role of apoB-containing lipoproteins in atherogenesis. In addition, recent laboratory experimentation and human Mendelian randomization studies have revealed novel information about the critical role of apoB-containing lipoproteins in atherogenesis. New information has also emerged on mechanisms for the accumulation in plasma of harmful cholesterol-rich and triglyceride-rich apoB-containing remnant lipoproteins in states of overnutrition. Like LDL, these harmful cholesterol-rich and triglyceride-rich apoB-containing remnant lipoprotein remnants become retained and modified within the arterial wall, causing atherosclerosis. Summary LDL and other cholesterol-rich, apoB-containing lipoproteins, once they become retained and modified within the arterial wall, cause atherosclerosis. This simple, robust pathophysiologic understanding may finally allow us to eradicate ASCVD, the leading killer in the world.","author":[{"dropping-particle":"","family":"Borén","given":"Jan","non-dropping-particle":"","parse-names":false,"suffix":""},{"dropping-particle":"","family":"Williams","given":"Kevin Jon","non-dropping-particle":"","parse-names":false,"suffix":""}],"container-title":"Current Opinion in Lipidology","id":"ITEM-1","issue":"5","issued":{"date-parts":[["2016","10"]]},"page":"473-483","title":"The central role of arterial retention of cholesterol-rich apolipoprotein-B-containing lipoproteins in the pathogenesis of atherosclerosis","type":"article-journal","volume":"27"},"uris":["http://www.mendeley.com/documents/?uuid=92c5106f-6cc8-46ff-b941-3cf533e1adbe"]}],"mendeley":{"formattedCitation":"[25]","manualFormatting":"[25, р. 476]","plainTextFormattedCitation":"[25]","previouslyFormattedCitation":"[25]"},"properties":{"noteIndex":0},"schema":"https://github.com/citation-style-language/schema/raw/master/csl-citation.json"}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[25</w:t>
      </w:r>
      <w:r w:rsidR="00034556">
        <w:rPr>
          <w:rFonts w:ascii="Times New Roman" w:hAnsi="Times New Roman" w:cs="Times New Roman"/>
          <w:noProof/>
          <w:sz w:val="28"/>
          <w:szCs w:val="28"/>
        </w:rPr>
        <w:t>, р. 476</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Эти ферменты, особенно </w:t>
      </w:r>
      <w:r w:rsidR="00044C26">
        <w:rPr>
          <w:rFonts w:ascii="Times New Roman" w:hAnsi="Times New Roman" w:cs="Times New Roman"/>
          <w:sz w:val="28"/>
          <w:szCs w:val="28"/>
        </w:rPr>
        <w:t>ЛПЛ</w:t>
      </w:r>
      <w:r>
        <w:rPr>
          <w:rFonts w:ascii="Times New Roman" w:hAnsi="Times New Roman" w:cs="Times New Roman"/>
          <w:sz w:val="28"/>
          <w:szCs w:val="28"/>
        </w:rPr>
        <w:t xml:space="preserve"> независимо от уровня апоВ поддерживают процесс между ЛПНП и протеогликанами, что клинически проявляется тем, что повышение уровня ЛПНП выше 2,0 ммоль/л приводит к увеличению атеросклерозных бляшек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{"citationItems":[{"id":"ITEM-1","itemData":{"DOI":"10.1097/MOL.0000000000000330","ISBN":"0000000000000","ISSN":"0957-9672","abstract":"Purpose of review Today, it is no longer a hypothesis, but an established fact, that increased plasma concentrations of cholesterol-rich apolipoprotein-B (apoB)-containing lipoproteins are causatively linked to atherosclerotic cardiovascular disease (ASCVD) and that lowering plasma LDL concentrations reduces cardiovascular events in humans. Here, we review evidence behind this assertion, with an emphasis on recent studies supporting the 'response-To-retention' model - namely, that the key initiating event in atherogenesis is the retention, or trapping, of cholesterol-rich apoB-containing lipoproteins within the arterial wall. Recent findings New clinical trials have shown that ezetimibe and anti-PCSK9 antibodies - both nonstatins - lower ASCVD events, and they do so to the same extent as would be expected from comparable plasma LDL lowering by a statin. These studies demonstrate beyond any doubt the causal role of apoB-containing lipoproteins in atherogenesis. In addition, recent laboratory experimentation and human Mendelian randomization studies have revealed novel information about the critical role of apoB-containing lipoproteins in atherogenesis. New information has also emerged on mechanisms for the accumulation in plasma of harmful cholesterol-rich and triglyceride-rich apoB-containing remnant lipoproteins in states of overnutrition. Like LDL, these harmful cholesterol-rich and triglyceride-rich apoB-containing remnant lipoprotein remnants become retained and modified within the arterial wall, causing atherosclerosis. Summary LDL and other cholesterol-rich, apoB-containing lipoproteins, once they become retained and modified within the arterial wall, cause atherosclerosis. This simple, robust pathophysiologic understanding may finally allow us to eradicate ASCVD, the leading killer in the world.","author":[{"dropping-particle":"","family":"Borén","given":"Jan","non-dropping-particle":"","parse-names":false,"suffix":""},{"dropping-particle":"","family":"Williams","given":"Kevin Jon","non-dropping-particle":"","parse-names":false,"suffix":""}],"container-title":"Current Opinion in Lipidology","id":"ITEM-1","issue":"5","issued":{"date-parts":[["2016","10"]]},"page":"473-483","title":"The central role of arterial retention of cholesterol-rich apolipoprotein-B-containing lipoproteins in the pathogenesis of atherosclerosis","type":"article-journal","volume":"27"},"uris":["http://www.mendeley.com/documents/?uuid=92c5106f-6cc8-46ff-b941-3cf533e1adbe"]}],"mendeley":{"formattedCitation":"[25]","manualFormatting":"[25, р. 476]","plainTextFormattedCitation":"[25]","previouslyFormattedCitation":"[25]"},"properties":{"noteIndex":0},"schema":"https://github.com/citation-style-language/schema/raw/master/csl-citation.json"}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[25</w:t>
      </w:r>
      <w:r w:rsidR="00034556">
        <w:rPr>
          <w:rFonts w:ascii="Times New Roman" w:hAnsi="Times New Roman" w:cs="Times New Roman"/>
          <w:noProof/>
          <w:sz w:val="28"/>
          <w:szCs w:val="28"/>
        </w:rPr>
        <w:t>, р. 476</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8552E6" w:rsidRDefault="008552E6" w:rsidP="008552E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АпоА1 является основным апоЛП в ЛПВП и синтезируется в печени и кишечнике. Уровни апоА1 чуть отличается по полу, у женщин он немного выше чем у мужчин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10.11909/j.issn.1671-5411.2018.01.011","ISSN":"1671-5411","author":[{"dropping-particle":"","family":"Zhu","given":"Jun-Ren","non-dropping-particle":"","parse-names":false,"suffix":""},{"dropping-particle":"","family":"Gao","given":"Run-Lin","non-dropping-particle":"","parse-names":false,"suffix":""},{"dropping-particle":"","family":"Zhao","given":"Shui-Ping","non-dropping-particle":"","parse-names":false,"suffix":""},{"dropping-particle":"","family":"Lu","given":"Guo-Ping","non-dropping-particle":"","parse-names":false,"suffix":""},{"dropping-particle":"","family":"Zhao","given":"Dong","non-dropping-particle":"","parse-names":false,"suffix":""},{"dropping-particle":"","family":"Li","given":"Jian-Jun","non-dropping-particle":"","parse-names":false,"suffix":""}],"container-title":"Journal of geriatric cardiology","id":"ITEM-1","issue":"1","issued":{"date-parts":[["2018"]]},"page":"1-29","title":"2016 Chinese guidelines for the management of dyslipidemia in adults.","type":"article-journal","volume":"15"},"uris":["http://www.mendeley.com/documents/?uuid=e958d0e8-ef8e-4422-8a1c-ccb76ea9659e"]}],"mendeley":{"formattedCitation":"[20]","manualFormatting":"[20, р. 244]","plainTextFormattedCitation":"[20]","previouslyFormattedCitation":"[20]"},"properties":{"noteIndex":0},"schema":"https://github.com/citation-style-language/schema/raw/master/csl-citation.json"}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[20</w:t>
      </w:r>
      <w:r w:rsidR="00034556">
        <w:rPr>
          <w:rFonts w:ascii="Times New Roman" w:hAnsi="Times New Roman" w:cs="Times New Roman"/>
          <w:noProof/>
          <w:sz w:val="28"/>
          <w:szCs w:val="28"/>
        </w:rPr>
        <w:t>, р. 244</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АпоА1 является белковой частью ЛПВП и также как ЛПВП он обратно пропорционален к риску АССЗ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10.11909/j.issn.1671-5411.2018.01.011","ISSN":"1671-5411","author":[{"dropping-particle":"","family":"Zhu","given":"Jun-Ren","non-dropping-particle":"","parse-names":false,"suffix":""},{"dropping-particle":"","family":"Gao","given":"Run-Lin","non-dropping-particle":"","parse-names":false,"suffix":""},{"dropping-particle":"","family":"Zhao","given":"Shui-Ping","non-dropping-particle":"","parse-names":false,"suffix":""},{"dropping-particle":"","family":"Lu","given":"Guo-Ping","non-dropping-particle":"","parse-names":false,"suffix":""},{"dropping-particle":"","family":"Zhao","given":"Dong","non-dropping-particle":"","parse-names":false,"suffix":""},{"dropping-particle":"","family":"Li","given":"Jian-Jun","non-dropping-particle":"","parse-names":false,"suffix":""}],"container-title":"Journal of geriatric cardiology","id":"ITEM-1","issue":"1","issued":{"date-parts":[["2018"]]},"page":"1-29","title":"2016 Chinese guidelines for the management of dyslipidemia in adults.","type":"article-journal","volume":"15"},"uris":["http://www.mendeley.com/documents/?uuid=e958d0e8-ef8e-4422-8a1c-ccb76ea9659e"]}],"mendeley":{"formattedCitation":"[20]","manualFormatting":"[20, р. 244]","plainTextFormattedCitation":"[20]","previouslyFormattedCitation":"[20]"},"properties":{"noteIndex":0},"schema":"https://github.com/citation-style-language/schema/raw/master/csl-citation.json"}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[20</w:t>
      </w:r>
      <w:r w:rsidR="00034556">
        <w:rPr>
          <w:rFonts w:ascii="Times New Roman" w:hAnsi="Times New Roman" w:cs="Times New Roman"/>
          <w:noProof/>
          <w:sz w:val="28"/>
          <w:szCs w:val="28"/>
        </w:rPr>
        <w:t>, р. 244</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Традиционные маркеры липидного обмена часто изменчивы в зависимости от приема пищи и рациона, тогда как на показатели апоВ и апоА1 прием пищи и рацион не влияет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{"citationItems":[{"id":"ITEM-1","itemData":{"DOI":"10.7860/JCDR/2014/7588.4000","author":[{"dropping-particle":"","family":"Tamang","given":"Hem Kumar","non-dropping-particle":"","parse-names":false,"suffix":""},{"dropping-particle":"","family":"Timilsina","given":"Uddhav","non-dropping-particle":"","parse-names":false,"suffix":""},{"dropping-particle":"","family":"Singh","given":"Khelanand Prasad","non-dropping-particle":"","parse-names":false,"suffix":""},{"dropping-particle":"","family":"Shrestha","given":"Sanjit","non-dropping-particle":"","parse-names":false,"suffix":""}],"container-title":"Journal of Clinical and Diagnostic Research","id":"ITEM-1","issued":{"date-parts":[["2014"]]},"page":"34-36","title":"Apo B / Apo A-I Ratio is Statistically A Better Predictor of Cardiovascular Disease (CVD) than Conventional Lipid Profile : A Study from Kathmandu Valley , Nepal","type":"article-journal","volume":"8 (2)"},"uris":["http://www.mendeley.com/documents/?uuid=abae2861-f271-4364-86a4-4cda824b7c46"]},{"id":"ITEM-2","itemData":{"DOI":"10.7860/JCDR/2013/5269.3123","ISSN":"2249782X","author":[{"dropping-particle":"","family":"Shilpasree AS","given":"","non-dropping-particle":"","parse-names":false,"suffix":""},{"dropping-particle":"","family":"Sahukar","given":"Savitri","non-dropping-particle":"","parse-names":false,"suffix":""},{"dropping-particle":"","family":"Murthy","given":"Jayaprakash","non-dropping-particle":"","parse-names":false,"suffix":""},{"dropping-particle":"","family":"Kumar","given":"Kiran","non-dropping-particle":"","parse-names":false,"suffix":""}],"container-title":"Journal of clinical and diagnostic research","id":"ITEM-2","issued":{"date-parts":[["2013"]]},"page":"1303-1306","title":"A Study of Serum Apolipoprotein A1, Apolipoprotein B and Lipid Profile in Stroke","type":"article-journal","volume":"7(7)"},"uris":["http://www.mendeley.com/documents/?uuid=60b3d57a-e7d8-46d4-ae44-09114872dae6"]}],"mendeley":{"formattedCitation":"[27,28]","plainTextFormattedCitation":"[27,28]","previouslyFormattedCitation":"[27,28]"},"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[27,</w:t>
      </w:r>
      <w:r w:rsidR="009B0BBA">
        <w:rPr>
          <w:rFonts w:ascii="Times New Roman" w:hAnsi="Times New Roman" w:cs="Times New Roman"/>
          <w:noProof/>
          <w:sz w:val="28"/>
          <w:szCs w:val="28"/>
        </w:rPr>
        <w:t xml:space="preserve"> </w:t>
      </w:r>
      <w:r w:rsidR="00034556" w:rsidRPr="00034556">
        <w:rPr>
          <w:rFonts w:ascii="Times New Roman" w:hAnsi="Times New Roman" w:cs="Times New Roman"/>
          <w:noProof/>
          <w:sz w:val="28"/>
          <w:szCs w:val="28"/>
        </w:rPr>
        <w:t>28]</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8552E6" w:rsidRDefault="008552E6" w:rsidP="008552E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Pechlaner R. и соавторы в своем исследовании оценили ассоциации 13 апо</w:t>
      </w:r>
      <w:r w:rsidR="004A3CF1">
        <w:rPr>
          <w:rFonts w:ascii="Times New Roman" w:hAnsi="Times New Roman" w:cs="Times New Roman"/>
          <w:sz w:val="28"/>
          <w:szCs w:val="28"/>
        </w:rPr>
        <w:t>ЛП</w:t>
      </w:r>
      <w:r>
        <w:rPr>
          <w:rFonts w:ascii="Times New Roman" w:hAnsi="Times New Roman" w:cs="Times New Roman"/>
          <w:sz w:val="28"/>
          <w:szCs w:val="28"/>
        </w:rPr>
        <w:t xml:space="preserve">, 135 видов липидов и 211 других белков плазмы с </w:t>
      </w:r>
      <w:r w:rsidR="004A3CF1">
        <w:rPr>
          <w:rFonts w:ascii="Times New Roman" w:hAnsi="Times New Roman" w:cs="Times New Roman"/>
          <w:sz w:val="28"/>
          <w:szCs w:val="28"/>
        </w:rPr>
        <w:t>ССЗ</w:t>
      </w:r>
      <w:r>
        <w:rPr>
          <w:rFonts w:ascii="Times New Roman" w:hAnsi="Times New Roman" w:cs="Times New Roman"/>
          <w:sz w:val="28"/>
          <w:szCs w:val="28"/>
        </w:rPr>
        <w:t xml:space="preserve">, такие как инсульт, </w:t>
      </w:r>
      <w:r w:rsidR="00353389">
        <w:rPr>
          <w:rFonts w:ascii="Times New Roman" w:hAnsi="Times New Roman" w:cs="Times New Roman"/>
          <w:sz w:val="28"/>
          <w:szCs w:val="28"/>
        </w:rPr>
        <w:t>инфаркт миокарда (</w:t>
      </w:r>
      <w:r>
        <w:rPr>
          <w:rFonts w:ascii="Times New Roman" w:hAnsi="Times New Roman" w:cs="Times New Roman"/>
          <w:sz w:val="28"/>
          <w:szCs w:val="28"/>
        </w:rPr>
        <w:t>ИМ</w:t>
      </w:r>
      <w:r w:rsidR="00353389">
        <w:rPr>
          <w:rFonts w:ascii="Times New Roman" w:hAnsi="Times New Roman" w:cs="Times New Roman"/>
          <w:sz w:val="28"/>
          <w:szCs w:val="28"/>
        </w:rPr>
        <w:t>)</w:t>
      </w:r>
      <w:r>
        <w:rPr>
          <w:rFonts w:ascii="Times New Roman" w:hAnsi="Times New Roman" w:cs="Times New Roman"/>
          <w:sz w:val="28"/>
          <w:szCs w:val="28"/>
        </w:rPr>
        <w:t xml:space="preserve"> или внезапная коронарная смерть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{"citationItems":[{"id":"ITEM-1","itemData":{"DOI":"10.1016/j.jacc.2016.11.065","ISSN":"07351097","abstract":"Background Routine apolipoprotein (apo) measurements for cardiovascular disease (CVD) are restricted to apoA-I and apoB. Here, the authors measured an unprecedented range of apolipoproteins in a prospective, population-based study and relate their plasma levels to risk of CVD. Objectives This study sought to measure apolipoproteins directly by mass spectrometry and compare their associations with incident CVD and to obtain a system-level understanding of the correlations of apolipoproteins with the plasma lipidome and proteome. Methods Associations of 13 apolipoproteins, 135 lipid species, and 211 other plasma proteins with incident CVD (91 events), defined as stroke, myocardial infarction, or sudden cardiac death, were assessed prospectively over a 10-year period in the Bruneck Study (N = 688) using multiple-reaction monitoring mass spectrometry. Changes in apolipoprotein and lipid levels following treatment with volanesorsen, a second-generation antisense drug targeting apoC-III, were determined in 2 human intervention trials, one of which was randomized. Results The apolipoproteins most significantly associated with incident CVD were apoC-II (hazard ratio per 1 SD [HR/SD]: 1.40; 95% confidence interval [CI]: 1.17 to 1.67), apoC-III (HR/SD: 1.38; 95% CI: 1.17 to 1.63), and apoE (HR/SD: 1.31; 95% CI: 1.13 to 1.52). Associations were independent of high-density lipoprotein (HDL) and non-HDL cholesterol, and extended to stroke and myocardial infarction. Lipidomic and proteomic profiles implicated these 3 very-low-density lipoprotein (VLDL)-associated apolipoproteins in de novo lipogenesis, glucose metabolism, complement activation, blood coagulation, and inflammation. Notably, apoC-II/apoC-III/apoE correlated with a pattern of lipid species previously linked to CVD risk. ApoC-III inhibition by volanesorsen reduced plasma levels of apoC-II, apoC-III, triacylglycerols, and diacylglycerols, and increased apoA-I, apoA-II, and apoM (all p &lt; 0.05 vs. placebo) without affecting apoB-100 (p = 0.73). Conclusions The strong associations of VLDL-associated apolipoproteins with incident CVD in the general community support the concept of targeting triacylglycerol-rich lipoproteins to reduce risk of CVD.","author":[{"dropping-particle":"","family":"Pechlaner","given":"Raimund","non-dropping-particle":"","parse-names":false,"suffix":""},{"dropping-particle":"","family":"Tsimikas","given":"Sotirios","non-dropping-particle":"","parse-names":false,"suffix":""},{"dropping-particle":"","family":"Yin","given":"Xiaoke","non-dropping-particle":"","parse-names":false,"suffix":""},{"dropping-particle":"","family":"Willeit","given":"Peter","non-dropping-particle":"","parse-names":false,"suffix":""},{"dropping-particle":"","family":"Baig","given":"Ferheen","non-dropping-particle":"","parse-names":false,"suffix":""},{"dropping-particle":"","family":"Santer","given":"Peter","non-dropping-particle":"","parse-names":false,"suffix":""},{"dropping-particle":"","family":"Oberhollenzer","given":"Friedrich","non-dropping-particle":"","parse-names":false,"suffix":""},{"dropping-particle":"","family":"Egger","given":"Georg","non-dropping-particle":"","parse-names":false,"suffix":""},{"dropping-particle":"","family":"Witztum","given":"Joseph L.","non-dropping-particle":"","parse-names":false,"suffix":""},{"dropping-particle":"","family":"Alexander","given":"Veronica J.","non-dropping-particle":"","parse-names":false,"suffix":""},{"dropping-particle":"","family":"Willeit","given":"Johann","non-dropping-particle":"","parse-names":false,"suffix":""},{"dropping-particle":"","family":"Kiechl","given":"Stefan","non-dropping-particle":"","parse-names":false,"suffix":""},{"dropping-particle":"","family":"Mayr","given":"Manuel","non-dropping-particle":"","parse-names":false,"suffix":""}],"container-title":"Journal of the American College of Cardiology","id":"ITEM-1","issue":"7","issued":{"date-parts":[["2017","2"]]},"page":"789-800","title":"Very-Low-Density Lipoprotein–Associated Apolipoproteins Predict Cardiovascular Events and Are Lowered by Inhibition of APOC-III","type":"article-journal","volume":"69"},"uris":["http://www.mendeley.com/documents/?uuid=9cb0fa80-e6e2-4707-8456-1cea51f91d29"]}],"mendeley":{"formattedCitation":"[29]","plainTextFormattedCitation":"[29]","previouslyFormattedCitation":"[29]"},"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[29]</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и они обнаружили, что апо</w:t>
      </w:r>
      <w:r w:rsidR="00DC187A">
        <w:rPr>
          <w:rFonts w:ascii="Times New Roman" w:hAnsi="Times New Roman" w:cs="Times New Roman"/>
          <w:sz w:val="28"/>
          <w:szCs w:val="28"/>
        </w:rPr>
        <w:t>ЛП</w:t>
      </w:r>
      <w:r>
        <w:rPr>
          <w:rFonts w:ascii="Times New Roman" w:hAnsi="Times New Roman" w:cs="Times New Roman"/>
          <w:sz w:val="28"/>
          <w:szCs w:val="28"/>
        </w:rPr>
        <w:t xml:space="preserve"> имели значимую связь с риском ССЗ по сравнению с уровнями ЛПВП, не – ЛПВП.</w:t>
      </w:r>
    </w:p>
    <w:p w:rsidR="00355CB7" w:rsidRDefault="008552E6" w:rsidP="00355CB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Renee Ruhaak L. и соавторы (2019) в своем обзоре считают, что использование мультиплексной</w:t>
      </w:r>
      <w:r w:rsidR="00644EC3">
        <w:rPr>
          <w:rFonts w:ascii="Times New Roman" w:hAnsi="Times New Roman" w:cs="Times New Roman"/>
          <w:sz w:val="28"/>
          <w:szCs w:val="28"/>
        </w:rPr>
        <w:t xml:space="preserve"> </w:t>
      </w:r>
      <w:r>
        <w:rPr>
          <w:rFonts w:ascii="Times New Roman" w:hAnsi="Times New Roman" w:cs="Times New Roman"/>
          <w:sz w:val="28"/>
          <w:szCs w:val="28"/>
        </w:rPr>
        <w:t>апо</w:t>
      </w:r>
      <w:r w:rsidR="00AD5571">
        <w:rPr>
          <w:rFonts w:ascii="Times New Roman" w:hAnsi="Times New Roman" w:cs="Times New Roman"/>
          <w:sz w:val="28"/>
          <w:szCs w:val="28"/>
        </w:rPr>
        <w:t>ЛП</w:t>
      </w:r>
      <w:r>
        <w:rPr>
          <w:rFonts w:ascii="Times New Roman" w:hAnsi="Times New Roman" w:cs="Times New Roman"/>
          <w:sz w:val="28"/>
          <w:szCs w:val="28"/>
        </w:rPr>
        <w:t xml:space="preserve"> панели позволит лучше охарактеризовать дислипидемический статус пациента, чем традиционный липидный профиль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{"citationItems":[{"id":"ITEM-1","itemData":{"DOI":"10.1177/0004563219827620","ISSN":"17581001","abstract":"An elevated low-density lipoprotein cholesterol concentration is a classical risk factor for cardiovascular disease. This has led to pharmacotherapy in patients with atherosclerotic heart disease or high heart disease risk with statins to reduce serum low-density lipoprotein cholesterol. Even in patients in whom the target levels of low-density lipoprotein cholesterol are reached, there remains a significant residual cardiovascular risk; this is due, in part, to a focus on low-density lipoprotein cholesterol alone and neglect of other important aspects of lipoprotein metabolism. A more refined lipoprotein analysis will provide additional information on the accumulation of very low-density lipoproteins, intermediate density lipoproteins, chylomicrons, chylomicron-remnants and Lp(a) concentrations. Instead of measuring the cholesterol and triglyceride content of the lipoproteins, measurement of their apolipoproteins (apos) is more informative. Apos are either specific for a particular lipoprotein or for a group of lipoproteins. In particular measurement of apos in atherogenic particles is more biologically meaningful than the measurement of the cholesterol concentration contained in these particles. Applying apo profiling will not only improve characterization of the lipoprotein abnormality, but will also improve definition of therapeutic targets. Apo profiling aligns with the concept of precision medicine by which an individual patient is not treated as ‘average’ patient by the average (dose of) therapy. This concept of precision medicine fits the unmet clinical need for stratified cardiovascular medicine. The requirements for clinical application of proteomics, including apo profiling, can now be met using robust mass spectrometry technology which offers desirable analytical performance and standardization.","author":[{"dropping-particle":"","family":"Renee Ruhaak","given":"L.","non-dropping-particle":"","parse-names":false,"suffix":""},{"dropping-particle":"","family":"Laarse","given":"Arnoud","non-dropping-particle":"van der","parse-names":false,"suffix":""},{"dropping-particle":"","family":"Cobbaert","given":"Christa M.","non-dropping-particle":"","parse-names":false,"suffix":""}],"container-title":"Annals of Clinical Biochemistry","id":"ITEM-1","issue":"3","issued":{"date-parts":[["2019"]]},"page":"338-356","title":"Apolipoprotein profiling as a personalized approach to the diagnosis and treatment of dyslipidaemia","type":"article-journal","volume":"56"},"uris":["http://www.mendeley.com/documents/?uuid=9d29395d-90a9-4250-ba7f-a6c24fd91f65"]}],"mendeley":{"formattedCitation":"[30]","plainTextFormattedCitation":"[30]","previouslyFormattedCitation":"[30]"},"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[30]</w:t>
      </w:r>
      <w:r w:rsidR="00EA0E64">
        <w:rPr>
          <w:rFonts w:ascii="Times New Roman" w:hAnsi="Times New Roman" w:cs="Times New Roman"/>
          <w:sz w:val="28"/>
          <w:szCs w:val="28"/>
        </w:rPr>
        <w:fldChar w:fldCharType="end"/>
      </w:r>
      <w:r>
        <w:rPr>
          <w:rFonts w:ascii="Times New Roman" w:hAnsi="Times New Roman" w:cs="Times New Roman"/>
          <w:sz w:val="28"/>
          <w:szCs w:val="28"/>
        </w:rPr>
        <w:t>. Они утверждают, что профили апо</w:t>
      </w:r>
      <w:r w:rsidR="00EF4ADF">
        <w:rPr>
          <w:rFonts w:ascii="Times New Roman" w:hAnsi="Times New Roman" w:cs="Times New Roman"/>
          <w:sz w:val="28"/>
          <w:szCs w:val="28"/>
        </w:rPr>
        <w:t>ЛП</w:t>
      </w:r>
      <w:r>
        <w:rPr>
          <w:rFonts w:ascii="Times New Roman" w:hAnsi="Times New Roman" w:cs="Times New Roman"/>
          <w:sz w:val="28"/>
          <w:szCs w:val="28"/>
        </w:rPr>
        <w:t xml:space="preserve"> обеспечивают понимание патофизиологии дислипидемии, что облегчить уточнение терапевтических целей и позволит использовать более целенаправленную терапию,</w:t>
      </w:r>
      <w:r w:rsidR="00482A91">
        <w:rPr>
          <w:rFonts w:ascii="Times New Roman" w:hAnsi="Times New Roman" w:cs="Times New Roman"/>
          <w:sz w:val="28"/>
          <w:szCs w:val="28"/>
        </w:rPr>
        <w:t xml:space="preserve"> </w:t>
      </w:r>
      <w:r w:rsidR="00355CB7">
        <w:rPr>
          <w:rFonts w:ascii="Times New Roman" w:hAnsi="Times New Roman" w:cs="Times New Roman"/>
          <w:sz w:val="28"/>
          <w:szCs w:val="28"/>
        </w:rPr>
        <w:t xml:space="preserve">которая может помочь уменьшить риск </w:t>
      </w:r>
      <w:r w:rsidR="00355CB7">
        <w:rPr>
          <w:rFonts w:ascii="Times New Roman" w:hAnsi="Times New Roman" w:cs="Times New Roman"/>
          <w:sz w:val="28"/>
          <w:szCs w:val="28"/>
          <w:lang w:val="en-US"/>
        </w:rPr>
        <w:t>CC</w:t>
      </w:r>
      <w:r w:rsidR="00355CB7">
        <w:rPr>
          <w:rFonts w:ascii="Times New Roman" w:hAnsi="Times New Roman" w:cs="Times New Roman"/>
          <w:sz w:val="28"/>
          <w:szCs w:val="28"/>
        </w:rPr>
        <w:t xml:space="preserve">З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{"citationItems":[{"id":"ITEM-1","itemData":{"DOI":"10.1177/0004563219827620","ISSN":"17581001","abstract":"An elevated low-density lipoprotein cholesterol concentration is a classical risk factor for cardiovascular disease. This has led to pharmacotherapy in patients with atherosclerotic heart disease or high heart disease risk with statins to reduce serum low-density lipoprotein cholesterol. Even in patients in whom the target levels of low-density lipoprotein cholesterol are reached, there remains a significant residual cardiovascular risk; this is due, in part, to a focus on low-density lipoprotein cholesterol alone and neglect of other important aspects of lipoprotein metabolism. A more refined lipoprotein analysis will provide additional information on the accumulation of very low-density lipoproteins, intermediate density lipoproteins, chylomicrons, chylomicron-remnants and Lp(a) concentrations. Instead of measuring the cholesterol and triglyceride content of the lipoproteins, measurement of their apolipoproteins (apos) is more informative. Apos are either specific for a particular lipoprotein or for a group of lipoproteins. In particular measurement of apos in atherogenic particles is more biologically meaningful than the measurement of the cholesterol concentration contained in these particles. Applying apo profiling will not only improve characterization of the lipoprotein abnormality, but will also improve definition of therapeutic targets. Apo profiling aligns with the concept of precision medicine by which an individual patient is not treated as ‘average’ patient by the average (dose of) therapy. This concept of precision medicine fits the unmet clinical need for stratified cardiovascular medicine. The requirements for clinical application of proteomics, including apo profiling, can now be met using robust mass spectrometry technology which offers desirable analytical performance and standardization.","author":[{"dropping-particle":"","family":"Renee Ruhaak","given":"L.","non-dropping-particle":"","parse-names":false,"suffix":""},{"dropping-particle":"","family":"Laarse","given":"Arnoud","non-dropping-particle":"van der","parse-names":false,"suffix":""},{"dropping-particle":"","family":"Cobbaert","given":"Christa M.","non-dropping-particle":"","parse-names":false,"suffix":""}],"container-title":"Annals of Clinical Biochemistry","id":"ITEM-1","issue":"3","issued":{"date-parts":[["2019"]]},"page":"338-356","title":"Apolipoprotein profiling as a personalized approach to the diagnosis and treatment of dyslipidaemia","type":"article-journal","volume":"56"},"uris":["http://www.mendeley.com/documents/?uuid=9d29395d-90a9-4250-ba7f-a6c24fd91f65"]}],"mendeley":{"formattedCitation":"[30]","manualFormatting":"[30, р. 341]","plainTextFormattedCitation":"[30]","previouslyFormattedCitation":"[30]"},"properties":{"noteIndex":0},"schema":"https://github.com/citation-style-language/schema/raw/master/csl-citation.json"}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[30</w:t>
      </w:r>
      <w:r w:rsidR="00034556">
        <w:rPr>
          <w:rFonts w:ascii="Times New Roman" w:hAnsi="Times New Roman" w:cs="Times New Roman"/>
          <w:noProof/>
          <w:sz w:val="28"/>
          <w:szCs w:val="28"/>
        </w:rPr>
        <w:t>, р. 341</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355CB7">
        <w:rPr>
          <w:rFonts w:ascii="Times New Roman" w:hAnsi="Times New Roman" w:cs="Times New Roman"/>
          <w:sz w:val="28"/>
          <w:szCs w:val="28"/>
        </w:rPr>
        <w:t>.</w:t>
      </w:r>
    </w:p>
    <w:p w:rsidR="002D076B" w:rsidRPr="008965B9" w:rsidRDefault="002D076B" w:rsidP="002D076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 xml:space="preserve">В масштабном исследовании по изучению факторов риска ИБС, которое проводилось в 52 странах говорится, что соотношение атерогенных липидов и соотношение апоВ/апоА1 могут давать более точные прогнозы по риску ССЗ по сравнению уровней ЛПНП и ЛПВП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{"citationItems":[{"id":"ITEM-1","itemData":{"DOI":"10.1016/S0140-6736(04)17018-9","ISBN":"1474-547X (Electronic)\\r0140-6736 (Linking)","ISSN":"01406736","PMID":"15364185","abstract":"Background Although more than 80% of the global burden of cardiovascular disease occurs in low-income and middle-income countries, knowledge of the importance of risk factors is largely derived from developed countries. Therefore, the effect of such factors on risk of coronary heart disease in most regions of the world is unknown. Methods We established a standardised case-control study of acute myocardial infarction in 52 countries, representing every inhabited continent. 15 152 cases and 14 820 controls were enrolled. The relation of smoking, history of hypertension or diabetes, waist/hip ratio, dietary patterns, physical activity, consumption of alcohol, blood apolipoproteins (Apo), and psychosocial factors to myocardial infarction are reported here. Odds ratios and their 99% CIs for the association of risk factors to myocardial infarction and their population attributable risks (PAR) were calculated. Findings Smoking (odds ratio 2??87 for current vs never, PAR 35??7% for current and former vs never), raised ApoB/ApoA1 ratio (3??25 for top vs lowest quintile, PAR 49??2% for top four quintiles vs lowest quintile), history of hypertension (1??91, PAR 17??9%), diabetes (2??37, PAR 9??9%), abdominal obesity (1??12 for top vs lowest tertile and 1??62 for middle vs lowest tertile, PAR 20??1% for top two tertiles vs lowest tertile), psychosocial factors (2??67, PAR 32??5%), daily consumption of fruits and vegetables (0??70, PAR 13??7% for lack of daily consumption), regular alcohol consumption (0??91, PAR 6??7%), and regular physical activity (0??86, PAR 12??2%), were all significantly related to acute myocardial infarction (p&lt;0??0001 for all risk factors and p=0??03 for alcohol). These associations were noted in men and women, old and young, and in all regions of the world. Collectively, these nine risk factors accounted for 90% of the PAR in men and 94% in women. Interpretation Abnormal lipids, smoking, hypertension, diabetes, abdominal obesity, psychosocial factors, consumption of fruits, vegetables, and alcohol, and regular physical activity account for most of the risk of myocardial infarction worldwide in both sexes and at all ages in all regions. This finding suggests that approaches to prevention can be based on similar principles worldwide and have the potential to prevent most premature cases of myocardial infarction.","author":[{"dropping-particle":"","family":"Yusuf","given":"Prof Salim","non-dropping-particle":"","parse-names":false,"suffix":""},{"dropping-particle":"","family":"Hawken","given":"Steven","non-dropping-particle":"","parse-names":false,"suffix":""},{"dropping-particle":"","family":"Ôunpuu","given":"Stephanie","non-dropping-particle":"","parse-names":false,"suffix":""},{"dropping-particle":"","family":"Dans","given":"Tony","non-dropping-particle":"","parse-names":false,"suffix":""},{"dropping-particle":"","family":"Avezum","given":"Alvaro","non-dropping-particle":"","parse-names":false,"suffix":""},{"dropping-particle":"","family":"Lanas","given":"Fernando","non-dropping-particle":"","parse-names":false,"suffix":""},{"dropping-particle":"","family":"McQueen","given":"Matthew","non-dropping-particle":"","parse-names":false,"suffix":""},{"dropping-particle":"","family":"Budaj","given":"Andrzej","non-dropping-particle":"","parse-names":false,"suffix":""},{"dropping-particle":"","family":"Pais","given":"Prem","non-dropping-particle":"","parse-names":false,"suffix":""},{"dropping-particle":"","family":"Varigos","given":"John","non-dropping-particle":"","parse-names":false,"suffix":""},{"dropping-particle":"","family":"Lisheng","given":"Liu","non-dropping-particle":"","parse-names":false,"suffix":""}],"container-title":"Lancet","id":"ITEM-1","issue":"9438","issued":{"date-parts":[["2004"]]},"page":"937-952","title":"Effect of potentially modifiable risk factors associated with myocardial infarction in 52 countries (the INTERHEART study): Case-control study","type":"article-journal","volume":"364"},"uris":["http://www.mendeley.com/documents/?uuid=587bd93b-0d38-4862-b83d-068b79fbd62b"]}],"mendeley":{"formattedCitation":"[31]","plainTextFormattedCitation":"[31]","previouslyFormattedCitation":"[31]"},"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[31]</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было выявлено, что дислипидемия, курение, гипертензия, диабет, абдоминальное ожирение, психосоциальный стресс, мало употребление овощей и фруктов, употребление алкоголя, гиподинамия являются факторами риска ИМ в мире независимо от пола, особенно эти факторы риска заметны в молодом возрасте. Они утверждают, что статус курения и соотношение апоВ/апоА1 являются сильными факторами риска в развитии СД, АГ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{"citationItems":[{"id":"ITEM-1","itemData":{"DOI":"10.1016/S0140-6736(04)17018-9","ISBN":"1474-547X (Electronic)\\r0140-6736 (Linking)","ISSN":"01406736","PMID":"15364185","abstract":"Background Although more than 80% of the global burden of cardiovascular disease occurs in low-income and middle-income countries, knowledge of the importance of risk factors is largely derived from developed countries. Therefore, the effect of such factors on risk of coronary heart disease in most regions of the world is unknown. Methods We established a standardised case-control study of acute myocardial infarction in 52 countries, representing every inhabited continent. 15 152 cases and 14 820 controls were enrolled. The relation of smoking, history of hypertension or diabetes, waist/hip ratio, dietary patterns, physical activity, consumption of alcohol, blood apolipoproteins (Apo), and psychosocial factors to myocardial infarction are reported here. Odds ratios and their 99% CIs for the association of risk factors to myocardial infarction and their population attributable risks (PAR) were calculated. Findings Smoking (odds ratio 2??87 for current vs never, PAR 35??7% for current and former vs never), raised ApoB/ApoA1 ratio (3??25 for top vs lowest quintile, PAR 49??2% for top four quintiles vs lowest quintile), history of hypertension (1??91, PAR 17??9%), diabetes (2??37, PAR 9??9%), abdominal obesity (1??12 for top vs lowest tertile and 1??62 for middle vs lowest tertile, PAR 20??1% for top two tertiles vs lowest tertile), psychosocial factors (2??67, PAR 32??5%), daily consumption of fruits and vegetables (0??70, PAR 13??7% for lack of daily consumption), regular alcohol consumption (0??91, PAR 6??7%), and regular physical activity (0??86, PAR 12??2%), were all significantly related to acute myocardial infarction (p&lt;0??0001 for all risk factors and p=0??03 for alcohol). These associations were noted in men and women, old and young, and in all regions of the world. Collectively, these nine risk factors accounted for 90% of the PAR in men and 94% in women. Interpretation Abnormal lipids, smoking, hypertension, diabetes, abdominal obesity, psychosocial factors, consumption of fruits, vegetables, and alcohol, and regular physical activity account for most of the risk of myocardial infarction worldwide in both sexes and at all ages in all regions. This finding suggests that approaches to prevention can be based on similar principles worldwide and have the potential to prevent most premature cases of myocardial infarction.","author":[{"dropping-particle":"","family":"Yusuf","given":"Prof Salim","non-dropping-particle":"","parse-names":false,"suffix":""},{"dropping-particle":"","family":"Hawken","given":"Steven","non-dropping-particle":"","parse-names":false,"suffix":""},{"dropping-particle":"","family":"Ôunpuu","given":"Stephanie","non-dropping-particle":"","parse-names":false,"suffix":""},{"dropping-particle":"","family":"Dans","given":"Tony","non-dropping-particle":"","parse-names":false,"suffix":""},{"dropping-particle":"","family":"Avezum","given":"Alvaro","non-dropping-particle":"","parse-names":false,"suffix":""},{"dropping-particle":"","family":"Lanas","given":"Fernando","non-dropping-particle":"","parse-names":false,"suffix":""},{"dropping-particle":"","family":"McQueen","given":"Matthew","non-dropping-particle":"","parse-names":false,"suffix":""},{"dropping-particle":"","family":"Budaj","given":"Andrzej","non-dropping-particle":"","parse-names":false,"suffix":""},{"dropping-particle":"","family":"Pais","given":"Prem","non-dropping-particle":"","parse-names":false,"suffix":""},{"dropping-particle":"","family":"Varigos","given":"John","non-dropping-particle":"","parse-names":false,"suffix":""},{"dropping-particle":"","family":"Lisheng","given":"Liu","non-dropping-particle":"","parse-names":false,"suffix":""}],"container-title":"Lancet","id":"ITEM-1","issue":"9438","issued":{"date-parts":[["2004"]]},"page":"937-952","title":"Effect of potentially modifiable risk factors associated with myocardial infarction in 52 countries (the INTERHEART study): Case-control study","type":"article-journal","volume":"364"},"uris":["http://www.mendeley.com/documents/?uuid=587bd93b-0d38-4862-b83d-068b79fbd62b"]}],"mendeley":{"formattedCitation":"[31]","manualFormatting":"[31, р. 940]","plainTextFormattedCitation":"[31]","previouslyFormattedCitation":"[31]"},"properties":{"noteIndex":0},"schema":"https://github.com/citation-style-language/schema/raw/master/csl-citation.json"}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[31</w:t>
      </w:r>
      <w:r w:rsidR="00034556">
        <w:rPr>
          <w:rFonts w:ascii="Times New Roman" w:hAnsi="Times New Roman" w:cs="Times New Roman"/>
          <w:noProof/>
          <w:sz w:val="28"/>
          <w:szCs w:val="28"/>
        </w:rPr>
        <w:t>, р. 940</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Также они выявили, что риск ИМ сильнее связан с соотношением талии/бедро, чем ИМТ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{"citationItems":[{"id":"ITEM-1","itemData":{"DOI":"10.1016/S0140-6736(04)17018-9","ISBN":"1474-547X (Electronic)\\r0140-6736 (Linking)","ISSN":"01406736","PMID":"15364185","abstract":"Background Although more than 80% of the global burden of cardiovascular disease occurs in low-income and middle-income countries, knowledge of the importance of risk factors is largely derived from developed countries. Therefore, the effect of such factors on risk of coronary heart disease in most regions of the world is unknown. Methods We established a standardised case-control study of acute myocardial infarction in 52 countries, representing every inhabited continent. 15 152 cases and 14 820 controls were enrolled. The relation of smoking, history of hypertension or diabetes, waist/hip ratio, dietary patterns, physical activity, consumption of alcohol, blood apolipoproteins (Apo), and psychosocial factors to myocardial infarction are reported here. Odds ratios and their 99% CIs for the association of risk factors to myocardial infarction and their population attributable risks (PAR) were calculated. Findings Smoking (odds ratio 2??87 for current vs never, PAR 35??7% for current and former vs never), raised ApoB/ApoA1 ratio (3??25 for top vs lowest quintile, PAR 49??2% for top four quintiles vs lowest quintile), history of hypertension (1??91, PAR 17??9%), diabetes (2??37, PAR 9??9%), abdominal obesity (1??12 for top vs lowest tertile and 1??62 for middle vs lowest tertile, PAR 20??1% for top two tertiles vs lowest tertile), psychosocial factors (2??67, PAR 32??5%), daily consumption of fruits and vegetables (0??70, PAR 13??7% for lack of daily consumption), regular alcohol consumption (0??91, PAR 6??7%), and regular physical activity (0??86, PAR 12??2%), were all significantly related to acute myocardial infarction (p&lt;0??0001 for all risk factors and p=0??03 for alcohol). These associations were noted in men and women, old and young, and in all regions of the world. Collectively, these nine risk factors accounted for 90% of the PAR in men and 94% in women. Interpretation Abnormal lipids, smoking, hypertension, diabetes, abdominal obesity, psychosocial factors, consumption of fruits, vegetables, and alcohol, and regular physical activity account for most of the risk of myocardial infarction worldwide in both sexes and at all ages in all regions. This finding suggests that approaches to prevention can be based on similar principles worldwide and have the potential to prevent most premature cases of myocardial infarction.","author":[{"dropping-particle":"","family":"Yusuf","given":"Prof Salim","non-dropping-particle":"","parse-names":false,"suffix":""},{"dropping-particle":"","family":"Hawken","given":"Steven","non-dropping-particle":"","parse-names":false,"suffix":""},{"dropping-particle":"","family":"Ôunpuu","given":"Stephanie","non-dropping-particle":"","parse-names":false,"suffix":""},{"dropping-particle":"","family":"Dans","given":"Tony","non-dropping-particle":"","parse-names":false,"suffix":""},{"dropping-particle":"","family":"Avezum","given":"Alvaro","non-dropping-particle":"","parse-names":false,"suffix":""},{"dropping-particle":"","family":"Lanas","given":"Fernando","non-dropping-particle":"","parse-names":false,"suffix":""},{"dropping-particle":"","family":"McQueen","given":"Matthew","non-dropping-particle":"","parse-names":false,"suffix":""},{"dropping-particle":"","family":"Budaj","given":"Andrzej","non-dropping-particle":"","parse-names":false,"suffix":""},{"dropping-particle":"","family":"Pais","given":"Prem","non-dropping-particle":"","parse-names":false,"suffix":""},{"dropping-particle":"","family":"Varigos","given":"John","non-dropping-particle":"","parse-names":false,"suffix":""},{"dropping-particle":"","family":"Lisheng","given":"Liu","non-dropping-particle":"","parse-names":false,"suffix":""}],"container-title":"Lancet","id":"ITEM-1","issue":"9438","issued":{"date-parts":[["2004"]]},"page":"937-952","title":"Effect of potentially modifiable risk factors associated with myocardial infarction in 52 countries (the INTERHEART study): Case-control study","type":"article-journal","volume":"364"},"uris":["http://www.mendeley.com/documents/?uuid=587bd93b-0d38-4862-b83d-068b79fbd62b"]}],"mendeley":{"formattedCitation":"[31]","manualFormatting":"[31, р. 942]","plainTextFormattedCitation":"[31]","previouslyFormattedCitation":"[31]"},"properties":{"noteIndex":0},"schema":"https://github.com/citation-style-language/schema/raw/master/csl-citation.json"}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[31</w:t>
      </w:r>
      <w:r w:rsidR="00034556">
        <w:rPr>
          <w:rFonts w:ascii="Times New Roman" w:hAnsi="Times New Roman" w:cs="Times New Roman"/>
          <w:noProof/>
          <w:sz w:val="28"/>
          <w:szCs w:val="28"/>
        </w:rPr>
        <w:t>, р. 942</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Совокупность таких факторов риска, как статус курения, диабет и гипертензия, увеличивали шанс развития ИМ до 13 раз по сравнению с здоровыми лицами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{"citationItems":[{"id":"ITEM-1","itemData":{"DOI":"10.1016/S0140-6736(04)17018-9","ISBN":"1474-547X (Electronic)\\r0140-6736 (Linking)","ISSN":"01406736","PMID":"15364185","abstract":"Background Although more than 80% of the global burden of cardiovascular disease occurs in low-income and middle-income countries, knowledge of the importance of risk factors is largely derived from developed countries. Therefore, the effect of such factors on risk of coronary heart disease in most regions of the world is unknown. Methods We established a standardised case-control study of acute myocardial infarction in 52 countries, representing every inhabited continent. 15 152 cases and 14 820 controls were enrolled. The relation of smoking, history of hypertension or diabetes, waist/hip ratio, dietary patterns, physical activity, consumption of alcohol, blood apolipoproteins (Apo), and psychosocial factors to myocardial infarction are reported here. Odds ratios and their 99% CIs for the association of risk factors to myocardial infarction and their population attributable risks (PAR) were calculated. Findings Smoking (odds ratio 2??87 for current vs never, PAR 35??7% for current and former vs never), raised ApoB/ApoA1 ratio (3??25 for top vs lowest quintile, PAR 49??2% for top four quintiles vs lowest quintile), history of hypertension (1??91, PAR 17??9%), diabetes (2??37, PAR 9??9%), abdominal obesity (1??12 for top vs lowest tertile and 1??62 for middle vs lowest tertile, PAR 20??1% for top two tertiles vs lowest tertile), psychosocial factors (2??67, PAR 32??5%), daily consumption of fruits and vegetables (0??70, PAR 13??7% for lack of daily consumption), regular alcohol consumption (0??91, PAR 6??7%), and regular physical activity (0??86, PAR 12??2%), were all significantly related to acute myocardial infarction (p&lt;0??0001 for all risk factors and p=0??03 for alcohol). These associations were noted in men and women, old and young, and in all regions of the world. Collectively, these nine risk factors accounted for 90% of the PAR in men and 94% in women. Interpretation Abnormal lipids, smoking, hypertension, diabetes, abdominal obesity, psychosocial factors, consumption of fruits, vegetables, and alcohol, and regular physical activity account for most of the risk of myocardial infarction worldwide in both sexes and at all ages in all regions. This finding suggests that approaches to prevention can be based on similar principles worldwide and have the potential to prevent most premature cases of myocardial infarction.","author":[{"dropping-particle":"","family":"Yusuf","given":"Prof Salim","non-dropping-particle":"","parse-names":false,"suffix":""},{"dropping-particle":"","family":"Hawken","given":"Steven","non-dropping-particle":"","parse-names":false,"suffix":""},{"dropping-particle":"","family":"Ôunpuu","given":"Stephanie","non-dropping-particle":"","parse-names":false,"suffix":""},{"dropping-particle":"","family":"Dans","given":"Tony","non-dropping-particle":"","parse-names":false,"suffix":""},{"dropping-particle":"","family":"Avezum","given":"Alvaro","non-dropping-particle":"","parse-names":false,"suffix":""},{"dropping-particle":"","family":"Lanas","given":"Fernando","non-dropping-particle":"","parse-names":false,"suffix":""},{"dropping-particle":"","family":"McQueen","given":"Matthew","non-dropping-particle":"","parse-names":false,"suffix":""},{"dropping-particle":"","family":"Budaj","given":"Andrzej","non-dropping-particle":"","parse-names":false,"suffix":""},{"dropping-particle":"","family":"Pais","given":"Prem","non-dropping-particle":"","parse-names":false,"suffix":""},{"dropping-particle":"","family":"Varigos","given":"John","non-dropping-particle":"","parse-names":false,"suffix":""},{"dropping-particle":"","family":"Lisheng","given":"Liu","non-dropping-particle":"","parse-names":false,"suffix":""}],"container-title":"Lancet","id":"ITEM-1","issue":"9438","issued":{"date-parts":[["2004"]]},"page":"937-952","title":"Effect of potentially modifiable risk factors associated with myocardial infarction in 52 countries (the INTERHEART study): Case-control study","type":"article-journal","volume":"364"},"uris":["http://www.mendeley.com/documents/?uuid=587bd93b-0d38-4862-b83d-068b79fbd62b"]}],"mendeley":{"formattedCitation":"[31]","manualFormatting":"[31, р. 942]","plainTextFormattedCitation":"[31]","previouslyFormattedCitation":"[31]"},"properties":{"noteIndex":0},"schema":"https://github.com/citation-style-language/schema/raw/master/csl-citation.json"}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[31</w:t>
      </w:r>
      <w:r w:rsidR="00034556">
        <w:rPr>
          <w:rFonts w:ascii="Times New Roman" w:hAnsi="Times New Roman" w:cs="Times New Roman"/>
          <w:noProof/>
          <w:sz w:val="28"/>
          <w:szCs w:val="28"/>
        </w:rPr>
        <w:t>, р. 942</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добавление к этим факторам риска повышенного соотношения апоВ к апоА1 увеличивал этот шанс до 42 раз. При добавке к этим 4 фактором риска абдоминального ожирения увеличивал шанс развития ИМ до 80 раз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{"citationItems":[{"id":"ITEM-1","itemData":{"DOI":"10.1016/S0140-6736(04)17018-9","ISBN":"1474-547X (Electronic)\\r0140-6736 (Linking)","ISSN":"01406736","PMID":"15364185","abstract":"Background Although more than 80% of the global burden of cardiovascular disease occurs in low-income and middle-income countries, knowledge of the importance of risk factors is largely derived from developed countries. Therefore, the effect of such factors on risk of coronary heart disease in most regions of the world is unknown. Methods We established a standardised case-control study of acute myocardial infarction in 52 countries, representing every inhabited continent. 15 152 cases and 14 820 controls were enrolled. The relation of smoking, history of hypertension or diabetes, waist/hip ratio, dietary patterns, physical activity, consumption of alcohol, blood apolipoproteins (Apo), and psychosocial factors to myocardial infarction are reported here. Odds ratios and their 99% CIs for the association of risk factors to myocardial infarction and their population attributable risks (PAR) were calculated. Findings Smoking (odds ratio 2??87 for current vs never, PAR 35??7% for current and former vs never), raised ApoB/ApoA1 ratio (3??25 for top vs lowest quintile, PAR 49??2% for top four quintiles vs lowest quintile), history of hypertension (1??91, PAR 17??9%), diabetes (2??37, PAR 9??9%), abdominal obesity (1??12 for top vs lowest tertile and 1??62 for middle vs lowest tertile, PAR 20??1% for top two tertiles vs lowest tertile), psychosocial factors (2??67, PAR 32??5%), daily consumption of fruits and vegetables (0??70, PAR 13??7% for lack of daily consumption), regular alcohol consumption (0??91, PAR 6??7%), and regular physical activity (0??86, PAR 12??2%), were all significantly related to acute myocardial infarction (p&lt;0??0001 for all risk factors and p=0??03 for alcohol). These associations were noted in men and women, old and young, and in all regions of the world. Collectively, these nine risk factors accounted for 90% of the PAR in men and 94% in women. Interpretation Abnormal lipids, smoking, hypertension, diabetes, abdominal obesity, psychosocial factors, consumption of fruits, vegetables, and alcohol, and regular physical activity account for most of the risk of myocardial infarction worldwide in both sexes and at all ages in all regions. This finding suggests that approaches to prevention can be based on similar principles worldwide and have the potential to prevent most premature cases of myocardial infarction.","author":[{"dropping-particle":"","family":"Yusuf","given":"Prof Salim","non-dropping-particle":"","parse-names":false,"suffix":""},{"dropping-particle":"","family":"Hawken","given":"Steven","non-dropping-particle":"","parse-names":false,"suffix":""},{"dropping-particle":"","family":"Ôunpuu","given":"Stephanie","non-dropping-particle":"","parse-names":false,"suffix":""},{"dropping-particle":"","family":"Dans","given":"Tony","non-dropping-particle":"","parse-names":false,"suffix":""},{"dropping-particle":"","family":"Avezum","given":"Alvaro","non-dropping-particle":"","parse-names":false,"suffix":""},{"dropping-particle":"","family":"Lanas","given":"Fernando","non-dropping-particle":"","parse-names":false,"suffix":""},{"dropping-particle":"","family":"McQueen","given":"Matthew","non-dropping-particle":"","parse-names":false,"suffix":""},{"dropping-particle":"","family":"Budaj","given":"Andrzej","non-dropping-particle":"","parse-names":false,"suffix":""},{"dropping-particle":"","family":"Pais","given":"Prem","non-dropping-particle":"","parse-names":false,"suffix":""},{"dropping-particle":"","family":"Varigos","given":"John","non-dropping-particle":"","parse-names":false,"suffix":""},{"dropping-particle":"","family":"Lisheng","given":"Liu","non-dropping-particle":"","parse-names":false,"suffix":""}],"container-title":"Lancet","id":"ITEM-1","issue":"9438","issued":{"date-parts":[["2004"]]},"page":"937-952","title":"Effect of potentially modifiable risk factors associated with myocardial infarction in 52 countries (the INTERHEART study): Case-control study","type":"article-journal","volume":"364"},"uris":["http://www.mendeley.com/documents/?uuid=587bd93b-0d38-4862-b83d-068b79fbd62b"]}],"mendeley":{"formattedCitation":"[31]","manualFormatting":"[31, р. 942]","plainTextFormattedCitation":"[31]","previouslyFormattedCitation":"[31]"},"properties":{"noteIndex":0},"schema":"https://github.com/citation-style-language/schema/raw/master/csl-citation.json"}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[31</w:t>
      </w:r>
      <w:r w:rsidR="00034556">
        <w:rPr>
          <w:rFonts w:ascii="Times New Roman" w:hAnsi="Times New Roman" w:cs="Times New Roman"/>
          <w:noProof/>
          <w:sz w:val="28"/>
          <w:szCs w:val="28"/>
        </w:rPr>
        <w:t>, р. 942</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r w:rsidR="006A69F8">
        <w:rPr>
          <w:rFonts w:ascii="Times New Roman" w:hAnsi="Times New Roman" w:cs="Times New Roman"/>
          <w:sz w:val="28"/>
          <w:szCs w:val="28"/>
        </w:rPr>
        <w:t xml:space="preserve"> </w:t>
      </w:r>
      <w:r w:rsidR="007B6B94">
        <w:rPr>
          <w:rFonts w:ascii="Times New Roman" w:hAnsi="Times New Roman" w:cs="Times New Roman"/>
          <w:sz w:val="28"/>
          <w:szCs w:val="28"/>
        </w:rPr>
        <w:t xml:space="preserve">В одном исследовании проведенном в 2019 году, авторы сравнивали взаимосвязь сывороточного </w:t>
      </w:r>
      <w:r w:rsidR="007B6B94">
        <w:rPr>
          <w:rFonts w:ascii="Times New Roman" w:hAnsi="Times New Roman" w:cs="Times New Roman"/>
          <w:sz w:val="28"/>
          <w:szCs w:val="28"/>
        </w:rPr>
        <w:lastRenderedPageBreak/>
        <w:t xml:space="preserve">белка, связывающие жирные кислоты адипоцитов и соотношение апоВ/апоА1 с моделированием толщины интимы общей сонной артерии у пациентов с дислипидемией и без МС и у здоровых людей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{"citationItems":[{"id":"ITEM-1","itemData":{"DOI":"10.5507/bp.2018.043","ISSN":"18047521","abstract":"Background. Diseases caused by atherosclerosis play the most important role in mortality and morbidity worldwide. Serum adipocyte fatty acid binding protein (A-FABP) seems to be a new promising marker to determine the risk of atherosclerosis. Objective. The aim of this study was to evaluate relationships between serum A-FABP levels in studied individuals and to assess the possibility of modeling the intima media thickness of the common carotid artery (C-IMT) using A-FABP levels and other observed characteristics. Methods. Seventy two Caucasian individuals were enrolled and divided into 3 groups: Dyslipidemic patients with or without metabolic syndrome (MetS+, n=17; MetS-, n= 34) and controls (n=21). Results. There was confirmed the well-established risk profile of individuals with MetS (unfavorable lipid and lipoprotein profile, as well as increased parameters of insulin resistence and C-IMT). A-FABP concentrations in this group were significantly higher in comparison with both MetS- and controls. Conclusion. Using multiple linear regression models of C-IMT values for all individual data, healthy controls and dyslipidemic patients without metabolic syndrome (MetS-) A-FABP levels were not revealed as an important predictor of C-IMT in our model. In contrast, age, gender, waist circumference, nonHDL cholesterol levels and ApoB/ApoA1 ratio were important repressors of C- IMT in study individuals. This finding may be attributed to the overwhelming effect of other more robust risk factors for atherosclerosis in these individuals.","author":[{"dropping-particle":"","family":"Orsag","given":"Jiri","non-dropping-particle":"","parse-names":false,"suffix":""},{"dropping-particle":"","family":"Karasek","given":"David","non-dropping-particle":"","parse-names":false,"suffix":""},{"dropping-particle":"","family":"Halenka","given":"Milan","non-dropping-particle":"","parse-names":false,"suffix":""},{"dropping-particle":"","family":"Vaverkova","given":"Helena","non-dropping-particle":"","parse-names":false,"suffix":""},{"dropping-particle":"","family":"Spurna","given":"Jaromira","non-dropping-particle":"","parse-names":false,"suffix":""},{"dropping-particle":"","family":"Kubickova","given":"Veronika","non-dropping-particle":"","parse-names":false,"suffix":""},{"dropping-particle":"","family":"Lukes","given":"Jiri","non-dropping-particle":"","parse-names":false,"suffix":""},{"dropping-particle":"","family":"Zadrazil","given":"Josef","non-dropping-particle":"","parse-names":false,"suffix":""}],"container-title":"Biomedical Papers","id":"ITEM-1","issue":"2","issued":{"date-parts":[["2019"]]},"page":"166-171","publisher":"Biomedical Papers","title":"Association of serum adipocyte fatty acid-binding protein and apolipoprotein b /apolipoprotein a1 ratio with intima media thickness of common carotid artery in dyslipidemic patients","type":"article-journal","volume":"163"},"uris":["http://www.mendeley.com/documents/?uuid=6be7784a-14c8-4ca0-9f6d-19764cb1da56"]}],"mendeley":{"formattedCitation":"[32]","plainTextFormattedCitation":"[32]","previouslyFormattedCitation":"[32]"},"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[32]</w:t>
      </w:r>
      <w:r w:rsidR="00EA0E64">
        <w:rPr>
          <w:rFonts w:ascii="Times New Roman" w:hAnsi="Times New Roman" w:cs="Times New Roman"/>
          <w:sz w:val="28"/>
          <w:szCs w:val="28"/>
        </w:rPr>
        <w:fldChar w:fldCharType="end"/>
      </w:r>
      <w:r w:rsidR="007B6B94">
        <w:rPr>
          <w:rFonts w:ascii="Times New Roman" w:hAnsi="Times New Roman" w:cs="Times New Roman"/>
          <w:sz w:val="28"/>
          <w:szCs w:val="28"/>
        </w:rPr>
        <w:t>; пришли к выводу, что на моделирование толщины интимы общей сонной артерии сывороточного белок, связывающие жирные кислоты адипоцитов, не влияет, но есть влияние соотношение апоВ/апоА1 на него</w:t>
      </w:r>
      <w:r w:rsidR="008965B9">
        <w:rPr>
          <w:rFonts w:ascii="Times New Roman" w:hAnsi="Times New Roman" w:cs="Times New Roman"/>
          <w:sz w:val="28"/>
          <w:szCs w:val="28"/>
          <w:lang w:val="kk-KZ"/>
        </w:rPr>
        <w:t>.</w:t>
      </w:r>
    </w:p>
    <w:p w:rsidR="00BE43F0" w:rsidRDefault="00BE43F0" w:rsidP="00BE43F0">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Диагностическими критериями СД у взрослых согласно ВОЗ является повышение уровня глюкозы натощак 6,7 ммоль/л, глюкозы с нагрузкой – 7,8 ммоль/л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{"citationItems":[{"id":"ITEM-1","itemData":{"id":"ITEM-1","issued":{"date-parts":[["1999"]]},"number-of-pages":"1-66","publisher":"World Health Organization Department of Noncommunicable Disease Surveillance","publisher-place":"Geneva","title":"Definition, Diagnosis and Classification of Diabetes Mellitus and its Complications","type":"book"},"uris":["http://www.mendeley.com/documents/?uuid=1e168594-adf1-45ad-a70d-8244ce0a261f"]}],"mendeley":{"formattedCitation":"[10]","manualFormatting":"[10, р. 4]","plainTextFormattedCitation":"[10]","previouslyFormattedCitation":"[10]"},"properties":{"noteIndex":0},"schema":"https://github.com/citation-style-language/schema/raw/master/csl-citation.json"}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[10</w:t>
      </w:r>
      <w:r w:rsidR="00034556">
        <w:rPr>
          <w:rFonts w:ascii="Times New Roman" w:hAnsi="Times New Roman" w:cs="Times New Roman"/>
          <w:noProof/>
          <w:sz w:val="28"/>
          <w:szCs w:val="28"/>
        </w:rPr>
        <w:t>, р. 4</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а нарушением гликемии натощак считается определение уровня глюкозы в пределах 5,6 – 6,1 ммоль/л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{"citationItems":[{"id":"ITEM-1","itemData":{"id":"ITEM-1","issued":{"date-parts":[["1999"]]},"number-of-pages":"1-66","publisher":"World Health Organization Department of Noncommunicable Disease Surveillance","publisher-place":"Geneva","title":"Definition, Diagnosis and Classification of Diabetes Mellitus and its Complications","type":"book"},"uris":["http://www.mendeley.com/documents/?uuid=1e168594-adf1-45ad-a70d-8244ce0a261f"]}],"mendeley":{"formattedCitation":"[10]","manualFormatting":"[10, р. 4]","plainTextFormattedCitation":"[10]","previouslyFormattedCitation":"[10]"},"properties":{"noteIndex":0},"schema":"https://github.com/citation-style-language/schema/raw/master/csl-citation.json"}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[10</w:t>
      </w:r>
      <w:r w:rsidR="00034556">
        <w:rPr>
          <w:rFonts w:ascii="Times New Roman" w:hAnsi="Times New Roman" w:cs="Times New Roman"/>
          <w:noProof/>
          <w:sz w:val="28"/>
          <w:szCs w:val="28"/>
        </w:rPr>
        <w:t>, р. 4</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Как известно, нарушении гликемии натощак и нарушение толерантности повышает риск развития ССЗ. Согласно </w:t>
      </w:r>
      <w:r w:rsidRPr="000F6BFB">
        <w:rPr>
          <w:rFonts w:ascii="Times New Roman" w:hAnsi="Times New Roman" w:cs="Times New Roman"/>
          <w:noProof/>
          <w:sz w:val="28"/>
          <w:szCs w:val="24"/>
          <w:lang w:val="en-US"/>
        </w:rPr>
        <w:t>Canadian</w:t>
      </w:r>
      <w:r w:rsidR="003C2535">
        <w:rPr>
          <w:rFonts w:ascii="Times New Roman" w:hAnsi="Times New Roman" w:cs="Times New Roman"/>
          <w:noProof/>
          <w:sz w:val="28"/>
          <w:szCs w:val="24"/>
        </w:rPr>
        <w:t xml:space="preserve"> </w:t>
      </w:r>
      <w:r w:rsidRPr="000F6BFB">
        <w:rPr>
          <w:rFonts w:ascii="Times New Roman" w:hAnsi="Times New Roman" w:cs="Times New Roman"/>
          <w:noProof/>
          <w:sz w:val="28"/>
          <w:szCs w:val="24"/>
          <w:lang w:val="en-US"/>
        </w:rPr>
        <w:t>Diabetes</w:t>
      </w:r>
      <w:r w:rsidR="003C2535">
        <w:rPr>
          <w:rFonts w:ascii="Times New Roman" w:hAnsi="Times New Roman" w:cs="Times New Roman"/>
          <w:noProof/>
          <w:sz w:val="28"/>
          <w:szCs w:val="24"/>
        </w:rPr>
        <w:t xml:space="preserve"> </w:t>
      </w:r>
      <w:r w:rsidRPr="000F6BFB">
        <w:rPr>
          <w:rFonts w:ascii="Times New Roman" w:hAnsi="Times New Roman" w:cs="Times New Roman"/>
          <w:noProof/>
          <w:sz w:val="28"/>
          <w:szCs w:val="24"/>
          <w:lang w:val="en-US"/>
        </w:rPr>
        <w:t>Association</w:t>
      </w:r>
      <w:r>
        <w:rPr>
          <w:rFonts w:ascii="Times New Roman" w:hAnsi="Times New Roman" w:cs="Times New Roman"/>
          <w:sz w:val="28"/>
          <w:szCs w:val="28"/>
        </w:rPr>
        <w:t xml:space="preserve"> (</w:t>
      </w:r>
      <w:r>
        <w:rPr>
          <w:rFonts w:ascii="Times New Roman" w:hAnsi="Times New Roman" w:cs="Times New Roman"/>
          <w:sz w:val="28"/>
          <w:szCs w:val="28"/>
          <w:lang w:val="en-US"/>
        </w:rPr>
        <w:t>CDA</w:t>
      </w:r>
      <w:r>
        <w:rPr>
          <w:rFonts w:ascii="Times New Roman" w:hAnsi="Times New Roman" w:cs="Times New Roman"/>
          <w:sz w:val="28"/>
          <w:szCs w:val="28"/>
        </w:rPr>
        <w:t>) предиабетом считается повышение содержания тощаковой глюкозы в пределах 6,1 – 6,9 ммоль/л и глюкозы после нагрузки в пределах 7,8 -</w:t>
      </w:r>
      <w:r w:rsidR="00D429B3">
        <w:rPr>
          <w:rFonts w:ascii="Times New Roman" w:hAnsi="Times New Roman" w:cs="Times New Roman"/>
          <w:sz w:val="28"/>
          <w:szCs w:val="28"/>
          <w:lang w:val="kk-KZ"/>
        </w:rPr>
        <w:t xml:space="preserve"> </w:t>
      </w:r>
      <w:r>
        <w:rPr>
          <w:rFonts w:ascii="Times New Roman" w:hAnsi="Times New Roman" w:cs="Times New Roman"/>
          <w:sz w:val="28"/>
          <w:szCs w:val="28"/>
        </w:rPr>
        <w:t xml:space="preserve">11,0 ммоль/л, также содержание тощакового уровня глюкозы в пределах 5,6 – 6,0 ммоль/л вместе с 1 и более </w:t>
      </w:r>
      <w:r w:rsidR="00D429B3">
        <w:rPr>
          <w:rFonts w:ascii="Times New Roman" w:hAnsi="Times New Roman" w:cs="Times New Roman"/>
          <w:sz w:val="28"/>
          <w:szCs w:val="28"/>
        </w:rPr>
        <w:t xml:space="preserve">факторов </w:t>
      </w:r>
      <w:r>
        <w:rPr>
          <w:rFonts w:ascii="Times New Roman" w:hAnsi="Times New Roman" w:cs="Times New Roman"/>
          <w:sz w:val="28"/>
          <w:szCs w:val="28"/>
        </w:rPr>
        <w:t>риск</w:t>
      </w:r>
      <w:r w:rsidR="00D429B3">
        <w:rPr>
          <w:rFonts w:ascii="Times New Roman" w:hAnsi="Times New Roman" w:cs="Times New Roman"/>
          <w:sz w:val="28"/>
          <w:szCs w:val="28"/>
          <w:lang w:val="kk-KZ"/>
        </w:rPr>
        <w:t>а</w:t>
      </w:r>
      <w:r>
        <w:rPr>
          <w:rFonts w:ascii="Times New Roman" w:hAnsi="Times New Roman" w:cs="Times New Roman"/>
          <w:sz w:val="28"/>
          <w:szCs w:val="28"/>
        </w:rPr>
        <w:t xml:space="preserve"> диабета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{"citationItems":[{"id":"ITEM-1","itemData":{"container-title":"A Publication of the Professional Sections of the Canadian Diabetes Association","id":"ITEM-1","issue":"Supplement 1","issued":{"date-parts":[["2008"]]},"title":"Canadian Diabetes Association 2008 Clinical Practice Guidelines for the Prevention and Management of Diabetes in Canada","type":"article-journal","volume":"32"},"uris":["http://www.mendeley.com/documents/?uuid=bc13bf46-aebb-4e55-bd42-3b7a06d13a85"]}],"mendeley":{"formattedCitation":"[33]","plainTextFormattedCitation":"[33]","previouslyFormattedCitation":"[33]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[33]</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BE43F0" w:rsidRDefault="00BE43F0" w:rsidP="00BE43F0">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Как известно, гиперинсулинемия часто сопровождается дислипидемией, которая в свою очередь является </w:t>
      </w:r>
      <w:r w:rsidR="005C3D12">
        <w:rPr>
          <w:rFonts w:ascii="Times New Roman" w:hAnsi="Times New Roman" w:cs="Times New Roman"/>
          <w:sz w:val="28"/>
          <w:szCs w:val="28"/>
          <w:lang w:val="kk-KZ"/>
        </w:rPr>
        <w:t xml:space="preserve">одним из часто </w:t>
      </w:r>
      <w:r w:rsidR="005C3D12" w:rsidRPr="005C3D12">
        <w:rPr>
          <w:rFonts w:ascii="Times New Roman" w:hAnsi="Times New Roman" w:cs="Times New Roman"/>
          <w:noProof/>
          <w:sz w:val="28"/>
          <w:szCs w:val="28"/>
        </w:rPr>
        <w:t>встречамы</w:t>
      </w:r>
      <w:r w:rsidR="004E7049">
        <w:rPr>
          <w:rFonts w:ascii="Times New Roman" w:hAnsi="Times New Roman" w:cs="Times New Roman"/>
          <w:noProof/>
          <w:sz w:val="28"/>
          <w:szCs w:val="28"/>
        </w:rPr>
        <w:t>х</w:t>
      </w:r>
      <w:r w:rsidR="004436C0">
        <w:rPr>
          <w:rFonts w:ascii="Times New Roman" w:hAnsi="Times New Roman" w:cs="Times New Roman"/>
          <w:noProof/>
          <w:sz w:val="28"/>
          <w:szCs w:val="28"/>
        </w:rPr>
        <w:t xml:space="preserve"> </w:t>
      </w:r>
      <w:r>
        <w:rPr>
          <w:rFonts w:ascii="Times New Roman" w:hAnsi="Times New Roman" w:cs="Times New Roman"/>
          <w:sz w:val="28"/>
          <w:szCs w:val="28"/>
        </w:rPr>
        <w:t>фактор</w:t>
      </w:r>
      <w:r w:rsidR="005C3D12">
        <w:rPr>
          <w:rFonts w:ascii="Times New Roman" w:hAnsi="Times New Roman" w:cs="Times New Roman"/>
          <w:sz w:val="28"/>
          <w:szCs w:val="28"/>
          <w:lang w:val="kk-KZ"/>
        </w:rPr>
        <w:t>о</w:t>
      </w:r>
      <w:r w:rsidR="004E7049">
        <w:rPr>
          <w:rFonts w:ascii="Times New Roman" w:hAnsi="Times New Roman" w:cs="Times New Roman"/>
          <w:sz w:val="28"/>
          <w:szCs w:val="28"/>
          <w:lang w:val="kk-KZ"/>
        </w:rPr>
        <w:t>в</w:t>
      </w:r>
      <w:r>
        <w:rPr>
          <w:rFonts w:ascii="Times New Roman" w:hAnsi="Times New Roman" w:cs="Times New Roman"/>
          <w:sz w:val="28"/>
          <w:szCs w:val="28"/>
        </w:rPr>
        <w:t xml:space="preserve"> риска сердечно-сосудистых осложн</w:t>
      </w:r>
      <w:r w:rsidR="00B03640">
        <w:rPr>
          <w:rFonts w:ascii="Times New Roman" w:hAnsi="Times New Roman" w:cs="Times New Roman"/>
          <w:sz w:val="28"/>
          <w:szCs w:val="28"/>
        </w:rPr>
        <w:t>ений. Известно, что ЛПЛ подавляю</w:t>
      </w:r>
      <w:r>
        <w:rPr>
          <w:rFonts w:ascii="Times New Roman" w:hAnsi="Times New Roman" w:cs="Times New Roman"/>
          <w:sz w:val="28"/>
          <w:szCs w:val="28"/>
        </w:rPr>
        <w:t xml:space="preserve">тся инсулином, и, следовательно, при дефиците инсулина липолиз увеличивается даже при наличии высоких уровней глюкозы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{"citationItems":[{"id":"ITEM-1","itemData":{"DOI":"10.2147/DMSO.S115855","ISSN":"11787007","abstract":"Premature atherosclerosis in diabetes accounts for much of the decreased life span. New treatments have reduced this risk considerably. This review explores the relationship among the disturbances in glucose, lipid, and bile salt metabolic pathways that occur in diabetes. In particular, excess nutrient intake and starvation have major metabolic effects, which have allowed us new insights into the disturbance that occurs in diabetes. Metabolic regulators such as the forkhead transcription factors, the farnesyl X transcription factors, and the fibroblast growth factors have become important players in our understanding of the dysregulation of metabolism in diabetes and overnutrition. The disturbed regulation of lipoprotein metabolism in both the intestine and the liver has been more clearly defined over the past few years, and the atherogenicity of the triglyceride-rich lipoproteins, and - in tandem - low levels of highdensity lipoproteins, is seen now as very important. New information on the apolipoproteins that control lipoprotein lipase activity has been obtained. This is an exciting time in the battle to defeat diabetic atherosclerosis.","author":[{"dropping-particle":"","family":"Tomkin","given":"G. H.","non-dropping-particle":"","parse-names":false,"suffix":""},{"dropping-particle":"","family":"Owens","given":"D.","non-dropping-particle":"","parse-names":false,"suffix":""}],"container-title":"Diabetes, Metabolic Syndrome and Obesity: Targets and Therapy","id":"ITEM-1","issued":{"date-parts":[["2017"]]},"page":"333-343","title":"Diabetes and dyslipidemia: Characterizing lipoprotein metabolism","type":"article-journal","volume":"10"},"uris":["http://www.mendeley.com/documents/?uuid=76c3d536-9f64-416a-a896-763375be9ef4"]}],"mendeley":{"formattedCitation":"[34]","plainTextFormattedCitation":"[34]","previouslyFormattedCitation":"[34]"},"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[34]</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9B213A" w:rsidRDefault="009B213A" w:rsidP="009B213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ИР – это не способность тканей отвечать на нормальный уровень инсулина в крови глюкозоснижающим эффектом, который приводит к подавл</w:t>
      </w:r>
      <w:r w:rsidR="00B03640">
        <w:rPr>
          <w:rFonts w:ascii="Times New Roman" w:hAnsi="Times New Roman" w:cs="Times New Roman"/>
          <w:sz w:val="28"/>
          <w:szCs w:val="28"/>
        </w:rPr>
        <w:t>ению эндогенного глюконеогенеза и</w:t>
      </w:r>
      <w:r>
        <w:rPr>
          <w:rFonts w:ascii="Times New Roman" w:hAnsi="Times New Roman" w:cs="Times New Roman"/>
          <w:sz w:val="28"/>
          <w:szCs w:val="28"/>
        </w:rPr>
        <w:t xml:space="preserve"> липолиза, клеточным поглощением плазменной глюкозы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{"citationItems":[{"id":"ITEM-1","itemData":{"DOI":"10.1089/met.2019.0115","ISSN":"1540-4196","abstract":"Current algorithms for assessing risk of atherosclerotic cardiovascular disease (ASCVD) and, in particular, the reliance on low-density lipoprotein (LDL) cholesterol in conditions where this measurement is discordant with apoB and LDL-particle concentrations fail to identify a sizeable part of the population at high risk for adverse cardiovascular events. This results in missed opportunities for ASCVD prevention, most notably in those with metabolic syndrome, prediabetes, and diabetes. There is substantial evidence that accumulation of ectopic fat and associated metabolic traits are markers for and pathogenic components of high-risk atherosclerosis. Conceptually, the subset of advanced lesions in high-risk atherosclerosis that triggers vascular complications is closely related to a set of coordinated high-risk traits clustering around a distinct metabolic phenotype. A key feature of this phenotype is accumulation of ectopic fat, which, coupled with age-related muscle loss, creates a milieu conducive for the development of ASCVD: atherogenic dyslipidemia, nonresolving inflammation, endothelial dysfunction, hyperinsulinemia, and impaired fibrinolysis. Sustained vascular inflammation, a hallmark of high-risk atherosclerosis, impairs plaque stabilization in this phenotype. This review describes how metabolic and inflammatory processes that are promoted in large measure by ectopic adiposity, as opposed to subcutaneous adipose tissue, relate to the pathogenesis of high-risk atherosclerosis. Clinical biomarkers indicative of these processes provide incremental information to standard risk factor algorithms and advanced lipid testing identifies atherogenic lipoprotein patterns that are below the discrimination level of standard lipid testing. This has the potential to enable improved identification of high-risk patients who are candidates for therapeutic interventions aimed at prevention of ASCVD.","author":[{"dropping-particle":"","family":"Lechner","given":"Katharina","non-dropping-particle":"","parse-names":false,"suffix":""},{"dropping-particle":"","family":"McKenzie","given":"Amy L.","non-dropping-particle":"","parse-names":false,"suffix":""},{"dropping-particle":"","family":"Kränkel","given":"Nicolle","non-dropping-particle":"","parse-names":false,"suffix":""},{"dropping-particle":"","family":"Schacky","given":"Clemens","non-dropping-particle":"Von","parse-names":false,"suffix":""},{"dropping-particle":"","family":"Worm","given":"Nicolai","non-dropping-particle":"","parse-names":false,"suffix":""},{"dropping-particle":"","family":"Nixdorff","given":"Uwe","non-dropping-particle":"","parse-names":false,"suffix":""},{"dropping-particle":"","family":"Lechner","given":"Benjamin","non-dropping-particle":"","parse-names":false,"suffix":""},{"dropping-particle":"","family":"Scherr","given":"Johannes","non-dropping-particle":"","parse-names":false,"suffix":""},{"dropping-particle":"","family":"Weingärtner","given":"Oliver","non-dropping-particle":"","parse-names":false,"suffix":""},{"dropping-particle":"","family":"Krauss","given":"Ronald M.","non-dropping-particle":"","parse-names":false,"suffix":""}],"container-title":"Metabolic Syndrome and Related Disorders","id":"ITEM-1","issue":"XX","issued":{"date-parts":[["2020","3","2"]]},"page":"176-185","title":"High-Risk Atherosclerosis and Metabolic Phenotype: The Roles of Ectopic Adiposity, Atherogenic Dyslipidemia, and Inflammation","type":"article-journal","volume":"XX"},"uris":["http://www.mendeley.com/documents/?uuid=b75ad960-2c9d-416a-a8ae-3acd17ba22f8"]}],"mendeley":{"formattedCitation":"[15]","manualFormatting":"[15, р. 180]","plainTextFormattedCitation":"[15]","previouslyFormattedCitation":"[15]"},"properties":{"noteIndex":0},"schema":"https://github.com/citation-style-language/schema/raw/master/csl-citation.json"}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[15</w:t>
      </w:r>
      <w:r w:rsidR="00034556">
        <w:rPr>
          <w:rFonts w:ascii="Times New Roman" w:hAnsi="Times New Roman" w:cs="Times New Roman"/>
          <w:noProof/>
          <w:sz w:val="28"/>
          <w:szCs w:val="28"/>
        </w:rPr>
        <w:t>, р. 180</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Появляется компенсаторная гиперинсулинемия, </w:t>
      </w:r>
      <w:r w:rsidR="00B03640">
        <w:rPr>
          <w:rFonts w:ascii="Times New Roman" w:hAnsi="Times New Roman" w:cs="Times New Roman"/>
          <w:sz w:val="28"/>
          <w:szCs w:val="28"/>
        </w:rPr>
        <w:t>состояние при котором</w:t>
      </w:r>
      <w:r>
        <w:rPr>
          <w:rFonts w:ascii="Times New Roman" w:hAnsi="Times New Roman" w:cs="Times New Roman"/>
          <w:sz w:val="28"/>
          <w:szCs w:val="28"/>
        </w:rPr>
        <w:t xml:space="preserve"> уровень инсулина в плазме будет постоянно повышен независимо от приема пищи. Гиперинсулинемия способствует задержке мочевой кислоты, натрия в почках, что приводит повышению АД. В результате появляется благоприятная среда для развития атеросклероза, СД 2 типа и АССЗ. Поэтому ИР и компенсаторная гиперинсулинемия могут быть связаны с патогенезом ИБС и кардиометаболических событий даже при отсутствия СД 2 типа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{"citationItems":[{"id":"ITEM-1","itemData":{"DOI":"10.1089/met.2019.0115","ISSN":"1540-4196","abstract":"Current algorithms for assessing risk of atherosclerotic cardiovascular disease (ASCVD) and, in particular, the reliance on low-density lipoprotein (LDL) cholesterol in conditions where this measurement is discordant with apoB and LDL-particle concentrations fail to identify a sizeable part of the population at high risk for adverse cardiovascular events. This results in missed opportunities for ASCVD prevention, most notably in those with metabolic syndrome, prediabetes, and diabetes. There is substantial evidence that accumulation of ectopic fat and associated metabolic traits are markers for and pathogenic components of high-risk atherosclerosis. Conceptually, the subset of advanced lesions in high-risk atherosclerosis that triggers vascular complications is closely related to a set of coordinated high-risk traits clustering around a distinct metabolic phenotype. A key feature of this phenotype is accumulation of ectopic fat, which, coupled with age-related muscle loss, creates a milieu conducive for the development of ASCVD: atherogenic dyslipidemia, nonresolving inflammation, endothelial dysfunction, hyperinsulinemia, and impaired fibrinolysis. Sustained vascular inflammation, a hallmark of high-risk atherosclerosis, impairs plaque stabilization in this phenotype. This review describes how metabolic and inflammatory processes that are promoted in large measure by ectopic adiposity, as opposed to subcutaneous adipose tissue, relate to the pathogenesis of high-risk atherosclerosis. Clinical biomarkers indicative of these processes provide incremental information to standard risk factor algorithms and advanced lipid testing identifies atherogenic lipoprotein patterns that are below the discrimination level of standard lipid testing. This has the potential to enable improved identification of high-risk patients who are candidates for therapeutic interventions aimed at prevention of ASCVD.","author":[{"dropping-particle":"","family":"Lechner","given":"Katharina","non-dropping-particle":"","parse-names":false,"suffix":""},{"dropping-particle":"","family":"McKenzie","given":"Amy L.","non-dropping-particle":"","parse-names":false,"suffix":""},{"dropping-particle":"","family":"Kränkel","given":"Nicolle","non-dropping-particle":"","parse-names":false,"suffix":""},{"dropping-particle":"","family":"Schacky","given":"Clemens","non-dropping-particle":"Von","parse-names":false,"suffix":""},{"dropping-particle":"","family":"Worm","given":"Nicolai","non-dropping-particle":"","parse-names":false,"suffix":""},{"dropping-particle":"","family":"Nixdorff","given":"Uwe","non-dropping-particle":"","parse-names":false,"suffix":""},{"dropping-particle":"","family":"Lechner","given":"Benjamin","non-dropping-particle":"","parse-names":false,"suffix":""},{"dropping-particle":"","family":"Scherr","given":"Johannes","non-dropping-particle":"","parse-names":false,"suffix":""},{"dropping-particle":"","family":"Weingärtner","given":"Oliver","non-dropping-particle":"","parse-names":false,"suffix":""},{"dropping-particle":"","family":"Krauss","given":"Ronald M.","non-dropping-particle":"","parse-names":false,"suffix":""}],"container-title":"Metabolic Syndrome and Related Disorders","id":"ITEM-1","issue":"XX","issued":{"date-parts":[["2020","3","2"]]},"page":"176-185","title":"High-Risk Atherosclerosis and Metabolic Phenotype: The Roles of Ectopic Adiposity, Atherogenic Dyslipidemia, and Inflammation","type":"article-journal","volume":"XX"},"uris":["http://www.mendeley.com/documents/?uuid=b75ad960-2c9d-416a-a8ae-3acd17ba22f8"]}],"mendeley":{"formattedCitation":"[15]","manualFormatting":"[15, р. 181]","plainTextFormattedCitation":"[15]","previouslyFormattedCitation":"[15]"},"properties":{"noteIndex":0},"schema":"https://github.com/citation-style-language/schema/raw/master/csl-citation.json"}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[15</w:t>
      </w:r>
      <w:r w:rsidR="00034556">
        <w:rPr>
          <w:rFonts w:ascii="Times New Roman" w:hAnsi="Times New Roman" w:cs="Times New Roman"/>
          <w:noProof/>
          <w:sz w:val="28"/>
          <w:szCs w:val="28"/>
        </w:rPr>
        <w:t>, р. 181</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2D076B" w:rsidRPr="009A794A" w:rsidRDefault="002D076B" w:rsidP="002D076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ИР является следствием хронического воспаления жировой ткани и лежит в патогенезе целого ряда заболеваний, в том числе СД 2 типа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10.1172/JCI34260","ISSN":"0021-9738","author":[{"dropping-particle":"","family":"Schenk","given":"Simon","non-dropping-particle":"","parse-names":false,"suffix":""},{"dropping-particle":"","family":"Saberi","given":"Maziyar","non-dropping-particle":"","parse-names":false,"suffix":""},{"dropping-particle":"","family":"Olefsky","given":"Jerrold M","non-dropping-particle":"","parse-names":false,"suffix":""}],"container-title":"Journal of Clinical Investigation","id":"ITEM-1","issue":"9","issued":{"date-parts":[["2008","9","2"]]},"page":"2992-3002","title":"Insulin sensitivity: modulation by nutrients and inflammation","type":"article-journal","volume":"118"},"uris":["http://www.mendeley.com/documents/?uuid=feb7a030-9ee3-44f1-8432-b46f0f4bb303","http://www.mendeley.com/documents/?uuid=9f34d604-dc35-44fe-9bf8-246c01e5cebd"]}],"mendeley":{"formattedCitation":"[35]","plainTextFormattedCitation":"[35]","previouslyFormattedCitation":"[35]"},"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[35]</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Избыток инсулина, который часто бывает при ИР, подавляет глюконеогенез в печени, снижает усвоение глюкозы в скелетных мышцах </w:t>
      </w:r>
      <w:r w:rsidR="00D429B3">
        <w:rPr>
          <w:rFonts w:ascii="Times New Roman" w:hAnsi="Times New Roman" w:cs="Times New Roman"/>
          <w:sz w:val="28"/>
          <w:szCs w:val="28"/>
        </w:rPr>
        <w:t>и,</w:t>
      </w:r>
      <w:r>
        <w:rPr>
          <w:rFonts w:ascii="Times New Roman" w:hAnsi="Times New Roman" w:cs="Times New Roman"/>
          <w:sz w:val="28"/>
          <w:szCs w:val="28"/>
        </w:rPr>
        <w:t xml:space="preserve"> </w:t>
      </w:r>
      <w:r w:rsidR="005C3D12">
        <w:rPr>
          <w:rFonts w:ascii="Times New Roman" w:hAnsi="Times New Roman" w:cs="Times New Roman"/>
          <w:sz w:val="28"/>
          <w:szCs w:val="28"/>
        </w:rPr>
        <w:t>повыш</w:t>
      </w:r>
      <w:r w:rsidR="005C3D12">
        <w:rPr>
          <w:rFonts w:ascii="Times New Roman" w:hAnsi="Times New Roman" w:cs="Times New Roman"/>
          <w:sz w:val="28"/>
          <w:szCs w:val="28"/>
          <w:lang w:val="kk-KZ"/>
        </w:rPr>
        <w:t xml:space="preserve">ая </w:t>
      </w:r>
      <w:r w:rsidR="005C3D12">
        <w:rPr>
          <w:rFonts w:ascii="Times New Roman" w:hAnsi="Times New Roman" w:cs="Times New Roman"/>
          <w:sz w:val="28"/>
          <w:szCs w:val="28"/>
        </w:rPr>
        <w:t>уров</w:t>
      </w:r>
      <w:r w:rsidR="005C3D12">
        <w:rPr>
          <w:rFonts w:ascii="Times New Roman" w:hAnsi="Times New Roman" w:cs="Times New Roman"/>
          <w:sz w:val="28"/>
          <w:szCs w:val="28"/>
          <w:lang w:val="kk-KZ"/>
        </w:rPr>
        <w:t>ень</w:t>
      </w:r>
      <w:r w:rsidR="005C3D12">
        <w:rPr>
          <w:rFonts w:ascii="Times New Roman" w:hAnsi="Times New Roman" w:cs="Times New Roman"/>
          <w:sz w:val="28"/>
          <w:szCs w:val="28"/>
        </w:rPr>
        <w:t xml:space="preserve"> свободных жирных кислот</w:t>
      </w:r>
      <w:r w:rsidR="00D429B3">
        <w:rPr>
          <w:rFonts w:ascii="Times New Roman" w:hAnsi="Times New Roman" w:cs="Times New Roman"/>
          <w:sz w:val="28"/>
          <w:szCs w:val="28"/>
          <w:lang w:val="kk-KZ"/>
        </w:rPr>
        <w:t>,</w:t>
      </w:r>
      <w:r w:rsidR="005C3D12">
        <w:rPr>
          <w:rFonts w:ascii="Times New Roman" w:hAnsi="Times New Roman" w:cs="Times New Roman"/>
          <w:sz w:val="28"/>
          <w:szCs w:val="28"/>
        </w:rPr>
        <w:t xml:space="preserve"> </w:t>
      </w:r>
      <w:r>
        <w:rPr>
          <w:rFonts w:ascii="Times New Roman" w:hAnsi="Times New Roman" w:cs="Times New Roman"/>
          <w:sz w:val="28"/>
          <w:szCs w:val="28"/>
        </w:rPr>
        <w:t xml:space="preserve">тормозить липолиз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{"citationItems":[{"id":"ITEM-1","itemData":{"DOI":"10.1146/annurev-physiol-021909-135846","ISSN":"0066-4278","abstract":"Obesity induces an insulin-resistant state in adipose tissue, liver, and muscle and is a strong risk factor for the development of type 2 diabetes mellitus. Insulin resistance in the setting of obesity results from a combination of altered functions of insulin target cells and the accumulation of macrophages that secrete proinflammatory mediators. At the molecular level, insulin resistance is promoted by a transition in macrophage polarization from an alternative M2 activation state maintained by STAT6 and PPARs to a classical M1 activation state driven by NF-κB, AP1, and other signal-dependent transcription factors that play crucial roles in innate immunity. Strategies focused on inhibiting the inflammation/insulin resistance axis that otherwise preserve essential innate immune functions may hold promise for therapeutic intervention. © 2010 by Annual Reviews. All rights reserved.","author":[{"dropping-particle":"","family":"Olefsky","given":"Jerrold M.","non-dropping-particle":"","parse-names":false,"suffix":""},{"dropping-particle":"","family":"Glass","given":"Christopher K.","non-dropping-particle":"","parse-names":false,"suffix":""}],"container-title":"Annual Review of Physiology","id":"ITEM-1","issue":"1","issued":{"date-parts":[["2010","3","17"]]},"page":"219-246","title":"Macrophages, Inflammation, and Insulin Resistance","type":"article-journal","volume":"72"},"uris":["http://www.mendeley.com/documents/?uuid=f451f1bd-dab2-4e2f-99d7-223455c27467","http://www.mendeley.com/documents/?uuid=b00d2291-acc9-4d35-a8b8-2bdbdd4cb247"]}],"mendeley":{"formattedCitation":"[36]","plainTextFormattedCitation":"[36]","previouslyFormattedCitation":"[36]"},"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[36]</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r w:rsidR="005C3D12">
        <w:rPr>
          <w:rFonts w:ascii="Times New Roman" w:hAnsi="Times New Roman" w:cs="Times New Roman"/>
          <w:sz w:val="28"/>
          <w:szCs w:val="28"/>
          <w:lang w:val="kk-KZ"/>
        </w:rPr>
        <w:t xml:space="preserve">Совокупность </w:t>
      </w:r>
      <w:r>
        <w:rPr>
          <w:rFonts w:ascii="Times New Roman" w:hAnsi="Times New Roman" w:cs="Times New Roman"/>
          <w:sz w:val="28"/>
          <w:szCs w:val="28"/>
        </w:rPr>
        <w:t>эти</w:t>
      </w:r>
      <w:r w:rsidR="005C3D12">
        <w:rPr>
          <w:rFonts w:ascii="Times New Roman" w:hAnsi="Times New Roman" w:cs="Times New Roman"/>
          <w:sz w:val="28"/>
          <w:szCs w:val="28"/>
          <w:lang w:val="kk-KZ"/>
        </w:rPr>
        <w:t>х</w:t>
      </w:r>
      <w:r>
        <w:rPr>
          <w:rFonts w:ascii="Times New Roman" w:hAnsi="Times New Roman" w:cs="Times New Roman"/>
          <w:sz w:val="28"/>
          <w:szCs w:val="28"/>
        </w:rPr>
        <w:t xml:space="preserve"> нарушени</w:t>
      </w:r>
      <w:r w:rsidR="005C3D12">
        <w:rPr>
          <w:rFonts w:ascii="Times New Roman" w:hAnsi="Times New Roman" w:cs="Times New Roman"/>
          <w:sz w:val="28"/>
          <w:szCs w:val="28"/>
          <w:lang w:val="kk-KZ"/>
        </w:rPr>
        <w:t>й</w:t>
      </w:r>
      <w:r>
        <w:rPr>
          <w:rFonts w:ascii="Times New Roman" w:hAnsi="Times New Roman" w:cs="Times New Roman"/>
          <w:sz w:val="28"/>
          <w:szCs w:val="28"/>
        </w:rPr>
        <w:t xml:space="preserve"> приводят к дислипидемии, </w:t>
      </w:r>
      <w:r w:rsidR="005C3D12">
        <w:rPr>
          <w:rFonts w:ascii="Times New Roman" w:hAnsi="Times New Roman" w:cs="Times New Roman"/>
          <w:sz w:val="28"/>
          <w:szCs w:val="28"/>
          <w:lang w:val="kk-KZ"/>
        </w:rPr>
        <w:t>что</w:t>
      </w:r>
      <w:r>
        <w:rPr>
          <w:rFonts w:ascii="Times New Roman" w:hAnsi="Times New Roman" w:cs="Times New Roman"/>
          <w:sz w:val="28"/>
          <w:szCs w:val="28"/>
        </w:rPr>
        <w:t xml:space="preserve"> в свою очередь </w:t>
      </w:r>
      <w:r w:rsidR="005C3D12">
        <w:rPr>
          <w:rFonts w:ascii="Times New Roman" w:hAnsi="Times New Roman" w:cs="Times New Roman"/>
          <w:sz w:val="28"/>
          <w:szCs w:val="28"/>
          <w:lang w:val="kk-KZ"/>
        </w:rPr>
        <w:t>является пусковым механизмом в</w:t>
      </w:r>
      <w:r w:rsidR="005C3D12">
        <w:rPr>
          <w:rFonts w:ascii="Times New Roman" w:hAnsi="Times New Roman" w:cs="Times New Roman"/>
          <w:sz w:val="28"/>
          <w:szCs w:val="28"/>
        </w:rPr>
        <w:t xml:space="preserve"> развитии</w:t>
      </w:r>
      <w:r>
        <w:rPr>
          <w:rFonts w:ascii="Times New Roman" w:hAnsi="Times New Roman" w:cs="Times New Roman"/>
          <w:sz w:val="28"/>
          <w:szCs w:val="28"/>
        </w:rPr>
        <w:t xml:space="preserve"> ССЗ и МС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{"citationItems":[{"id":"ITEM-1","itemData":{"DOI":"10.1016/j.pmedr.2017.07.004","ISSN":"2211-3355","PMID":"28794957","abstract":"Metabolic syndrome (MetSyn) represents a clustering of different metabolic abnormalities. MetSyn prevalence is present in approximately 25% of all adults with increased prevalence in advanced ages. The presence of one component of MetSyn increases the risk of developing MetSyn later in life and likely represents a high lifetime burden of cardiovascular disease risk. Therefore we pooled data from multiple studies to establish the prevalence of MetSyn and MetSyn component prevalence across a broad range of ethnicities. PubMed, SCOPUS and Medline databases were searched to find papers presenting MetSyn and MetSyn component data for 18-30 year olds who were apparently healthy, free of disease, and MetSyn was assessed using either the harmonized, National Cholesterol Education Program Adult Treatment Panel III (NCEP-ATPIII), American Heart Association/National Heart, Blood and Lung Institute (AHA/NHBLI), or International Diabetes Federation (IDF) definitions of MetSyn. After reviewing returned articles, 26,609 participants' data from 34 studies were included in the analysis and the data were pooled. MetSyn was present in 4.8-7% of young adults. Atherogenic dyslipidaemia defined as low high density lipoprotein (HDL) cholesterol was the most prevalent MetSyn component (26.9-41.2%), followed by elevated blood pressure (16.6-26.6%), abdominal obesity (6.8-23.6%), atherogenic dyslipidaemia defined as raised triglycerides (8.6-15.6%), and raised fasting glucose (2.8-15.4%). These findings highlight that MetSyn is prevalent in young adults. Establishing the reason why low HDL is the most prevalent component may represent an important step in promoting primary prevention of MetSyn and reducing the incidence of subsequent clinical disease.","author":[{"dropping-particle":"","family":"Nolan","given":"Paul B","non-dropping-particle":"","parse-names":false,"suffix":""},{"dropping-particle":"","family":"Carrick-Ranson","given":"Graeme","non-dropping-particle":"","parse-names":false,"suffix":""},{"dropping-particle":"","family":"Stinear","given":"James W","non-dropping-particle":"","parse-names":false,"suffix":""},{"dropping-particle":"","family":"Reading","given":"Stacey A","non-dropping-particle":"","parse-names":false,"suffix":""},{"dropping-particle":"","family":"Dalleck","given":"Lance C","non-dropping-particle":"","parse-names":false,"suffix":""}],"container-title":"Preventive medicine reports","id":"ITEM-1","issued":{"date-parts":[["2017","9"]]},"page":"211-215","publisher":"Elsevier","title":"Prevalence of metabolic syndrome and metabolic syndrome components in young adults: A pooled analysis.","type":"article-journal","volume":"7"},"uris":["http://www.mendeley.com/documents/?uuid=7de1dbce-a28e-4c37-b3e9-f2040821d928"]},{"id":"ITEM-2","itemData":{"DOI":"10.1016/S0140-6736(13)61836-X","ISSN":"1474-547X","PMID":"24269108","abstract":"BACKGROUND: Body-mass index (BMI) and diabetes have increased worldwide, whereas global average blood pressure and cholesterol have decreased or remained unchanged in the past three decades. We quantified how much of the effects of BMI on coronary heart disease and stroke are mediated through blood pressure, cholesterol, and glucose, and how much is independent of these factors. METHODS: We pooled data from 97 prospective cohort studies that collectively enrolled 1·8 million participants between 1948 and 2005, and that included 57,161 coronary heart disease and 31,093 stroke events. For each cohort we excluded participants who were younger than 18 years, had a BMI of lower than 20 kg/m(2), or who had a history of coronary heart disease or stroke. We estimated the hazard ratio (HR) of BMI on coronary heart disease and stroke with and without adjustment for all possible combinations of blood pressure, cholesterol, and glucose. We pooled HRs with a random-effects model and calculated the attenuation of excess risk after adjustment for mediators. FINDINGS: The HR for each 5 kg/m(2) higher BMI was 1·27 (95% CI 1·23-1·31) for coronary heart disease and 1·18 (1·14-1·22) for stroke after adjustment for confounders. Additional adjustment for the three metabolic risk factors reduced the HRs to 1·15 (1·12-1·18) for coronary heart disease and 1·04 (1·01-1·08) for stroke, suggesting that 46% (95% CI 42-50) of the excess risk of BMI for coronary heart disease and 76% (65-91) for stroke is mediated by these factors. Blood pressure was the most important mediator, accounting for 31% (28-35) of the excess risk for coronary heart disease and 65% (56-75) for stroke. The percentage excess risks mediated by these three mediators did not differ significantly between Asian and western cohorts (North America, western Europe, Australia, and New Zealand). Both overweight (BMI ≥25 to &lt;30 kg/m(2)) and obesity (BMI ≥30 kg/m(2)) were associated with a significantly increased risk of coronary heart disease and stroke, compared with normal weight (BMI ≥20 to &lt;25 kg/m(2)), with 50% (44-58) of the excess risk of overweight and 44% (41-48) of the excess risk of obesity for coronary heart disease mediated by the selected three mediators. The percentages for stroke were 98% (69-155) for overweight and 69% (64-77) for obesity. INTERPRETATION: Interventions that reduce high blood pressure, cholesterol, and glucose might address about half of excess risk of coronary heart disease and three-qu…","author":[{"dropping-particle":"","family":"Lu","given":"Yuan","non-dropping-particle":"","parse-names":false,"suffix":""},{"dropping-particle":"","family":"Hajifathalian","given":"Kaveh","non-dropping-particle":"","parse-names":false,"suffix":""},{"dropping-particle":"","family":"Ezzati","given":"Majid","non-dropping-particle":"","parse-names":false,"suffix":""},{"dropping-particle":"","family":"Woodward","given":"Mark","non-dropping-particle":"","parse-names":false,"suffix":""},{"dropping-particle":"","family":"Rimm","given":"Eric B","non-dropping-particle":"","parse-names":false,"suffix":""},{"dropping-particle":"","family":"Danaei","given":"Goodarz","non-dropping-particle":"","parse-names":false,"suffix":""}],"container-title":"Lancet","id":"ITEM-2","issue":"9921","issued":{"date-parts":[["2014","3"]]},"page":"970-83","title":"Metabolic mediators of the effects of body-mass index, overweight, and obesity on coronary heart disease and stroke: a pooled analysis of 97 prospective cohorts with 1·8 million participants.","type":"article-journal","volume":"383"},"uris":["http://www.mendeley.com/documents/?uuid=66b42ce6-0a2a-46ee-ac42-bea21683e685"]}],"mendeley":{"formattedCitation":"[37,38]","manualFormatting":"[38, 39]","plainTextFormattedCitation":"[37,38]","previouslyFormattedCitation":"[37,38]"},"properties":{"noteIndex":0},"schema":"https://github.com/citation-style-language/schema/raw/master/csl-citation.json"}</w:instrText>
      </w:r>
      <w:r w:rsidR="00EA0E64">
        <w:rPr>
          <w:rFonts w:ascii="Times New Roman" w:hAnsi="Times New Roman" w:cs="Times New Roman"/>
          <w:sz w:val="28"/>
          <w:szCs w:val="28"/>
        </w:rPr>
        <w:fldChar w:fldCharType="separate"/>
      </w:r>
      <w:r w:rsidR="00F62FCC">
        <w:rPr>
          <w:rFonts w:ascii="Times New Roman" w:hAnsi="Times New Roman" w:cs="Times New Roman"/>
          <w:noProof/>
          <w:sz w:val="28"/>
          <w:szCs w:val="28"/>
        </w:rPr>
        <w:t>[37</w:t>
      </w:r>
      <w:r w:rsidR="00F273C8" w:rsidRPr="00F273C8">
        <w:rPr>
          <w:rFonts w:ascii="Times New Roman" w:hAnsi="Times New Roman" w:cs="Times New Roman"/>
          <w:noProof/>
          <w:sz w:val="28"/>
          <w:szCs w:val="28"/>
        </w:rPr>
        <w:t>,</w:t>
      </w:r>
      <w:r w:rsidR="005109BB">
        <w:rPr>
          <w:rFonts w:ascii="Times New Roman" w:hAnsi="Times New Roman" w:cs="Times New Roman"/>
          <w:noProof/>
          <w:sz w:val="28"/>
          <w:szCs w:val="28"/>
        </w:rPr>
        <w:t xml:space="preserve"> </w:t>
      </w:r>
      <w:r w:rsidR="00F273C8" w:rsidRPr="00F273C8">
        <w:rPr>
          <w:rFonts w:ascii="Times New Roman" w:hAnsi="Times New Roman" w:cs="Times New Roman"/>
          <w:noProof/>
          <w:sz w:val="28"/>
          <w:szCs w:val="28"/>
        </w:rPr>
        <w:t>3</w:t>
      </w:r>
      <w:r w:rsidR="00F62FCC">
        <w:rPr>
          <w:rFonts w:ascii="Times New Roman" w:hAnsi="Times New Roman" w:cs="Times New Roman"/>
          <w:noProof/>
          <w:sz w:val="28"/>
          <w:szCs w:val="28"/>
        </w:rPr>
        <w:t>8</w:t>
      </w:r>
      <w:r w:rsidR="00F273C8" w:rsidRPr="00F273C8">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r w:rsidR="00936FB8">
        <w:rPr>
          <w:rFonts w:ascii="Times New Roman" w:hAnsi="Times New Roman" w:cs="Times New Roman"/>
          <w:sz w:val="28"/>
          <w:szCs w:val="28"/>
        </w:rPr>
        <w:t xml:space="preserve"> </w:t>
      </w:r>
      <w:r>
        <w:rPr>
          <w:rFonts w:ascii="Times New Roman" w:hAnsi="Times New Roman" w:cs="Times New Roman"/>
          <w:sz w:val="28"/>
          <w:szCs w:val="24"/>
          <w:lang w:val="en-US"/>
        </w:rPr>
        <w:t>Pang</w:t>
      </w:r>
      <w:r w:rsidR="00936FB8">
        <w:rPr>
          <w:rFonts w:ascii="Times New Roman" w:hAnsi="Times New Roman" w:cs="Times New Roman"/>
          <w:sz w:val="28"/>
          <w:szCs w:val="24"/>
        </w:rPr>
        <w:t xml:space="preserve"> </w:t>
      </w:r>
      <w:r>
        <w:rPr>
          <w:rFonts w:ascii="Times New Roman" w:hAnsi="Times New Roman" w:cs="Times New Roman"/>
          <w:sz w:val="28"/>
          <w:szCs w:val="24"/>
          <w:lang w:val="en-US"/>
        </w:rPr>
        <w:t>S</w:t>
      </w:r>
      <w:r>
        <w:rPr>
          <w:rFonts w:ascii="Times New Roman" w:hAnsi="Times New Roman" w:cs="Times New Roman"/>
          <w:sz w:val="28"/>
          <w:szCs w:val="24"/>
        </w:rPr>
        <w:t>.</w:t>
      </w:r>
      <w:r>
        <w:rPr>
          <w:rFonts w:ascii="Times New Roman" w:hAnsi="Times New Roman" w:cs="Times New Roman"/>
          <w:sz w:val="28"/>
          <w:szCs w:val="24"/>
          <w:lang w:val="en-US"/>
        </w:rPr>
        <w:t>J</w:t>
      </w:r>
      <w:r>
        <w:rPr>
          <w:rFonts w:ascii="Times New Roman" w:hAnsi="Times New Roman" w:cs="Times New Roman"/>
          <w:sz w:val="28"/>
          <w:szCs w:val="24"/>
        </w:rPr>
        <w:t>. и соавторы в своем</w:t>
      </w:r>
      <w:r>
        <w:rPr>
          <w:rFonts w:ascii="Times New Roman" w:hAnsi="Times New Roman" w:cs="Times New Roman"/>
          <w:sz w:val="28"/>
          <w:szCs w:val="28"/>
        </w:rPr>
        <w:t xml:space="preserve"> исследовании изучали связь ИР с липидными показателями с помощью ТРГ/ЛПВП, ЛПНП/ЛПВП у пожилых пациентов и они пришли к выводу, что связь ИР с липидными показателями меняется в зависимости от уровня глюкозы. Они рекомендуют обращать внимание </w:t>
      </w:r>
      <w:r w:rsidR="00D429B3">
        <w:rPr>
          <w:rFonts w:ascii="Times New Roman" w:hAnsi="Times New Roman" w:cs="Times New Roman"/>
          <w:sz w:val="28"/>
          <w:szCs w:val="28"/>
        </w:rPr>
        <w:t>на уровни ТГ, ЛПВП, ТРГ/ЛПВП, ЛПНП/ЛПВП при нормальном уровне глюкозы</w:t>
      </w:r>
      <w:r>
        <w:rPr>
          <w:rFonts w:ascii="Times New Roman" w:hAnsi="Times New Roman" w:cs="Times New Roman"/>
          <w:sz w:val="28"/>
          <w:szCs w:val="28"/>
        </w:rPr>
        <w:t xml:space="preserve">, а у пациентов с СД – на уровни ТГ, ЛПВП, ТРГ/ЛПВП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{"citationItems":[{"id":"ITEM-1","itemData":{"DOI":"10.3760/cma.j.issn.0253-9624.2018.06.012","abstract":"Objective: This study was to analyze the association of lipid parameters with insulin resistance of Chinese elderly population in different glycemic status. Methods: Data were from China National Chronic Diseases and Nutrition Survey (2015). A total of 15 535 participants aged 60 and above who had completed survey questionnaire, physical examination, fasting blood biochemistry and insulin measurements were included in this study. According to the American Diabetes Association (2010) criteria, the participants were divided into normal glucose regulation, pre-diabetes, newly-diagnosed diabetes and previously-diagnosed diabetes. Multivariable logistic regression was preformed to assess the effects of lipid parameters on insulin resistance in different glycemic among the elderly population. Results: The proportion of normal glucose regulation, pre-diabetes, newly-diagnosed diabetes and previously-diagnosed diabetes was 50.46% (n=7 839), 22.19% (n=3 448), 12.46% (n=1 937) and 14.88% (n=2 311), respectively. The risk of insulin resistance increased with the elevated per quartile of triglycerides (TG) (OR=1.48,95%CI: 1.35-1.62), non-high-density lipoprotein cholesterol (Non-HDL)/HDL-C (OR=1.23, 95%CI: 1.12-1.35) and TG/HDL-C (OR=1.50, 95%CI: 1.36-1.65) and decreased with the elevated per quartile of HDL-C (OR=0.83, 95%CI: 0.76-0.90) after multivariate adjustment among normal glucose regulation participants. As for pre-diabetes participants, the risk of insulin resistance increased with the elevated per quartile of TG (OR=1.26, 95%CI: 1.14-1.39) and TG/HDL-C (OR=1.38, 95%CI: 1.24-1.54) and decreased with the elevated per quartile of HDL-C (OR=0.79, 95%CI: 0.71-0.87). The risk of insulin resistance increased with the elevated per quartiles of TG/HDL-C (OR=1.29, 95%CI: 1.12-1.48) among newly-diagnosed diabetes. As for previously-diagnosed diabetes, the risk of insulin resistance increased with the elevated per quartile of TG, Non-HDL/HDL-C and TG/HDL-C with adjusted OR(95%CI) about 1.28 (1.16-1.41), 1.37(1.21-1.55) and 1.51 (1.33-1.72) repsectivley and decreased with the elevated per quartile of HDL-C (OR=0.77, 95%CI: 0.67-0.87). Conclusion: The relationship between lipid parameters and insulin resistance presented diversely in different glycemic status. The elderly with normal glucose regulation and previously-diagnosed diabetes should pay close attention to the change of TG/HDL-C, TG, HDL-C and Non-HDL/HDL-C. As for prediabetes participants, the TG/HDL-C, TG an…","author":[{"dropping-particle":"","family":"Pang SJ, Man QQ, Song S, Song PK, Liu Z, Li YQ, He L, Zhao WH","given":"Zhang J.","non-dropping-particle":"","parse-names":false,"suffix":""}],"container-title":"Zhonghua Yu Fang Yi Xue Za Zhi","id":"ITEM-1","issue":"52(6)","issued":{"date-parts":[["2018"]]},"page":"629-635","title":"Association of lipid parameters with insulin resistance in different glycemic among the elderly population","type":"article-journal","volume":"Jun 6"},"uris":["http://www.mendeley.com/documents/?uuid=1d73b10c-c4e7-48d1-a460-a8f244dfdcb4"]}],"mendeley":{"formattedCitation":"[39]","manualFormatting":"[39, р. 633]","plainTextFormattedCitation":"[39]","previouslyFormattedCitation":"[39]"},"properties":{"noteIndex":0},"schema":"https://github.com/citation-style-language/schema/raw/master/csl-citation.json"}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[39]</w:t>
      </w:r>
      <w:r w:rsidR="00EA0E64">
        <w:rPr>
          <w:rFonts w:ascii="Times New Roman" w:hAnsi="Times New Roman" w:cs="Times New Roman"/>
          <w:sz w:val="28"/>
          <w:szCs w:val="28"/>
        </w:rPr>
        <w:fldChar w:fldCharType="end"/>
      </w:r>
      <w:r w:rsidRPr="009A794A">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Luo S</w:t>
      </w:r>
      <w:r w:rsidR="00294025">
        <w:rPr>
          <w:rFonts w:ascii="Century" w:hAnsi="Century" w:cs="Times New Roman"/>
          <w:sz w:val="28"/>
          <w:szCs w:val="28"/>
        </w:rPr>
        <w:t>.</w:t>
      </w:r>
      <w:r>
        <w:rPr>
          <w:rFonts w:ascii="Times New Roman" w:hAnsi="Times New Roman" w:cs="Times New Roman"/>
          <w:sz w:val="28"/>
          <w:szCs w:val="28"/>
        </w:rPr>
        <w:t xml:space="preserve"> и соавторы (2019) провели исследование</w:t>
      </w:r>
      <w:r w:rsidR="00294025">
        <w:rPr>
          <w:rFonts w:ascii="Century" w:hAnsi="Century" w:cs="Times New Roman"/>
          <w:sz w:val="28"/>
          <w:szCs w:val="28"/>
        </w:rPr>
        <w:t>,</w:t>
      </w:r>
      <w:r>
        <w:rPr>
          <w:rFonts w:ascii="Times New Roman" w:hAnsi="Times New Roman" w:cs="Times New Roman"/>
          <w:sz w:val="28"/>
          <w:szCs w:val="28"/>
        </w:rPr>
        <w:t xml:space="preserve"> где изучали взаимосвязь ИР к дислипидемии у пациентов с СД 1 типа</w:t>
      </w:r>
      <w:r w:rsidR="00D771F6">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 xml:space="preserve">ADDIN CSL_CITATION {"citationItems":[{"id":"ITEM-1","itemData":{"DOI":"10.3760/cma.j.issn.0376-2491.2019.34.006","ISSN":"0376-2491","PMID":"31505716","abstract":"Objective: To investigate the relationship between insulin resistance (IR) and dyslipidemia in adults with type 1 diabetes (T1DM) and provide more insights on diabetes-related cardiovascular disease management. Methods: A cross-sectional study recruiting patients from Guangdong T1DM Translational Study cohort was conducted between 2011 and 2017. The patients aged ≥18 years, with a diabetes duration of ≥1 year were enrolled in the study. Plasma lipid profile data of eligible patients, including total cholesterol (TC), triglyceride (TG), low-density lipoprotein cholesterol (LDL-C) and high-density lipoprotein cholesterol (HDL-C) were collected and their relationships with insulin resistance were analyzed. IR in these adults with T1DM was estimated by glucose disposal rate (eGDR) calculated by a model published previously. Patients with eGDR lower than 25 percentiles were grouped as severe IR, otherwise non-severe IR. Results: In total, 499 eligible patients were studied, among which 274 were women (54.9%). The level of eGDR was 8.43 (6.11, 10.63) mg kg(-1) min(-1) and the overall incidence of lipid disorders was 65.3% (326/499) in the study population. The result showed that eGDR was correlated with TC, TG, HDL-C and LDL-C (r=-0.163, -0.303, 0.170 and -0.150, respectively, all P&lt;0.05). After adjusting for gender, age and diabetes duration, eGDR was still associated with TG, TC and LDL-C (all P&lt;0.05). Stepwise multiple linear regression analysis showed that gender (female), elevated TC and declined HDL-C were independent factors associated with the severity of IR (t=5.651, 5.823 and 2.908, respectively, all P&lt;0.05). Conclusions: IR is associated with dyslipidemiain in adults with T1DM. Elevated TC and decreased HDL-C are independent associated factors for insulin resistance. </w:instrText>
      </w:r>
      <w:r w:rsidR="002312BD">
        <w:rPr>
          <w:rFonts w:ascii="MS Gothic" w:eastAsia="MS Gothic" w:hAnsi="MS Gothic" w:cs="MS Gothic" w:hint="eastAsia"/>
          <w:sz w:val="28"/>
          <w:szCs w:val="28"/>
        </w:rPr>
        <w:instrText>目的：</w:instrText>
      </w:r>
      <w:r w:rsidR="002312BD">
        <w:rPr>
          <w:rFonts w:ascii="Times New Roman" w:hAnsi="Times New Roman" w:cs="Times New Roman"/>
          <w:sz w:val="28"/>
          <w:szCs w:val="28"/>
        </w:rPr>
        <w:instrText xml:space="preserve"> </w:instrText>
      </w:r>
      <w:r w:rsidR="002312BD">
        <w:rPr>
          <w:rFonts w:ascii="MS Gothic" w:eastAsia="MS Gothic" w:hAnsi="MS Gothic" w:cs="MS Gothic" w:hint="eastAsia"/>
          <w:sz w:val="28"/>
          <w:szCs w:val="28"/>
        </w:rPr>
        <w:instrText>分析成年</w:instrText>
      </w:r>
      <w:r w:rsidR="002312BD">
        <w:rPr>
          <w:rFonts w:ascii="Times New Roman" w:hAnsi="Times New Roman" w:cs="Times New Roman"/>
          <w:sz w:val="28"/>
          <w:szCs w:val="28"/>
        </w:rPr>
        <w:instrText>1</w:instrText>
      </w:r>
      <w:r w:rsidR="002312BD">
        <w:rPr>
          <w:rFonts w:ascii="MS Gothic" w:eastAsia="MS Gothic" w:hAnsi="MS Gothic" w:cs="MS Gothic" w:hint="eastAsia"/>
          <w:sz w:val="28"/>
          <w:szCs w:val="28"/>
        </w:rPr>
        <w:instrText>型糖尿病（</w:instrText>
      </w:r>
      <w:r w:rsidR="002312BD">
        <w:rPr>
          <w:rFonts w:ascii="Times New Roman" w:hAnsi="Times New Roman" w:cs="Times New Roman"/>
          <w:sz w:val="28"/>
          <w:szCs w:val="28"/>
        </w:rPr>
        <w:instrText>T1DM</w:instrText>
      </w:r>
      <w:r w:rsidR="002312BD">
        <w:rPr>
          <w:rFonts w:ascii="MS Gothic" w:eastAsia="MS Gothic" w:hAnsi="MS Gothic" w:cs="MS Gothic" w:hint="eastAsia"/>
          <w:sz w:val="28"/>
          <w:szCs w:val="28"/>
        </w:rPr>
        <w:instrText>）患者胰</w:instrText>
      </w:r>
      <w:r w:rsidR="002312BD">
        <w:rPr>
          <w:rFonts w:ascii="SimSun" w:eastAsia="SimSun" w:hAnsi="SimSun" w:cs="SimSun" w:hint="eastAsia"/>
          <w:sz w:val="28"/>
          <w:szCs w:val="28"/>
        </w:rPr>
        <w:instrText>岛素抵抗与血脂紊乱的关系，为成年</w:instrText>
      </w:r>
      <w:r w:rsidR="002312BD">
        <w:rPr>
          <w:rFonts w:ascii="Times New Roman" w:hAnsi="Times New Roman" w:cs="Times New Roman"/>
          <w:sz w:val="28"/>
          <w:szCs w:val="28"/>
        </w:rPr>
        <w:instrText>T1DM</w:instrText>
      </w:r>
      <w:r w:rsidR="002312BD">
        <w:rPr>
          <w:rFonts w:ascii="MS Gothic" w:eastAsia="MS Gothic" w:hAnsi="MS Gothic" w:cs="MS Gothic" w:hint="eastAsia"/>
          <w:sz w:val="28"/>
          <w:szCs w:val="28"/>
        </w:rPr>
        <w:instrText>患者大血管并</w:instrText>
      </w:r>
      <w:r w:rsidR="002312BD">
        <w:rPr>
          <w:rFonts w:ascii="SimSun" w:eastAsia="SimSun" w:hAnsi="SimSun" w:cs="SimSun" w:hint="eastAsia"/>
          <w:sz w:val="28"/>
          <w:szCs w:val="28"/>
        </w:rPr>
        <w:instrText>发症预防提供依据。</w:instrText>
      </w:r>
      <w:r w:rsidR="002312BD">
        <w:rPr>
          <w:rFonts w:ascii="Times New Roman" w:hAnsi="Times New Roman" w:cs="Times New Roman"/>
          <w:sz w:val="28"/>
          <w:szCs w:val="28"/>
        </w:rPr>
        <w:instrText xml:space="preserve"> </w:instrText>
      </w:r>
      <w:r w:rsidR="002312BD">
        <w:rPr>
          <w:rFonts w:ascii="MS Gothic" w:eastAsia="MS Gothic" w:hAnsi="MS Gothic" w:cs="MS Gothic" w:hint="eastAsia"/>
          <w:sz w:val="28"/>
          <w:szCs w:val="28"/>
        </w:rPr>
        <w:instrText>方法：</w:instrText>
      </w:r>
      <w:r w:rsidR="002312BD">
        <w:rPr>
          <w:rFonts w:ascii="Times New Roman" w:hAnsi="Times New Roman" w:cs="Times New Roman"/>
          <w:sz w:val="28"/>
          <w:szCs w:val="28"/>
        </w:rPr>
        <w:instrText xml:space="preserve"> </w:instrText>
      </w:r>
      <w:r w:rsidR="002312BD">
        <w:rPr>
          <w:rFonts w:ascii="MS Gothic" w:eastAsia="MS Gothic" w:hAnsi="MS Gothic" w:cs="MS Gothic" w:hint="eastAsia"/>
          <w:sz w:val="28"/>
          <w:szCs w:val="28"/>
        </w:rPr>
        <w:instrText>采用横断面研究的方法，</w:instrText>
      </w:r>
      <w:r w:rsidR="002312BD">
        <w:rPr>
          <w:rFonts w:ascii="SimSun" w:eastAsia="SimSun" w:hAnsi="SimSun" w:cs="SimSun" w:hint="eastAsia"/>
          <w:sz w:val="28"/>
          <w:szCs w:val="28"/>
        </w:rPr>
        <w:instrText>选取广东省</w:instrText>
      </w:r>
      <w:r w:rsidR="002312BD">
        <w:rPr>
          <w:rFonts w:ascii="Times New Roman" w:hAnsi="Times New Roman" w:cs="Times New Roman"/>
          <w:sz w:val="28"/>
          <w:szCs w:val="28"/>
        </w:rPr>
        <w:instrText>1</w:instrText>
      </w:r>
      <w:r w:rsidR="002312BD">
        <w:rPr>
          <w:rFonts w:ascii="MS Gothic" w:eastAsia="MS Gothic" w:hAnsi="MS Gothic" w:cs="MS Gothic" w:hint="eastAsia"/>
          <w:sz w:val="28"/>
          <w:szCs w:val="28"/>
        </w:rPr>
        <w:instrText>型糖尿病</w:instrText>
      </w:r>
      <w:r w:rsidR="002312BD">
        <w:rPr>
          <w:rFonts w:ascii="SimSun" w:eastAsia="SimSun" w:hAnsi="SimSun" w:cs="SimSun" w:hint="eastAsia"/>
          <w:sz w:val="28"/>
          <w:szCs w:val="28"/>
        </w:rPr>
        <w:instrText>转化医学研究数据库中</w:instrText>
      </w:r>
      <w:r w:rsidR="002312BD">
        <w:rPr>
          <w:rFonts w:ascii="Times New Roman" w:hAnsi="Times New Roman" w:cs="Times New Roman"/>
          <w:sz w:val="28"/>
          <w:szCs w:val="28"/>
        </w:rPr>
        <w:instrText>2011</w:instrText>
      </w:r>
      <w:r w:rsidR="002312BD">
        <w:rPr>
          <w:rFonts w:ascii="MS Gothic" w:eastAsia="MS Gothic" w:hAnsi="MS Gothic" w:cs="MS Gothic" w:hint="eastAsia"/>
          <w:sz w:val="28"/>
          <w:szCs w:val="28"/>
        </w:rPr>
        <w:instrText>至</w:instrText>
      </w:r>
      <w:r w:rsidR="002312BD">
        <w:rPr>
          <w:rFonts w:ascii="Times New Roman" w:hAnsi="Times New Roman" w:cs="Times New Roman"/>
          <w:sz w:val="28"/>
          <w:szCs w:val="28"/>
        </w:rPr>
        <w:instrText>2017</w:instrText>
      </w:r>
      <w:r w:rsidR="002312BD">
        <w:rPr>
          <w:rFonts w:ascii="MS Gothic" w:eastAsia="MS Gothic" w:hAnsi="MS Gothic" w:cs="MS Gothic" w:hint="eastAsia"/>
          <w:sz w:val="28"/>
          <w:szCs w:val="28"/>
        </w:rPr>
        <w:instrText>年入</w:instrText>
      </w:r>
      <w:r w:rsidR="002312BD">
        <w:rPr>
          <w:rFonts w:ascii="SimSun" w:eastAsia="SimSun" w:hAnsi="SimSun" w:cs="SimSun" w:hint="eastAsia"/>
          <w:sz w:val="28"/>
          <w:szCs w:val="28"/>
        </w:rPr>
        <w:instrText>组的病程</w:instrText>
      </w:r>
      <w:r w:rsidR="002312BD">
        <w:rPr>
          <w:rFonts w:ascii="Times New Roman" w:hAnsi="Times New Roman" w:cs="Times New Roman"/>
          <w:sz w:val="28"/>
          <w:szCs w:val="28"/>
        </w:rPr>
        <w:instrText>≥1</w:instrText>
      </w:r>
      <w:r w:rsidR="002312BD">
        <w:rPr>
          <w:rFonts w:ascii="MS Gothic" w:eastAsia="MS Gothic" w:hAnsi="MS Gothic" w:cs="MS Gothic" w:hint="eastAsia"/>
          <w:sz w:val="28"/>
          <w:szCs w:val="28"/>
        </w:rPr>
        <w:instrText>年，且年</w:instrText>
      </w:r>
      <w:r w:rsidR="002312BD">
        <w:rPr>
          <w:rFonts w:ascii="SimSun" w:eastAsia="SimSun" w:hAnsi="SimSun" w:cs="SimSun" w:hint="eastAsia"/>
          <w:sz w:val="28"/>
          <w:szCs w:val="28"/>
        </w:rPr>
        <w:instrText>龄</w:instrText>
      </w:r>
      <w:r w:rsidR="002312BD">
        <w:rPr>
          <w:rFonts w:ascii="Times New Roman" w:hAnsi="Times New Roman" w:cs="Times New Roman"/>
          <w:sz w:val="28"/>
          <w:szCs w:val="28"/>
        </w:rPr>
        <w:instrText>≥18</w:instrText>
      </w:r>
      <w:r w:rsidR="002312BD">
        <w:rPr>
          <w:rFonts w:ascii="SimSun" w:eastAsia="SimSun" w:hAnsi="SimSun" w:cs="SimSun" w:hint="eastAsia"/>
          <w:sz w:val="28"/>
          <w:szCs w:val="28"/>
        </w:rPr>
        <w:instrText>岁的</w:instrText>
      </w:r>
      <w:r w:rsidR="002312BD">
        <w:rPr>
          <w:rFonts w:ascii="Times New Roman" w:hAnsi="Times New Roman" w:cs="Times New Roman"/>
          <w:sz w:val="28"/>
          <w:szCs w:val="28"/>
        </w:rPr>
        <w:instrText>T1DM</w:instrText>
      </w:r>
      <w:r w:rsidR="002312BD">
        <w:rPr>
          <w:rFonts w:ascii="MS Gothic" w:eastAsia="MS Gothic" w:hAnsi="MS Gothic" w:cs="MS Gothic" w:hint="eastAsia"/>
          <w:sz w:val="28"/>
          <w:szCs w:val="28"/>
        </w:rPr>
        <w:instrText>患者</w:instrText>
      </w:r>
      <w:r w:rsidR="002312BD">
        <w:rPr>
          <w:rFonts w:ascii="Times New Roman" w:hAnsi="Times New Roman" w:cs="Times New Roman"/>
          <w:sz w:val="28"/>
          <w:szCs w:val="28"/>
        </w:rPr>
        <w:instrText>499</w:instrText>
      </w:r>
      <w:r w:rsidR="002312BD">
        <w:rPr>
          <w:rFonts w:ascii="MS Gothic" w:eastAsia="MS Gothic" w:hAnsi="MS Gothic" w:cs="MS Gothic" w:hint="eastAsia"/>
          <w:sz w:val="28"/>
          <w:szCs w:val="28"/>
        </w:rPr>
        <w:instrText>例。</w:instrText>
      </w:r>
      <w:r w:rsidR="002312BD">
        <w:rPr>
          <w:rFonts w:ascii="SimSun" w:eastAsia="SimSun" w:hAnsi="SimSun" w:cs="SimSun" w:hint="eastAsia"/>
          <w:sz w:val="28"/>
          <w:szCs w:val="28"/>
        </w:rPr>
        <w:instrText>对该数据库中符合入选条件的研究对象总胆固醇（</w:instrText>
      </w:r>
      <w:r w:rsidR="002312BD">
        <w:rPr>
          <w:rFonts w:ascii="Times New Roman" w:hAnsi="Times New Roman" w:cs="Times New Roman"/>
          <w:sz w:val="28"/>
          <w:szCs w:val="28"/>
        </w:rPr>
        <w:instrText>TC</w:instrText>
      </w:r>
      <w:r w:rsidR="002312BD">
        <w:rPr>
          <w:rFonts w:ascii="MS Gothic" w:eastAsia="MS Gothic" w:hAnsi="MS Gothic" w:cs="MS Gothic" w:hint="eastAsia"/>
          <w:sz w:val="28"/>
          <w:szCs w:val="28"/>
        </w:rPr>
        <w:instrText>）、三</w:instrText>
      </w:r>
      <w:r w:rsidR="002312BD">
        <w:rPr>
          <w:rFonts w:ascii="SimSun" w:eastAsia="SimSun" w:hAnsi="SimSun" w:cs="SimSun" w:hint="eastAsia"/>
          <w:sz w:val="28"/>
          <w:szCs w:val="28"/>
        </w:rPr>
        <w:instrText>酰甘油（</w:instrText>
      </w:r>
      <w:r w:rsidR="002312BD">
        <w:rPr>
          <w:rFonts w:ascii="Times New Roman" w:hAnsi="Times New Roman" w:cs="Times New Roman"/>
          <w:sz w:val="28"/>
          <w:szCs w:val="28"/>
        </w:rPr>
        <w:instrText>TG</w:instrText>
      </w:r>
      <w:r w:rsidR="002312BD">
        <w:rPr>
          <w:rFonts w:ascii="MS Gothic" w:eastAsia="MS Gothic" w:hAnsi="MS Gothic" w:cs="MS Gothic" w:hint="eastAsia"/>
          <w:sz w:val="28"/>
          <w:szCs w:val="28"/>
        </w:rPr>
        <w:instrText>）、低密度脂蛋白胆固醇（</w:instrText>
      </w:r>
      <w:r w:rsidR="002312BD">
        <w:rPr>
          <w:rFonts w:ascii="Times New Roman" w:hAnsi="Times New Roman" w:cs="Times New Roman"/>
          <w:sz w:val="28"/>
          <w:szCs w:val="28"/>
        </w:rPr>
        <w:instrText>LDL-C</w:instrText>
      </w:r>
      <w:r w:rsidR="002312BD">
        <w:rPr>
          <w:rFonts w:ascii="MS Gothic" w:eastAsia="MS Gothic" w:hAnsi="MS Gothic" w:cs="MS Gothic" w:hint="eastAsia"/>
          <w:sz w:val="28"/>
          <w:szCs w:val="28"/>
        </w:rPr>
        <w:instrText>）和高密度脂蛋白胆固醇（</w:instrText>
      </w:r>
      <w:r w:rsidR="002312BD">
        <w:rPr>
          <w:rFonts w:ascii="Times New Roman" w:hAnsi="Times New Roman" w:cs="Times New Roman"/>
          <w:sz w:val="28"/>
          <w:szCs w:val="28"/>
        </w:rPr>
        <w:instrText>HDL-C</w:instrText>
      </w:r>
      <w:r w:rsidR="002312BD">
        <w:rPr>
          <w:rFonts w:ascii="MS Gothic" w:eastAsia="MS Gothic" w:hAnsi="MS Gothic" w:cs="MS Gothic" w:hint="eastAsia"/>
          <w:sz w:val="28"/>
          <w:szCs w:val="28"/>
        </w:rPr>
        <w:instrText>）与胰</w:instrText>
      </w:r>
      <w:r w:rsidR="002312BD">
        <w:rPr>
          <w:rFonts w:ascii="SimSun" w:eastAsia="SimSun" w:hAnsi="SimSun" w:cs="SimSun" w:hint="eastAsia"/>
          <w:sz w:val="28"/>
          <w:szCs w:val="28"/>
        </w:rPr>
        <w:instrText>岛素抵抗关系的密切程度进行分析。采用成人</w:instrText>
      </w:r>
      <w:r w:rsidR="002312BD">
        <w:rPr>
          <w:rFonts w:ascii="Times New Roman" w:hAnsi="Times New Roman" w:cs="Times New Roman"/>
          <w:sz w:val="28"/>
          <w:szCs w:val="28"/>
        </w:rPr>
        <w:instrText>T1DM</w:instrText>
      </w:r>
      <w:r w:rsidR="002312BD">
        <w:rPr>
          <w:rFonts w:ascii="MS Gothic" w:eastAsia="MS Gothic" w:hAnsi="MS Gothic" w:cs="MS Gothic" w:hint="eastAsia"/>
          <w:sz w:val="28"/>
          <w:szCs w:val="28"/>
        </w:rPr>
        <w:instrText>胰</w:instrText>
      </w:r>
      <w:r w:rsidR="002312BD">
        <w:rPr>
          <w:rFonts w:ascii="SimSun" w:eastAsia="SimSun" w:hAnsi="SimSun" w:cs="SimSun" w:hint="eastAsia"/>
          <w:sz w:val="28"/>
          <w:szCs w:val="28"/>
        </w:rPr>
        <w:instrText>岛素抵抗估算模型估算葡萄糖处置率（</w:instrText>
      </w:r>
      <w:r w:rsidR="002312BD">
        <w:rPr>
          <w:rFonts w:ascii="Times New Roman" w:hAnsi="Times New Roman" w:cs="Times New Roman"/>
          <w:sz w:val="28"/>
          <w:szCs w:val="28"/>
        </w:rPr>
        <w:instrText>eGDR</w:instrText>
      </w:r>
      <w:r w:rsidR="002312BD">
        <w:rPr>
          <w:rFonts w:ascii="MS Gothic" w:eastAsia="MS Gothic" w:hAnsi="MS Gothic" w:cs="MS Gothic" w:hint="eastAsia"/>
          <w:sz w:val="28"/>
          <w:szCs w:val="28"/>
        </w:rPr>
        <w:instrText>）作</w:instrText>
      </w:r>
      <w:r w:rsidR="002312BD">
        <w:rPr>
          <w:rFonts w:ascii="SimSun" w:eastAsia="SimSun" w:hAnsi="SimSun" w:cs="SimSun" w:hint="eastAsia"/>
          <w:sz w:val="28"/>
          <w:szCs w:val="28"/>
        </w:rPr>
        <w:instrText>为胰岛素抵抗程度的评价指标。将研究人群按</w:instrText>
      </w:r>
      <w:r w:rsidR="002312BD">
        <w:rPr>
          <w:rFonts w:ascii="Times New Roman" w:hAnsi="Times New Roman" w:cs="Times New Roman"/>
          <w:sz w:val="28"/>
          <w:szCs w:val="28"/>
        </w:rPr>
        <w:instrText>eGDR</w:instrText>
      </w:r>
      <w:r w:rsidR="002312BD">
        <w:rPr>
          <w:rFonts w:ascii="MS Gothic" w:eastAsia="MS Gothic" w:hAnsi="MS Gothic" w:cs="MS Gothic" w:hint="eastAsia"/>
          <w:sz w:val="28"/>
          <w:szCs w:val="28"/>
        </w:rPr>
        <w:instrText>的四分位数</w:instrText>
      </w:r>
      <w:r w:rsidR="002312BD">
        <w:rPr>
          <w:rFonts w:ascii="SimSun" w:eastAsia="SimSun" w:hAnsi="SimSun" w:cs="SimSun" w:hint="eastAsia"/>
          <w:sz w:val="28"/>
          <w:szCs w:val="28"/>
        </w:rPr>
        <w:instrText>进行分组，其中</w:instrText>
      </w:r>
      <w:r w:rsidR="002312BD">
        <w:rPr>
          <w:rFonts w:ascii="Times New Roman" w:hAnsi="Times New Roman" w:cs="Times New Roman"/>
          <w:sz w:val="28"/>
          <w:szCs w:val="28"/>
        </w:rPr>
        <w:instrText>eGDR</w:instrText>
      </w:r>
      <w:r w:rsidR="002312BD">
        <w:rPr>
          <w:rFonts w:ascii="MS Gothic" w:eastAsia="MS Gothic" w:hAnsi="MS Gothic" w:cs="MS Gothic" w:hint="eastAsia"/>
          <w:sz w:val="28"/>
          <w:szCs w:val="28"/>
        </w:rPr>
        <w:instrText>小于第</w:instrText>
      </w:r>
      <w:r w:rsidR="002312BD">
        <w:rPr>
          <w:rFonts w:ascii="Times New Roman" w:hAnsi="Times New Roman" w:cs="Times New Roman"/>
          <w:sz w:val="28"/>
          <w:szCs w:val="28"/>
        </w:rPr>
        <w:instrText>25</w:instrText>
      </w:r>
      <w:r w:rsidR="002312BD">
        <w:rPr>
          <w:rFonts w:ascii="MS Gothic" w:eastAsia="MS Gothic" w:hAnsi="MS Gothic" w:cs="MS Gothic" w:hint="eastAsia"/>
          <w:sz w:val="28"/>
          <w:szCs w:val="28"/>
        </w:rPr>
        <w:instrText>百分位数（</w:instrText>
      </w:r>
      <w:r w:rsidR="002312BD">
        <w:rPr>
          <w:rFonts w:ascii="Times New Roman" w:hAnsi="Times New Roman" w:cs="Times New Roman"/>
          <w:sz w:val="28"/>
          <w:szCs w:val="28"/>
        </w:rPr>
        <w:instrText>P(25)</w:instrText>
      </w:r>
      <w:r w:rsidR="002312BD">
        <w:rPr>
          <w:rFonts w:ascii="MS Gothic" w:eastAsia="MS Gothic" w:hAnsi="MS Gothic" w:cs="MS Gothic" w:hint="eastAsia"/>
          <w:sz w:val="28"/>
          <w:szCs w:val="28"/>
        </w:rPr>
        <w:instrText>）的患者判定</w:instrText>
      </w:r>
      <w:r w:rsidR="002312BD">
        <w:rPr>
          <w:rFonts w:ascii="SimSun" w:eastAsia="SimSun" w:hAnsi="SimSun" w:cs="SimSun" w:hint="eastAsia"/>
          <w:sz w:val="28"/>
          <w:szCs w:val="28"/>
        </w:rPr>
        <w:instrText>为胰岛素抵抗严重。</w:instrText>
      </w:r>
      <w:r w:rsidR="002312BD">
        <w:rPr>
          <w:rFonts w:ascii="Times New Roman" w:hAnsi="Times New Roman" w:cs="Times New Roman"/>
          <w:sz w:val="28"/>
          <w:szCs w:val="28"/>
        </w:rPr>
        <w:instrText xml:space="preserve"> </w:instrText>
      </w:r>
      <w:r w:rsidR="002312BD">
        <w:rPr>
          <w:rFonts w:ascii="SimSun" w:eastAsia="SimSun" w:hAnsi="SimSun" w:cs="SimSun" w:hint="eastAsia"/>
          <w:sz w:val="28"/>
          <w:szCs w:val="28"/>
        </w:rPr>
        <w:instrText>结果：</w:instrText>
      </w:r>
      <w:r w:rsidR="002312BD">
        <w:rPr>
          <w:rFonts w:ascii="Times New Roman" w:hAnsi="Times New Roman" w:cs="Times New Roman"/>
          <w:sz w:val="28"/>
          <w:szCs w:val="28"/>
        </w:rPr>
        <w:instrText xml:space="preserve"> </w:instrText>
      </w:r>
      <w:r w:rsidR="002312BD">
        <w:rPr>
          <w:rFonts w:ascii="MS Gothic" w:eastAsia="MS Gothic" w:hAnsi="MS Gothic" w:cs="MS Gothic" w:hint="eastAsia"/>
          <w:sz w:val="28"/>
          <w:szCs w:val="28"/>
        </w:rPr>
        <w:instrText>本研究共入</w:instrText>
      </w:r>
      <w:r w:rsidR="002312BD">
        <w:rPr>
          <w:rFonts w:ascii="SimSun" w:eastAsia="SimSun" w:hAnsi="SimSun" w:cs="SimSun" w:hint="eastAsia"/>
          <w:sz w:val="28"/>
          <w:szCs w:val="28"/>
        </w:rPr>
        <w:instrText>选</w:instrText>
      </w:r>
      <w:r w:rsidR="002312BD">
        <w:rPr>
          <w:rFonts w:ascii="Times New Roman" w:hAnsi="Times New Roman" w:cs="Times New Roman"/>
          <w:sz w:val="28"/>
          <w:szCs w:val="28"/>
        </w:rPr>
        <w:instrText>499</w:instrText>
      </w:r>
      <w:r w:rsidR="002312BD">
        <w:rPr>
          <w:rFonts w:ascii="MS Gothic" w:eastAsia="MS Gothic" w:hAnsi="MS Gothic" w:cs="MS Gothic" w:hint="eastAsia"/>
          <w:sz w:val="28"/>
          <w:szCs w:val="28"/>
        </w:rPr>
        <w:instrText>例</w:instrText>
      </w:r>
      <w:r w:rsidR="002312BD">
        <w:rPr>
          <w:rFonts w:ascii="Times New Roman" w:hAnsi="Times New Roman" w:cs="Times New Roman"/>
          <w:sz w:val="28"/>
          <w:szCs w:val="28"/>
        </w:rPr>
        <w:instrText>T1DM</w:instrText>
      </w:r>
      <w:r w:rsidR="002312BD">
        <w:rPr>
          <w:rFonts w:ascii="MS Gothic" w:eastAsia="MS Gothic" w:hAnsi="MS Gothic" w:cs="MS Gothic" w:hint="eastAsia"/>
          <w:sz w:val="28"/>
          <w:szCs w:val="28"/>
        </w:rPr>
        <w:instrText>患者，其中女</w:instrText>
      </w:r>
      <w:r w:rsidR="002312BD">
        <w:rPr>
          <w:rFonts w:ascii="Times New Roman" w:hAnsi="Times New Roman" w:cs="Times New Roman"/>
          <w:sz w:val="28"/>
          <w:szCs w:val="28"/>
        </w:rPr>
        <w:instrText>274</w:instrText>
      </w:r>
      <w:r w:rsidR="002312BD">
        <w:rPr>
          <w:rFonts w:ascii="MS Gothic" w:eastAsia="MS Gothic" w:hAnsi="MS Gothic" w:cs="MS Gothic" w:hint="eastAsia"/>
          <w:sz w:val="28"/>
          <w:szCs w:val="28"/>
        </w:rPr>
        <w:instrText>例（</w:instrText>
      </w:r>
      <w:r w:rsidR="002312BD">
        <w:rPr>
          <w:rFonts w:ascii="Times New Roman" w:hAnsi="Times New Roman" w:cs="Times New Roman"/>
          <w:sz w:val="28"/>
          <w:szCs w:val="28"/>
        </w:rPr>
        <w:instrText>54.9%</w:instrText>
      </w:r>
      <w:r w:rsidR="002312BD">
        <w:rPr>
          <w:rFonts w:ascii="MS Gothic" w:eastAsia="MS Gothic" w:hAnsi="MS Gothic" w:cs="MS Gothic" w:hint="eastAsia"/>
          <w:sz w:val="28"/>
          <w:szCs w:val="28"/>
        </w:rPr>
        <w:instrText>）。研究人群</w:instrText>
      </w:r>
      <w:r w:rsidR="002312BD">
        <w:rPr>
          <w:rFonts w:ascii="Times New Roman" w:hAnsi="Times New Roman" w:cs="Times New Roman"/>
          <w:sz w:val="28"/>
          <w:szCs w:val="28"/>
        </w:rPr>
        <w:instrText>eGDR</w:instrText>
      </w:r>
      <w:r w:rsidR="002312BD">
        <w:rPr>
          <w:rFonts w:ascii="MS Gothic" w:eastAsia="MS Gothic" w:hAnsi="MS Gothic" w:cs="MS Gothic" w:hint="eastAsia"/>
          <w:sz w:val="28"/>
          <w:szCs w:val="28"/>
        </w:rPr>
        <w:instrText>水平</w:instrText>
      </w:r>
      <w:r w:rsidR="002312BD">
        <w:rPr>
          <w:rFonts w:ascii="SimSun" w:eastAsia="SimSun" w:hAnsi="SimSun" w:cs="SimSun" w:hint="eastAsia"/>
          <w:sz w:val="28"/>
          <w:szCs w:val="28"/>
        </w:rPr>
        <w:instrText>为</w:instrText>
      </w:r>
      <w:r w:rsidR="002312BD">
        <w:rPr>
          <w:rFonts w:ascii="Times New Roman" w:hAnsi="Times New Roman" w:cs="Times New Roman"/>
          <w:sz w:val="28"/>
          <w:szCs w:val="28"/>
        </w:rPr>
        <w:instrText>8.43</w:instrText>
      </w:r>
      <w:r w:rsidR="002312BD">
        <w:rPr>
          <w:rFonts w:ascii="MS Gothic" w:eastAsia="MS Gothic" w:hAnsi="MS Gothic" w:cs="MS Gothic" w:hint="eastAsia"/>
          <w:sz w:val="28"/>
          <w:szCs w:val="28"/>
        </w:rPr>
        <w:instrText>（</w:instrText>
      </w:r>
      <w:r w:rsidR="002312BD">
        <w:rPr>
          <w:rFonts w:ascii="Times New Roman" w:hAnsi="Times New Roman" w:cs="Times New Roman"/>
          <w:sz w:val="28"/>
          <w:szCs w:val="28"/>
        </w:rPr>
        <w:instrText>6.11</w:instrText>
      </w:r>
      <w:r w:rsidR="002312BD">
        <w:rPr>
          <w:rFonts w:ascii="MS Gothic" w:eastAsia="MS Gothic" w:hAnsi="MS Gothic" w:cs="MS Gothic" w:hint="eastAsia"/>
          <w:sz w:val="28"/>
          <w:szCs w:val="28"/>
        </w:rPr>
        <w:instrText>，</w:instrText>
      </w:r>
      <w:r w:rsidR="002312BD">
        <w:rPr>
          <w:rFonts w:ascii="Times New Roman" w:hAnsi="Times New Roman" w:cs="Times New Roman"/>
          <w:sz w:val="28"/>
          <w:szCs w:val="28"/>
        </w:rPr>
        <w:instrText>10.63</w:instrText>
      </w:r>
      <w:r w:rsidR="002312BD">
        <w:rPr>
          <w:rFonts w:ascii="MS Gothic" w:eastAsia="MS Gothic" w:hAnsi="MS Gothic" w:cs="MS Gothic" w:hint="eastAsia"/>
          <w:sz w:val="28"/>
          <w:szCs w:val="28"/>
        </w:rPr>
        <w:instrText>）</w:instrText>
      </w:r>
      <w:r w:rsidR="002312BD">
        <w:rPr>
          <w:rFonts w:ascii="Times New Roman" w:hAnsi="Times New Roman" w:cs="Times New Roman"/>
          <w:sz w:val="28"/>
          <w:szCs w:val="28"/>
        </w:rPr>
        <w:instrText>mg·kg(-1)·min(-1)</w:instrText>
      </w:r>
      <w:r w:rsidR="002312BD">
        <w:rPr>
          <w:rFonts w:ascii="MS Gothic" w:eastAsia="MS Gothic" w:hAnsi="MS Gothic" w:cs="MS Gothic" w:hint="eastAsia"/>
          <w:sz w:val="28"/>
          <w:szCs w:val="28"/>
        </w:rPr>
        <w:instrText>，</w:instrText>
      </w:r>
      <w:r w:rsidR="002312BD">
        <w:rPr>
          <w:rFonts w:ascii="SimSun" w:eastAsia="SimSun" w:hAnsi="SimSun" w:cs="SimSun" w:hint="eastAsia"/>
          <w:sz w:val="28"/>
          <w:szCs w:val="28"/>
        </w:rPr>
        <w:instrText>总体血脂紊乱发生率为</w:instrText>
      </w:r>
      <w:r w:rsidR="002312BD">
        <w:rPr>
          <w:rFonts w:ascii="Times New Roman" w:hAnsi="Times New Roman" w:cs="Times New Roman"/>
          <w:sz w:val="28"/>
          <w:szCs w:val="28"/>
        </w:rPr>
        <w:instrText>65.3%</w:instrText>
      </w:r>
      <w:r w:rsidR="002312BD">
        <w:rPr>
          <w:rFonts w:ascii="MS Gothic" w:eastAsia="MS Gothic" w:hAnsi="MS Gothic" w:cs="MS Gothic" w:hint="eastAsia"/>
          <w:sz w:val="28"/>
          <w:szCs w:val="28"/>
        </w:rPr>
        <w:instrText>（</w:instrText>
      </w:r>
      <w:r w:rsidR="002312BD">
        <w:rPr>
          <w:rFonts w:ascii="Times New Roman" w:hAnsi="Times New Roman" w:cs="Times New Roman"/>
          <w:sz w:val="28"/>
          <w:szCs w:val="28"/>
        </w:rPr>
        <w:instrText>326/499</w:instrText>
      </w:r>
      <w:r w:rsidR="002312BD">
        <w:rPr>
          <w:rFonts w:ascii="MS Gothic" w:eastAsia="MS Gothic" w:hAnsi="MS Gothic" w:cs="MS Gothic" w:hint="eastAsia"/>
          <w:sz w:val="28"/>
          <w:szCs w:val="28"/>
        </w:rPr>
        <w:instrText>）。</w:instrText>
      </w:r>
      <w:r w:rsidR="002312BD">
        <w:rPr>
          <w:rFonts w:ascii="Times New Roman" w:hAnsi="Times New Roman" w:cs="Times New Roman"/>
          <w:sz w:val="28"/>
          <w:szCs w:val="28"/>
        </w:rPr>
        <w:instrText>eGDR</w:instrText>
      </w:r>
      <w:r w:rsidR="002312BD">
        <w:rPr>
          <w:rFonts w:ascii="MS Gothic" w:eastAsia="MS Gothic" w:hAnsi="MS Gothic" w:cs="MS Gothic" w:hint="eastAsia"/>
          <w:sz w:val="28"/>
          <w:szCs w:val="28"/>
        </w:rPr>
        <w:instrText>与</w:instrText>
      </w:r>
      <w:r w:rsidR="002312BD">
        <w:rPr>
          <w:rFonts w:ascii="Times New Roman" w:hAnsi="Times New Roman" w:cs="Times New Roman"/>
          <w:sz w:val="28"/>
          <w:szCs w:val="28"/>
        </w:rPr>
        <w:instrText>TC</w:instrText>
      </w:r>
      <w:r w:rsidR="002312BD">
        <w:rPr>
          <w:rFonts w:ascii="MS Gothic" w:eastAsia="MS Gothic" w:hAnsi="MS Gothic" w:cs="MS Gothic" w:hint="eastAsia"/>
          <w:sz w:val="28"/>
          <w:szCs w:val="28"/>
        </w:rPr>
        <w:instrText>、</w:instrText>
      </w:r>
      <w:r w:rsidR="002312BD">
        <w:rPr>
          <w:rFonts w:ascii="Times New Roman" w:hAnsi="Times New Roman" w:cs="Times New Roman"/>
          <w:sz w:val="28"/>
          <w:szCs w:val="28"/>
        </w:rPr>
        <w:instrText>TG</w:instrText>
      </w:r>
      <w:r w:rsidR="002312BD">
        <w:rPr>
          <w:rFonts w:ascii="MS Gothic" w:eastAsia="MS Gothic" w:hAnsi="MS Gothic" w:cs="MS Gothic" w:hint="eastAsia"/>
          <w:sz w:val="28"/>
          <w:szCs w:val="28"/>
        </w:rPr>
        <w:instrText>、</w:instrText>
      </w:r>
      <w:r w:rsidR="002312BD">
        <w:rPr>
          <w:rFonts w:ascii="Times New Roman" w:hAnsi="Times New Roman" w:cs="Times New Roman"/>
          <w:sz w:val="28"/>
          <w:szCs w:val="28"/>
        </w:rPr>
        <w:instrText>HDL-C</w:instrText>
      </w:r>
      <w:r w:rsidR="002312BD">
        <w:rPr>
          <w:rFonts w:ascii="MS Gothic" w:eastAsia="MS Gothic" w:hAnsi="MS Gothic" w:cs="MS Gothic" w:hint="eastAsia"/>
          <w:sz w:val="28"/>
          <w:szCs w:val="28"/>
        </w:rPr>
        <w:instrText>和</w:instrText>
      </w:r>
      <w:r w:rsidR="002312BD">
        <w:rPr>
          <w:rFonts w:ascii="Times New Roman" w:hAnsi="Times New Roman" w:cs="Times New Roman"/>
          <w:sz w:val="28"/>
          <w:szCs w:val="28"/>
        </w:rPr>
        <w:instrText>LDL-C</w:instrText>
      </w:r>
      <w:r w:rsidR="002312BD">
        <w:rPr>
          <w:rFonts w:ascii="MS Gothic" w:eastAsia="MS Gothic" w:hAnsi="MS Gothic" w:cs="MS Gothic" w:hint="eastAsia"/>
          <w:sz w:val="28"/>
          <w:szCs w:val="28"/>
        </w:rPr>
        <w:instrText>均存在不同程度的相关性（</w:instrText>
      </w:r>
      <w:r w:rsidR="002312BD">
        <w:rPr>
          <w:rFonts w:ascii="Times New Roman" w:hAnsi="Times New Roman" w:cs="Times New Roman"/>
          <w:sz w:val="28"/>
          <w:szCs w:val="28"/>
        </w:rPr>
        <w:instrText>r=-0.163</w:instrText>
      </w:r>
      <w:r w:rsidR="002312BD">
        <w:rPr>
          <w:rFonts w:ascii="MS Gothic" w:eastAsia="MS Gothic" w:hAnsi="MS Gothic" w:cs="MS Gothic" w:hint="eastAsia"/>
          <w:sz w:val="28"/>
          <w:szCs w:val="28"/>
        </w:rPr>
        <w:instrText>、</w:instrText>
      </w:r>
      <w:r w:rsidR="002312BD">
        <w:rPr>
          <w:rFonts w:ascii="Times New Roman" w:hAnsi="Times New Roman" w:cs="Times New Roman"/>
          <w:sz w:val="28"/>
          <w:szCs w:val="28"/>
        </w:rPr>
        <w:instrText>-0.303</w:instrText>
      </w:r>
      <w:r w:rsidR="002312BD">
        <w:rPr>
          <w:rFonts w:ascii="MS Gothic" w:eastAsia="MS Gothic" w:hAnsi="MS Gothic" w:cs="MS Gothic" w:hint="eastAsia"/>
          <w:sz w:val="28"/>
          <w:szCs w:val="28"/>
        </w:rPr>
        <w:instrText>、</w:instrText>
      </w:r>
      <w:r w:rsidR="002312BD">
        <w:rPr>
          <w:rFonts w:ascii="Times New Roman" w:hAnsi="Times New Roman" w:cs="Times New Roman"/>
          <w:sz w:val="28"/>
          <w:szCs w:val="28"/>
        </w:rPr>
        <w:instrText>0.170</w:instrText>
      </w:r>
      <w:r w:rsidR="002312BD">
        <w:rPr>
          <w:rFonts w:ascii="MS Gothic" w:eastAsia="MS Gothic" w:hAnsi="MS Gothic" w:cs="MS Gothic" w:hint="eastAsia"/>
          <w:sz w:val="28"/>
          <w:szCs w:val="28"/>
        </w:rPr>
        <w:instrText>、</w:instrText>
      </w:r>
      <w:r w:rsidR="002312BD">
        <w:rPr>
          <w:rFonts w:ascii="Times New Roman" w:hAnsi="Times New Roman" w:cs="Times New Roman"/>
          <w:sz w:val="28"/>
          <w:szCs w:val="28"/>
        </w:rPr>
        <w:instrText>-0.150</w:instrText>
      </w:r>
      <w:r w:rsidR="002312BD">
        <w:rPr>
          <w:rFonts w:ascii="MS Gothic" w:eastAsia="MS Gothic" w:hAnsi="MS Gothic" w:cs="MS Gothic" w:hint="eastAsia"/>
          <w:sz w:val="28"/>
          <w:szCs w:val="28"/>
        </w:rPr>
        <w:instrText>，均</w:instrText>
      </w:r>
      <w:r w:rsidR="002312BD">
        <w:rPr>
          <w:rFonts w:ascii="Times New Roman" w:hAnsi="Times New Roman" w:cs="Times New Roman"/>
          <w:sz w:val="28"/>
          <w:szCs w:val="28"/>
        </w:rPr>
        <w:instrText>P&lt;0.05</w:instrText>
      </w:r>
      <w:r w:rsidR="002312BD">
        <w:rPr>
          <w:rFonts w:ascii="MS Gothic" w:eastAsia="MS Gothic" w:hAnsi="MS Gothic" w:cs="MS Gothic" w:hint="eastAsia"/>
          <w:sz w:val="28"/>
          <w:szCs w:val="28"/>
        </w:rPr>
        <w:instrText>）。在</w:instrText>
      </w:r>
      <w:r w:rsidR="002312BD">
        <w:rPr>
          <w:rFonts w:ascii="SimSun" w:eastAsia="SimSun" w:hAnsi="SimSun" w:cs="SimSun" w:hint="eastAsia"/>
          <w:sz w:val="28"/>
          <w:szCs w:val="28"/>
        </w:rPr>
        <w:instrText>调整了性别、年龄和病程后，</w:instrText>
      </w:r>
      <w:r w:rsidR="002312BD">
        <w:rPr>
          <w:rFonts w:ascii="Times New Roman" w:hAnsi="Times New Roman" w:cs="Times New Roman"/>
          <w:sz w:val="28"/>
          <w:szCs w:val="28"/>
        </w:rPr>
        <w:instrText>TG</w:instrText>
      </w:r>
      <w:r w:rsidR="002312BD">
        <w:rPr>
          <w:rFonts w:ascii="MS Gothic" w:eastAsia="MS Gothic" w:hAnsi="MS Gothic" w:cs="MS Gothic" w:hint="eastAsia"/>
          <w:sz w:val="28"/>
          <w:szCs w:val="28"/>
        </w:rPr>
        <w:instrText>、</w:instrText>
      </w:r>
      <w:r w:rsidR="002312BD">
        <w:rPr>
          <w:rFonts w:ascii="Times New Roman" w:hAnsi="Times New Roman" w:cs="Times New Roman"/>
          <w:sz w:val="28"/>
          <w:szCs w:val="28"/>
        </w:rPr>
        <w:instrText>TC</w:instrText>
      </w:r>
      <w:r w:rsidR="002312BD">
        <w:rPr>
          <w:rFonts w:ascii="MS Gothic" w:eastAsia="MS Gothic" w:hAnsi="MS Gothic" w:cs="MS Gothic" w:hint="eastAsia"/>
          <w:sz w:val="28"/>
          <w:szCs w:val="28"/>
        </w:rPr>
        <w:instrText>和</w:instrText>
      </w:r>
      <w:r w:rsidR="002312BD">
        <w:rPr>
          <w:rFonts w:ascii="Times New Roman" w:hAnsi="Times New Roman" w:cs="Times New Roman"/>
          <w:sz w:val="28"/>
          <w:szCs w:val="28"/>
        </w:rPr>
        <w:instrText>LDL-C</w:instrText>
      </w:r>
      <w:r w:rsidR="002312BD">
        <w:rPr>
          <w:rFonts w:ascii="MS Gothic" w:eastAsia="MS Gothic" w:hAnsi="MS Gothic" w:cs="MS Gothic" w:hint="eastAsia"/>
          <w:sz w:val="28"/>
          <w:szCs w:val="28"/>
        </w:rPr>
        <w:instrText>仍与</w:instrText>
      </w:r>
      <w:r w:rsidR="002312BD">
        <w:rPr>
          <w:rFonts w:ascii="Times New Roman" w:hAnsi="Times New Roman" w:cs="Times New Roman"/>
          <w:sz w:val="28"/>
          <w:szCs w:val="28"/>
        </w:rPr>
        <w:instrText>eGDR</w:instrText>
      </w:r>
      <w:r w:rsidR="002312BD">
        <w:rPr>
          <w:rFonts w:ascii="MS Gothic" w:eastAsia="MS Gothic" w:hAnsi="MS Gothic" w:cs="MS Gothic" w:hint="eastAsia"/>
          <w:sz w:val="28"/>
          <w:szCs w:val="28"/>
        </w:rPr>
        <w:instrText>相关（均</w:instrText>
      </w:r>
      <w:r w:rsidR="002312BD">
        <w:rPr>
          <w:rFonts w:ascii="Times New Roman" w:hAnsi="Times New Roman" w:cs="Times New Roman"/>
          <w:sz w:val="28"/>
          <w:szCs w:val="28"/>
        </w:rPr>
        <w:instrText>P&lt;0.05</w:instrText>
      </w:r>
      <w:r w:rsidR="002312BD">
        <w:rPr>
          <w:rFonts w:ascii="MS Gothic" w:eastAsia="MS Gothic" w:hAnsi="MS Gothic" w:cs="MS Gothic" w:hint="eastAsia"/>
          <w:sz w:val="28"/>
          <w:szCs w:val="28"/>
        </w:rPr>
        <w:instrText>）。采用逐步多重</w:instrText>
      </w:r>
      <w:r w:rsidR="002312BD">
        <w:rPr>
          <w:rFonts w:ascii="SimSun" w:eastAsia="SimSun" w:hAnsi="SimSun" w:cs="SimSun" w:hint="eastAsia"/>
          <w:sz w:val="28"/>
          <w:szCs w:val="28"/>
        </w:rPr>
        <w:instrText>线性回归模型分析结果显示，女性、高</w:instrText>
      </w:r>
      <w:r w:rsidR="002312BD">
        <w:rPr>
          <w:rFonts w:ascii="Times New Roman" w:hAnsi="Times New Roman" w:cs="Times New Roman"/>
          <w:sz w:val="28"/>
          <w:szCs w:val="28"/>
        </w:rPr>
        <w:instrText>TC</w:instrText>
      </w:r>
      <w:r w:rsidR="002312BD">
        <w:rPr>
          <w:rFonts w:ascii="MS Gothic" w:eastAsia="MS Gothic" w:hAnsi="MS Gothic" w:cs="MS Gothic" w:hint="eastAsia"/>
          <w:sz w:val="28"/>
          <w:szCs w:val="28"/>
        </w:rPr>
        <w:instrText>和低</w:instrText>
      </w:r>
      <w:r w:rsidR="002312BD">
        <w:rPr>
          <w:rFonts w:ascii="Times New Roman" w:hAnsi="Times New Roman" w:cs="Times New Roman"/>
          <w:sz w:val="28"/>
          <w:szCs w:val="28"/>
        </w:rPr>
        <w:instrText>HDL-C</w:instrText>
      </w:r>
      <w:r w:rsidR="002312BD">
        <w:rPr>
          <w:rFonts w:ascii="MS Gothic" w:eastAsia="MS Gothic" w:hAnsi="MS Gothic" w:cs="MS Gothic" w:hint="eastAsia"/>
          <w:sz w:val="28"/>
          <w:szCs w:val="28"/>
        </w:rPr>
        <w:instrText>与胰</w:instrText>
      </w:r>
      <w:r w:rsidR="002312BD">
        <w:rPr>
          <w:rFonts w:ascii="SimSun" w:eastAsia="SimSun" w:hAnsi="SimSun" w:cs="SimSun" w:hint="eastAsia"/>
          <w:sz w:val="28"/>
          <w:szCs w:val="28"/>
        </w:rPr>
        <w:instrText>岛素抵抗严重程度独立相关（</w:instrText>
      </w:r>
      <w:r w:rsidR="002312BD">
        <w:rPr>
          <w:rFonts w:ascii="Times New Roman" w:hAnsi="Times New Roman" w:cs="Times New Roman"/>
          <w:sz w:val="28"/>
          <w:szCs w:val="28"/>
        </w:rPr>
        <w:instrText>t=5.651</w:instrText>
      </w:r>
      <w:r w:rsidR="002312BD">
        <w:rPr>
          <w:rFonts w:ascii="MS Gothic" w:eastAsia="MS Gothic" w:hAnsi="MS Gothic" w:cs="MS Gothic" w:hint="eastAsia"/>
          <w:sz w:val="28"/>
          <w:szCs w:val="28"/>
        </w:rPr>
        <w:instrText>、</w:instrText>
      </w:r>
      <w:r w:rsidR="002312BD">
        <w:rPr>
          <w:rFonts w:ascii="Times New Roman" w:hAnsi="Times New Roman" w:cs="Times New Roman"/>
          <w:sz w:val="28"/>
          <w:szCs w:val="28"/>
        </w:rPr>
        <w:instrText>5.823</w:instrText>
      </w:r>
      <w:r w:rsidR="002312BD">
        <w:rPr>
          <w:rFonts w:ascii="MS Gothic" w:eastAsia="MS Gothic" w:hAnsi="MS Gothic" w:cs="MS Gothic" w:hint="eastAsia"/>
          <w:sz w:val="28"/>
          <w:szCs w:val="28"/>
        </w:rPr>
        <w:instrText>、</w:instrText>
      </w:r>
      <w:r w:rsidR="002312BD">
        <w:rPr>
          <w:rFonts w:ascii="Times New Roman" w:hAnsi="Times New Roman" w:cs="Times New Roman"/>
          <w:sz w:val="28"/>
          <w:szCs w:val="28"/>
        </w:rPr>
        <w:instrText>2.908</w:instrText>
      </w:r>
      <w:r w:rsidR="002312BD">
        <w:rPr>
          <w:rFonts w:ascii="MS Gothic" w:eastAsia="MS Gothic" w:hAnsi="MS Gothic" w:cs="MS Gothic" w:hint="eastAsia"/>
          <w:sz w:val="28"/>
          <w:szCs w:val="28"/>
        </w:rPr>
        <w:instrText>，均</w:instrText>
      </w:r>
      <w:r w:rsidR="002312BD">
        <w:rPr>
          <w:rFonts w:ascii="Times New Roman" w:hAnsi="Times New Roman" w:cs="Times New Roman"/>
          <w:sz w:val="28"/>
          <w:szCs w:val="28"/>
        </w:rPr>
        <w:instrText>P&lt;0.05</w:instrText>
      </w:r>
      <w:r w:rsidR="002312BD">
        <w:rPr>
          <w:rFonts w:ascii="MS Gothic" w:eastAsia="MS Gothic" w:hAnsi="MS Gothic" w:cs="MS Gothic" w:hint="eastAsia"/>
          <w:sz w:val="28"/>
          <w:szCs w:val="28"/>
        </w:rPr>
        <w:instrText>）。</w:instrText>
      </w:r>
      <w:r w:rsidR="002312BD">
        <w:rPr>
          <w:rFonts w:ascii="Times New Roman" w:hAnsi="Times New Roman" w:cs="Times New Roman"/>
          <w:sz w:val="28"/>
          <w:szCs w:val="28"/>
        </w:rPr>
        <w:instrText xml:space="preserve"> </w:instrText>
      </w:r>
      <w:r w:rsidR="002312BD">
        <w:rPr>
          <w:rFonts w:ascii="SimSun" w:eastAsia="SimSun" w:hAnsi="SimSun" w:cs="SimSun" w:hint="eastAsia"/>
          <w:sz w:val="28"/>
          <w:szCs w:val="28"/>
        </w:rPr>
        <w:instrText>结论：</w:instrText>
      </w:r>
      <w:r w:rsidR="002312BD">
        <w:rPr>
          <w:rFonts w:ascii="Times New Roman" w:hAnsi="Times New Roman" w:cs="Times New Roman"/>
          <w:sz w:val="28"/>
          <w:szCs w:val="28"/>
        </w:rPr>
        <w:instrText xml:space="preserve"> </w:instrText>
      </w:r>
      <w:r w:rsidR="002312BD">
        <w:rPr>
          <w:rFonts w:ascii="MS Gothic" w:eastAsia="MS Gothic" w:hAnsi="MS Gothic" w:cs="MS Gothic" w:hint="eastAsia"/>
          <w:sz w:val="28"/>
          <w:szCs w:val="28"/>
        </w:rPr>
        <w:instrText>成年</w:instrText>
      </w:r>
      <w:r w:rsidR="002312BD">
        <w:rPr>
          <w:rFonts w:ascii="Times New Roman" w:hAnsi="Times New Roman" w:cs="Times New Roman"/>
          <w:sz w:val="28"/>
          <w:szCs w:val="28"/>
        </w:rPr>
        <w:instrText>T1DM</w:instrText>
      </w:r>
      <w:r w:rsidR="002312BD">
        <w:rPr>
          <w:rFonts w:ascii="MS Gothic" w:eastAsia="MS Gothic" w:hAnsi="MS Gothic" w:cs="MS Gothic" w:hint="eastAsia"/>
          <w:sz w:val="28"/>
          <w:szCs w:val="28"/>
        </w:rPr>
        <w:instrText>患者胰</w:instrText>
      </w:r>
      <w:r w:rsidR="002312BD">
        <w:rPr>
          <w:rFonts w:ascii="SimSun" w:eastAsia="SimSun" w:hAnsi="SimSun" w:cs="SimSun" w:hint="eastAsia"/>
          <w:sz w:val="28"/>
          <w:szCs w:val="28"/>
        </w:rPr>
        <w:instrText>岛素抵抗与血脂紊乱存在不同程度的关联。高</w:instrText>
      </w:r>
      <w:r w:rsidR="002312BD">
        <w:rPr>
          <w:rFonts w:ascii="Times New Roman" w:hAnsi="Times New Roman" w:cs="Times New Roman"/>
          <w:sz w:val="28"/>
          <w:szCs w:val="28"/>
        </w:rPr>
        <w:instrText>TC</w:instrText>
      </w:r>
      <w:r w:rsidR="002312BD">
        <w:rPr>
          <w:rFonts w:ascii="MS Gothic" w:eastAsia="MS Gothic" w:hAnsi="MS Gothic" w:cs="MS Gothic" w:hint="eastAsia"/>
          <w:sz w:val="28"/>
          <w:szCs w:val="28"/>
        </w:rPr>
        <w:instrText>和低</w:instrText>
      </w:r>
      <w:r w:rsidR="002312BD">
        <w:rPr>
          <w:rFonts w:ascii="Times New Roman" w:hAnsi="Times New Roman" w:cs="Times New Roman"/>
          <w:sz w:val="28"/>
          <w:szCs w:val="28"/>
        </w:rPr>
        <w:instrText>HDL-C</w:instrText>
      </w:r>
      <w:r w:rsidR="002312BD">
        <w:rPr>
          <w:rFonts w:ascii="MS Gothic" w:eastAsia="MS Gothic" w:hAnsi="MS Gothic" w:cs="MS Gothic" w:hint="eastAsia"/>
          <w:sz w:val="28"/>
          <w:szCs w:val="28"/>
        </w:rPr>
        <w:instrText>与成年</w:instrText>
      </w:r>
      <w:r w:rsidR="002312BD">
        <w:rPr>
          <w:rFonts w:ascii="Times New Roman" w:hAnsi="Times New Roman" w:cs="Times New Roman"/>
          <w:sz w:val="28"/>
          <w:szCs w:val="28"/>
        </w:rPr>
        <w:instrText>T1DM</w:instrText>
      </w:r>
      <w:r w:rsidR="002312BD">
        <w:rPr>
          <w:rFonts w:ascii="MS Gothic" w:eastAsia="MS Gothic" w:hAnsi="MS Gothic" w:cs="MS Gothic" w:hint="eastAsia"/>
          <w:sz w:val="28"/>
          <w:szCs w:val="28"/>
        </w:rPr>
        <w:instrText>患者胰</w:instrText>
      </w:r>
      <w:r w:rsidR="002312BD">
        <w:rPr>
          <w:rFonts w:ascii="SimSun" w:eastAsia="SimSun" w:hAnsi="SimSun" w:cs="SimSun" w:hint="eastAsia"/>
          <w:sz w:val="28"/>
          <w:szCs w:val="28"/>
        </w:rPr>
        <w:instrText>岛素抵抗独立相关。</w:instrText>
      </w:r>
      <w:r w:rsidR="002312BD">
        <w:rPr>
          <w:rFonts w:ascii="Times New Roman" w:hAnsi="Times New Roman" w:cs="Times New Roman"/>
          <w:sz w:val="28"/>
          <w:szCs w:val="28"/>
        </w:rPr>
        <w:instrText>.","author":[{"dropping-particle":"","family":"Luo","given":"S H","non-dropping-particle":"","parse-names":false,"suffix":""},{"dropping-particle":"","family":"Yang","given":"D Z","non-dropping-particle":"","parse-names":false,"suffix":""},{"dropping-particle":"","family":"Wei","given":"X Y","non-dropping-particle":"","parse-names":false,"suffix":""},{"dropping-particle":"","family":"Ai","given":"H Y","non-dropping-particle":"","parse-names":false,"suffix":""},{"dropping-particle":"","family":"Lin","given":"Q Y","non-dropping-particle":"","parse-names":false,"suffix":""},{"dropping-particle":"","family":"Liu","given":"Z Y","non-dropping-particle":"","parse-names":false,"suffix":""},{"dropping-particle":"","family":"Ling","given":"P","non-dropping-particle":"","parse-names":false,"suffix":""},{"dropping-particle":"","family":"Lü","given":"J","non-dropping-particle":"","parse-names":false,"suffix":""},{"dropping-particle":"","family":"Yan","given":"J H","non-dropping-particle":"","parse-names":false,"suffix":""},{"dropping-particle":"","family":"Yao","given":"B","non-dropping-particle":"","parse-names":false,"suffix":""},{"dropping-particle":"","family":"Weng","given":"J P","non-dropping-particle":"","parse-names":false,"suffix":""},{"dropping-particle":"","family":"Zheng","given":"X Y","non-dropping-particle":"","parse-names":false,"suffix":""}],"container-title":"Zhonghua yi xue za zhi","id":"ITEM-1","issue":"34","issued":{"date-parts":[["2019","9","10"]]},"page":"2665-2669","title":"Association of insulin resistance with dyslipidemia in adults with type 1 diabetes","type":"article-journal","volume":"99"},"uris":["http://www.mendeley.com/documents/?uuid=ff712124-2a23-4355-b2c7-7cfa36d1c100"]}],"mendeley":{"formattedCitation":"[40]","plainTextFormattedCitation":"[40]","previouslyFormattedCitation":"[40]"},"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[40]</w:t>
      </w:r>
      <w:r w:rsidR="00EA0E64">
        <w:rPr>
          <w:rFonts w:ascii="Times New Roman" w:hAnsi="Times New Roman" w:cs="Times New Roman"/>
          <w:sz w:val="28"/>
          <w:szCs w:val="28"/>
        </w:rPr>
        <w:fldChar w:fldCharType="end"/>
      </w:r>
      <w:r w:rsidR="00294025">
        <w:rPr>
          <w:rFonts w:ascii="Century" w:hAnsi="Century" w:cs="Times New Roman"/>
          <w:sz w:val="28"/>
          <w:szCs w:val="28"/>
        </w:rPr>
        <w:t>,</w:t>
      </w:r>
      <w:r>
        <w:rPr>
          <w:rFonts w:ascii="Times New Roman" w:hAnsi="Times New Roman" w:cs="Times New Roman"/>
          <w:sz w:val="28"/>
          <w:szCs w:val="28"/>
        </w:rPr>
        <w:t xml:space="preserve"> они обнаружили, что высокий уровень ОХС и низкий уровень ЛПВП является независимыми ассоциированными факторами ИР. Гиперинсулинемия и гипергликемия могут способствовать развитию ИР при ожирении и СД 2 типа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10.1172/JCI6609","ISSN":"00219738","PMID":"10194465","author":[{"dropping-particle":"","family":"Virkamäki","given":"Antti","non-dropping-particle":"","parse-names":false,"suffix":""},{"dropping-particle":"","family":"Ueki","given":"Kohjiro","non-dropping-particle":"","parse-names":false,"suffix":""},{"dropping-particle":"","family":"Kahn","given":"C. Ronald","non-dropping-particle":"","parse-names":false,"suffix":""}],"container-title":"Journal of Clinical Investigation","id":"ITEM-1","issue":"7","issued":{"date-parts":[["1999"]]},"page":"931-943","title":"Protein-protein interaction in insulin signaling and the molecular mechanisms of insulin resistance","type":"article-journal","volume":"103"},"uris":["http://www.mendeley.com/documents/?uuid=d89f2a2d-74e0-4fe4-8a99-42c2e2e15992"]}],"mendeley":{"formattedCitation":"[41]","plainTextFormattedCitation":"[41]","previouslyFormattedCitation":"[41]"},"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[41]</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 оценке ассо</w:t>
      </w:r>
      <w:r w:rsidR="00AB6AEE">
        <w:rPr>
          <w:rFonts w:ascii="Times New Roman" w:hAnsi="Times New Roman" w:cs="Times New Roman"/>
          <w:sz w:val="28"/>
          <w:szCs w:val="28"/>
        </w:rPr>
        <w:t>циации между уровнями инсулина,</w:t>
      </w:r>
      <w:r>
        <w:rPr>
          <w:rFonts w:ascii="Times New Roman" w:hAnsi="Times New Roman" w:cs="Times New Roman"/>
          <w:sz w:val="28"/>
          <w:szCs w:val="28"/>
        </w:rPr>
        <w:t xml:space="preserve"> глюкозы в плазме и в кишечнике с экспрессией генов, участвующих в метаболизме хиломикрона у мужчин с разным уровнем И</w:t>
      </w:r>
      <w:r w:rsidR="00D9020D">
        <w:rPr>
          <w:rFonts w:ascii="Times New Roman" w:hAnsi="Times New Roman" w:cs="Times New Roman"/>
          <w:sz w:val="28"/>
          <w:szCs w:val="28"/>
        </w:rPr>
        <w:t>Р авторы обнаружили (2018), что</w:t>
      </w:r>
      <w:r>
        <w:rPr>
          <w:rFonts w:ascii="Times New Roman" w:hAnsi="Times New Roman" w:cs="Times New Roman"/>
          <w:sz w:val="28"/>
          <w:szCs w:val="28"/>
        </w:rPr>
        <w:t xml:space="preserve"> уровни инсулина и глюкозы в плазме дифференциально связаны с экспрессией ключевых генов, участвующих в метаболизм</w:t>
      </w:r>
      <w:r w:rsidR="000B1022">
        <w:rPr>
          <w:rFonts w:ascii="Times New Roman" w:hAnsi="Times New Roman" w:cs="Times New Roman"/>
          <w:sz w:val="28"/>
          <w:szCs w:val="28"/>
        </w:rPr>
        <w:t>е</w:t>
      </w:r>
      <w:r w:rsidR="00D458DE">
        <w:rPr>
          <w:rFonts w:ascii="Times New Roman" w:hAnsi="Times New Roman" w:cs="Times New Roman"/>
          <w:sz w:val="28"/>
          <w:szCs w:val="28"/>
        </w:rPr>
        <w:t xml:space="preserve"> </w:t>
      </w:r>
      <w:r>
        <w:rPr>
          <w:rFonts w:ascii="Times New Roman" w:hAnsi="Times New Roman" w:cs="Times New Roman"/>
          <w:sz w:val="28"/>
          <w:szCs w:val="28"/>
        </w:rPr>
        <w:t>хиломикрона</w:t>
      </w:r>
      <w:r w:rsidR="00D771F6">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{"citationItems":[{"id":"ITEM-1","itemData":{"DOI":"10.1152/ajpgi.00108.2018","ISSN":"0193-1857","abstract":"The mechanisms underlying the oversecretion of apolipoprotein (apo)B-48-containing triglyceride-rich lipoproteins (TRL) in insulin-resistance (IR) states in humans remain to be fully understood. The objective of this study was to evaluate the association between the plasma levels of insulin and glucose and the intestinal expression of key genes involved in chylomicron metabolism in a large sample of nondiabetic men displaying various degrees of IR. Duodenal biopsies were obtained by gastroduodenoscopy in 127 men free of intestinal disease. Gene expression was measured using quantitative PCR in duodenal samples. Plasma insulin and glucose concentrations were measured in the fasting state. Postprandial TRL apoB-48 kinetics were measured using a primed-constant infusion of l-[5,5,5-D 3 ]leucine for 12 h in a subgroup of 75 subjects maintained in a constant fed state. Plasma insulin levels were negatively associated with intestinal expression of ACS1 (standard β = −0.20, P = 0.007), DGAT1 (β = −0.18, P = 0.001), DGAT2 (β = −0.20, P = 0.02), and MTP (β = −0.27, P = 0.0005), whereas glucose levels were positively associated with MTP expression (β = 0.15, P = 0.04) independent of age, BMI, waist circumference, dietary intake, and duodenal expression of SREBP1c. Insulin levels, but not glucose concentrations, were positively correlated with postprandial TRL apoB-48 production rate ( r = 0.24, P = 0.04) and pool size ( r = 0.27, P = 0.03). In conclusion, plasma insulin and glucose levels are differentially associated with the expression of key genes involved in chylomicron metabolism. These results suggest that alterations in intestinal lipoprotein metabolism associated with IR may be regulated by plasma levels of both insulin and glucose concurrently and are therefore likely modified by the onset of insulin insufficiency.","author":[{"dropping-particle":"","family":"Drouin-Chartier","given":"Jean-Philippe","non-dropping-particle":"","parse-names":false,"suffix":""},{"dropping-particle":"","family":"Tremblay","given":"André J.","non-dropping-particle":"","parse-names":false,"suffix":""},{"dropping-particle":"","family":"Lemelin","given":"Valéry","non-dropping-particle":"","parse-names":false,"suffix":""},{"dropping-particle":"","family":"Lamarche","given":"Benoît","non-dropping-particle":"","parse-names":false,"suffix":""},{"dropping-particle":"","family":"Couture","given":"Patrick","non-dropping-particle":"","parse-names":false,"suffix":""}],"container-title":"American Journal of Physiology-Gastrointestinal and Liver Physiology","id":"ITEM-1","issue":"2","issued":{"date-parts":[["2018","8","1"]]},"page":"G177-G184","title":"Differential associations between plasma concentrations of insulin and glucose and intestinal expression of key genes involved in chylomicron metabolism","type":"article-journal","volume":"315"},"uris":["http://www.mendeley.com/documents/?uuid=c6e7c688-21d1-4d18-81e6-717232eb3ca3"]}],"mendeley":{"formattedCitation":"[42]","plainTextFormattedCitation":"[42]","previouslyFormattedCitation":"[42]"},"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[42]</w:t>
      </w:r>
      <w:r w:rsidR="00EA0E64">
        <w:rPr>
          <w:rFonts w:ascii="Times New Roman" w:hAnsi="Times New Roman" w:cs="Times New Roman"/>
          <w:sz w:val="28"/>
          <w:szCs w:val="28"/>
        </w:rPr>
        <w:fldChar w:fldCharType="end"/>
      </w:r>
      <w:r>
        <w:rPr>
          <w:rFonts w:ascii="Times New Roman" w:hAnsi="Times New Roman" w:cs="Times New Roman"/>
          <w:sz w:val="28"/>
          <w:szCs w:val="28"/>
        </w:rPr>
        <w:t>. Авторы предполагают, что изменения в метаболизм липо</w:t>
      </w:r>
      <w:r w:rsidR="00B03640">
        <w:rPr>
          <w:rFonts w:ascii="Times New Roman" w:hAnsi="Times New Roman" w:cs="Times New Roman"/>
          <w:sz w:val="28"/>
          <w:szCs w:val="28"/>
        </w:rPr>
        <w:t>протеинов в кишечнике, связанные</w:t>
      </w:r>
      <w:r>
        <w:rPr>
          <w:rFonts w:ascii="Times New Roman" w:hAnsi="Times New Roman" w:cs="Times New Roman"/>
          <w:sz w:val="28"/>
          <w:szCs w:val="28"/>
        </w:rPr>
        <w:t xml:space="preserve"> с ИР, мо</w:t>
      </w:r>
      <w:r w:rsidR="00B03640">
        <w:rPr>
          <w:rFonts w:ascii="Times New Roman" w:hAnsi="Times New Roman" w:cs="Times New Roman"/>
          <w:sz w:val="28"/>
          <w:szCs w:val="28"/>
        </w:rPr>
        <w:t>гут</w:t>
      </w:r>
      <w:r>
        <w:rPr>
          <w:rFonts w:ascii="Times New Roman" w:hAnsi="Times New Roman" w:cs="Times New Roman"/>
          <w:sz w:val="28"/>
          <w:szCs w:val="28"/>
        </w:rPr>
        <w:t xml:space="preserve"> регулироваться уровнями инсулина и глюкозы в плазме одновременно </w:t>
      </w:r>
      <w:r w:rsidR="00B03640">
        <w:rPr>
          <w:rFonts w:ascii="Times New Roman" w:hAnsi="Times New Roman" w:cs="Times New Roman"/>
          <w:sz w:val="28"/>
          <w:szCs w:val="28"/>
        </w:rPr>
        <w:t>что</w:t>
      </w:r>
      <w:r>
        <w:rPr>
          <w:rFonts w:ascii="Times New Roman" w:hAnsi="Times New Roman" w:cs="Times New Roman"/>
          <w:sz w:val="28"/>
          <w:szCs w:val="28"/>
        </w:rPr>
        <w:t xml:space="preserve"> вероятно, это приводит к появлению недостаточности инсулина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{"citationItems":[{"id":"ITEM-1","itemData":{"DOI":"10.1152/ajpgi.00108.2018","ISSN":"0193-1857","abstract":"The mechanisms underlying the oversecretion of apolipoprotein (apo)B-48-containing triglyceride-rich lipoproteins (TRL) in insulin-resistance (IR) states in humans remain to be fully understood. The objective of this study was to evaluate the association between the plasma levels of insulin and glucose and the intestinal expression of key genes involved in chylomicron metabolism in a large sample of nondiabetic men displaying various degrees of IR. Duodenal biopsies were obtained by gastroduodenoscopy in 127 men free of intestinal disease. Gene expression was measured using quantitative PCR in duodenal samples. Plasma insulin and glucose concentrations were measured in the fasting state. Postprandial TRL apoB-48 kinetics were measured using a primed-constant infusion of l-[5,5,5-D 3 ]leucine for 12 h in a subgroup of 75 subjects maintained in a constant fed state. Plasma insulin levels were negatively associated with intestinal expression of ACS1 (standard β = −0.20, P = 0.007), DGAT1 (β = −0.18, P = 0.001), DGAT2 (β = −0.20, P = 0.02), and MTP (β = −0.27, P = 0.0005), whereas glucose levels were positively associated with MTP expression (β = 0.15, P = 0.04) independent of age, BMI, waist circumference, dietary intake, and duodenal expression of SREBP1c. Insulin levels, but not glucose concentrations, were positively correlated with postprandial TRL apoB-48 production rate ( r = 0.24, P = 0.04) and pool size ( r = 0.27, P = 0.03). In conclusion, plasma insulin and glucose levels are differentially associated with the expression of key genes involved in chylomicron metabolism. These results suggest that alterations in intestinal lipoprotein metabolism associated with IR may be regulated by plasma levels of both insulin and glucose concurrently and are therefore likely modified by the onset of insulin insufficiency.","author":[{"dropping-particle":"","family":"Drouin-Chartier","given":"Jean-Philippe","non-dropping-particle":"","parse-names":false,"suffix":""},{"dropping-particle":"","family":"Tremblay","given":"André J.","non-dropping-particle":"","parse-names":false,"suffix":""},{"dropping-particle":"","family":"Lemelin","given":"Valéry","non-dropping-particle":"","parse-names":false,"suffix":""},{"dropping-particle":"","family":"Lamarche","given":"Benoît","non-dropping-particle":"","parse-names":false,"suffix":""},{"dropping-particle":"","family":"Couture","given":"Patrick","non-dropping-particle":"","parse-names":false,"suffix":""}],"container-title":"American Journal of Physiology-Gastrointestinal and Liver Physiology","id":"ITEM-1","issue":"2","issued":{"date-parts":[["2018","8","1"]]},"page":"G177-G184","title":"Differential associations between plasma concentrations of insulin and glucose and intestinal expression of key genes involved in chylomicron metabolism","type":"article-journal","volume":"315"},"uris":["http://www.mendeley.com/documents/?uuid=c6e7c688-21d1-4d18-81e6-717232eb3ca3"]}],"mendeley":{"formattedCitation":"[42]","manualFormatting":"[42, р. 181]","plainTextFormattedCitation":"[42]","previouslyFormattedCitation":"[42]"},"properties":{"noteIndex":0},"schema":"https://github.com/citation-style-language/schema/raw/master/csl-citation.json"}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[42</w:t>
      </w:r>
      <w:r w:rsidR="00034556">
        <w:rPr>
          <w:rFonts w:ascii="Times New Roman" w:hAnsi="Times New Roman" w:cs="Times New Roman"/>
          <w:noProof/>
          <w:sz w:val="28"/>
          <w:szCs w:val="28"/>
        </w:rPr>
        <w:t>, р. 181</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У пациентов с лишним весом </w:t>
      </w:r>
      <w:r w:rsidR="00B03640">
        <w:rPr>
          <w:rFonts w:ascii="Times New Roman" w:hAnsi="Times New Roman" w:cs="Times New Roman"/>
          <w:sz w:val="28"/>
          <w:szCs w:val="28"/>
        </w:rPr>
        <w:t>часто наблюдается</w:t>
      </w:r>
      <w:r>
        <w:rPr>
          <w:rFonts w:ascii="Times New Roman" w:hAnsi="Times New Roman" w:cs="Times New Roman"/>
          <w:sz w:val="28"/>
          <w:szCs w:val="28"/>
        </w:rPr>
        <w:t xml:space="preserve"> снижение чувствительность </w:t>
      </w:r>
      <w:r w:rsidR="00B03640">
        <w:rPr>
          <w:rFonts w:ascii="Times New Roman" w:hAnsi="Times New Roman" w:cs="Times New Roman"/>
          <w:sz w:val="28"/>
          <w:szCs w:val="28"/>
        </w:rPr>
        <w:t>инсулиновых</w:t>
      </w:r>
      <w:r>
        <w:rPr>
          <w:rFonts w:ascii="Times New Roman" w:hAnsi="Times New Roman" w:cs="Times New Roman"/>
          <w:sz w:val="28"/>
          <w:szCs w:val="28"/>
        </w:rPr>
        <w:t xml:space="preserve"> </w:t>
      </w:r>
      <w:r w:rsidR="00B03640">
        <w:rPr>
          <w:rFonts w:ascii="Times New Roman" w:hAnsi="Times New Roman" w:cs="Times New Roman"/>
          <w:sz w:val="28"/>
          <w:szCs w:val="28"/>
        </w:rPr>
        <w:t xml:space="preserve">рецепторов </w:t>
      </w:r>
      <w:r>
        <w:rPr>
          <w:rFonts w:ascii="Times New Roman" w:hAnsi="Times New Roman" w:cs="Times New Roman"/>
          <w:sz w:val="28"/>
          <w:szCs w:val="28"/>
        </w:rPr>
        <w:t xml:space="preserve">и </w:t>
      </w:r>
      <w:r w:rsidR="00B03640">
        <w:rPr>
          <w:rFonts w:ascii="Times New Roman" w:hAnsi="Times New Roman" w:cs="Times New Roman"/>
          <w:sz w:val="28"/>
          <w:szCs w:val="28"/>
        </w:rPr>
        <w:t xml:space="preserve">снижения </w:t>
      </w:r>
      <w:r>
        <w:rPr>
          <w:rFonts w:ascii="Times New Roman" w:hAnsi="Times New Roman" w:cs="Times New Roman"/>
          <w:sz w:val="28"/>
          <w:szCs w:val="28"/>
        </w:rPr>
        <w:t>уровня активности тирозинкиназы в скелетных мышцах и адипоцитах</w:t>
      </w:r>
      <w:r w:rsidR="00D771F6">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10.1172/JCI6609","ISSN":"00219738","PMID":"10194465","author":[{"dropping-particle":"","family":"Virkamäki","given":"Antti","non-dropping-particle":"","parse-names":false,"suffix":""},{"dropping-particle":"","family":"Ueki","given":"Kohjiro","non-dropping-particle":"","parse-names":false,"suffix":""},{"dropping-particle":"","family":"Kahn","given":"C. Ronald","non-dropping-particle":"","parse-names":false,"suffix":""}],"container-title":"Journal of Clinical Investigation","id":"ITEM-1","issue":"7","issued":{"date-parts":[["1999"]]},"page":"931-943","title":"Protein-protein interaction in insulin signaling and the molecular mechanisms of insulin resistance","type":"article-journal","volume":"103"},"uris":["http://www.mendeley.com/documents/?uuid=d89f2a2d-74e0-4fe4-8a99-42c2e2e15992"]}],"mendeley":{"formattedCitation":"[41]","manualFormatting":"[41, р. 932]","plainTextFormattedCitation":"[41]","previouslyFormattedCitation":"[41]"},"properties":{"noteIndex":0},"schema":"https://github.com/citation-style-language/schema/raw/master/csl-citation.json"}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[41</w:t>
      </w:r>
      <w:r w:rsidR="00034556">
        <w:rPr>
          <w:rFonts w:ascii="Times New Roman" w:hAnsi="Times New Roman" w:cs="Times New Roman"/>
          <w:noProof/>
          <w:sz w:val="28"/>
          <w:szCs w:val="28"/>
        </w:rPr>
        <w:t>, р. 932</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Такое состояние также встречается у пациентов с СД 2 типа. У здоровых людей </w:t>
      </w:r>
      <w:r w:rsidR="00B03640">
        <w:rPr>
          <w:rFonts w:ascii="Times New Roman" w:hAnsi="Times New Roman" w:cs="Times New Roman"/>
          <w:sz w:val="28"/>
          <w:szCs w:val="28"/>
        </w:rPr>
        <w:t>коррекция</w:t>
      </w:r>
      <w:r>
        <w:rPr>
          <w:rFonts w:ascii="Times New Roman" w:hAnsi="Times New Roman" w:cs="Times New Roman"/>
          <w:sz w:val="28"/>
          <w:szCs w:val="28"/>
        </w:rPr>
        <w:t xml:space="preserve"> веса позволяет улучшить чувствительность рецептора инсулина и активность тирозинкиназы</w:t>
      </w:r>
      <w:r w:rsidR="00D771F6">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10.1172/JCI6609","ISSN":"00219738","PMID":"10194465","author":[{"dropping-particle":"","family":"Virkamäki","given":"Antti","non-dropping-particle":"","parse-names":false,"suffix":""},{"dropping-particle":"","family":"Ueki","given":"Kohjiro","non-dropping-particle":"","parse-names":false,"suffix":""},{"dropping-particle":"","family":"Kahn","given":"C. Ronald","non-dropping-particle":"","parse-names":false,"suffix":""}],"container-title":"Journal of Clinical Investigation","id":"ITEM-1","issue":"7","issued":{"date-parts":[["1999"]]},"page":"931-943","title":"Protein-protein interaction in insulin signaling and the molecular mechanisms of insulin resistance","type":"article-journal","volume":"103"},"uris":["http://www.mendeley.com/documents/?uuid=d89f2a2d-74e0-4fe4-8a99-42c2e2e15992"]}],"mendeley":{"formattedCitation":"[41]","manualFormatting":"[41, р. 933]","plainTextFormattedCitation":"[41]","previouslyFormattedCitation":"[41]"},"properties":{"noteIndex":0},"schema":"https://github.com/citation-style-language/schema/raw/master/csl-citation.json"}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[41</w:t>
      </w:r>
      <w:r w:rsidR="00034556">
        <w:rPr>
          <w:rFonts w:ascii="Times New Roman" w:hAnsi="Times New Roman" w:cs="Times New Roman"/>
          <w:noProof/>
          <w:sz w:val="28"/>
          <w:szCs w:val="28"/>
        </w:rPr>
        <w:t>, р. 933</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r w:rsidR="00B03640">
        <w:rPr>
          <w:rFonts w:ascii="Times New Roman" w:hAnsi="Times New Roman" w:cs="Times New Roman"/>
          <w:sz w:val="28"/>
          <w:szCs w:val="28"/>
        </w:rPr>
        <w:t>Однако</w:t>
      </w:r>
      <w:r>
        <w:rPr>
          <w:rFonts w:ascii="Times New Roman" w:hAnsi="Times New Roman" w:cs="Times New Roman"/>
          <w:sz w:val="28"/>
          <w:szCs w:val="28"/>
        </w:rPr>
        <w:t xml:space="preserve"> у пациентов с СД 2 типа снижение веса не влияет на чувствительность рецептора инсулина, так как, имеется дополнительный пострецепторный дефект передачи сигналов инсулина. Некоторые авторы предполагают, что снижение чувствительности рецептора инсулина и активности тирозинкиназы возможно связано с гиперинсулинемией и изменение липидов в мембранах клеток, как ответ на гиперлипидемии, которые встречается при ожирении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DOI":"10.1172/JCI6609","ISSN":"00219738","PMID":"10194465","author":[{"dropping-particle":"","family":"Virkamäki","given":"Antti","non-dropping-particle":"","parse-names":false,"suffix":""},{"dropping-particle":"","family":"Ueki","given":"Kohjiro","non-dropping-particle":"","parse-names":false,"suffix":""},{"dropping-particle":"","family":"Kahn","given":"C. Ronald","non-dropping-particle":"","parse-names":false,"suffix":""}],"container-title":"Journal of Clinical Investigation","id":"ITEM-1","issue":"7","issued":{"date-parts":[["1999"]]},"page":"931-943","title":"Protein-protein interaction in insulin signaling and the molecular mechanisms of insulin resistance","type":"article-journal","volume":"103"},"uris":["http://www.mendeley.com/documents/?uuid=d89f2a2d-74e0-4fe4-8a99-42c2e2e15992"]}],"mendeley":{"formattedCitation":"[41]","manualFormatting":"[41, р. 933]","plainTextFormattedCitation":"[41]","previouslyFormattedCitation":"[41]"},"properties":{"noteIndex":0},"schema":"https://github.com/citation-style-language/schema/raw/master/csl-citation.json"}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[41</w:t>
      </w:r>
      <w:r w:rsidR="00034556">
        <w:rPr>
          <w:rFonts w:ascii="Times New Roman" w:hAnsi="Times New Roman" w:cs="Times New Roman"/>
          <w:noProof/>
          <w:sz w:val="28"/>
          <w:szCs w:val="28"/>
        </w:rPr>
        <w:t>, р. 933</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4C324F"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Patwardhan V. </w:t>
      </w:r>
      <w:r w:rsidR="00820530">
        <w:rPr>
          <w:rFonts w:ascii="Times New Roman" w:hAnsi="Times New Roman" w:cs="Times New Roman"/>
          <w:sz w:val="28"/>
          <w:szCs w:val="28"/>
        </w:rPr>
        <w:t xml:space="preserve">и его соавторы </w:t>
      </w:r>
      <w:r>
        <w:rPr>
          <w:rFonts w:ascii="Times New Roman" w:hAnsi="Times New Roman" w:cs="Times New Roman"/>
          <w:sz w:val="28"/>
          <w:szCs w:val="28"/>
        </w:rPr>
        <w:t>в своем</w:t>
      </w:r>
      <w:r w:rsidR="00AB12B3">
        <w:rPr>
          <w:rFonts w:ascii="Times New Roman" w:hAnsi="Times New Roman" w:cs="Times New Roman"/>
          <w:sz w:val="28"/>
          <w:szCs w:val="28"/>
        </w:rPr>
        <w:t xml:space="preserve"> исследовании (2019)</w:t>
      </w:r>
      <w:r w:rsidR="007C1BCF">
        <w:rPr>
          <w:rFonts w:ascii="Times New Roman" w:hAnsi="Times New Roman" w:cs="Times New Roman"/>
          <w:sz w:val="28"/>
          <w:szCs w:val="28"/>
        </w:rPr>
        <w:t xml:space="preserve"> </w:t>
      </w:r>
      <w:r>
        <w:rPr>
          <w:rFonts w:ascii="Times New Roman" w:hAnsi="Times New Roman" w:cs="Times New Roman"/>
          <w:sz w:val="28"/>
          <w:szCs w:val="28"/>
        </w:rPr>
        <w:t>оценивал</w:t>
      </w:r>
      <w:r w:rsidR="00820530">
        <w:rPr>
          <w:rFonts w:ascii="Times New Roman" w:hAnsi="Times New Roman" w:cs="Times New Roman"/>
          <w:sz w:val="28"/>
          <w:szCs w:val="28"/>
        </w:rPr>
        <w:t>и</w:t>
      </w:r>
      <w:r>
        <w:rPr>
          <w:rFonts w:ascii="Times New Roman" w:hAnsi="Times New Roman" w:cs="Times New Roman"/>
          <w:sz w:val="28"/>
          <w:szCs w:val="28"/>
        </w:rPr>
        <w:t xml:space="preserve"> различие веса и липидного профиля в норме</w:t>
      </w:r>
      <w:r w:rsidR="00D9020D">
        <w:rPr>
          <w:rFonts w:ascii="Times New Roman" w:hAnsi="Times New Roman" w:cs="Times New Roman"/>
          <w:sz w:val="28"/>
          <w:szCs w:val="28"/>
        </w:rPr>
        <w:t xml:space="preserve"> у практически здоровых мужчин</w:t>
      </w:r>
      <w:r w:rsidR="00AB12B3">
        <w:rPr>
          <w:rFonts w:ascii="Times New Roman" w:hAnsi="Times New Roman" w:cs="Times New Roman"/>
          <w:sz w:val="28"/>
          <w:szCs w:val="28"/>
        </w:rPr>
        <w:t xml:space="preserve"> и пациент</w:t>
      </w:r>
      <w:r>
        <w:rPr>
          <w:rFonts w:ascii="Times New Roman" w:hAnsi="Times New Roman" w:cs="Times New Roman"/>
          <w:sz w:val="28"/>
          <w:szCs w:val="28"/>
        </w:rPr>
        <w:t>ов с лишним весом</w:t>
      </w:r>
      <w:r w:rsidR="007C1BCF">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{"citationItems":[{"id":"ITEM-1","itemData":{"ISSN":"0004-5772","PMID":"31559764","abstract":"Background Although less common, insulin resistance and deranged lipids are also observed in normal weight individuals. Few studies have assessed body composition and lipid profiles in normal weight insulin resistant individuals. Objective To assess differences in body composition and lipid profile in normal weight and overweight 40-60 years apparently healthy men with special reference to insulin resistance. Design Cross-sectional observational study in apparently healthy men (40-60 yrs) was performed. Anthropometry, body composition (Dual Energy X-ray Absorptiometry scan), biochemical parameters (lipids, sugar and Insulin) were assessed. HOMA_IR was calculated. Subjects were grouped based on BMI and HOMA-IR for comparison. Results Of the 286 subjects 152 (53%) had BMI &lt; 25 (group A) and 134 (47%) had BMI &gt; 25 (group B). Homa-IR was more than 3 in 18% in and in 36% in B. Group B had significantly higher fat, waist circumference, systolic blood pressure, insulin and HOMA-IR. In subgroup analysis in group A, subjects with HOMA IR&gt;3 (group A2) had significantly higher BMI, waist, TG, TG: HDL ratio, android and total fat and lower HDL as compared sub-group A1(HOMA IR&lt;3) (p&lt; 0.05). Mean BMI, waist circumference and systolic blood pressure were significantly higher in B2 than A2 group (p&lt; 0.05). Although total, android and gynoid fat percentage were significantly higher in group B2, android to gynoid ratio was significantly higher in A2 (p&lt; 0.05). Conclusion No significant difference in lipids and fat distribution between insulin resistant and non-resistant subjects in overweight groups suggests that insulin resistance in overweight may be an extension of the pathological state related to obesity. In contrast, significant differences in lipid and fat distribution in normal weight insulin resistant individuals may likely be due to a different mechanism.","author":[{"dropping-particle":"","family":"Patwardhan","given":"Vivek","non-dropping-particle":"","parse-names":false,"suffix":""},{"dropping-particle":"","family":"Khadilkar","given":"Anuradha","non-dropping-particle":"","parse-names":false,"suffix":""},{"dropping-particle":"","family":"Chiplonkar","given":"Shashi","non-dropping-particle":"","parse-names":false,"suffix":""},{"dropping-particle":"","family":"Khadilkar","given":"Vaman","non-dropping-particle":"","parse-names":false,"suffix":""}],"container-title":"The Journal of the Association of Physicians of India","id":"ITEM-1","issue":"7","issued":{"date-parts":[["2019","7"]]},"page":"26-29","title":"Dyslipidemia and Fat Distribution in Normal Weight Insulin Resistant Men.","type":"article-journal","volume":"67"},"uris":["http://www.mendeley.com/documents/?uuid=0b7077a6-2ed5-4cac-96bb-59f94304423e"]}],"mendeley":{"formattedCitation":"[43]","plainTextFormattedCitation":"[43]","previouslyFormattedCitation":"[43]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[43]</w:t>
      </w:r>
      <w:r w:rsidR="00EA0E64">
        <w:rPr>
          <w:rFonts w:ascii="Times New Roman" w:hAnsi="Times New Roman" w:cs="Times New Roman"/>
          <w:sz w:val="28"/>
          <w:szCs w:val="28"/>
        </w:rPr>
        <w:fldChar w:fldCharType="end"/>
      </w:r>
      <w:r w:rsidR="002076CB">
        <w:rPr>
          <w:rFonts w:ascii="Times New Roman" w:hAnsi="Times New Roman" w:cs="Times New Roman"/>
          <w:sz w:val="28"/>
          <w:szCs w:val="28"/>
        </w:rPr>
        <w:t>.</w:t>
      </w:r>
      <w:r w:rsidR="007C1BCF">
        <w:rPr>
          <w:rFonts w:ascii="Times New Roman" w:hAnsi="Times New Roman" w:cs="Times New Roman"/>
          <w:sz w:val="28"/>
          <w:szCs w:val="28"/>
        </w:rPr>
        <w:t xml:space="preserve"> </w:t>
      </w:r>
      <w:r w:rsidR="006C27C7">
        <w:rPr>
          <w:rFonts w:ascii="Times New Roman" w:hAnsi="Times New Roman" w:cs="Times New Roman"/>
          <w:sz w:val="28"/>
          <w:szCs w:val="28"/>
        </w:rPr>
        <w:t>Автор</w:t>
      </w:r>
      <w:r w:rsidR="00820530">
        <w:rPr>
          <w:rFonts w:ascii="Times New Roman" w:hAnsi="Times New Roman" w:cs="Times New Roman"/>
          <w:sz w:val="28"/>
          <w:szCs w:val="28"/>
        </w:rPr>
        <w:t>ы</w:t>
      </w:r>
      <w:r w:rsidR="006C27C7">
        <w:rPr>
          <w:rFonts w:ascii="Times New Roman" w:hAnsi="Times New Roman" w:cs="Times New Roman"/>
          <w:sz w:val="28"/>
          <w:szCs w:val="28"/>
        </w:rPr>
        <w:t xml:space="preserve"> утверждают</w:t>
      </w:r>
      <w:r w:rsidR="00AB12B3">
        <w:rPr>
          <w:rFonts w:ascii="Times New Roman" w:hAnsi="Times New Roman" w:cs="Times New Roman"/>
          <w:sz w:val="28"/>
          <w:szCs w:val="28"/>
        </w:rPr>
        <w:t>, что нет существенной разницы в распределении липидов в плазме и жиров в теле</w:t>
      </w:r>
      <w:r w:rsidR="00B03640">
        <w:rPr>
          <w:rFonts w:ascii="Times New Roman" w:hAnsi="Times New Roman" w:cs="Times New Roman"/>
          <w:sz w:val="28"/>
          <w:szCs w:val="28"/>
        </w:rPr>
        <w:t>,</w:t>
      </w:r>
      <w:r w:rsidR="00AB12B3">
        <w:rPr>
          <w:rFonts w:ascii="Times New Roman" w:hAnsi="Times New Roman" w:cs="Times New Roman"/>
          <w:sz w:val="28"/>
          <w:szCs w:val="28"/>
        </w:rPr>
        <w:t xml:space="preserve"> </w:t>
      </w:r>
      <w:r w:rsidR="00B03640">
        <w:rPr>
          <w:rFonts w:ascii="Times New Roman" w:hAnsi="Times New Roman" w:cs="Times New Roman"/>
          <w:sz w:val="28"/>
          <w:szCs w:val="28"/>
        </w:rPr>
        <w:t>если сравнивать</w:t>
      </w:r>
      <w:r w:rsidR="00AB12B3">
        <w:rPr>
          <w:rFonts w:ascii="Times New Roman" w:hAnsi="Times New Roman" w:cs="Times New Roman"/>
          <w:sz w:val="28"/>
          <w:szCs w:val="28"/>
        </w:rPr>
        <w:t xml:space="preserve"> </w:t>
      </w:r>
      <w:r w:rsidR="00B03640">
        <w:rPr>
          <w:rFonts w:ascii="Times New Roman" w:hAnsi="Times New Roman" w:cs="Times New Roman"/>
          <w:sz w:val="28"/>
          <w:szCs w:val="28"/>
        </w:rPr>
        <w:t xml:space="preserve">лиц </w:t>
      </w:r>
      <w:r w:rsidR="00AB12B3">
        <w:rPr>
          <w:rFonts w:ascii="Times New Roman" w:hAnsi="Times New Roman" w:cs="Times New Roman"/>
          <w:sz w:val="28"/>
          <w:szCs w:val="28"/>
        </w:rPr>
        <w:t xml:space="preserve">с избыточной массой тела </w:t>
      </w:r>
      <w:r w:rsidR="00B03640">
        <w:rPr>
          <w:rFonts w:ascii="Times New Roman" w:hAnsi="Times New Roman" w:cs="Times New Roman"/>
          <w:sz w:val="28"/>
          <w:szCs w:val="28"/>
        </w:rPr>
        <w:t>в сочетании</w:t>
      </w:r>
      <w:r w:rsidR="00F52A56">
        <w:rPr>
          <w:rFonts w:ascii="Times New Roman" w:hAnsi="Times New Roman" w:cs="Times New Roman"/>
          <w:sz w:val="28"/>
          <w:szCs w:val="28"/>
        </w:rPr>
        <w:t xml:space="preserve"> с ИР и лиц </w:t>
      </w:r>
      <w:r w:rsidR="00B03640">
        <w:rPr>
          <w:rFonts w:ascii="Times New Roman" w:hAnsi="Times New Roman" w:cs="Times New Roman"/>
          <w:sz w:val="28"/>
          <w:szCs w:val="28"/>
        </w:rPr>
        <w:t xml:space="preserve">с избыточной массы тела </w:t>
      </w:r>
      <w:r w:rsidR="00F52A56">
        <w:rPr>
          <w:rFonts w:ascii="Times New Roman" w:hAnsi="Times New Roman" w:cs="Times New Roman"/>
          <w:sz w:val="28"/>
          <w:szCs w:val="28"/>
        </w:rPr>
        <w:t>без ИР. Он</w:t>
      </w:r>
      <w:r w:rsidR="00820530">
        <w:rPr>
          <w:rFonts w:ascii="Times New Roman" w:hAnsi="Times New Roman" w:cs="Times New Roman"/>
          <w:sz w:val="28"/>
          <w:szCs w:val="28"/>
        </w:rPr>
        <w:t>и</w:t>
      </w:r>
      <w:r w:rsidR="007C1BCF">
        <w:rPr>
          <w:rFonts w:ascii="Times New Roman" w:hAnsi="Times New Roman" w:cs="Times New Roman"/>
          <w:sz w:val="28"/>
          <w:szCs w:val="28"/>
        </w:rPr>
        <w:t xml:space="preserve"> </w:t>
      </w:r>
      <w:r w:rsidR="00F52A56">
        <w:rPr>
          <w:rFonts w:ascii="Times New Roman" w:hAnsi="Times New Roman" w:cs="Times New Roman"/>
          <w:sz w:val="28"/>
          <w:szCs w:val="28"/>
        </w:rPr>
        <w:t>предполага</w:t>
      </w:r>
      <w:r w:rsidR="00820530">
        <w:rPr>
          <w:rFonts w:ascii="Times New Roman" w:hAnsi="Times New Roman" w:cs="Times New Roman"/>
          <w:sz w:val="28"/>
          <w:szCs w:val="28"/>
        </w:rPr>
        <w:t>ю</w:t>
      </w:r>
      <w:r w:rsidR="00AB12B3">
        <w:rPr>
          <w:rFonts w:ascii="Times New Roman" w:hAnsi="Times New Roman" w:cs="Times New Roman"/>
          <w:sz w:val="28"/>
          <w:szCs w:val="28"/>
        </w:rPr>
        <w:t>т, что ИР при избыточном весе может быть продолжением патологического состояния, котор</w:t>
      </w:r>
      <w:r w:rsidR="000B5C4C">
        <w:rPr>
          <w:rFonts w:ascii="Times New Roman" w:hAnsi="Times New Roman" w:cs="Times New Roman"/>
          <w:sz w:val="28"/>
          <w:szCs w:val="28"/>
        </w:rPr>
        <w:t>ое</w:t>
      </w:r>
      <w:r w:rsidR="00AB12B3">
        <w:rPr>
          <w:rFonts w:ascii="Times New Roman" w:hAnsi="Times New Roman" w:cs="Times New Roman"/>
          <w:sz w:val="28"/>
          <w:szCs w:val="28"/>
        </w:rPr>
        <w:t xml:space="preserve"> связан</w:t>
      </w:r>
      <w:r w:rsidR="000B5C4C">
        <w:rPr>
          <w:rFonts w:ascii="Times New Roman" w:hAnsi="Times New Roman" w:cs="Times New Roman"/>
          <w:sz w:val="28"/>
          <w:szCs w:val="28"/>
        </w:rPr>
        <w:t>о</w:t>
      </w:r>
      <w:r w:rsidR="00AB12B3">
        <w:rPr>
          <w:rFonts w:ascii="Times New Roman" w:hAnsi="Times New Roman" w:cs="Times New Roman"/>
          <w:sz w:val="28"/>
          <w:szCs w:val="28"/>
        </w:rPr>
        <w:t xml:space="preserve"> с ожирением. Напротив, у людей с нормальным весом и ИР выявлены существенные различия в распределении липидов в крови и жиров в </w:t>
      </w:r>
      <w:r w:rsidR="000B5C4C">
        <w:rPr>
          <w:rFonts w:ascii="Times New Roman" w:hAnsi="Times New Roman" w:cs="Times New Roman"/>
          <w:sz w:val="28"/>
          <w:szCs w:val="28"/>
        </w:rPr>
        <w:t>теле, котор</w:t>
      </w:r>
      <w:r w:rsidR="00D9020D">
        <w:rPr>
          <w:rFonts w:ascii="Times New Roman" w:hAnsi="Times New Roman" w:cs="Times New Roman"/>
          <w:sz w:val="28"/>
          <w:szCs w:val="28"/>
        </w:rPr>
        <w:t xml:space="preserve">ые </w:t>
      </w:r>
      <w:r w:rsidR="000B5C4C">
        <w:rPr>
          <w:rFonts w:ascii="Times New Roman" w:hAnsi="Times New Roman" w:cs="Times New Roman"/>
          <w:sz w:val="28"/>
          <w:szCs w:val="28"/>
        </w:rPr>
        <w:t>могут быть связан</w:t>
      </w:r>
      <w:r w:rsidR="00D9020D">
        <w:rPr>
          <w:rFonts w:ascii="Times New Roman" w:hAnsi="Times New Roman" w:cs="Times New Roman"/>
          <w:sz w:val="28"/>
          <w:szCs w:val="28"/>
        </w:rPr>
        <w:t>ы</w:t>
      </w:r>
      <w:r w:rsidR="00AB12B3">
        <w:rPr>
          <w:rFonts w:ascii="Times New Roman" w:hAnsi="Times New Roman" w:cs="Times New Roman"/>
          <w:sz w:val="28"/>
          <w:szCs w:val="28"/>
        </w:rPr>
        <w:t xml:space="preserve"> с разными механизмами. </w:t>
      </w:r>
      <w:r w:rsidR="00820530">
        <w:rPr>
          <w:rFonts w:ascii="Times New Roman" w:hAnsi="Times New Roman" w:cs="Times New Roman"/>
          <w:sz w:val="28"/>
          <w:szCs w:val="28"/>
        </w:rPr>
        <w:t>П</w:t>
      </w:r>
      <w:r w:rsidR="00AB12B3">
        <w:rPr>
          <w:rFonts w:ascii="Times New Roman" w:hAnsi="Times New Roman" w:cs="Times New Roman"/>
          <w:sz w:val="28"/>
          <w:szCs w:val="28"/>
        </w:rPr>
        <w:t>овышен</w:t>
      </w:r>
      <w:r w:rsidR="00FE0519">
        <w:rPr>
          <w:rFonts w:ascii="Times New Roman" w:hAnsi="Times New Roman" w:cs="Times New Roman"/>
          <w:sz w:val="28"/>
          <w:szCs w:val="28"/>
        </w:rPr>
        <w:t>ные</w:t>
      </w:r>
      <w:r w:rsidR="007C1BCF">
        <w:rPr>
          <w:rFonts w:ascii="Times New Roman" w:hAnsi="Times New Roman" w:cs="Times New Roman"/>
          <w:sz w:val="28"/>
          <w:szCs w:val="28"/>
        </w:rPr>
        <w:t xml:space="preserve"> </w:t>
      </w:r>
      <w:r w:rsidR="00FE0519">
        <w:rPr>
          <w:rFonts w:ascii="Times New Roman" w:hAnsi="Times New Roman" w:cs="Times New Roman"/>
          <w:sz w:val="28"/>
          <w:szCs w:val="28"/>
        </w:rPr>
        <w:t>уровни</w:t>
      </w:r>
      <w:r w:rsidR="00AB12B3">
        <w:rPr>
          <w:rFonts w:ascii="Times New Roman" w:hAnsi="Times New Roman" w:cs="Times New Roman"/>
          <w:sz w:val="28"/>
          <w:szCs w:val="28"/>
        </w:rPr>
        <w:t xml:space="preserve"> ТГ натощак</w:t>
      </w:r>
      <w:r w:rsidR="00D9020D">
        <w:rPr>
          <w:rFonts w:ascii="Times New Roman" w:hAnsi="Times New Roman" w:cs="Times New Roman"/>
          <w:sz w:val="28"/>
          <w:szCs w:val="28"/>
        </w:rPr>
        <w:t>,</w:t>
      </w:r>
      <w:r w:rsidR="007C1BCF">
        <w:rPr>
          <w:rFonts w:ascii="Times New Roman" w:hAnsi="Times New Roman" w:cs="Times New Roman"/>
          <w:sz w:val="28"/>
          <w:szCs w:val="28"/>
        </w:rPr>
        <w:t xml:space="preserve"> </w:t>
      </w:r>
      <w:r w:rsidR="00820530">
        <w:rPr>
          <w:rFonts w:ascii="Times New Roman" w:hAnsi="Times New Roman" w:cs="Times New Roman"/>
          <w:sz w:val="28"/>
          <w:szCs w:val="28"/>
        </w:rPr>
        <w:t>авторы</w:t>
      </w:r>
      <w:r w:rsidR="007C1BCF">
        <w:rPr>
          <w:rFonts w:ascii="Times New Roman" w:hAnsi="Times New Roman" w:cs="Times New Roman"/>
          <w:sz w:val="28"/>
          <w:szCs w:val="28"/>
        </w:rPr>
        <w:t xml:space="preserve"> </w:t>
      </w:r>
      <w:r w:rsidR="00AB12B3">
        <w:rPr>
          <w:rFonts w:ascii="Times New Roman" w:hAnsi="Times New Roman" w:cs="Times New Roman"/>
          <w:sz w:val="28"/>
          <w:szCs w:val="28"/>
        </w:rPr>
        <w:t>объясняют за счет повышени</w:t>
      </w:r>
      <w:r w:rsidR="00D9020D">
        <w:rPr>
          <w:rFonts w:ascii="Times New Roman" w:hAnsi="Times New Roman" w:cs="Times New Roman"/>
          <w:sz w:val="28"/>
          <w:szCs w:val="28"/>
        </w:rPr>
        <w:t>я</w:t>
      </w:r>
      <w:r w:rsidR="00AB12B3">
        <w:rPr>
          <w:rFonts w:ascii="Times New Roman" w:hAnsi="Times New Roman" w:cs="Times New Roman"/>
          <w:sz w:val="28"/>
          <w:szCs w:val="28"/>
        </w:rPr>
        <w:t xml:space="preserve"> продукции ЛПОНП, которое бывает при ИР независимо от веса пациента </w:t>
      </w:r>
      <w:r w:rsidR="00EA0E64">
        <w:rPr>
          <w:rFonts w:ascii="Times New Roman" w:hAnsi="Times New Roman" w:cs="Times New Roman"/>
          <w:sz w:val="28"/>
          <w:szCs w:val="28"/>
        </w:rPr>
        <w:fldChar w:fldCharType="begin" w:fldLock="1"/>
      </w:r>
      <w:r w:rsidR="00034556">
        <w:rPr>
          <w:rFonts w:ascii="Times New Roman" w:hAnsi="Times New Roman" w:cs="Times New Roman"/>
          <w:sz w:val="28"/>
          <w:szCs w:val="28"/>
        </w:rPr>
        <w:instrText>ADDIN CSL_CITATION {"citationItems":[{"id":"ITEM-1","itemData":{"ISSN":"0004-5772","PMID":"31559764","abstract":"Background Although less common, insulin resistance and deranged lipids are also observed in normal weight individuals. Few studies have assessed body composition and lipid profiles in normal weight insulin resistant individuals. Objective To assess differences in body composition and lipid profile in normal weight and overweight 40-60 years apparently healthy men with special reference to insulin resistance. Design Cross-sectional observational study in apparently healthy men (40-60 yrs) was performed. Anthropometry, body composition (Dual Energy X-ray Absorptiometry scan), biochemical parameters (lipids, sugar and Insulin) were assessed. HOMA_IR was calculated. Subjects were grouped based on BMI and HOMA-IR for comparison. Results Of the 286 subjects 152 (53%) had BMI &lt; 25 (group A) and 134 (47%) had BMI &gt; 25 (group B). Homa-IR was more than 3 in 18% in and in 36% in B. Group B had significantly higher fat, waist circumference, systolic blood pressure, insulin and HOMA-IR. In subgroup analysis in group A, subjects with HOMA IR&gt;3 (group A2) had significantly higher BMI, waist, TG, TG: HDL ratio, android and total fat and lower HDL as compared sub-group A1(HOMA IR&lt;3) (p&lt; 0.05). Mean BMI, waist circumference and systolic blood pressure were significantly higher in B2 than A2 group (p&lt; 0.05). Although total, android and gynoid fat percentage were significantly higher in group B2, android to gynoid ratio was significantly higher in A2 (p&lt; 0.05). Conclusion No significant difference in lipids and fat distribution between insulin resistant and non-resistant subjects in overweight groups suggests that insulin resistance in overweight may be an extension of the pathological state related to obesity. In contrast, significant differences in lipid and fat distribution in normal weight insulin resistant individuals may likely be due to a different mechanism.","author":[{"dropping-particle":"","family":"Patwardhan","given":"Vivek","non-dropping-particle":"","parse-names":false,"suffix":""},{"dropping-particle":"","family":"Khadilkar","given":"Anuradha","non-dropping-particle":"","parse-names":false,"suffix":""},{"dropping-particle":"","family":"Chiplonkar","given":"Shashi","non-dropping-particle":"","parse-names":false,"suffix":""},{"dropping-particle":"","family":"Khadilkar","given":"Vaman","non-dropping-particle":"","parse-names":false,"suffix":""}],"container-title":"The Journal of the Association of Physicians of India","id":"ITEM-1","issue":"7","issued":{"date-parts":[["2019","7"]]},"page":"26-29","title":"Dyslipidemia and Fat Distribution in Normal Weight Insulin Resistant Men.","type":"article-journal","volume":"67"},"uris":["http://www.mendeley.com/documents/?uuid=0b7077a6-2ed5-4cac-96bb-59f94304423e"]}],"mendeley":{"formattedCitation":"[43]","manualFormatting":"[43, р. 27]","plainTextFormattedCitation":"[43]","previouslyFormattedCitation":"[43]"},"properties":{"noteIndex":0},"schema":"https://github.com/citation-style-language/schema/raw/master/csl-citation.json"}</w:instrText>
      </w:r>
      <w:r w:rsidR="00EA0E64">
        <w:rPr>
          <w:rFonts w:ascii="Times New Roman" w:hAnsi="Times New Roman" w:cs="Times New Roman"/>
          <w:sz w:val="28"/>
          <w:szCs w:val="28"/>
        </w:rPr>
        <w:fldChar w:fldCharType="separate"/>
      </w:r>
      <w:r w:rsidR="00034556" w:rsidRPr="00034556">
        <w:rPr>
          <w:rFonts w:ascii="Times New Roman" w:hAnsi="Times New Roman" w:cs="Times New Roman"/>
          <w:noProof/>
          <w:sz w:val="28"/>
          <w:szCs w:val="28"/>
        </w:rPr>
        <w:t>[43</w:t>
      </w:r>
      <w:r w:rsidR="00034556">
        <w:rPr>
          <w:rFonts w:ascii="Times New Roman" w:hAnsi="Times New Roman" w:cs="Times New Roman"/>
          <w:noProof/>
          <w:sz w:val="28"/>
          <w:szCs w:val="28"/>
        </w:rPr>
        <w:t>, р. 27</w:t>
      </w:r>
      <w:r w:rsidR="00034556" w:rsidRPr="00034556">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В другом исследовании по изучению отношения компонентов МС и системного воспаления на ИР у молодых здоровых мужчин индонезийской популяции (2020) обнаружили, что абдоминальное ожирение и высокий уровень триацилглицерина являются важными компонентами МС с ИР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{"citationItems":[{"id":"ITEM-1","itemData":{"DOI":"10.1016/j.clnesp.2019.12.001","ISSN":"24054577","abstract":"Background and aims: Millions of people in Indonesia have diabetes. The cluster of metabolic abnormalities has long been identified as the risk factors for type 2 diabetes and is now commonly described as metabolic syndrome/MetS. Insulin resistance takes a key role in the process of the MetS and has even been hypothesized as its underlying cause. Clinical and epidemiologic studies also indicate that inflammatory factors might be correlated with IR. Prospective studies have proved that metabolic syndrome grows during childhood/adolescence and progresses to adulthood T2DM. The purpose of this study was to investigate relationships between metabolic syndrome components and low-grade systemic inflammation with insulin resistance in non-diabetic Indonesian adolescent male. Methods: This was a cross-sectional analysis of non-diabetic adolescent male in Indonesian population (n = 128) aged between 18 and 22 years old. MetS components are based on NCEP ATP III (2004) modification for Asia Pacific population. Marker for low-grade systemic inflammation is hsCRP and insulin resistance was determined by HOMA-IR formula. Relevant measures were anthropometry, blood pressure, fasting insulin, serum glucose, lipid profiles and hsCRP. Results: Of the 128 adolescent male, we found that 16 subjects (12.5%) have central obesity; 3 subjects (2.3%) have hyperglycemia; 26 subjects (20.3%) have low HDL-c; 19 subjects (14.8%) have high triacylglycerol; 45 subjects (35.2%) have hsCRP ≥1.0 mg/dL; 4 subjects (3.1%) have high blood pressure and 39 subjects (30.5%) have insulin resistance. The association of MetS components with the risk of insulin resistance is central obesity and high triacylglycerol with OR of 24.4 (95%CI: 5.19–114.42) and 9.4 (95%CI: 3.09–28.68) consecutively. We also found that low-grade systemic inflammation (hsCRP ≥1.0 mg/dL) was strongly associated with incident of insulin resistance with OR 5.2 (95%CI: 2.31–11.64). Meanwhile, we found that high triacylglycerol level is the solely one of five MetS components which has contribution to the incident of systemic low-grade inflammation with OR 3.9 (95%CI: 1.43–10.92). Conclusion: Central obesity and high triacylglycerol level are the important MetS components associated with IR. Systemic low-grade inflammation has been associated with insulin resistance. Identification of obesity, high triacylglycerol and high hsCRP should be focused for prevention of type 2 diabetes in non-diabetic Indonesian adolescent male.","author":[{"dropping-particle":"","family":"Mansyur","given":"Makbul Aman","non-dropping-particle":"","parse-names":false,"suffix":""},{"dropping-particle":"","family":"Bakri","given":"Syakib","non-dropping-particle":"","parse-names":false,"suffix":""},{"dropping-particle":"","family":"Patellongi","given":"Ilham Jaya","non-dropping-particle":"","parse-names":false,"suffix":""},{"dropping-particle":"","family":"Rahman","given":"Ilham Akbar","non-dropping-particle":"","parse-names":false,"suffix":""}],"container-title":"Clinical Nutrition ESPEN","id":"ITEM-1","issued":{"date-parts":[["2020"]]},"page":"69-74","publisher":"Elsevier Ltd","title":"The association between metabolic syndrome components, low-grade systemic inflammation and insulin resistance in non-diabetic Indonesian adolescent male","type":"article-journal","volume":"35"},"uris":["http://www.mendeley.com/documents/?uuid=dfc3f67f-d6d4-4cf5-9a48-69f1c77435a3"]}],"mendeley":{"formattedCitation":"[44]","plainTextFormattedCitation":"[44]","previouslyFormattedCitation":"[44]"},"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[44]</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w:t>
      </w:r>
    </w:p>
    <w:p w:rsidR="00AB12B3" w:rsidRDefault="00FE0519" w:rsidP="0030126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Как известно, </w:t>
      </w:r>
      <w:r w:rsidR="004D60F1">
        <w:rPr>
          <w:rFonts w:ascii="Times New Roman" w:hAnsi="Times New Roman" w:cs="Times New Roman"/>
          <w:sz w:val="28"/>
          <w:szCs w:val="28"/>
        </w:rPr>
        <w:t>при наличии курения, АГ, дислипидемии</w:t>
      </w:r>
      <w:r w:rsidR="00F31F18">
        <w:rPr>
          <w:rFonts w:ascii="Times New Roman" w:hAnsi="Times New Roman" w:cs="Times New Roman"/>
          <w:sz w:val="28"/>
          <w:szCs w:val="28"/>
        </w:rPr>
        <w:t xml:space="preserve"> </w:t>
      </w:r>
      <w:r w:rsidR="00AB12B3">
        <w:rPr>
          <w:rFonts w:ascii="Times New Roman" w:hAnsi="Times New Roman" w:cs="Times New Roman"/>
          <w:sz w:val="28"/>
          <w:szCs w:val="28"/>
        </w:rPr>
        <w:t>ССР возрастает</w:t>
      </w:r>
      <w:r w:rsidR="004D60F1">
        <w:rPr>
          <w:rFonts w:ascii="Times New Roman" w:hAnsi="Times New Roman" w:cs="Times New Roman"/>
          <w:sz w:val="28"/>
          <w:szCs w:val="28"/>
        </w:rPr>
        <w:t>, а при диабет</w:t>
      </w:r>
      <w:r w:rsidR="00D9020D">
        <w:rPr>
          <w:rFonts w:ascii="Times New Roman" w:hAnsi="Times New Roman" w:cs="Times New Roman"/>
          <w:sz w:val="28"/>
          <w:szCs w:val="28"/>
        </w:rPr>
        <w:t>е</w:t>
      </w:r>
      <w:r w:rsidR="004D60F1">
        <w:rPr>
          <w:rFonts w:ascii="Times New Roman" w:hAnsi="Times New Roman" w:cs="Times New Roman"/>
          <w:sz w:val="28"/>
          <w:szCs w:val="28"/>
        </w:rPr>
        <w:t xml:space="preserve">, гипергликемии и васкулярных нарушении диабета (микро – или макроальбуминурия, диабетическая нефропатия, ретинопатия) </w:t>
      </w:r>
      <w:r w:rsidR="00AB12B3">
        <w:rPr>
          <w:rFonts w:ascii="Times New Roman" w:hAnsi="Times New Roman" w:cs="Times New Roman"/>
          <w:sz w:val="28"/>
          <w:szCs w:val="28"/>
        </w:rPr>
        <w:t xml:space="preserve">усугубляется </w:t>
      </w:r>
      <w:r w:rsidR="00EA0E64">
        <w:rPr>
          <w:rFonts w:ascii="Times New Roman" w:hAnsi="Times New Roman" w:cs="Times New Roman"/>
          <w:sz w:val="28"/>
          <w:szCs w:val="28"/>
        </w:rPr>
        <w:fldChar w:fldCharType="begin" w:fldLock="1"/>
      </w:r>
      <w:r w:rsidR="00EC4CA3">
        <w:rPr>
          <w:rFonts w:ascii="Times New Roman" w:hAnsi="Times New Roman" w:cs="Times New Roman"/>
          <w:sz w:val="28"/>
          <w:szCs w:val="28"/>
        </w:rPr>
        <w:instrText>ADDIN CSL_CITATION {"citationItems":[{"id":"ITEM-1","itemData":{"container-title":"A Publication of the Professional Sections of the Canadian Diabetes Association","id":"ITEM-1","issue":"Supplement 1","issued":{"date-parts":[["2008"]]},"title":"Canadian Diabetes Association 2008 Clinical Practice Guidelines for the Prevention and Management of Diabetes in Canada","type":"article-journal","volume":"32"},"uris":["http://www.mendeley.com/documents/?uuid=bc13bf46-aebb-4e55-bd42-3b7a06d13a85"]}],"mendeley":{"formattedCitation":"[33]","manualFormatting":"[33, р. 95]","plainTextFormattedCitation":"[33]","previouslyFormattedCitation":"[33]"},"properties":{"noteIndex":0},"schema":"https://github.com/citation-style-language/schema/raw/master/csl-citation.json"}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[33</w:t>
      </w:r>
      <w:r w:rsidR="00EC4CA3">
        <w:rPr>
          <w:rFonts w:ascii="Times New Roman" w:hAnsi="Times New Roman" w:cs="Times New Roman"/>
          <w:noProof/>
          <w:sz w:val="28"/>
          <w:szCs w:val="28"/>
        </w:rPr>
        <w:t>, р. 95</w:t>
      </w:r>
      <w:r w:rsidR="00224447" w:rsidRPr="00224447">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A4367E">
        <w:rPr>
          <w:rFonts w:ascii="Times New Roman" w:hAnsi="Times New Roman" w:cs="Times New Roman"/>
          <w:sz w:val="28"/>
          <w:szCs w:val="28"/>
        </w:rPr>
        <w:t xml:space="preserve">. СД 2 типа </w:t>
      </w:r>
      <w:r w:rsidR="00AB12B3">
        <w:rPr>
          <w:rFonts w:ascii="Times New Roman" w:hAnsi="Times New Roman" w:cs="Times New Roman"/>
          <w:sz w:val="28"/>
          <w:szCs w:val="28"/>
        </w:rPr>
        <w:t>чаще сопровождается гипертриглицеридемией, понижением уровня ЛПВП и нормальным уровнем ЛПНП</w:t>
      </w:r>
      <w:r w:rsidR="00167852">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EC4CA3">
        <w:rPr>
          <w:rFonts w:ascii="Times New Roman" w:hAnsi="Times New Roman" w:cs="Times New Roman"/>
          <w:sz w:val="28"/>
          <w:szCs w:val="28"/>
        </w:rPr>
        <w:instrText>ADDIN CSL_CITATION {"citationItems":[{"id":"ITEM-1","itemData":{"container-title":"A Publication of the Professional Sections of the Canadian Diabetes Association","id":"ITEM-1","issue":"Supplement 1","issued":{"date-parts":[["2008"]]},"title":"Canadian Diabetes Association 2008 Clinical Practice Guidelines for the Prevention and Management of Diabetes in Canada","type":"article-journal","volume":"32"},"uris":["http://www.mendeley.com/documents/?uuid=bc13bf46-aebb-4e55-bd42-3b7a06d13a85"]}],"mendeley":{"formattedCitation":"[33]","manualFormatting":"[33, р. 107]","plainTextFormattedCitation":"[33]","previouslyFormattedCitation":"[33]"},"properties":{"noteIndex":0},"schema":"https://github.com/citation-style-language/schema/raw/master/csl-citation.json"}</w:instrText>
      </w:r>
      <w:r w:rsidR="00EA0E64">
        <w:rPr>
          <w:rFonts w:ascii="Times New Roman" w:hAnsi="Times New Roman" w:cs="Times New Roman"/>
          <w:sz w:val="28"/>
          <w:szCs w:val="28"/>
        </w:rPr>
        <w:fldChar w:fldCharType="separate"/>
      </w:r>
      <w:r w:rsidR="00EC4CA3" w:rsidRPr="00EC4CA3">
        <w:rPr>
          <w:rFonts w:ascii="Times New Roman" w:hAnsi="Times New Roman" w:cs="Times New Roman"/>
          <w:noProof/>
          <w:sz w:val="28"/>
          <w:szCs w:val="28"/>
        </w:rPr>
        <w:t>[33</w:t>
      </w:r>
      <w:r w:rsidR="00EC4CA3">
        <w:rPr>
          <w:rFonts w:ascii="Times New Roman" w:hAnsi="Times New Roman" w:cs="Times New Roman"/>
          <w:noProof/>
          <w:sz w:val="28"/>
          <w:szCs w:val="28"/>
        </w:rPr>
        <w:t>, р. 107</w:t>
      </w:r>
      <w:r w:rsidR="00EC4CA3" w:rsidRPr="00EC4CA3">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Риск развития ССЗ также возрастает у лиц с нарушением толерантности к глюкозе, поэтому профилактика дислипидемии имеет значение в профилактике ССЗ у таких пациентов </w:t>
      </w:r>
      <w:r w:rsidR="00EA0E64">
        <w:rPr>
          <w:rFonts w:ascii="Times New Roman" w:hAnsi="Times New Roman" w:cs="Times New Roman"/>
          <w:sz w:val="28"/>
          <w:szCs w:val="28"/>
        </w:rPr>
        <w:fldChar w:fldCharType="begin" w:fldLock="1"/>
      </w:r>
      <w:r w:rsidR="00EC4CA3">
        <w:rPr>
          <w:rFonts w:ascii="Times New Roman" w:hAnsi="Times New Roman" w:cs="Times New Roman"/>
          <w:sz w:val="28"/>
          <w:szCs w:val="28"/>
        </w:rPr>
        <w:instrText>ADDIN CSL_CITATION {"citationItems":[{"id":"ITEM-1","itemData":{"container-title":"A Publication of the Professional Sections of the Canadian Diabetes Association","id":"ITEM-1","issue":"Supplement 1","issued":{"date-parts":[["2008"]]},"title":"Canadian Diabetes Association 2008 Clinical Practice Guidelines for the Prevention and Management of Diabetes in Canada","type":"article-journal","volume":"32"},"uris":["http://www.mendeley.com/documents/?uuid=bc13bf46-aebb-4e55-bd42-3b7a06d13a85"]}],"mendeley":{"formattedCitation":"[33]","manualFormatting":"[33, р. 107]","plainTextFormattedCitation":"[33]","previouslyFormattedCitation":"[33]"},"properties":{"noteIndex":0},"schema":"https://github.com/citation-style-language/schema/raw/master/csl-citation.json"}</w:instrText>
      </w:r>
      <w:r w:rsidR="00EA0E64">
        <w:rPr>
          <w:rFonts w:ascii="Times New Roman" w:hAnsi="Times New Roman" w:cs="Times New Roman"/>
          <w:sz w:val="28"/>
          <w:szCs w:val="28"/>
        </w:rPr>
        <w:fldChar w:fldCharType="separate"/>
      </w:r>
      <w:r w:rsidR="00EC4CA3" w:rsidRPr="00EC4CA3">
        <w:rPr>
          <w:rFonts w:ascii="Times New Roman" w:hAnsi="Times New Roman" w:cs="Times New Roman"/>
          <w:noProof/>
          <w:sz w:val="28"/>
          <w:szCs w:val="28"/>
        </w:rPr>
        <w:t>[33</w:t>
      </w:r>
      <w:r w:rsidR="00EC4CA3">
        <w:rPr>
          <w:rFonts w:ascii="Times New Roman" w:hAnsi="Times New Roman" w:cs="Times New Roman"/>
          <w:noProof/>
          <w:sz w:val="28"/>
          <w:szCs w:val="28"/>
        </w:rPr>
        <w:t>, р. 107</w:t>
      </w:r>
      <w:r w:rsidR="00EC4CA3" w:rsidRPr="00EC4CA3">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w:t>
      </w:r>
    </w:p>
    <w:p w:rsidR="00AB12B3" w:rsidRPr="006E6ECC" w:rsidRDefault="0030126A" w:rsidP="00D9020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Согласно</w:t>
      </w:r>
      <w:r w:rsidR="00167852" w:rsidRPr="00294025">
        <w:rPr>
          <w:rFonts w:ascii="Times New Roman" w:hAnsi="Times New Roman" w:cs="Times New Roman"/>
          <w:sz w:val="28"/>
          <w:szCs w:val="28"/>
        </w:rPr>
        <w:t xml:space="preserve"> </w:t>
      </w:r>
      <w:r>
        <w:rPr>
          <w:rFonts w:ascii="Times New Roman" w:hAnsi="Times New Roman" w:cs="Times New Roman"/>
          <w:sz w:val="28"/>
          <w:szCs w:val="28"/>
        </w:rPr>
        <w:t>рекомендаци</w:t>
      </w:r>
      <w:r w:rsidR="00E71204">
        <w:rPr>
          <w:rFonts w:ascii="Times New Roman" w:hAnsi="Times New Roman" w:cs="Times New Roman"/>
          <w:sz w:val="28"/>
          <w:szCs w:val="28"/>
        </w:rPr>
        <w:t>и</w:t>
      </w:r>
      <w:r w:rsidR="00167852" w:rsidRPr="00294025">
        <w:rPr>
          <w:rFonts w:ascii="Times New Roman" w:hAnsi="Times New Roman" w:cs="Times New Roman"/>
          <w:sz w:val="28"/>
          <w:szCs w:val="28"/>
        </w:rPr>
        <w:t xml:space="preserve"> </w:t>
      </w:r>
      <w:r w:rsidR="000A7671" w:rsidRPr="00517B9B">
        <w:rPr>
          <w:rFonts w:ascii="Times New Roman" w:hAnsi="Times New Roman" w:cs="Times New Roman"/>
          <w:sz w:val="28"/>
          <w:szCs w:val="28"/>
          <w:lang w:val="en-US"/>
        </w:rPr>
        <w:t>The</w:t>
      </w:r>
      <w:r w:rsidR="00167852" w:rsidRPr="00294025">
        <w:rPr>
          <w:rFonts w:ascii="Times New Roman" w:hAnsi="Times New Roman" w:cs="Times New Roman"/>
          <w:sz w:val="28"/>
          <w:szCs w:val="28"/>
        </w:rPr>
        <w:t xml:space="preserve"> </w:t>
      </w:r>
      <w:r w:rsidR="000A7671">
        <w:rPr>
          <w:rFonts w:ascii="Times New Roman" w:hAnsi="Times New Roman" w:cs="Times New Roman"/>
          <w:sz w:val="28"/>
          <w:szCs w:val="28"/>
          <w:lang w:val="en-US"/>
        </w:rPr>
        <w:t>European</w:t>
      </w:r>
      <w:r w:rsidR="00167852" w:rsidRPr="00294025">
        <w:rPr>
          <w:rFonts w:ascii="Times New Roman" w:hAnsi="Times New Roman" w:cs="Times New Roman"/>
          <w:sz w:val="28"/>
          <w:szCs w:val="28"/>
        </w:rPr>
        <w:t xml:space="preserve"> </w:t>
      </w:r>
      <w:r w:rsidR="000A7671">
        <w:rPr>
          <w:rFonts w:ascii="Times New Roman" w:hAnsi="Times New Roman" w:cs="Times New Roman"/>
          <w:sz w:val="28"/>
          <w:szCs w:val="28"/>
          <w:lang w:val="en-US"/>
        </w:rPr>
        <w:t>Society</w:t>
      </w:r>
      <w:r w:rsidR="00167852" w:rsidRPr="00294025">
        <w:rPr>
          <w:rFonts w:ascii="Times New Roman" w:hAnsi="Times New Roman" w:cs="Times New Roman"/>
          <w:sz w:val="28"/>
          <w:szCs w:val="28"/>
        </w:rPr>
        <w:t xml:space="preserve"> </w:t>
      </w:r>
      <w:r w:rsidR="000A7671">
        <w:rPr>
          <w:rFonts w:ascii="Times New Roman" w:hAnsi="Times New Roman" w:cs="Times New Roman"/>
          <w:sz w:val="28"/>
          <w:szCs w:val="28"/>
          <w:lang w:val="en-US"/>
        </w:rPr>
        <w:t>of</w:t>
      </w:r>
      <w:r w:rsidR="00167852" w:rsidRPr="00294025">
        <w:rPr>
          <w:rFonts w:ascii="Times New Roman" w:hAnsi="Times New Roman" w:cs="Times New Roman"/>
          <w:sz w:val="28"/>
          <w:szCs w:val="28"/>
        </w:rPr>
        <w:t xml:space="preserve"> </w:t>
      </w:r>
      <w:r w:rsidR="000A7671">
        <w:rPr>
          <w:rFonts w:ascii="Times New Roman" w:hAnsi="Times New Roman" w:cs="Times New Roman"/>
          <w:sz w:val="28"/>
          <w:szCs w:val="28"/>
          <w:lang w:val="en-US"/>
        </w:rPr>
        <w:t>Cardiology</w:t>
      </w:r>
      <w:r w:rsidR="000A7671" w:rsidRPr="00294025">
        <w:rPr>
          <w:rFonts w:ascii="Times New Roman" w:hAnsi="Times New Roman" w:cs="Times New Roman"/>
          <w:sz w:val="28"/>
          <w:szCs w:val="28"/>
        </w:rPr>
        <w:t xml:space="preserve"> (</w:t>
      </w:r>
      <w:r w:rsidR="000A7671" w:rsidRPr="00517B9B">
        <w:rPr>
          <w:rFonts w:ascii="Times New Roman" w:hAnsi="Times New Roman" w:cs="Times New Roman"/>
          <w:sz w:val="28"/>
          <w:szCs w:val="28"/>
          <w:lang w:val="en-US"/>
        </w:rPr>
        <w:t>ESC</w:t>
      </w:r>
      <w:r w:rsidR="000A7671" w:rsidRPr="00294025">
        <w:rPr>
          <w:rFonts w:ascii="Times New Roman" w:hAnsi="Times New Roman" w:cs="Times New Roman"/>
          <w:sz w:val="28"/>
          <w:szCs w:val="28"/>
        </w:rPr>
        <w:t>)</w:t>
      </w:r>
      <w:r w:rsidR="00294025">
        <w:rPr>
          <w:rFonts w:ascii="Century" w:hAnsi="Century" w:cs="Times New Roman"/>
          <w:sz w:val="28"/>
          <w:szCs w:val="28"/>
        </w:rPr>
        <w:t>/</w:t>
      </w:r>
      <w:r w:rsidR="00DE10AC" w:rsidRPr="00DE10AC">
        <w:rPr>
          <w:rFonts w:ascii="Times New Roman" w:hAnsi="Times New Roman" w:cs="Times New Roman"/>
          <w:sz w:val="28"/>
          <w:szCs w:val="28"/>
          <w:lang w:val="en-US"/>
        </w:rPr>
        <w:t>European</w:t>
      </w:r>
      <w:r w:rsidR="00167852">
        <w:rPr>
          <w:rFonts w:ascii="Times New Roman" w:hAnsi="Times New Roman" w:cs="Times New Roman"/>
          <w:sz w:val="28"/>
          <w:szCs w:val="28"/>
        </w:rPr>
        <w:t xml:space="preserve"> </w:t>
      </w:r>
      <w:r w:rsidR="00DE10AC" w:rsidRPr="00DE10AC">
        <w:rPr>
          <w:rFonts w:ascii="Times New Roman" w:hAnsi="Times New Roman" w:cs="Times New Roman"/>
          <w:sz w:val="28"/>
          <w:szCs w:val="28"/>
          <w:lang w:val="en-US"/>
        </w:rPr>
        <w:t>Atherosclerosis</w:t>
      </w:r>
      <w:r w:rsidR="00167852">
        <w:rPr>
          <w:rFonts w:ascii="Times New Roman" w:hAnsi="Times New Roman" w:cs="Times New Roman"/>
          <w:sz w:val="28"/>
          <w:szCs w:val="28"/>
        </w:rPr>
        <w:t xml:space="preserve"> </w:t>
      </w:r>
      <w:r w:rsidR="00DE10AC" w:rsidRPr="00DE10AC">
        <w:rPr>
          <w:rFonts w:ascii="Times New Roman" w:hAnsi="Times New Roman" w:cs="Times New Roman"/>
          <w:sz w:val="28"/>
          <w:szCs w:val="28"/>
          <w:lang w:val="en-US"/>
        </w:rPr>
        <w:t>Society</w:t>
      </w:r>
      <w:r w:rsidR="00DE10AC" w:rsidRPr="003F68E0">
        <w:rPr>
          <w:rFonts w:ascii="Times New Roman" w:hAnsi="Times New Roman" w:cs="Times New Roman"/>
          <w:sz w:val="28"/>
          <w:szCs w:val="28"/>
        </w:rPr>
        <w:t xml:space="preserve"> (</w:t>
      </w:r>
      <w:r w:rsidR="00DE10AC" w:rsidRPr="00DE10AC">
        <w:rPr>
          <w:rFonts w:ascii="Times New Roman" w:hAnsi="Times New Roman" w:cs="Times New Roman"/>
          <w:sz w:val="28"/>
          <w:szCs w:val="28"/>
          <w:lang w:val="en-US"/>
        </w:rPr>
        <w:t>EAS</w:t>
      </w:r>
      <w:r w:rsidR="00DE10AC" w:rsidRPr="003F68E0">
        <w:rPr>
          <w:rFonts w:ascii="Times New Roman" w:hAnsi="Times New Roman" w:cs="Times New Roman"/>
          <w:sz w:val="28"/>
          <w:szCs w:val="28"/>
        </w:rPr>
        <w:t>)</w:t>
      </w:r>
      <w:r w:rsidR="00167852">
        <w:rPr>
          <w:rFonts w:ascii="Times New Roman" w:hAnsi="Times New Roman" w:cs="Times New Roman"/>
          <w:sz w:val="28"/>
          <w:szCs w:val="28"/>
        </w:rPr>
        <w:t xml:space="preserve"> </w:t>
      </w:r>
      <w:r w:rsidR="00E71204">
        <w:rPr>
          <w:rFonts w:ascii="Times New Roman" w:hAnsi="Times New Roman" w:cs="Times New Roman"/>
          <w:sz w:val="28"/>
          <w:szCs w:val="28"/>
        </w:rPr>
        <w:t>2019 по дислипидемии</w:t>
      </w:r>
      <w:r w:rsidR="00167852">
        <w:rPr>
          <w:rFonts w:ascii="Times New Roman" w:hAnsi="Times New Roman" w:cs="Times New Roman"/>
          <w:sz w:val="28"/>
          <w:szCs w:val="28"/>
        </w:rPr>
        <w:t xml:space="preserve"> </w:t>
      </w:r>
      <w:r>
        <w:rPr>
          <w:rFonts w:ascii="Times New Roman" w:hAnsi="Times New Roman" w:cs="Times New Roman"/>
          <w:sz w:val="28"/>
          <w:szCs w:val="28"/>
        </w:rPr>
        <w:t>риск</w:t>
      </w:r>
      <w:r w:rsidR="00E71204">
        <w:rPr>
          <w:rFonts w:ascii="Times New Roman" w:hAnsi="Times New Roman" w:cs="Times New Roman"/>
          <w:sz w:val="28"/>
          <w:szCs w:val="28"/>
        </w:rPr>
        <w:t>ом</w:t>
      </w:r>
      <w:r>
        <w:rPr>
          <w:rFonts w:ascii="Times New Roman" w:hAnsi="Times New Roman" w:cs="Times New Roman"/>
          <w:sz w:val="28"/>
          <w:szCs w:val="28"/>
        </w:rPr>
        <w:t xml:space="preserve"> ССЗ</w:t>
      </w:r>
      <w:r w:rsidR="00167852">
        <w:rPr>
          <w:rFonts w:ascii="Times New Roman" w:hAnsi="Times New Roman" w:cs="Times New Roman"/>
          <w:sz w:val="28"/>
          <w:szCs w:val="28"/>
        </w:rPr>
        <w:t xml:space="preserve"> </w:t>
      </w:r>
      <w:r w:rsidR="00E71204">
        <w:rPr>
          <w:rFonts w:ascii="Times New Roman" w:hAnsi="Times New Roman" w:cs="Times New Roman"/>
          <w:sz w:val="28"/>
          <w:szCs w:val="28"/>
        </w:rPr>
        <w:t>считается</w:t>
      </w:r>
      <w:r w:rsidR="00AB12B3">
        <w:rPr>
          <w:rFonts w:ascii="Times New Roman" w:hAnsi="Times New Roman" w:cs="Times New Roman"/>
          <w:sz w:val="28"/>
          <w:szCs w:val="28"/>
        </w:rPr>
        <w:t xml:space="preserve"> вероятность развития АССЗ в течени</w:t>
      </w:r>
      <w:r>
        <w:rPr>
          <w:rFonts w:ascii="Times New Roman" w:hAnsi="Times New Roman" w:cs="Times New Roman"/>
          <w:sz w:val="28"/>
          <w:szCs w:val="28"/>
        </w:rPr>
        <w:t>е</w:t>
      </w:r>
      <w:r w:rsidR="00AB12B3">
        <w:rPr>
          <w:rFonts w:ascii="Times New Roman" w:hAnsi="Times New Roman" w:cs="Times New Roman"/>
          <w:sz w:val="28"/>
          <w:szCs w:val="28"/>
        </w:rPr>
        <w:t xml:space="preserve"> определенного периода времени</w:t>
      </w:r>
      <w:r w:rsidR="00167852">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EC4CA3">
        <w:rPr>
          <w:rFonts w:ascii="Times New Roman" w:hAnsi="Times New Roman" w:cs="Times New Roman"/>
          <w:sz w:val="28"/>
          <w:szCs w:val="28"/>
        </w:rPr>
        <w:instrText>ADDIN CSL_CITATION {"citationItems":[{"id":"ITEM-1","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Journal","id":"ITEM-1","issue":"1","issued":{"date-parts":[["2020","1","1"]]},"page":"111-188","title":"2019 ESC/EAS Guidelines for the management of dyslipidaemias: lipid modification to reduce cardiovascular risk","type":"article-journal","volume":"41"},"uris":["http://www.mendeley.com/documents/?uuid=596ff8fa-459c-486e-8041-242d096c7b8b"]}],"mendeley":{"formattedCitation":"[2]","manualFormatting":"[2, р. 118]","plainTextFormattedCitation":"[2]","previouslyFormattedCitation":"[2]"},"properties":{"noteIndex":0},"schema":"https://github.com/citation-style-language/schema/raw/master/csl-citation.json"}</w:instrText>
      </w:r>
      <w:r w:rsidR="00EA0E64">
        <w:rPr>
          <w:rFonts w:ascii="Times New Roman" w:hAnsi="Times New Roman" w:cs="Times New Roman"/>
          <w:sz w:val="28"/>
          <w:szCs w:val="28"/>
        </w:rPr>
        <w:fldChar w:fldCharType="separate"/>
      </w:r>
      <w:r w:rsidR="00EC4CA3" w:rsidRPr="00EC4CA3">
        <w:rPr>
          <w:rFonts w:ascii="Times New Roman" w:hAnsi="Times New Roman" w:cs="Times New Roman"/>
          <w:noProof/>
          <w:sz w:val="28"/>
          <w:szCs w:val="28"/>
        </w:rPr>
        <w:t>[2</w:t>
      </w:r>
      <w:r w:rsidR="00EC4CA3">
        <w:rPr>
          <w:rFonts w:ascii="Times New Roman" w:hAnsi="Times New Roman" w:cs="Times New Roman"/>
          <w:noProof/>
          <w:sz w:val="28"/>
          <w:szCs w:val="28"/>
        </w:rPr>
        <w:t>, р. 118</w:t>
      </w:r>
      <w:r w:rsidR="00EC4CA3" w:rsidRPr="00EC4CA3">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Для оценки риска ССЗ ESC/EAS 2019 рекомендуется определение с помощью SCORE – систематической оценки коронарного риска. Для </w:t>
      </w:r>
      <w:r w:rsidR="00635993">
        <w:rPr>
          <w:rFonts w:ascii="Times New Roman" w:hAnsi="Times New Roman" w:cs="Times New Roman"/>
          <w:sz w:val="28"/>
          <w:szCs w:val="28"/>
        </w:rPr>
        <w:t>подсчёта</w:t>
      </w:r>
      <w:r w:rsidR="00AB12B3">
        <w:rPr>
          <w:rFonts w:ascii="Times New Roman" w:hAnsi="Times New Roman" w:cs="Times New Roman"/>
          <w:sz w:val="28"/>
          <w:szCs w:val="28"/>
        </w:rPr>
        <w:t xml:space="preserve"> SCORE они рекомендуют применять сайт </w:t>
      </w:r>
      <w:hyperlink r:id="rId15" w:history="1">
        <w:r w:rsidR="003F68E0" w:rsidRPr="00E77D22">
          <w:rPr>
            <w:rStyle w:val="a3"/>
            <w:rFonts w:ascii="Times New Roman" w:hAnsi="Times New Roman" w:cs="Times New Roman"/>
            <w:sz w:val="28"/>
            <w:szCs w:val="28"/>
          </w:rPr>
          <w:t>http://www.heartscore.org</w:t>
        </w:r>
      </w:hyperlink>
      <w:r w:rsidR="00AB12B3">
        <w:rPr>
          <w:rFonts w:ascii="Times New Roman" w:hAnsi="Times New Roman" w:cs="Times New Roman"/>
          <w:sz w:val="28"/>
          <w:szCs w:val="28"/>
        </w:rPr>
        <w:t>, где есть калиброванные версии для многих европейских стран</w:t>
      </w:r>
      <w:r w:rsidR="00894FD1">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EC4CA3">
        <w:rPr>
          <w:rFonts w:ascii="Times New Roman" w:hAnsi="Times New Roman" w:cs="Times New Roman"/>
          <w:sz w:val="28"/>
          <w:szCs w:val="28"/>
        </w:rPr>
        <w:instrText>ADDIN CSL_CITATION {"citationItems":[{"id":"ITEM-1","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Journal","id":"ITEM-1","issue":"1","issued":{"date-parts":[["2020","1","1"]]},"page":"111-188","title":"2019 ESC/EAS Guidelines for the management of dyslipidaemias: lipid modification to reduce cardiovascular risk","type":"article-journal","volume":"41"},"uris":["http://www.mendeley.com/documents/?uuid=596ff8fa-459c-486e-8041-242d096c7b8b"]}],"mendeley":{"formattedCitation":"[2]","manualFormatting":"[2, р. 118]","plainTextFormattedCitation":"[2]","previouslyFormattedCitation":"[2]"},"properties":{"noteIndex":0},"schema":"https://github.com/citation-style-language/schema/raw/master/csl-citation.json"}</w:instrText>
      </w:r>
      <w:r w:rsidR="00EA0E64">
        <w:rPr>
          <w:rFonts w:ascii="Times New Roman" w:hAnsi="Times New Roman" w:cs="Times New Roman"/>
          <w:sz w:val="28"/>
          <w:szCs w:val="28"/>
        </w:rPr>
        <w:fldChar w:fldCharType="separate"/>
      </w:r>
      <w:r w:rsidR="00EC4CA3" w:rsidRPr="00EC4CA3">
        <w:rPr>
          <w:rFonts w:ascii="Times New Roman" w:hAnsi="Times New Roman" w:cs="Times New Roman"/>
          <w:noProof/>
          <w:sz w:val="28"/>
          <w:szCs w:val="28"/>
        </w:rPr>
        <w:t>[2</w:t>
      </w:r>
      <w:r w:rsidR="00EC4CA3">
        <w:rPr>
          <w:rFonts w:ascii="Times New Roman" w:hAnsi="Times New Roman" w:cs="Times New Roman"/>
          <w:noProof/>
          <w:sz w:val="28"/>
          <w:szCs w:val="28"/>
        </w:rPr>
        <w:t>, р. 118</w:t>
      </w:r>
      <w:r w:rsidR="00EC4CA3" w:rsidRPr="00EC4CA3">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На сайте </w:t>
      </w:r>
      <w:hyperlink r:id="rId16" w:history="1">
        <w:r w:rsidR="00AB12B3" w:rsidRPr="00B35C47">
          <w:rPr>
            <w:rStyle w:val="a3"/>
            <w:rFonts w:ascii="Times New Roman" w:hAnsi="Times New Roman" w:cs="Times New Roman"/>
            <w:sz w:val="28"/>
            <w:szCs w:val="28"/>
          </w:rPr>
          <w:t>http://www.HeartScore.org</w:t>
        </w:r>
      </w:hyperlink>
      <w:r w:rsidR="00894FD1">
        <w:rPr>
          <w:rStyle w:val="a3"/>
          <w:rFonts w:ascii="Times New Roman" w:hAnsi="Times New Roman" w:cs="Times New Roman"/>
          <w:sz w:val="28"/>
          <w:szCs w:val="28"/>
        </w:rPr>
        <w:t xml:space="preserve"> </w:t>
      </w:r>
      <w:r w:rsidR="00AB12B3">
        <w:rPr>
          <w:rFonts w:ascii="Times New Roman" w:hAnsi="Times New Roman" w:cs="Times New Roman"/>
          <w:sz w:val="28"/>
          <w:szCs w:val="28"/>
        </w:rPr>
        <w:t xml:space="preserve">Казахстан вошел в список стран, где смертность от ССЗ составил более 350 случаев на 100 тысяч население, </w:t>
      </w:r>
      <w:r w:rsidR="00EB787A">
        <w:rPr>
          <w:rFonts w:ascii="Times New Roman" w:hAnsi="Times New Roman" w:cs="Times New Roman"/>
          <w:sz w:val="28"/>
          <w:szCs w:val="28"/>
        </w:rPr>
        <w:t>однако</w:t>
      </w:r>
      <w:r w:rsidR="00AB12B3">
        <w:rPr>
          <w:rFonts w:ascii="Times New Roman" w:hAnsi="Times New Roman" w:cs="Times New Roman"/>
          <w:sz w:val="28"/>
          <w:szCs w:val="28"/>
        </w:rPr>
        <w:t xml:space="preserve"> диаграмма высокого риска может недооценивать риск ССЗ</w:t>
      </w:r>
      <w:r w:rsidR="00894FD1">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EC4CA3">
        <w:rPr>
          <w:rFonts w:ascii="Times New Roman" w:hAnsi="Times New Roman" w:cs="Times New Roman"/>
          <w:sz w:val="28"/>
          <w:szCs w:val="28"/>
        </w:rPr>
        <w:instrText>ADDIN CSL_CITATION {"citationItems":[{"id":"ITEM-1","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Journal","id":"ITEM-1","issue":"1","issued":{"date-parts":[["2020","1","1"]]},"page":"111-188","title":"2019 ESC/EAS Guidelines for the management of dyslipidaemias: lipid modification to reduce cardiovascular risk","type":"article-journal","volume":"41"},"uris":["http://www.mendeley.com/documents/?uuid=596ff8fa-459c-486e-8041-242d096c7b8b"]}],"mendeley":{"formattedCitation":"[2]","manualFormatting":"[2, р. 118]","plainTextFormattedCitation":"[2]","previouslyFormattedCitation":"[2]"},"properties":{"noteIndex":0},"schema":"https://github.com/citation-style-language/schema/raw/master/csl-citation.json"}</w:instrText>
      </w:r>
      <w:r w:rsidR="00EA0E64">
        <w:rPr>
          <w:rFonts w:ascii="Times New Roman" w:hAnsi="Times New Roman" w:cs="Times New Roman"/>
          <w:sz w:val="28"/>
          <w:szCs w:val="28"/>
        </w:rPr>
        <w:fldChar w:fldCharType="separate"/>
      </w:r>
      <w:r w:rsidR="00EC4CA3" w:rsidRPr="00EC4CA3">
        <w:rPr>
          <w:rFonts w:ascii="Times New Roman" w:hAnsi="Times New Roman" w:cs="Times New Roman"/>
          <w:noProof/>
          <w:sz w:val="28"/>
          <w:szCs w:val="28"/>
        </w:rPr>
        <w:t>[2</w:t>
      </w:r>
      <w:r w:rsidR="00EC4CA3">
        <w:rPr>
          <w:rFonts w:ascii="Times New Roman" w:hAnsi="Times New Roman" w:cs="Times New Roman"/>
          <w:noProof/>
          <w:sz w:val="28"/>
          <w:szCs w:val="28"/>
        </w:rPr>
        <w:t>, р. 118</w:t>
      </w:r>
      <w:r w:rsidR="00EC4CA3" w:rsidRPr="00EC4CA3">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w:t>
      </w:r>
      <w:r w:rsidR="00DD3BE5">
        <w:rPr>
          <w:rFonts w:ascii="Times New Roman" w:hAnsi="Times New Roman" w:cs="Times New Roman"/>
          <w:sz w:val="28"/>
          <w:szCs w:val="28"/>
          <w:lang w:val="kk-KZ"/>
        </w:rPr>
        <w:t>Э</w:t>
      </w:r>
      <w:r w:rsidR="00DD3BE5">
        <w:rPr>
          <w:rFonts w:ascii="Times New Roman" w:hAnsi="Times New Roman" w:cs="Times New Roman"/>
          <w:sz w:val="28"/>
          <w:szCs w:val="28"/>
        </w:rPr>
        <w:t>то</w:t>
      </w:r>
      <w:r w:rsidR="00DD3BE5">
        <w:rPr>
          <w:rFonts w:ascii="Times New Roman" w:hAnsi="Times New Roman" w:cs="Times New Roman"/>
          <w:sz w:val="28"/>
          <w:szCs w:val="28"/>
          <w:lang w:val="kk-KZ"/>
        </w:rPr>
        <w:t>т</w:t>
      </w:r>
      <w:r w:rsidR="00DD3BE5">
        <w:rPr>
          <w:rFonts w:ascii="Times New Roman" w:hAnsi="Times New Roman" w:cs="Times New Roman"/>
          <w:sz w:val="28"/>
          <w:szCs w:val="28"/>
        </w:rPr>
        <w:t xml:space="preserve"> калькулятор риска </w:t>
      </w:r>
      <w:r w:rsidR="00DD3BE5">
        <w:rPr>
          <w:rFonts w:ascii="Times New Roman" w:hAnsi="Times New Roman" w:cs="Times New Roman"/>
          <w:sz w:val="28"/>
          <w:szCs w:val="28"/>
          <w:lang w:val="kk-KZ"/>
        </w:rPr>
        <w:t>имеет о</w:t>
      </w:r>
      <w:r w:rsidR="00DD3BE5">
        <w:rPr>
          <w:rFonts w:ascii="Times New Roman" w:hAnsi="Times New Roman" w:cs="Times New Roman"/>
          <w:sz w:val="28"/>
          <w:szCs w:val="28"/>
        </w:rPr>
        <w:t>граничени</w:t>
      </w:r>
      <w:r w:rsidR="00DD3BE5">
        <w:rPr>
          <w:rFonts w:ascii="Times New Roman" w:hAnsi="Times New Roman" w:cs="Times New Roman"/>
          <w:sz w:val="28"/>
          <w:szCs w:val="28"/>
          <w:lang w:val="kk-KZ"/>
        </w:rPr>
        <w:t>я</w:t>
      </w:r>
      <w:r w:rsidR="00294025">
        <w:rPr>
          <w:rFonts w:ascii="Century" w:hAnsi="Century" w:cs="Times New Roman"/>
          <w:sz w:val="28"/>
          <w:szCs w:val="28"/>
          <w:lang w:val="kk-KZ"/>
        </w:rPr>
        <w:t>,</w:t>
      </w:r>
      <w:r w:rsidR="00DD3BE5">
        <w:rPr>
          <w:rFonts w:ascii="Times New Roman" w:hAnsi="Times New Roman" w:cs="Times New Roman"/>
          <w:sz w:val="28"/>
          <w:szCs w:val="28"/>
          <w:lang w:val="kk-KZ"/>
        </w:rPr>
        <w:t xml:space="preserve"> такие как</w:t>
      </w:r>
      <w:r w:rsidR="00294025">
        <w:rPr>
          <w:rFonts w:ascii="Century" w:hAnsi="Century" w:cs="Times New Roman"/>
          <w:sz w:val="28"/>
          <w:szCs w:val="28"/>
          <w:lang w:val="kk-KZ"/>
        </w:rPr>
        <w:t>,</w:t>
      </w:r>
      <w:r w:rsidR="00DD3BE5">
        <w:rPr>
          <w:rFonts w:ascii="Times New Roman" w:hAnsi="Times New Roman" w:cs="Times New Roman"/>
          <w:sz w:val="28"/>
          <w:szCs w:val="28"/>
          <w:lang w:val="kk-KZ"/>
        </w:rPr>
        <w:t xml:space="preserve"> завышенный</w:t>
      </w:r>
      <w:r w:rsidR="00AB12B3">
        <w:rPr>
          <w:rFonts w:ascii="Times New Roman" w:hAnsi="Times New Roman" w:cs="Times New Roman"/>
          <w:sz w:val="28"/>
          <w:szCs w:val="28"/>
        </w:rPr>
        <w:t xml:space="preserve"> риск в странах с низкой смертностью от ССЗ и наоборот</w:t>
      </w:r>
      <w:r w:rsidR="00294025">
        <w:rPr>
          <w:rFonts w:ascii="Century" w:hAnsi="Century" w:cs="Times New Roman"/>
          <w:sz w:val="28"/>
          <w:szCs w:val="28"/>
        </w:rPr>
        <w:t>,</w:t>
      </w:r>
      <w:r w:rsidR="00AB12B3">
        <w:rPr>
          <w:rFonts w:ascii="Times New Roman" w:hAnsi="Times New Roman" w:cs="Times New Roman"/>
          <w:sz w:val="28"/>
          <w:szCs w:val="28"/>
        </w:rPr>
        <w:t xml:space="preserve"> </w:t>
      </w:r>
      <w:r w:rsidR="00DD3BE5">
        <w:rPr>
          <w:rFonts w:ascii="Times New Roman" w:hAnsi="Times New Roman" w:cs="Times New Roman"/>
          <w:sz w:val="28"/>
          <w:szCs w:val="28"/>
          <w:lang w:val="kk-KZ"/>
        </w:rPr>
        <w:t>заниженный риск</w:t>
      </w:r>
      <w:r w:rsidR="00AB12B3">
        <w:rPr>
          <w:rFonts w:ascii="Times New Roman" w:hAnsi="Times New Roman" w:cs="Times New Roman"/>
          <w:sz w:val="28"/>
          <w:szCs w:val="28"/>
        </w:rPr>
        <w:t xml:space="preserve"> в странах</w:t>
      </w:r>
      <w:r w:rsidR="00294025">
        <w:rPr>
          <w:rFonts w:ascii="Century" w:hAnsi="Century" w:cs="Times New Roman"/>
          <w:sz w:val="28"/>
          <w:szCs w:val="28"/>
        </w:rPr>
        <w:t>,</w:t>
      </w:r>
      <w:r w:rsidR="00AB12B3">
        <w:rPr>
          <w:rFonts w:ascii="Times New Roman" w:hAnsi="Times New Roman" w:cs="Times New Roman"/>
          <w:sz w:val="28"/>
          <w:szCs w:val="28"/>
        </w:rPr>
        <w:t xml:space="preserve"> где смертность от ССЗ растет</w:t>
      </w:r>
      <w:r w:rsidR="00894FD1">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EC4CA3">
        <w:rPr>
          <w:rFonts w:ascii="Times New Roman" w:hAnsi="Times New Roman" w:cs="Times New Roman"/>
          <w:sz w:val="28"/>
          <w:szCs w:val="28"/>
        </w:rPr>
        <w:instrText>ADDIN CSL_CITATION {"citationItems":[{"id":"ITEM-1","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Journal","id":"ITEM-1","issue":"1","issued":{"date-parts":[["2020","1","1"]]},"page":"111-188","title":"2019 ESC/EAS Guidelines for the management of dyslipidaemias: lipid modification to reduce cardiovascular risk","type":"article-journal","volume":"41"},"uris":["http://www.mendeley.com/documents/?uuid=596ff8fa-459c-486e-8041-242d096c7b8b"]}],"mendeley":{"formattedCitation":"[2]","manualFormatting":"[2, р. 119]","plainTextFormattedCitation":"[2]","previouslyFormattedCitation":"[2]"},"properties":{"noteIndex":0},"schema":"https://github.com/citation-style-language/schema/raw/master/csl-citation.json"}</w:instrText>
      </w:r>
      <w:r w:rsidR="00EA0E64">
        <w:rPr>
          <w:rFonts w:ascii="Times New Roman" w:hAnsi="Times New Roman" w:cs="Times New Roman"/>
          <w:sz w:val="28"/>
          <w:szCs w:val="28"/>
        </w:rPr>
        <w:fldChar w:fldCharType="separate"/>
      </w:r>
      <w:r w:rsidR="00EC4CA3" w:rsidRPr="00EC4CA3">
        <w:rPr>
          <w:rFonts w:ascii="Times New Roman" w:hAnsi="Times New Roman" w:cs="Times New Roman"/>
          <w:noProof/>
          <w:sz w:val="28"/>
          <w:szCs w:val="28"/>
        </w:rPr>
        <w:t>[2</w:t>
      </w:r>
      <w:r w:rsidR="00EC4CA3">
        <w:rPr>
          <w:rFonts w:ascii="Times New Roman" w:hAnsi="Times New Roman" w:cs="Times New Roman"/>
          <w:noProof/>
          <w:sz w:val="28"/>
          <w:szCs w:val="28"/>
        </w:rPr>
        <w:t>, р. 119</w:t>
      </w:r>
      <w:r w:rsidR="00EC4CA3" w:rsidRPr="00EC4CA3">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294025">
        <w:rPr>
          <w:rFonts w:ascii="Century" w:hAnsi="Century" w:cs="Times New Roman"/>
          <w:sz w:val="28"/>
          <w:szCs w:val="28"/>
        </w:rPr>
        <w:t>.</w:t>
      </w:r>
      <w:r w:rsidR="00AB12B3">
        <w:rPr>
          <w:rFonts w:ascii="Times New Roman" w:hAnsi="Times New Roman" w:cs="Times New Roman"/>
          <w:sz w:val="28"/>
          <w:szCs w:val="28"/>
        </w:rPr>
        <w:t xml:space="preserve"> Также</w:t>
      </w:r>
      <w:r w:rsidR="00D9020D">
        <w:rPr>
          <w:rFonts w:ascii="Times New Roman" w:hAnsi="Times New Roman" w:cs="Times New Roman"/>
          <w:sz w:val="28"/>
          <w:szCs w:val="28"/>
        </w:rPr>
        <w:t>,</w:t>
      </w:r>
      <w:r w:rsidR="00AB12B3">
        <w:rPr>
          <w:rFonts w:ascii="Times New Roman" w:hAnsi="Times New Roman" w:cs="Times New Roman"/>
          <w:sz w:val="28"/>
          <w:szCs w:val="28"/>
        </w:rPr>
        <w:t xml:space="preserve"> согласно этому калькулятору</w:t>
      </w:r>
      <w:r w:rsidR="00D9020D">
        <w:rPr>
          <w:rFonts w:ascii="Times New Roman" w:hAnsi="Times New Roman" w:cs="Times New Roman"/>
          <w:sz w:val="28"/>
          <w:szCs w:val="28"/>
        </w:rPr>
        <w:t>,</w:t>
      </w:r>
      <w:r w:rsidR="00AB12B3">
        <w:rPr>
          <w:rFonts w:ascii="Times New Roman" w:hAnsi="Times New Roman" w:cs="Times New Roman"/>
          <w:sz w:val="28"/>
          <w:szCs w:val="28"/>
        </w:rPr>
        <w:t xml:space="preserve"> риск у женщин оценивается ниже, чем у мужчин, но после 60 лет риск у женщин сопоставим с риском 50 - летнего мужчины. Есть </w:t>
      </w:r>
      <w:r w:rsidR="007279D4">
        <w:rPr>
          <w:rFonts w:ascii="Times New Roman" w:hAnsi="Times New Roman" w:cs="Times New Roman"/>
          <w:sz w:val="28"/>
          <w:szCs w:val="28"/>
        </w:rPr>
        <w:t xml:space="preserve">также другие </w:t>
      </w:r>
      <w:r w:rsidR="00AB12B3">
        <w:rPr>
          <w:rFonts w:ascii="Times New Roman" w:hAnsi="Times New Roman" w:cs="Times New Roman"/>
          <w:sz w:val="28"/>
          <w:szCs w:val="28"/>
        </w:rPr>
        <w:t>факторы,</w:t>
      </w:r>
      <w:r w:rsidR="00C93557">
        <w:rPr>
          <w:rFonts w:ascii="Times New Roman" w:hAnsi="Times New Roman" w:cs="Times New Roman"/>
          <w:sz w:val="28"/>
          <w:szCs w:val="28"/>
        </w:rPr>
        <w:t xml:space="preserve"> </w:t>
      </w:r>
      <w:r w:rsidR="00AB12B3">
        <w:rPr>
          <w:rFonts w:ascii="Times New Roman" w:hAnsi="Times New Roman" w:cs="Times New Roman"/>
          <w:sz w:val="28"/>
          <w:szCs w:val="28"/>
        </w:rPr>
        <w:t>которые</w:t>
      </w:r>
      <w:r w:rsidR="007279D4">
        <w:rPr>
          <w:rFonts w:ascii="Times New Roman" w:hAnsi="Times New Roman" w:cs="Times New Roman"/>
          <w:sz w:val="28"/>
          <w:szCs w:val="28"/>
        </w:rPr>
        <w:t xml:space="preserve"> изменяют оценку риска по SCORE</w:t>
      </w:r>
      <w:r w:rsidR="00894FD1">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EC4CA3">
        <w:rPr>
          <w:rFonts w:ascii="Times New Roman" w:hAnsi="Times New Roman" w:cs="Times New Roman"/>
          <w:sz w:val="28"/>
          <w:szCs w:val="28"/>
        </w:rPr>
        <w:instrText>ADDIN CSL_CITATION {"citationItems":[{"id":"ITEM-1","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Journal","id":"ITEM-1","issue":"1","issued":{"date-parts":[["2020","1","1"]]},"page":"111-188","title":"2019 ESC/EAS Guidelines for the management of dyslipidaemias: lipid modification to reduce cardiovascular risk","type":"article-journal","volume":"41"},"uris":["http://www.mendeley.com/documents/?uuid=596ff8fa-459c-486e-8041-242d096c7b8b"]}],"mendeley":{"formattedCitation":"[2]","manualFormatting":"[2, р. 119]","plainTextFormattedCitation":"[2]","previouslyFormattedCitation":"[2]"},"properties":{"noteIndex":0},"schema":"https://github.com/citation-style-language/schema/raw/master/csl-citation.json"}</w:instrText>
      </w:r>
      <w:r w:rsidR="00EA0E64">
        <w:rPr>
          <w:rFonts w:ascii="Times New Roman" w:hAnsi="Times New Roman" w:cs="Times New Roman"/>
          <w:sz w:val="28"/>
          <w:szCs w:val="28"/>
        </w:rPr>
        <w:fldChar w:fldCharType="separate"/>
      </w:r>
      <w:r w:rsidR="00EC4CA3" w:rsidRPr="00EC4CA3">
        <w:rPr>
          <w:rFonts w:ascii="Times New Roman" w:hAnsi="Times New Roman" w:cs="Times New Roman"/>
          <w:noProof/>
          <w:sz w:val="28"/>
          <w:szCs w:val="28"/>
        </w:rPr>
        <w:t>[2</w:t>
      </w:r>
      <w:r w:rsidR="00EC4CA3">
        <w:rPr>
          <w:rFonts w:ascii="Times New Roman" w:hAnsi="Times New Roman" w:cs="Times New Roman"/>
          <w:noProof/>
          <w:sz w:val="28"/>
          <w:szCs w:val="28"/>
        </w:rPr>
        <w:t>, р. 119</w:t>
      </w:r>
      <w:r w:rsidR="00EC4CA3" w:rsidRPr="00EC4CA3">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7279D4">
        <w:rPr>
          <w:rFonts w:ascii="Times New Roman" w:hAnsi="Times New Roman" w:cs="Times New Roman"/>
          <w:sz w:val="28"/>
          <w:szCs w:val="28"/>
        </w:rPr>
        <w:t>, к ним относятся</w:t>
      </w:r>
      <w:r w:rsidR="00AB12B3">
        <w:rPr>
          <w:rFonts w:ascii="Times New Roman" w:hAnsi="Times New Roman" w:cs="Times New Roman"/>
          <w:sz w:val="28"/>
          <w:szCs w:val="28"/>
        </w:rPr>
        <w:t xml:space="preserve"> ожирение по </w:t>
      </w:r>
      <w:r w:rsidR="00233FC0">
        <w:rPr>
          <w:rFonts w:ascii="Times New Roman" w:hAnsi="Times New Roman" w:cs="Times New Roman"/>
          <w:sz w:val="28"/>
          <w:szCs w:val="28"/>
        </w:rPr>
        <w:t>индексу массы тела (</w:t>
      </w:r>
      <w:r w:rsidR="00AB12B3">
        <w:rPr>
          <w:rFonts w:ascii="Times New Roman" w:hAnsi="Times New Roman" w:cs="Times New Roman"/>
          <w:sz w:val="28"/>
          <w:szCs w:val="28"/>
        </w:rPr>
        <w:t>ИМТ</w:t>
      </w:r>
      <w:r w:rsidR="00233FC0">
        <w:rPr>
          <w:rFonts w:ascii="Times New Roman" w:hAnsi="Times New Roman" w:cs="Times New Roman"/>
          <w:sz w:val="28"/>
          <w:szCs w:val="28"/>
        </w:rPr>
        <w:t>)</w:t>
      </w:r>
      <w:r w:rsidR="005D0DFE">
        <w:rPr>
          <w:rFonts w:ascii="Century" w:hAnsi="Century" w:cs="Times New Roman"/>
          <w:sz w:val="28"/>
          <w:szCs w:val="28"/>
        </w:rPr>
        <w:t>;</w:t>
      </w:r>
      <w:r w:rsidR="00AB12B3">
        <w:rPr>
          <w:rFonts w:ascii="Times New Roman" w:hAnsi="Times New Roman" w:cs="Times New Roman"/>
          <w:sz w:val="28"/>
          <w:szCs w:val="28"/>
        </w:rPr>
        <w:t xml:space="preserve"> абдоминальное ожирение по окружности талии</w:t>
      </w:r>
      <w:r w:rsidR="005D0DFE">
        <w:rPr>
          <w:rFonts w:ascii="Century" w:hAnsi="Century" w:cs="Times New Roman"/>
          <w:sz w:val="28"/>
          <w:szCs w:val="28"/>
        </w:rPr>
        <w:t>;</w:t>
      </w:r>
      <w:r w:rsidR="00AB12B3">
        <w:rPr>
          <w:rFonts w:ascii="Times New Roman" w:hAnsi="Times New Roman" w:cs="Times New Roman"/>
          <w:sz w:val="28"/>
          <w:szCs w:val="28"/>
        </w:rPr>
        <w:t xml:space="preserve"> гиподинамия</w:t>
      </w:r>
      <w:r w:rsidR="005D0DFE">
        <w:rPr>
          <w:rFonts w:ascii="Century" w:hAnsi="Century" w:cs="Times New Roman"/>
          <w:sz w:val="28"/>
          <w:szCs w:val="28"/>
        </w:rPr>
        <w:t>;</w:t>
      </w:r>
      <w:r w:rsidR="00AB12B3">
        <w:rPr>
          <w:rFonts w:ascii="Times New Roman" w:hAnsi="Times New Roman" w:cs="Times New Roman"/>
          <w:sz w:val="28"/>
          <w:szCs w:val="28"/>
        </w:rPr>
        <w:t xml:space="preserve"> психосоциальный стресс или истощение</w:t>
      </w:r>
      <w:r w:rsidR="005D0DFE">
        <w:rPr>
          <w:rFonts w:ascii="Century" w:hAnsi="Century" w:cs="Times New Roman"/>
          <w:sz w:val="28"/>
          <w:szCs w:val="28"/>
        </w:rPr>
        <w:t>;</w:t>
      </w:r>
      <w:r w:rsidR="00AB12B3">
        <w:rPr>
          <w:rFonts w:ascii="Times New Roman" w:hAnsi="Times New Roman" w:cs="Times New Roman"/>
          <w:sz w:val="28"/>
          <w:szCs w:val="28"/>
        </w:rPr>
        <w:t xml:space="preserve"> наличие в семейном анамнезе преждевременный ССЗ у мужчин раньше 55 лет и у женщин раньше 60 лет</w:t>
      </w:r>
      <w:r w:rsidR="005D0DFE">
        <w:rPr>
          <w:rFonts w:ascii="Century" w:hAnsi="Century" w:cs="Times New Roman"/>
          <w:sz w:val="28"/>
          <w:szCs w:val="28"/>
        </w:rPr>
        <w:t>;</w:t>
      </w:r>
      <w:r w:rsidR="00AB12B3">
        <w:rPr>
          <w:rFonts w:ascii="Times New Roman" w:hAnsi="Times New Roman" w:cs="Times New Roman"/>
          <w:sz w:val="28"/>
          <w:szCs w:val="28"/>
        </w:rPr>
        <w:t xml:space="preserve"> хроническое связанное с иммунитетом воспалительное заболевание</w:t>
      </w:r>
      <w:r w:rsidR="005D0DFE">
        <w:rPr>
          <w:rFonts w:ascii="Century" w:hAnsi="Century" w:cs="Times New Roman"/>
          <w:sz w:val="28"/>
          <w:szCs w:val="28"/>
        </w:rPr>
        <w:t>;</w:t>
      </w:r>
      <w:r w:rsidR="005D0DFE">
        <w:rPr>
          <w:rFonts w:ascii="Times New Roman" w:hAnsi="Times New Roman" w:cs="Times New Roman"/>
          <w:sz w:val="28"/>
          <w:szCs w:val="28"/>
        </w:rPr>
        <w:t xml:space="preserve"> </w:t>
      </w:r>
      <w:r w:rsidR="00AB12B3">
        <w:rPr>
          <w:rFonts w:ascii="Times New Roman" w:hAnsi="Times New Roman" w:cs="Times New Roman"/>
          <w:sz w:val="28"/>
          <w:szCs w:val="28"/>
        </w:rPr>
        <w:t>психические расстройства</w:t>
      </w:r>
      <w:r w:rsidR="005D0DFE">
        <w:rPr>
          <w:rFonts w:ascii="Century" w:hAnsi="Century" w:cs="Times New Roman"/>
          <w:sz w:val="28"/>
          <w:szCs w:val="28"/>
        </w:rPr>
        <w:t>;</w:t>
      </w:r>
      <w:r w:rsidR="00AB12B3">
        <w:rPr>
          <w:rFonts w:ascii="Times New Roman" w:hAnsi="Times New Roman" w:cs="Times New Roman"/>
          <w:sz w:val="28"/>
          <w:szCs w:val="28"/>
        </w:rPr>
        <w:t xml:space="preserve"> лечение ВИЧ</w:t>
      </w:r>
      <w:r w:rsidR="005D0DFE">
        <w:rPr>
          <w:rFonts w:ascii="Century" w:hAnsi="Century" w:cs="Times New Roman"/>
          <w:sz w:val="28"/>
          <w:szCs w:val="28"/>
        </w:rPr>
        <w:t>;</w:t>
      </w:r>
      <w:r w:rsidR="00AB12B3">
        <w:rPr>
          <w:rFonts w:ascii="Times New Roman" w:hAnsi="Times New Roman" w:cs="Times New Roman"/>
          <w:sz w:val="28"/>
          <w:szCs w:val="28"/>
        </w:rPr>
        <w:t xml:space="preserve"> мерцательная аритмия</w:t>
      </w:r>
      <w:r w:rsidR="005D0DFE">
        <w:rPr>
          <w:rFonts w:ascii="Century" w:hAnsi="Century" w:cs="Times New Roman"/>
          <w:sz w:val="28"/>
          <w:szCs w:val="28"/>
        </w:rPr>
        <w:t>;</w:t>
      </w:r>
      <w:r w:rsidR="00AB12B3">
        <w:rPr>
          <w:rFonts w:ascii="Times New Roman" w:hAnsi="Times New Roman" w:cs="Times New Roman"/>
          <w:sz w:val="28"/>
          <w:szCs w:val="28"/>
        </w:rPr>
        <w:t xml:space="preserve"> гипертрофия левого желудочка</w:t>
      </w:r>
      <w:r w:rsidR="005D0DFE">
        <w:rPr>
          <w:rFonts w:ascii="Century" w:hAnsi="Century" w:cs="Times New Roman"/>
          <w:sz w:val="28"/>
          <w:szCs w:val="28"/>
        </w:rPr>
        <w:t>;</w:t>
      </w:r>
      <w:r w:rsidR="00AB12B3">
        <w:rPr>
          <w:rFonts w:ascii="Times New Roman" w:hAnsi="Times New Roman" w:cs="Times New Roman"/>
          <w:sz w:val="28"/>
          <w:szCs w:val="28"/>
        </w:rPr>
        <w:t xml:space="preserve"> хроническая болезнь почек</w:t>
      </w:r>
      <w:r w:rsidR="005D0DFE">
        <w:rPr>
          <w:rFonts w:ascii="Century" w:hAnsi="Century" w:cs="Times New Roman"/>
          <w:sz w:val="28"/>
          <w:szCs w:val="28"/>
        </w:rPr>
        <w:t>;</w:t>
      </w:r>
      <w:r w:rsidR="00AB12B3">
        <w:rPr>
          <w:rFonts w:ascii="Times New Roman" w:hAnsi="Times New Roman" w:cs="Times New Roman"/>
          <w:sz w:val="28"/>
          <w:szCs w:val="28"/>
        </w:rPr>
        <w:t xml:space="preserve"> синдром обструктивного апноэ </w:t>
      </w:r>
      <w:r w:rsidR="008A59FA">
        <w:rPr>
          <w:rFonts w:ascii="Times New Roman" w:hAnsi="Times New Roman" w:cs="Times New Roman"/>
          <w:sz w:val="28"/>
          <w:szCs w:val="28"/>
        </w:rPr>
        <w:t xml:space="preserve">во </w:t>
      </w:r>
      <w:r w:rsidR="00066543">
        <w:rPr>
          <w:rFonts w:ascii="Times New Roman" w:hAnsi="Times New Roman" w:cs="Times New Roman"/>
          <w:sz w:val="28"/>
          <w:szCs w:val="28"/>
          <w:lang w:val="kk-KZ"/>
        </w:rPr>
        <w:t xml:space="preserve">время </w:t>
      </w:r>
      <w:r w:rsidR="00AB12B3">
        <w:rPr>
          <w:rFonts w:ascii="Times New Roman" w:hAnsi="Times New Roman" w:cs="Times New Roman"/>
          <w:sz w:val="28"/>
          <w:szCs w:val="28"/>
        </w:rPr>
        <w:t>сне</w:t>
      </w:r>
      <w:r w:rsidR="005D0DFE">
        <w:rPr>
          <w:rFonts w:ascii="Century" w:hAnsi="Century" w:cs="Times New Roman"/>
          <w:sz w:val="28"/>
          <w:szCs w:val="28"/>
        </w:rPr>
        <w:t>;</w:t>
      </w:r>
      <w:r w:rsidR="00AB12B3">
        <w:rPr>
          <w:rFonts w:ascii="Times New Roman" w:hAnsi="Times New Roman" w:cs="Times New Roman"/>
          <w:sz w:val="28"/>
          <w:szCs w:val="28"/>
        </w:rPr>
        <w:t xml:space="preserve"> неалкогольная жировая болезнь печени</w:t>
      </w:r>
      <w:r w:rsidR="005D0DFE">
        <w:rPr>
          <w:rFonts w:ascii="Century" w:hAnsi="Century" w:cs="Times New Roman"/>
          <w:sz w:val="28"/>
          <w:szCs w:val="28"/>
        </w:rPr>
        <w:t>.</w:t>
      </w:r>
    </w:p>
    <w:p w:rsidR="00AB12B3" w:rsidRDefault="009F4AE5"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Многие алгоритмы, которые оценивают 10 летний риск смерти от ССЗ</w:t>
      </w:r>
      <w:r w:rsidR="00C114BE">
        <w:rPr>
          <w:rFonts w:ascii="Century" w:hAnsi="Century" w:cs="Times New Roman"/>
          <w:sz w:val="28"/>
          <w:szCs w:val="28"/>
        </w:rPr>
        <w:t>,</w:t>
      </w:r>
      <w:r>
        <w:rPr>
          <w:rFonts w:ascii="Times New Roman" w:hAnsi="Times New Roman" w:cs="Times New Roman"/>
          <w:sz w:val="28"/>
          <w:szCs w:val="28"/>
        </w:rPr>
        <w:t xml:space="preserve"> имеют ряд недостатков</w:t>
      </w:r>
      <w:r w:rsidR="00C114BE">
        <w:rPr>
          <w:rFonts w:ascii="Century" w:hAnsi="Century" w:cs="Times New Roman"/>
          <w:sz w:val="28"/>
          <w:szCs w:val="28"/>
        </w:rPr>
        <w:t>,</w:t>
      </w:r>
      <w:r>
        <w:rPr>
          <w:rFonts w:ascii="Times New Roman" w:hAnsi="Times New Roman" w:cs="Times New Roman"/>
          <w:sz w:val="28"/>
          <w:szCs w:val="28"/>
        </w:rPr>
        <w:t xml:space="preserve"> </w:t>
      </w:r>
      <w:r w:rsidR="007B6A5A">
        <w:rPr>
          <w:rFonts w:ascii="Times New Roman" w:hAnsi="Times New Roman" w:cs="Times New Roman"/>
          <w:sz w:val="28"/>
          <w:szCs w:val="28"/>
        </w:rPr>
        <w:t>одни</w:t>
      </w:r>
      <w:r w:rsidR="003264AA">
        <w:rPr>
          <w:rFonts w:ascii="Times New Roman" w:hAnsi="Times New Roman" w:cs="Times New Roman"/>
          <w:sz w:val="28"/>
          <w:szCs w:val="28"/>
        </w:rPr>
        <w:t xml:space="preserve"> из них они</w:t>
      </w:r>
      <w:r>
        <w:rPr>
          <w:rFonts w:ascii="Times New Roman" w:hAnsi="Times New Roman" w:cs="Times New Roman"/>
          <w:sz w:val="28"/>
          <w:szCs w:val="28"/>
        </w:rPr>
        <w:t xml:space="preserve"> больше подходят людям среднего возраста</w:t>
      </w:r>
      <w:r w:rsidR="00C114BE">
        <w:rPr>
          <w:rFonts w:ascii="Century" w:hAnsi="Century" w:cs="Times New Roman"/>
          <w:sz w:val="28"/>
          <w:szCs w:val="28"/>
        </w:rPr>
        <w:t>,</w:t>
      </w:r>
      <w:r>
        <w:rPr>
          <w:rFonts w:ascii="Times New Roman" w:hAnsi="Times New Roman" w:cs="Times New Roman"/>
          <w:sz w:val="28"/>
          <w:szCs w:val="28"/>
        </w:rPr>
        <w:t xml:space="preserve"> которы</w:t>
      </w:r>
      <w:r w:rsidR="001B268E">
        <w:rPr>
          <w:rFonts w:ascii="Times New Roman" w:hAnsi="Times New Roman" w:cs="Times New Roman"/>
          <w:sz w:val="28"/>
          <w:szCs w:val="28"/>
        </w:rPr>
        <w:t>е</w:t>
      </w:r>
      <w:r w:rsidR="000E4E3F">
        <w:rPr>
          <w:rFonts w:ascii="Times New Roman" w:hAnsi="Times New Roman" w:cs="Times New Roman"/>
          <w:sz w:val="28"/>
          <w:szCs w:val="28"/>
        </w:rPr>
        <w:t xml:space="preserve"> </w:t>
      </w:r>
      <w:r>
        <w:rPr>
          <w:rFonts w:ascii="Times New Roman" w:hAnsi="Times New Roman" w:cs="Times New Roman"/>
          <w:sz w:val="28"/>
          <w:szCs w:val="28"/>
        </w:rPr>
        <w:t>чаще</w:t>
      </w:r>
      <w:r w:rsidR="000E4E3F">
        <w:rPr>
          <w:rFonts w:ascii="Times New Roman" w:hAnsi="Times New Roman" w:cs="Times New Roman"/>
          <w:sz w:val="28"/>
          <w:szCs w:val="28"/>
        </w:rPr>
        <w:t xml:space="preserve"> </w:t>
      </w:r>
      <w:r w:rsidR="001B268E">
        <w:rPr>
          <w:rFonts w:ascii="Times New Roman" w:hAnsi="Times New Roman" w:cs="Times New Roman"/>
          <w:sz w:val="28"/>
          <w:szCs w:val="28"/>
        </w:rPr>
        <w:t>имеют</w:t>
      </w:r>
      <w:r>
        <w:rPr>
          <w:rFonts w:ascii="Times New Roman" w:hAnsi="Times New Roman" w:cs="Times New Roman"/>
          <w:sz w:val="28"/>
          <w:szCs w:val="28"/>
        </w:rPr>
        <w:t xml:space="preserve"> факторы риска преждевременны</w:t>
      </w:r>
      <w:r w:rsidR="001B268E">
        <w:rPr>
          <w:rFonts w:ascii="Times New Roman" w:hAnsi="Times New Roman" w:cs="Times New Roman"/>
          <w:sz w:val="28"/>
          <w:szCs w:val="28"/>
        </w:rPr>
        <w:t>х</w:t>
      </w:r>
      <w:r>
        <w:rPr>
          <w:rFonts w:ascii="Times New Roman" w:hAnsi="Times New Roman" w:cs="Times New Roman"/>
          <w:sz w:val="28"/>
          <w:szCs w:val="28"/>
        </w:rPr>
        <w:t xml:space="preserve"> ССЗ</w:t>
      </w:r>
      <w:r w:rsidR="00C114BE">
        <w:rPr>
          <w:rFonts w:ascii="Century" w:hAnsi="Century" w:cs="Times New Roman"/>
          <w:sz w:val="28"/>
          <w:szCs w:val="28"/>
        </w:rPr>
        <w:t>,</w:t>
      </w:r>
      <w:r w:rsidR="00EB6566">
        <w:rPr>
          <w:rFonts w:ascii="Times New Roman" w:hAnsi="Times New Roman" w:cs="Times New Roman"/>
          <w:sz w:val="28"/>
          <w:szCs w:val="28"/>
        </w:rPr>
        <w:t xml:space="preserve"> а</w:t>
      </w:r>
      <w:r w:rsidR="000E4E3F">
        <w:rPr>
          <w:rFonts w:ascii="Times New Roman" w:hAnsi="Times New Roman" w:cs="Times New Roman"/>
          <w:sz w:val="28"/>
          <w:szCs w:val="28"/>
        </w:rPr>
        <w:t xml:space="preserve"> </w:t>
      </w:r>
      <w:r w:rsidR="00EB6566">
        <w:rPr>
          <w:rFonts w:ascii="Times New Roman" w:hAnsi="Times New Roman" w:cs="Times New Roman"/>
          <w:sz w:val="28"/>
          <w:szCs w:val="28"/>
        </w:rPr>
        <w:t>пожилые люди в</w:t>
      </w:r>
      <w:r w:rsidR="003264AA">
        <w:rPr>
          <w:rFonts w:ascii="Times New Roman" w:hAnsi="Times New Roman" w:cs="Times New Roman"/>
          <w:sz w:val="28"/>
          <w:szCs w:val="28"/>
        </w:rPr>
        <w:t xml:space="preserve"> силу своего возраста </w:t>
      </w:r>
      <w:r>
        <w:rPr>
          <w:rFonts w:ascii="Times New Roman" w:hAnsi="Times New Roman" w:cs="Times New Roman"/>
          <w:sz w:val="28"/>
          <w:szCs w:val="28"/>
        </w:rPr>
        <w:t>сразу включаются в группы повышенного риска</w:t>
      </w:r>
      <w:r w:rsidR="000E4E3F">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{"citationItems":[{"id":"ITEM-1","itemData":{"DOI":"10.1016/j.jacc.2013.11.005","ISBN":"1558-3597 (Electronic)\\r0735-1097 (Linking)","ISSN":"15583597","PMID":"24239921","abstract":"Using an additional test in patients who are not at high enough risk of developing disease to confidently treat, or low enough risk to confidently not treat would seem to be a straightforward way to resolve the clinical equipoise and is recommended by many guidelines. However, clear methods for evaluating the population utility of additional tests in this group have not been established. This paper includes worked examples and simulation data to show that focus on the intermediate risk group alone can be misleading and that population utility is best evaluated across the full range of risk.\\n\\n#### Summary points\\n\\nDecisions about treatment attempt to best balance risks and benefits, with estimation of the risk of disease prior to treatment playing a critical role in that process at both the individual and the population level. Though there is rarely a perfect threshold of risk for action, guidelines in multiple settings have arrived at useful risk cut points to inform treatment decisions. These cut points often result in three implicit or explicit strata: risk high enough to …","author":[{"dropping-particle":"","family":"Goff","given":"David C.","non-dropping-particle":"","parse-names":false,"suffix":""},{"dropping-particle":"","family":"Lloyd-Jones","given":"Donald M.","non-dropping-particle":"","parse-names":false,"suffix":""},{"dropping-particle":"","family":"Bennett","given":"Glen","non-dropping-particle":"","parse-names":false,"suffix":""},{"dropping-particle":"","family":"Coady","given":"Sean","non-dropping-particle":"","parse-names":false,"suffix":""},{"dropping-particle":"","family":"D'Agostino","given":"Ralph B.","non-dropping-particle":"","parse-names":false,"suffix":""},{"dropping-particle":"","family":"Gibbons","given":"Raymond","non-dropping-particle":"","parse-names":false,"suffix":""},{"dropping-particle":"","family":"Greenland","given":"Philip","non-dropping-particle":"","parse-names":false,"suffix":""},{"dropping-particle":"","family":"Lackland","given":"Daniel T.","non-dropping-particle":"","parse-names":false,"suffix":""},{"dropping-particle":"","family":"Levy","given":"Daniel","non-dropping-particle":"","parse-names":false,"suffix":""},{"dropping-particle":"","family":"O'Donnell","given":"Christopher J.","non-dropping-particle":"","parse-names":false,"suffix":""},{"dropping-particle":"",</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family</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Robinson</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given</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Jennifer</w:instrText>
      </w:r>
      <w:r w:rsidR="002312BD" w:rsidRPr="009005F0">
        <w:rPr>
          <w:rFonts w:ascii="Times New Roman" w:hAnsi="Times New Roman" w:cs="Times New Roman"/>
          <w:sz w:val="28"/>
          <w:szCs w:val="28"/>
          <w:lang w:val="en-US"/>
        </w:rPr>
        <w:instrText xml:space="preserve"> </w:instrText>
      </w:r>
      <w:r w:rsidR="002312BD" w:rsidRPr="002312BD">
        <w:rPr>
          <w:rFonts w:ascii="Times New Roman" w:hAnsi="Times New Roman" w:cs="Times New Roman"/>
          <w:sz w:val="28"/>
          <w:szCs w:val="28"/>
          <w:lang w:val="en-US"/>
        </w:rPr>
        <w:instrText>G</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non</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dropping</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particle</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parse</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names</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false</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suffix</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dropping</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particle</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family</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Schwartz</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given</w:instrText>
      </w:r>
      <w:r w:rsidR="002312BD" w:rsidRPr="009005F0">
        <w:rPr>
          <w:rFonts w:ascii="Times New Roman" w:hAnsi="Times New Roman" w:cs="Times New Roman"/>
          <w:sz w:val="28"/>
          <w:szCs w:val="28"/>
          <w:lang w:val="en-US"/>
        </w:rPr>
        <w:instrText>":"</w:instrText>
      </w:r>
      <w:r w:rsidR="002312BD" w:rsidRPr="002312BD">
        <w:rPr>
          <w:rFonts w:ascii="Times New Roman" w:hAnsi="Times New Roman" w:cs="Times New Roman"/>
          <w:sz w:val="28"/>
          <w:szCs w:val="28"/>
          <w:lang w:val="en-US"/>
        </w:rPr>
        <w:instrText>J</w:instrText>
      </w:r>
      <w:r w:rsidR="002312BD" w:rsidRPr="009005F0">
        <w:rPr>
          <w:rFonts w:ascii="Times New Roman" w:hAnsi="Times New Roman" w:cs="Times New Roman"/>
          <w:sz w:val="28"/>
          <w:szCs w:val="28"/>
          <w:lang w:val="en-US"/>
        </w:rPr>
        <w:instrText xml:space="preserve">. </w:instrText>
      </w:r>
      <w:r w:rsidR="002312BD" w:rsidRPr="002312BD">
        <w:rPr>
          <w:rFonts w:ascii="Times New Roman" w:hAnsi="Times New Roman" w:cs="Times New Roman"/>
          <w:sz w:val="28"/>
          <w:szCs w:val="28"/>
          <w:lang w:val="en-US"/>
        </w:rPr>
        <w:instrText>Sanford","non-dropping-particle":"","parse-names":false,"suffix":""},{"dropping-particle":"","family":"Shero","given":"Susan T.","non-dropping-particle":"","parse-names":false,"suffix":""},{"dropping-particle":"","family":"Smith","given":"Sidney C.","non-dropping-particle":"","parse-names":false,"suffix":""},{"dropping-particle":"","family":"Sorlie","given":"Paul","non-dropping-particle":"","parse-names":false,"suffix":""},{"dropping-particle":"","family":"Stone","given":"Neil J.","non-dropping-particle":"","parse-names":false,"suffix":""},{"dropping-particle":"","family":"Wilson","given":"Peter W F","non-dropping-particle":"","parse-names":false,"suffix":""}],"container-title":"Journal of the American College of Cardiology","id":"ITEM-1","issue":"25 PART B","issued":{"date-parts":[["2014"]]},"title":"2013 ACC/AHA guideline on the assessment of cardiovascular risk: A report of the American college of cardiology/American heart association task force on practice guidelines","type":"article","volume":"63"},"uris":["http://www.mendeley.com/documents/?uuid=823596b0-009c-3d71-b761-1923b52ffcf3"]}],"mendeley":{"formattedCitation":"[45]","plainTextFormattedCitation":"[45]","previouslyFormattedCitation":"[45]"},"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lang w:val="en-US"/>
        </w:rPr>
        <w:t>[45]</w:t>
      </w:r>
      <w:r w:rsidR="00EA0E64">
        <w:rPr>
          <w:rFonts w:ascii="Times New Roman" w:hAnsi="Times New Roman" w:cs="Times New Roman"/>
          <w:sz w:val="28"/>
          <w:szCs w:val="28"/>
        </w:rPr>
        <w:fldChar w:fldCharType="end"/>
      </w:r>
      <w:r w:rsidR="00C114BE" w:rsidRPr="00D879BA">
        <w:rPr>
          <w:rFonts w:ascii="Century" w:hAnsi="Century" w:cs="Times New Roman"/>
          <w:sz w:val="28"/>
          <w:szCs w:val="28"/>
          <w:lang w:val="en-US"/>
        </w:rPr>
        <w:t>.</w:t>
      </w:r>
      <w:r w:rsidRPr="00772589">
        <w:rPr>
          <w:rFonts w:ascii="Times New Roman" w:hAnsi="Times New Roman" w:cs="Times New Roman"/>
          <w:sz w:val="28"/>
          <w:szCs w:val="28"/>
          <w:lang w:val="en-US"/>
        </w:rPr>
        <w:t xml:space="preserve"> </w:t>
      </w:r>
      <w:r>
        <w:rPr>
          <w:rFonts w:ascii="Times New Roman" w:hAnsi="Times New Roman" w:cs="Times New Roman"/>
          <w:sz w:val="28"/>
          <w:szCs w:val="28"/>
        </w:rPr>
        <w:t>Поэтому</w:t>
      </w:r>
      <w:r w:rsidR="000E4E3F" w:rsidRPr="000E4E3F">
        <w:rPr>
          <w:rFonts w:ascii="Times New Roman" w:hAnsi="Times New Roman" w:cs="Times New Roman"/>
          <w:sz w:val="28"/>
          <w:szCs w:val="28"/>
          <w:lang w:val="en-US"/>
        </w:rPr>
        <w:t xml:space="preserve"> </w:t>
      </w:r>
      <w:r w:rsidR="00AD2AB2">
        <w:rPr>
          <w:rFonts w:ascii="Times New Roman" w:hAnsi="Times New Roman" w:cs="Times New Roman"/>
          <w:sz w:val="28"/>
          <w:szCs w:val="28"/>
          <w:lang w:val="en-US"/>
        </w:rPr>
        <w:t>The</w:t>
      </w:r>
      <w:r w:rsidR="000E4E3F" w:rsidRPr="000E4E3F">
        <w:rPr>
          <w:rFonts w:ascii="Times New Roman" w:hAnsi="Times New Roman" w:cs="Times New Roman"/>
          <w:sz w:val="28"/>
          <w:szCs w:val="28"/>
          <w:lang w:val="en-US"/>
        </w:rPr>
        <w:t xml:space="preserve"> </w:t>
      </w:r>
      <w:r w:rsidR="00AD2AB2">
        <w:rPr>
          <w:rFonts w:ascii="Times New Roman" w:hAnsi="Times New Roman" w:cs="Times New Roman"/>
          <w:sz w:val="28"/>
          <w:szCs w:val="28"/>
          <w:lang w:val="en-US"/>
        </w:rPr>
        <w:t>American</w:t>
      </w:r>
      <w:r w:rsidR="000E4E3F" w:rsidRPr="000E4E3F">
        <w:rPr>
          <w:rFonts w:ascii="Times New Roman" w:hAnsi="Times New Roman" w:cs="Times New Roman"/>
          <w:sz w:val="28"/>
          <w:szCs w:val="28"/>
          <w:lang w:val="en-US"/>
        </w:rPr>
        <w:t xml:space="preserve"> </w:t>
      </w:r>
      <w:r w:rsidR="00AD2AB2">
        <w:rPr>
          <w:rFonts w:ascii="Times New Roman" w:hAnsi="Times New Roman" w:cs="Times New Roman"/>
          <w:sz w:val="28"/>
          <w:szCs w:val="28"/>
          <w:lang w:val="en-US"/>
        </w:rPr>
        <w:t>Heart</w:t>
      </w:r>
      <w:r w:rsidR="000E4E3F" w:rsidRPr="000E4E3F">
        <w:rPr>
          <w:rFonts w:ascii="Times New Roman" w:hAnsi="Times New Roman" w:cs="Times New Roman"/>
          <w:sz w:val="28"/>
          <w:szCs w:val="28"/>
          <w:lang w:val="en-US"/>
        </w:rPr>
        <w:t xml:space="preserve"> </w:t>
      </w:r>
      <w:r w:rsidR="00AD2AB2">
        <w:rPr>
          <w:rFonts w:ascii="Times New Roman" w:hAnsi="Times New Roman" w:cs="Times New Roman"/>
          <w:sz w:val="28"/>
          <w:szCs w:val="28"/>
          <w:lang w:val="en-US"/>
        </w:rPr>
        <w:t>Association</w:t>
      </w:r>
      <w:r w:rsidR="00AD2AB2" w:rsidRPr="00AD2AB2">
        <w:rPr>
          <w:rFonts w:ascii="Times New Roman" w:hAnsi="Times New Roman" w:cs="Times New Roman"/>
          <w:sz w:val="28"/>
          <w:szCs w:val="28"/>
          <w:lang w:val="en-US"/>
        </w:rPr>
        <w:t xml:space="preserve"> (</w:t>
      </w:r>
      <w:r w:rsidR="00AD2AB2">
        <w:rPr>
          <w:rFonts w:ascii="Times New Roman" w:hAnsi="Times New Roman" w:cs="Times New Roman"/>
          <w:sz w:val="28"/>
          <w:szCs w:val="28"/>
          <w:lang w:val="en-US"/>
        </w:rPr>
        <w:t>AHA</w:t>
      </w:r>
      <w:r w:rsidR="00AD2AB2" w:rsidRPr="00AD2AB2">
        <w:rPr>
          <w:rFonts w:ascii="Times New Roman" w:hAnsi="Times New Roman" w:cs="Times New Roman"/>
          <w:sz w:val="28"/>
          <w:szCs w:val="28"/>
          <w:lang w:val="en-US"/>
        </w:rPr>
        <w:t xml:space="preserve">) </w:t>
      </w:r>
      <w:r w:rsidR="00AD2AB2">
        <w:rPr>
          <w:rFonts w:ascii="Times New Roman" w:hAnsi="Times New Roman" w:cs="Times New Roman"/>
          <w:sz w:val="28"/>
          <w:szCs w:val="28"/>
        </w:rPr>
        <w:t>и</w:t>
      </w:r>
      <w:r w:rsidR="000E4E3F" w:rsidRPr="000E4E3F">
        <w:rPr>
          <w:rFonts w:ascii="Times New Roman" w:hAnsi="Times New Roman" w:cs="Times New Roman"/>
          <w:sz w:val="28"/>
          <w:szCs w:val="28"/>
          <w:lang w:val="en-US"/>
        </w:rPr>
        <w:t xml:space="preserve"> </w:t>
      </w:r>
      <w:r w:rsidR="00AD2AB2" w:rsidRPr="00AE4680">
        <w:rPr>
          <w:rFonts w:ascii="Times New Roman" w:hAnsi="Times New Roman" w:cs="Times New Roman"/>
          <w:sz w:val="28"/>
          <w:szCs w:val="28"/>
          <w:lang w:val="en-US"/>
        </w:rPr>
        <w:t>The American College of Cardiology</w:t>
      </w:r>
      <w:r w:rsidR="00AD2AB2" w:rsidRPr="00AD2AB2">
        <w:rPr>
          <w:rFonts w:ascii="Times New Roman" w:hAnsi="Times New Roman" w:cs="Times New Roman"/>
          <w:sz w:val="28"/>
          <w:szCs w:val="28"/>
          <w:lang w:val="en-US"/>
        </w:rPr>
        <w:t xml:space="preserve"> (</w:t>
      </w:r>
      <w:r w:rsidR="00AD2AB2" w:rsidRPr="00AE4680">
        <w:rPr>
          <w:rFonts w:ascii="Times New Roman" w:hAnsi="Times New Roman" w:cs="Times New Roman"/>
          <w:sz w:val="28"/>
          <w:szCs w:val="28"/>
          <w:lang w:val="en-US"/>
        </w:rPr>
        <w:t>ACC</w:t>
      </w:r>
      <w:r w:rsidR="00AD2AB2" w:rsidRPr="00AD2AB2">
        <w:rPr>
          <w:rFonts w:ascii="Times New Roman" w:hAnsi="Times New Roman" w:cs="Times New Roman"/>
          <w:sz w:val="28"/>
          <w:szCs w:val="28"/>
          <w:lang w:val="en-US"/>
        </w:rPr>
        <w:t>)</w:t>
      </w:r>
      <w:r w:rsidR="000E4E3F" w:rsidRPr="000E4E3F">
        <w:rPr>
          <w:rFonts w:ascii="Times New Roman" w:hAnsi="Times New Roman" w:cs="Times New Roman"/>
          <w:sz w:val="28"/>
          <w:szCs w:val="28"/>
          <w:lang w:val="en-US"/>
        </w:rPr>
        <w:t xml:space="preserve"> </w:t>
      </w:r>
      <w:r w:rsidR="00AB12B3">
        <w:rPr>
          <w:rFonts w:ascii="Times New Roman" w:hAnsi="Times New Roman" w:cs="Times New Roman"/>
          <w:sz w:val="28"/>
          <w:szCs w:val="28"/>
        </w:rPr>
        <w:t>предложили</w:t>
      </w:r>
      <w:r w:rsidR="000E4E3F" w:rsidRPr="000E4E3F">
        <w:rPr>
          <w:rFonts w:ascii="Times New Roman" w:hAnsi="Times New Roman" w:cs="Times New Roman"/>
          <w:sz w:val="28"/>
          <w:szCs w:val="28"/>
          <w:lang w:val="en-US"/>
        </w:rPr>
        <w:t xml:space="preserve"> </w:t>
      </w:r>
      <w:r w:rsidR="00AB12B3">
        <w:rPr>
          <w:rFonts w:ascii="Times New Roman" w:hAnsi="Times New Roman" w:cs="Times New Roman"/>
          <w:sz w:val="28"/>
          <w:szCs w:val="28"/>
        </w:rPr>
        <w:t>нов</w:t>
      </w:r>
      <w:r w:rsidR="00E64C7B">
        <w:rPr>
          <w:rFonts w:ascii="Times New Roman" w:hAnsi="Times New Roman" w:cs="Times New Roman"/>
          <w:sz w:val="28"/>
          <w:szCs w:val="28"/>
        </w:rPr>
        <w:t>ую</w:t>
      </w:r>
      <w:r w:rsidR="000E4E3F" w:rsidRPr="000E4E3F">
        <w:rPr>
          <w:rFonts w:ascii="Times New Roman" w:hAnsi="Times New Roman" w:cs="Times New Roman"/>
          <w:sz w:val="28"/>
          <w:szCs w:val="28"/>
          <w:lang w:val="en-US"/>
        </w:rPr>
        <w:t xml:space="preserve"> </w:t>
      </w:r>
      <w:r w:rsidR="00AB12B3">
        <w:rPr>
          <w:rFonts w:ascii="Times New Roman" w:hAnsi="Times New Roman" w:cs="Times New Roman"/>
          <w:sz w:val="28"/>
          <w:szCs w:val="28"/>
        </w:rPr>
        <w:t>шкалу</w:t>
      </w:r>
      <w:r w:rsidR="000E4E3F" w:rsidRPr="000E4E3F">
        <w:rPr>
          <w:rFonts w:ascii="Times New Roman" w:hAnsi="Times New Roman" w:cs="Times New Roman"/>
          <w:sz w:val="28"/>
          <w:szCs w:val="28"/>
          <w:lang w:val="en-US"/>
        </w:rPr>
        <w:t xml:space="preserve"> </w:t>
      </w:r>
      <w:r w:rsidR="00AB12B3">
        <w:rPr>
          <w:rFonts w:ascii="Times New Roman" w:hAnsi="Times New Roman" w:cs="Times New Roman"/>
          <w:sz w:val="28"/>
          <w:szCs w:val="28"/>
        </w:rPr>
        <w:t>оценок</w:t>
      </w:r>
      <w:r w:rsidR="000E4E3F" w:rsidRPr="000E4E3F">
        <w:rPr>
          <w:rFonts w:ascii="Times New Roman" w:hAnsi="Times New Roman" w:cs="Times New Roman"/>
          <w:sz w:val="28"/>
          <w:szCs w:val="28"/>
          <w:lang w:val="en-US"/>
        </w:rPr>
        <w:t xml:space="preserve"> </w:t>
      </w:r>
      <w:r w:rsidR="00AB12B3">
        <w:rPr>
          <w:rFonts w:ascii="Times New Roman" w:hAnsi="Times New Roman" w:cs="Times New Roman"/>
          <w:sz w:val="28"/>
          <w:szCs w:val="28"/>
        </w:rPr>
        <w:t>АССЗ</w:t>
      </w:r>
      <w:r w:rsidR="000E4E3F" w:rsidRPr="000E4E3F">
        <w:rPr>
          <w:rFonts w:ascii="Times New Roman" w:hAnsi="Times New Roman" w:cs="Times New Roman"/>
          <w:sz w:val="28"/>
          <w:szCs w:val="28"/>
          <w:lang w:val="en-US"/>
        </w:rPr>
        <w:t xml:space="preserve"> </w:t>
      </w:r>
      <w:r w:rsidR="00EA0E64">
        <w:rPr>
          <w:rFonts w:ascii="Times New Roman" w:hAnsi="Times New Roman" w:cs="Times New Roman"/>
          <w:sz w:val="28"/>
          <w:szCs w:val="28"/>
        </w:rPr>
        <w:fldChar w:fldCharType="begin" w:fldLock="1"/>
      </w:r>
      <w:r w:rsidR="00EC4CA3">
        <w:rPr>
          <w:rFonts w:ascii="Times New Roman" w:hAnsi="Times New Roman" w:cs="Times New Roman"/>
          <w:sz w:val="28"/>
          <w:szCs w:val="28"/>
          <w:lang w:val="en-US"/>
        </w:rPr>
        <w:instrText>ADDIN CSL_CITATION {"citationItems":[{"id":"ITEM-1","itemData":{"DOI":"10.1016/j.jacc.2013.11.005","ISBN":"1558-3597 (Electronic)\\r0735-1097 (Linking)","ISSN":"15583597","PMID":"24239921","abstract":"Using an additional test in patients who are not at high enough risk of developing disease to confidently treat, or low enough risk to confidently not treat would seem to be a straightforward way to resolve the clinical equipoise and is recommended by many guidelines. However, clear methods for evaluating the population utility of additional tests in this group have not been established. This paper includes worked examples and simulation data to show that focus on the intermediate risk group alone can be misleading and that population utility is best evaluated across the full range of risk.\\n\\n#### Summary points\\n\\nDecisions about treatment attempt to best balance risks and benefits, with estimation of the risk of disease prior to treatment playing a critical role in that process at both the individual and the population level. Though there is rarely a perfect threshold of risk for action, guidelines in multiple settings have arrived at useful risk cut points to inform treatment decisions. These cut points often result in three implicit or explicit strata: risk high enough to …","author":[{"dropping-particle":"","family":"Goff","given":"David C.","non-dropping-particle":"","parse-names":false,"suffix":""},{"dropping-particle":"","family":"Lloyd-Jones","given":"Donald M.","non-dropping-particle":"","parse-names":false,"suffix":""},{"dropping-particle":"","family":"Bennett","given":"Glen","non-dropping-particle":"","parse-names":false,"suffix":""},{"dropping-particle":"","family":"Coady","given":"Sean","non-dropping-particle":"","parse-names":false,"suffix":""},{"dropping-particle":"","family":"D'Agostino","given":"Ralph B.","non-dropping-particle":"","parse-names":false,"suffix":""},{"dropping-particle":"","family":"Gibbons","given":"Raymond","non-dropping-particle":"","parse-names":false,"suffix":""},{"dropping-particle":"","family":"Greenland","given":"Philip","non-dropping-particle":"","parse-names":false,"suffix":""},{"dropping-particle":"","family":"Lackland","given":"Daniel T.","non-dropping-particle":"","parse-names":false,"suffix":""},{"dropping-particle":"","family":"Levy","given":"Daniel","non-dropping-particle":"","parse-names":false,"suffix":""},{"dropping-particle":"","family":"O'Donnell","given":"Christopher J.","non-dropping-particle":"","parse-names":false,"suffix":""},{"dropping-particle":"","family":"Robinson","given":"Jennifer</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G</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non</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dropping</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particle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parse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names</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false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suffix</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dropping</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particle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family</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Schwartz</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given</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J</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Sanford</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non</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dropping</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particle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parse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names</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false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suffix</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dropping</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particle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family</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Shero</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given</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Susan</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T</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non</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dropping</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particle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parse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names</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false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suffix</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dropping</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particle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family</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Smith</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given</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Sidney</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C</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non</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dropping</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particle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parse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names</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false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suffix</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dropping</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particle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family</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Sorlie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given</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Paul</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non</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dropping</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particle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parse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names</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false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suffix</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dropping</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particle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family</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Stone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given</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Neil</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J</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non</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dropping</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particle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parse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names</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false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suffix</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dropping</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particle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family</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Wilson</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given</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Peter</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W</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F</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non</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dropping</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particle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parse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names</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false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suffix</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container</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title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Journal</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of</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the</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American</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College</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of</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Cardiology</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id</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ITEM</w:instrText>
      </w:r>
      <w:r w:rsidR="00EC4CA3" w:rsidRPr="001E0BFB">
        <w:rPr>
          <w:rFonts w:ascii="Times New Roman" w:hAnsi="Times New Roman" w:cs="Times New Roman"/>
          <w:sz w:val="28"/>
          <w:szCs w:val="28"/>
        </w:rPr>
        <w:instrText>-1","</w:instrText>
      </w:r>
      <w:r w:rsidR="00EC4CA3">
        <w:rPr>
          <w:rFonts w:ascii="Times New Roman" w:hAnsi="Times New Roman" w:cs="Times New Roman"/>
          <w:sz w:val="28"/>
          <w:szCs w:val="28"/>
          <w:lang w:val="en-US"/>
        </w:rPr>
        <w:instrText>issue</w:instrText>
      </w:r>
      <w:r w:rsidR="00EC4CA3" w:rsidRPr="001E0BFB">
        <w:rPr>
          <w:rFonts w:ascii="Times New Roman" w:hAnsi="Times New Roman" w:cs="Times New Roman"/>
          <w:sz w:val="28"/>
          <w:szCs w:val="28"/>
        </w:rPr>
        <w:instrText xml:space="preserve">":"25 </w:instrText>
      </w:r>
      <w:r w:rsidR="00EC4CA3">
        <w:rPr>
          <w:rFonts w:ascii="Times New Roman" w:hAnsi="Times New Roman" w:cs="Times New Roman"/>
          <w:sz w:val="28"/>
          <w:szCs w:val="28"/>
          <w:lang w:val="en-US"/>
        </w:rPr>
        <w:instrText>PART</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B</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issued</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date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parts</w:instrText>
      </w:r>
      <w:r w:rsidR="00EC4CA3" w:rsidRPr="001E0BFB">
        <w:rPr>
          <w:rFonts w:ascii="Times New Roman" w:hAnsi="Times New Roman" w:cs="Times New Roman"/>
          <w:sz w:val="28"/>
          <w:szCs w:val="28"/>
        </w:rPr>
        <w:instrText>":[["2014"]]},"</w:instrText>
      </w:r>
      <w:r w:rsidR="00EC4CA3">
        <w:rPr>
          <w:rFonts w:ascii="Times New Roman" w:hAnsi="Times New Roman" w:cs="Times New Roman"/>
          <w:sz w:val="28"/>
          <w:szCs w:val="28"/>
          <w:lang w:val="en-US"/>
        </w:rPr>
        <w:instrText>title</w:instrText>
      </w:r>
      <w:r w:rsidR="00EC4CA3" w:rsidRPr="001E0BFB">
        <w:rPr>
          <w:rFonts w:ascii="Times New Roman" w:hAnsi="Times New Roman" w:cs="Times New Roman"/>
          <w:sz w:val="28"/>
          <w:szCs w:val="28"/>
        </w:rPr>
        <w:instrText xml:space="preserve">":"2013 </w:instrText>
      </w:r>
      <w:r w:rsidR="00EC4CA3">
        <w:rPr>
          <w:rFonts w:ascii="Times New Roman" w:hAnsi="Times New Roman" w:cs="Times New Roman"/>
          <w:sz w:val="28"/>
          <w:szCs w:val="28"/>
          <w:lang w:val="en-US"/>
        </w:rPr>
        <w:instrText>ACC</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AHA</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guideline</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on</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the</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assessment</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of</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cardiovascular</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risk</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A</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report</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of</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the</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American</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college</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of</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cardiology</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American</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heart</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association</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task</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force</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on</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practice</w:instrText>
      </w:r>
      <w:r w:rsidR="00EC4CA3" w:rsidRPr="001E0BFB">
        <w:rPr>
          <w:rFonts w:ascii="Times New Roman" w:hAnsi="Times New Roman" w:cs="Times New Roman"/>
          <w:sz w:val="28"/>
          <w:szCs w:val="28"/>
        </w:rPr>
        <w:instrText xml:space="preserve"> </w:instrText>
      </w:r>
      <w:r w:rsidR="00EC4CA3">
        <w:rPr>
          <w:rFonts w:ascii="Times New Roman" w:hAnsi="Times New Roman" w:cs="Times New Roman"/>
          <w:sz w:val="28"/>
          <w:szCs w:val="28"/>
          <w:lang w:val="en-US"/>
        </w:rPr>
        <w:instrText>guidelines</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type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article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volume</w:instrText>
      </w:r>
      <w:r w:rsidR="00EC4CA3" w:rsidRPr="001E0BFB">
        <w:rPr>
          <w:rFonts w:ascii="Times New Roman" w:hAnsi="Times New Roman" w:cs="Times New Roman"/>
          <w:sz w:val="28"/>
          <w:szCs w:val="28"/>
        </w:rPr>
        <w:instrText>":"63"},"</w:instrText>
      </w:r>
      <w:r w:rsidR="00EC4CA3">
        <w:rPr>
          <w:rFonts w:ascii="Times New Roman" w:hAnsi="Times New Roman" w:cs="Times New Roman"/>
          <w:sz w:val="28"/>
          <w:szCs w:val="28"/>
          <w:lang w:val="en-US"/>
        </w:rPr>
        <w:instrText>uris</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http</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www</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mendeley</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com</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documents</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uuid</w:instrText>
      </w:r>
      <w:r w:rsidR="00EC4CA3" w:rsidRPr="001E0BFB">
        <w:rPr>
          <w:rFonts w:ascii="Times New Roman" w:hAnsi="Times New Roman" w:cs="Times New Roman"/>
          <w:sz w:val="28"/>
          <w:szCs w:val="28"/>
        </w:rPr>
        <w:instrText>=823596</w:instrText>
      </w:r>
      <w:r w:rsidR="00EC4CA3">
        <w:rPr>
          <w:rFonts w:ascii="Times New Roman" w:hAnsi="Times New Roman" w:cs="Times New Roman"/>
          <w:sz w:val="28"/>
          <w:szCs w:val="28"/>
          <w:lang w:val="en-US"/>
        </w:rPr>
        <w:instrText>b</w:instrText>
      </w:r>
      <w:r w:rsidR="00EC4CA3" w:rsidRPr="001E0BFB">
        <w:rPr>
          <w:rFonts w:ascii="Times New Roman" w:hAnsi="Times New Roman" w:cs="Times New Roman"/>
          <w:sz w:val="28"/>
          <w:szCs w:val="28"/>
        </w:rPr>
        <w:instrText>0-009</w:instrText>
      </w:r>
      <w:r w:rsidR="00EC4CA3">
        <w:rPr>
          <w:rFonts w:ascii="Times New Roman" w:hAnsi="Times New Roman" w:cs="Times New Roman"/>
          <w:sz w:val="28"/>
          <w:szCs w:val="28"/>
          <w:lang w:val="en-US"/>
        </w:rPr>
        <w:instrText>c</w:instrText>
      </w:r>
      <w:r w:rsidR="00EC4CA3" w:rsidRPr="001E0BFB">
        <w:rPr>
          <w:rFonts w:ascii="Times New Roman" w:hAnsi="Times New Roman" w:cs="Times New Roman"/>
          <w:sz w:val="28"/>
          <w:szCs w:val="28"/>
        </w:rPr>
        <w:instrText>-3</w:instrText>
      </w:r>
      <w:r w:rsidR="00EC4CA3">
        <w:rPr>
          <w:rFonts w:ascii="Times New Roman" w:hAnsi="Times New Roman" w:cs="Times New Roman"/>
          <w:sz w:val="28"/>
          <w:szCs w:val="28"/>
          <w:lang w:val="en-US"/>
        </w:rPr>
        <w:instrText>d</w:instrText>
      </w:r>
      <w:r w:rsidR="00EC4CA3" w:rsidRPr="001E0BFB">
        <w:rPr>
          <w:rFonts w:ascii="Times New Roman" w:hAnsi="Times New Roman" w:cs="Times New Roman"/>
          <w:sz w:val="28"/>
          <w:szCs w:val="28"/>
        </w:rPr>
        <w:instrText>71-</w:instrText>
      </w:r>
      <w:r w:rsidR="00EC4CA3">
        <w:rPr>
          <w:rFonts w:ascii="Times New Roman" w:hAnsi="Times New Roman" w:cs="Times New Roman"/>
          <w:sz w:val="28"/>
          <w:szCs w:val="28"/>
          <w:lang w:val="en-US"/>
        </w:rPr>
        <w:instrText>b</w:instrText>
      </w:r>
      <w:r w:rsidR="00EC4CA3" w:rsidRPr="001E0BFB">
        <w:rPr>
          <w:rFonts w:ascii="Times New Roman" w:hAnsi="Times New Roman" w:cs="Times New Roman"/>
          <w:sz w:val="28"/>
          <w:szCs w:val="28"/>
        </w:rPr>
        <w:instrText>761-1923</w:instrText>
      </w:r>
      <w:r w:rsidR="00EC4CA3">
        <w:rPr>
          <w:rFonts w:ascii="Times New Roman" w:hAnsi="Times New Roman" w:cs="Times New Roman"/>
          <w:sz w:val="28"/>
          <w:szCs w:val="28"/>
          <w:lang w:val="en-US"/>
        </w:rPr>
        <w:instrText>b</w:instrText>
      </w:r>
      <w:r w:rsidR="00EC4CA3" w:rsidRPr="001E0BFB">
        <w:rPr>
          <w:rFonts w:ascii="Times New Roman" w:hAnsi="Times New Roman" w:cs="Times New Roman"/>
          <w:sz w:val="28"/>
          <w:szCs w:val="28"/>
        </w:rPr>
        <w:instrText>52</w:instrText>
      </w:r>
      <w:r w:rsidR="00EC4CA3">
        <w:rPr>
          <w:rFonts w:ascii="Times New Roman" w:hAnsi="Times New Roman" w:cs="Times New Roman"/>
          <w:sz w:val="28"/>
          <w:szCs w:val="28"/>
          <w:lang w:val="en-US"/>
        </w:rPr>
        <w:instrText>ffcf</w:instrText>
      </w:r>
      <w:r w:rsidR="00EC4CA3" w:rsidRPr="001E0BFB">
        <w:rPr>
          <w:rFonts w:ascii="Times New Roman" w:hAnsi="Times New Roman" w:cs="Times New Roman"/>
          <w:sz w:val="28"/>
          <w:szCs w:val="28"/>
        </w:rPr>
        <w:instrText>3"]}],"</w:instrText>
      </w:r>
      <w:r w:rsidR="00EC4CA3">
        <w:rPr>
          <w:rFonts w:ascii="Times New Roman" w:hAnsi="Times New Roman" w:cs="Times New Roman"/>
          <w:sz w:val="28"/>
          <w:szCs w:val="28"/>
          <w:lang w:val="en-US"/>
        </w:rPr>
        <w:instrText>mendeley</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formattedCitation</w:instrText>
      </w:r>
      <w:r w:rsidR="00EC4CA3" w:rsidRPr="001E0BFB">
        <w:rPr>
          <w:rFonts w:ascii="Times New Roman" w:hAnsi="Times New Roman" w:cs="Times New Roman"/>
          <w:sz w:val="28"/>
          <w:szCs w:val="28"/>
        </w:rPr>
        <w:instrText>":"[45]","</w:instrText>
      </w:r>
      <w:r w:rsidR="00EC4CA3">
        <w:rPr>
          <w:rFonts w:ascii="Times New Roman" w:hAnsi="Times New Roman" w:cs="Times New Roman"/>
          <w:sz w:val="28"/>
          <w:szCs w:val="28"/>
          <w:lang w:val="en-US"/>
        </w:rPr>
        <w:instrText>manualFormatting</w:instrText>
      </w:r>
      <w:r w:rsidR="00EC4CA3" w:rsidRPr="001E0BFB">
        <w:rPr>
          <w:rFonts w:ascii="Times New Roman" w:hAnsi="Times New Roman" w:cs="Times New Roman"/>
          <w:sz w:val="28"/>
          <w:szCs w:val="28"/>
        </w:rPr>
        <w:instrText>":"[45, р. 55]","</w:instrText>
      </w:r>
      <w:r w:rsidR="00EC4CA3">
        <w:rPr>
          <w:rFonts w:ascii="Times New Roman" w:hAnsi="Times New Roman" w:cs="Times New Roman"/>
          <w:sz w:val="28"/>
          <w:szCs w:val="28"/>
          <w:lang w:val="en-US"/>
        </w:rPr>
        <w:instrText>plainTextFormattedCitation</w:instrText>
      </w:r>
      <w:r w:rsidR="00EC4CA3" w:rsidRPr="001E0BFB">
        <w:rPr>
          <w:rFonts w:ascii="Times New Roman" w:hAnsi="Times New Roman" w:cs="Times New Roman"/>
          <w:sz w:val="28"/>
          <w:szCs w:val="28"/>
        </w:rPr>
        <w:instrText>":"[45]","</w:instrText>
      </w:r>
      <w:r w:rsidR="00EC4CA3">
        <w:rPr>
          <w:rFonts w:ascii="Times New Roman" w:hAnsi="Times New Roman" w:cs="Times New Roman"/>
          <w:sz w:val="28"/>
          <w:szCs w:val="28"/>
          <w:lang w:val="en-US"/>
        </w:rPr>
        <w:instrText>previouslyFormattedCitation</w:instrText>
      </w:r>
      <w:r w:rsidR="00EC4CA3" w:rsidRPr="001E0BFB">
        <w:rPr>
          <w:rFonts w:ascii="Times New Roman" w:hAnsi="Times New Roman" w:cs="Times New Roman"/>
          <w:sz w:val="28"/>
          <w:szCs w:val="28"/>
        </w:rPr>
        <w:instrText>":"[45]"},"</w:instrText>
      </w:r>
      <w:r w:rsidR="00EC4CA3">
        <w:rPr>
          <w:rFonts w:ascii="Times New Roman" w:hAnsi="Times New Roman" w:cs="Times New Roman"/>
          <w:sz w:val="28"/>
          <w:szCs w:val="28"/>
          <w:lang w:val="en-US"/>
        </w:rPr>
        <w:instrText>properties</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noteIndex</w:instrText>
      </w:r>
      <w:r w:rsidR="00EC4CA3" w:rsidRPr="001E0BFB">
        <w:rPr>
          <w:rFonts w:ascii="Times New Roman" w:hAnsi="Times New Roman" w:cs="Times New Roman"/>
          <w:sz w:val="28"/>
          <w:szCs w:val="28"/>
        </w:rPr>
        <w:instrText>":0},"</w:instrText>
      </w:r>
      <w:r w:rsidR="00EC4CA3">
        <w:rPr>
          <w:rFonts w:ascii="Times New Roman" w:hAnsi="Times New Roman" w:cs="Times New Roman"/>
          <w:sz w:val="28"/>
          <w:szCs w:val="28"/>
          <w:lang w:val="en-US"/>
        </w:rPr>
        <w:instrText>schema</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https</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github</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com</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citation</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style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language</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schema</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raw</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master</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csl</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citation</w:instrText>
      </w:r>
      <w:r w:rsidR="00EC4CA3" w:rsidRPr="001E0BFB">
        <w:rPr>
          <w:rFonts w:ascii="Times New Roman" w:hAnsi="Times New Roman" w:cs="Times New Roman"/>
          <w:sz w:val="28"/>
          <w:szCs w:val="28"/>
        </w:rPr>
        <w:instrText>.</w:instrText>
      </w:r>
      <w:r w:rsidR="00EC4CA3">
        <w:rPr>
          <w:rFonts w:ascii="Times New Roman" w:hAnsi="Times New Roman" w:cs="Times New Roman"/>
          <w:sz w:val="28"/>
          <w:szCs w:val="28"/>
          <w:lang w:val="en-US"/>
        </w:rPr>
        <w:instrText>json</w:instrText>
      </w:r>
      <w:r w:rsidR="00EC4CA3" w:rsidRPr="001E0BFB">
        <w:rPr>
          <w:rFonts w:ascii="Times New Roman" w:hAnsi="Times New Roman" w:cs="Times New Roman"/>
          <w:sz w:val="28"/>
          <w:szCs w:val="28"/>
        </w:rPr>
        <w:instrText>"}</w:instrText>
      </w:r>
      <w:r w:rsidR="00EA0E64">
        <w:rPr>
          <w:rFonts w:ascii="Times New Roman" w:hAnsi="Times New Roman" w:cs="Times New Roman"/>
          <w:sz w:val="28"/>
          <w:szCs w:val="28"/>
        </w:rPr>
        <w:fldChar w:fldCharType="separate"/>
      </w:r>
      <w:r w:rsidR="00EC4CA3" w:rsidRPr="00EC4CA3">
        <w:rPr>
          <w:rFonts w:ascii="Times New Roman" w:hAnsi="Times New Roman" w:cs="Times New Roman"/>
          <w:noProof/>
          <w:sz w:val="28"/>
          <w:szCs w:val="28"/>
        </w:rPr>
        <w:t>[45</w:t>
      </w:r>
      <w:r w:rsidR="00EC4CA3">
        <w:rPr>
          <w:rFonts w:ascii="Times New Roman" w:hAnsi="Times New Roman" w:cs="Times New Roman"/>
          <w:noProof/>
          <w:sz w:val="28"/>
          <w:szCs w:val="28"/>
        </w:rPr>
        <w:t>, р. 55</w:t>
      </w:r>
      <w:r w:rsidR="00EC4CA3" w:rsidRPr="00EC4CA3">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это шкала позволяет предложить рекомендации пожилым людям. </w:t>
      </w:r>
    </w:p>
    <w:p w:rsidR="000E4E3F" w:rsidRDefault="00230452" w:rsidP="000E4E3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Помимо</w:t>
      </w:r>
      <w:r w:rsidR="00AB12B3">
        <w:rPr>
          <w:rFonts w:ascii="Times New Roman" w:hAnsi="Times New Roman" w:cs="Times New Roman"/>
          <w:sz w:val="28"/>
          <w:szCs w:val="28"/>
        </w:rPr>
        <w:t xml:space="preserve"> шкал и алгоритмов, оцениваю</w:t>
      </w:r>
      <w:r w:rsidR="00EB6566">
        <w:rPr>
          <w:rFonts w:ascii="Times New Roman" w:hAnsi="Times New Roman" w:cs="Times New Roman"/>
          <w:sz w:val="28"/>
          <w:szCs w:val="28"/>
        </w:rPr>
        <w:t>щих</w:t>
      </w:r>
      <w:r w:rsidR="00AB12B3">
        <w:rPr>
          <w:rFonts w:ascii="Times New Roman" w:hAnsi="Times New Roman" w:cs="Times New Roman"/>
          <w:sz w:val="28"/>
          <w:szCs w:val="28"/>
        </w:rPr>
        <w:t xml:space="preserve"> 10 - летний риск</w:t>
      </w:r>
      <w:r w:rsidR="00EB6566">
        <w:rPr>
          <w:rFonts w:ascii="Times New Roman" w:hAnsi="Times New Roman" w:cs="Times New Roman"/>
          <w:sz w:val="28"/>
          <w:szCs w:val="28"/>
        </w:rPr>
        <w:t xml:space="preserve"> ССЗ</w:t>
      </w:r>
      <w:r w:rsidR="00AB12B3">
        <w:rPr>
          <w:rFonts w:ascii="Times New Roman" w:hAnsi="Times New Roman" w:cs="Times New Roman"/>
          <w:sz w:val="28"/>
          <w:szCs w:val="28"/>
        </w:rPr>
        <w:t>, интерес вызывают шкалы, которые рассчитывают 30 - летний риск или «сердечно - сосудистый во</w:t>
      </w:r>
      <w:r w:rsidR="009F4AE5">
        <w:rPr>
          <w:rFonts w:ascii="Times New Roman" w:hAnsi="Times New Roman" w:cs="Times New Roman"/>
          <w:sz w:val="28"/>
          <w:szCs w:val="28"/>
        </w:rPr>
        <w:t>зраст» или «сердечно – сосудистый</w:t>
      </w:r>
      <w:r w:rsidR="00AB12B3">
        <w:rPr>
          <w:rFonts w:ascii="Times New Roman" w:hAnsi="Times New Roman" w:cs="Times New Roman"/>
          <w:sz w:val="28"/>
          <w:szCs w:val="28"/>
        </w:rPr>
        <w:t xml:space="preserve"> возрастной риск»</w:t>
      </w:r>
      <w:r w:rsidR="000E4E3F">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EC4CA3">
        <w:rPr>
          <w:rFonts w:ascii="Times New Roman" w:hAnsi="Times New Roman" w:cs="Times New Roman"/>
          <w:sz w:val="28"/>
          <w:szCs w:val="28"/>
        </w:rPr>
        <w:instrText>ADDIN CSL_CITATION {"citationItems":[{"id":"ITEM-1","itemData":{"DOI":"10.1016/j.cjca.2016.07.510","ISBN":"1916-7075 (Electronic)\\r0828-282X (Linking)","ISSN":"0828282X","PMID":"23351925","abstract":"Since the publication of the 2012 guidelines new literature has emerged to inform decision-making. The 2016 guidelines primary panel selected a number of clinically relevant questions and has produced updated recommendations, on the basis of important new findings. In subjects with clinical atherosclerosis, abdominal aortic aneurysm, most subjects with diabetes or chronic kidney disease, and those with low-density lipoprotein cholesterol ??? 5 mmol/L, statin therapy is recommended. For all others, there is an emphasis on risk assessment linked to lipid determination to optimize decision-making. We have recommended nonfasting lipid determination as a suitable alternative to fasting levels. Risk assessment and lipid determination should be considered in individuals older than 40 years of age or in those at increased risk regardless of age. Pharmacotherapy is generally not indicated for those at low Framingham Risk Score (FRS; &lt;10%). A wider range of patients are now eligible for statin therapy in the FRS intermediate risk category (10%-19%) and in those with a high FRS (&gt; 20%). Despite the controversy, we continue to advocate for low-density lipoprotein cholesterol targets for subjects who start therapy. Detailed recommendations are also presented for health behaviour modification that is indicated in all subjects. Finally, recommendation for the use of nonstatin medications is provided. Shared decision-making is vital because there are many areas in which clinical trials do not fully inform practice. The guidelines are meant to be a platform for meaningful conversation between patient and care provider so that individual decisions can be made for risk screening, assessment, and treatment.","author":[{"dropping-particle":"","family":"Anderson","given":"Todd J.","non-dropping-particle":"","parse-names":false,"suffix":""},{"dropping-particle":"","family":"Gr??goire","given":"Jean","non-dropping-particle":"","parse-names":false,"suffix":""},{"dropping-particle":"","family":"Pearson","given":"Glen J.","non-dropping-particle":"","parse-names":false,"suffix":""},{"dropping-particle":"","family":"Barry","given":"Arden R.","non-dropping-particle":"","parse-names":false,"suffix":""},{"dropping-particle":"","family":"Couture","given":"Patrick","non-dropping-particle":"","parse-names":false,"suffix":""},{"dropping-particle":"","family":"Dawes","given":"Martin","non-dropping-particle":"","parse-names":false,"suffix":""},{"dropping-particle":"","family":"Francis","given":"Gordon A.","non-dropping-particle":"","parse-names":false,"suffix":""},{"dropping-particle":"","family":"Genest","given":"Jacques","non-dropping-particle":"","parse-names":false,"suffix":""},{"dropping-particle":"","family":"Grover","given":"Steven","non-dropping-particle":"","parse-names":false,"suffix":""},{"dropping-particle":"","family":"Gupta","given":"Milan","non-dropping-particle":"","parse-names":false,"suffix":""},{"dropping-particle":"","family":"Hegele","given":"Robert A.","non-dropping-particle":"","parse-names":false,"suffix":""},{"dropping-particle":"","family":"Lau","given":"David C.","non-dropping-particle":"","parse-names":false,"suffix":""},{"dropping-particle":"","family":"Leiter","given":"Lawrence A.","non-dropping-particle":"","parse-names":false,"suffix":""},{"dropping-particle":"","family":"Lonn","given":"Eva","non-dropping-particle":"","parse-names":false,"suffix":""},{"dropping-particle":"","family":"Mancini","given":"G. B John","non-dropping-particle":"","parse-names":false,"suffix":""},{"dropping-particle":"","family":"McPherson","given":"Ruth","non-dropping-particle":"","parse-names":false,"suffix":""},{"dropping-particle":"","family":"Ngui","given":"Daniel","non-dropping-particle":"","parse-names":false,"suffix":""},{"dropping-particle":"","family":"Poirier","given":"Paul","non-dropping-particle":"","parse-names":false,"suffix":""},{"dropping-particle":"","family":"Sievenpiper","given":"John L.","non-dropping-particle":"","parse-names":false,"suffix":""},{"dropping-particle":"","family":"Stone","given":"James A.","non-dropping-particle":"","parse-names":false,"suffix":""},{"dropping-particle":"","family":"Thanassoulis","given":"George","non-dropping-particle":"","parse-names":false,"suffix":""},{"dropping-particle":"","family":"Ward","given":"Richard","non-dropping-particle":"","parse-names":false,"suffix":""}],"container-title":"Canadian Journal of Cardiology","id":"ITEM-1","issue":"11","issued":{"date-parts":[["2016"]]},"title":"2016 Canadian Cardiovascular Society Guidelines for the Management of Dyslipidemia for the Prevention of Cardiovascular Disease in the Adult","type":"article-journal","volume":"32"},"uris":["http://www.mendeley.com/documents/?uuid=e1dd7ed9-56cc-3035-85d3-905728c23fbb"]}],"mendeley":{"formattedCitation":"[24]","manualFormatting":"[24, р. 1265]","plainTextFormattedCitation":"[24]","previouslyFormattedCitation":"[24]"},"properties":{"noteIndex":0},"schema":"https://github.com/citation-style-language/schema/raw/master/csl-citation.json"}</w:instrText>
      </w:r>
      <w:r w:rsidR="00EA0E64">
        <w:rPr>
          <w:rFonts w:ascii="Times New Roman" w:hAnsi="Times New Roman" w:cs="Times New Roman"/>
          <w:sz w:val="28"/>
          <w:szCs w:val="28"/>
        </w:rPr>
        <w:fldChar w:fldCharType="separate"/>
      </w:r>
      <w:r w:rsidR="00EC4CA3" w:rsidRPr="00EC4CA3">
        <w:rPr>
          <w:rFonts w:ascii="Times New Roman" w:hAnsi="Times New Roman" w:cs="Times New Roman"/>
          <w:noProof/>
          <w:sz w:val="28"/>
          <w:szCs w:val="28"/>
        </w:rPr>
        <w:t>[24</w:t>
      </w:r>
      <w:r w:rsidR="00EC4CA3">
        <w:rPr>
          <w:rFonts w:ascii="Times New Roman" w:hAnsi="Times New Roman" w:cs="Times New Roman"/>
          <w:noProof/>
          <w:sz w:val="28"/>
          <w:szCs w:val="28"/>
        </w:rPr>
        <w:t>, р. 1265</w:t>
      </w:r>
      <w:r w:rsidR="00EC4CA3" w:rsidRPr="00EC4CA3">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В Канаде применя</w:t>
      </w:r>
      <w:r w:rsidR="005346D6">
        <w:rPr>
          <w:rFonts w:ascii="Times New Roman" w:hAnsi="Times New Roman" w:cs="Times New Roman"/>
          <w:sz w:val="28"/>
          <w:szCs w:val="28"/>
          <w:lang w:val="kk-KZ"/>
        </w:rPr>
        <w:t>ю</w:t>
      </w:r>
      <w:r w:rsidR="00AB12B3">
        <w:rPr>
          <w:rFonts w:ascii="Times New Roman" w:hAnsi="Times New Roman" w:cs="Times New Roman"/>
          <w:sz w:val="28"/>
          <w:szCs w:val="28"/>
        </w:rPr>
        <w:t xml:space="preserve">тся 2 шкалы оценки риска ССЗ: </w:t>
      </w:r>
      <w:r w:rsidR="00AB12B3">
        <w:rPr>
          <w:rFonts w:ascii="Times New Roman" w:hAnsi="Times New Roman" w:cs="Times New Roman"/>
          <w:sz w:val="28"/>
          <w:szCs w:val="28"/>
        </w:rPr>
        <w:lastRenderedPageBreak/>
        <w:t xml:space="preserve">Модель продолжительности жизни </w:t>
      </w:r>
      <w:r w:rsidR="007B4B2D">
        <w:rPr>
          <w:rFonts w:ascii="Times New Roman" w:hAnsi="Times New Roman" w:cs="Times New Roman"/>
          <w:sz w:val="28"/>
          <w:szCs w:val="28"/>
        </w:rPr>
        <w:t>ССС</w:t>
      </w:r>
      <w:r w:rsidR="00AB12B3">
        <w:rPr>
          <w:rFonts w:ascii="Times New Roman" w:hAnsi="Times New Roman" w:cs="Times New Roman"/>
          <w:sz w:val="28"/>
          <w:szCs w:val="28"/>
        </w:rPr>
        <w:t xml:space="preserve"> (The</w:t>
      </w:r>
      <w:r w:rsidR="000E4E3F">
        <w:rPr>
          <w:rFonts w:ascii="Times New Roman" w:hAnsi="Times New Roman" w:cs="Times New Roman"/>
          <w:sz w:val="28"/>
          <w:szCs w:val="28"/>
        </w:rPr>
        <w:t xml:space="preserve"> </w:t>
      </w:r>
      <w:r w:rsidR="00AB12B3">
        <w:rPr>
          <w:rFonts w:ascii="Times New Roman" w:hAnsi="Times New Roman" w:cs="Times New Roman"/>
          <w:sz w:val="28"/>
          <w:szCs w:val="28"/>
        </w:rPr>
        <w:t>Cardiovascular</w:t>
      </w:r>
      <w:r w:rsidR="000E4E3F">
        <w:rPr>
          <w:rFonts w:ascii="Times New Roman" w:hAnsi="Times New Roman" w:cs="Times New Roman"/>
          <w:sz w:val="28"/>
          <w:szCs w:val="28"/>
        </w:rPr>
        <w:t xml:space="preserve"> </w:t>
      </w:r>
      <w:r w:rsidR="00AB12B3">
        <w:rPr>
          <w:rFonts w:ascii="Times New Roman" w:hAnsi="Times New Roman" w:cs="Times New Roman"/>
          <w:sz w:val="28"/>
          <w:szCs w:val="28"/>
        </w:rPr>
        <w:t>Life</w:t>
      </w:r>
      <w:r w:rsidR="000E4E3F">
        <w:rPr>
          <w:rFonts w:ascii="Times New Roman" w:hAnsi="Times New Roman" w:cs="Times New Roman"/>
          <w:sz w:val="28"/>
          <w:szCs w:val="28"/>
        </w:rPr>
        <w:t xml:space="preserve"> </w:t>
      </w:r>
      <w:r w:rsidR="00AB12B3">
        <w:rPr>
          <w:rFonts w:ascii="Times New Roman" w:hAnsi="Times New Roman" w:cs="Times New Roman"/>
          <w:sz w:val="28"/>
          <w:szCs w:val="28"/>
        </w:rPr>
        <w:t>Expectancy</w:t>
      </w:r>
      <w:r w:rsidR="000E4E3F">
        <w:rPr>
          <w:rFonts w:ascii="Times New Roman" w:hAnsi="Times New Roman" w:cs="Times New Roman"/>
          <w:sz w:val="28"/>
          <w:szCs w:val="28"/>
        </w:rPr>
        <w:t xml:space="preserve"> </w:t>
      </w:r>
      <w:r w:rsidR="00AB12B3">
        <w:rPr>
          <w:rFonts w:ascii="Times New Roman" w:hAnsi="Times New Roman" w:cs="Times New Roman"/>
          <w:sz w:val="28"/>
          <w:szCs w:val="28"/>
        </w:rPr>
        <w:t>Model (CLEM)) и Шкала оценки риска исследования сердца Фрамингема (The</w:t>
      </w:r>
      <w:r w:rsidR="000E4E3F">
        <w:rPr>
          <w:rFonts w:ascii="Times New Roman" w:hAnsi="Times New Roman" w:cs="Times New Roman"/>
          <w:sz w:val="28"/>
          <w:szCs w:val="28"/>
        </w:rPr>
        <w:t xml:space="preserve"> </w:t>
      </w:r>
      <w:r w:rsidR="00AB12B3">
        <w:rPr>
          <w:rFonts w:ascii="Times New Roman" w:hAnsi="Times New Roman" w:cs="Times New Roman"/>
          <w:sz w:val="28"/>
          <w:szCs w:val="28"/>
        </w:rPr>
        <w:t>Framingham</w:t>
      </w:r>
      <w:r w:rsidR="000E4E3F">
        <w:rPr>
          <w:rFonts w:ascii="Times New Roman" w:hAnsi="Times New Roman" w:cs="Times New Roman"/>
          <w:sz w:val="28"/>
          <w:szCs w:val="28"/>
        </w:rPr>
        <w:t xml:space="preserve"> </w:t>
      </w:r>
      <w:r w:rsidR="00AB12B3">
        <w:rPr>
          <w:rFonts w:ascii="Times New Roman" w:hAnsi="Times New Roman" w:cs="Times New Roman"/>
          <w:sz w:val="28"/>
          <w:szCs w:val="28"/>
        </w:rPr>
        <w:t>Heart</w:t>
      </w:r>
      <w:r w:rsidR="000E4E3F">
        <w:rPr>
          <w:rFonts w:ascii="Times New Roman" w:hAnsi="Times New Roman" w:cs="Times New Roman"/>
          <w:sz w:val="28"/>
          <w:szCs w:val="28"/>
        </w:rPr>
        <w:t xml:space="preserve"> </w:t>
      </w:r>
      <w:r w:rsidR="00AB12B3">
        <w:rPr>
          <w:rFonts w:ascii="Times New Roman" w:hAnsi="Times New Roman" w:cs="Times New Roman"/>
          <w:sz w:val="28"/>
          <w:szCs w:val="28"/>
        </w:rPr>
        <w:t>Study</w:t>
      </w:r>
      <w:r w:rsidR="000E4E3F">
        <w:rPr>
          <w:rFonts w:ascii="Times New Roman" w:hAnsi="Times New Roman" w:cs="Times New Roman"/>
          <w:sz w:val="28"/>
          <w:szCs w:val="28"/>
        </w:rPr>
        <w:t xml:space="preserve"> </w:t>
      </w:r>
      <w:r w:rsidR="00AB12B3">
        <w:rPr>
          <w:rFonts w:ascii="Times New Roman" w:hAnsi="Times New Roman" w:cs="Times New Roman"/>
          <w:sz w:val="28"/>
          <w:szCs w:val="28"/>
        </w:rPr>
        <w:t>Risk</w:t>
      </w:r>
      <w:r w:rsidR="000E4E3F">
        <w:rPr>
          <w:rFonts w:ascii="Times New Roman" w:hAnsi="Times New Roman" w:cs="Times New Roman"/>
          <w:sz w:val="28"/>
          <w:szCs w:val="28"/>
        </w:rPr>
        <w:t xml:space="preserve"> </w:t>
      </w:r>
      <w:r w:rsidR="00AB12B3">
        <w:rPr>
          <w:rFonts w:ascii="Times New Roman" w:hAnsi="Times New Roman" w:cs="Times New Roman"/>
          <w:sz w:val="28"/>
          <w:szCs w:val="28"/>
        </w:rPr>
        <w:t xml:space="preserve">Score (FRS)), которые </w:t>
      </w:r>
      <w:r w:rsidR="00261721">
        <w:rPr>
          <w:rFonts w:ascii="Times New Roman" w:hAnsi="Times New Roman" w:cs="Times New Roman"/>
          <w:sz w:val="28"/>
          <w:szCs w:val="28"/>
        </w:rPr>
        <w:t>проводят</w:t>
      </w:r>
      <w:r w:rsidR="00AB12B3">
        <w:rPr>
          <w:rFonts w:ascii="Times New Roman" w:hAnsi="Times New Roman" w:cs="Times New Roman"/>
          <w:sz w:val="28"/>
          <w:szCs w:val="28"/>
        </w:rPr>
        <w:t xml:space="preserve"> каждые 5 лет у мужчин и женщин в возрасте от 40 до 75 лет </w:t>
      </w:r>
      <w:r w:rsidR="00EA0E64">
        <w:rPr>
          <w:rFonts w:ascii="Times New Roman" w:hAnsi="Times New Roman" w:cs="Times New Roman"/>
          <w:sz w:val="28"/>
          <w:szCs w:val="28"/>
        </w:rPr>
        <w:fldChar w:fldCharType="begin" w:fldLock="1"/>
      </w:r>
      <w:r w:rsidR="00EC4CA3">
        <w:rPr>
          <w:rFonts w:ascii="Times New Roman" w:hAnsi="Times New Roman" w:cs="Times New Roman"/>
          <w:sz w:val="28"/>
          <w:szCs w:val="28"/>
        </w:rPr>
        <w:instrText>ADDIN CSL_CITATION {"citationItems":[{"id":"ITEM-1","itemData":{"DOI":"10.1016/j.cjca.2016.07.510","ISBN":"1916-7075 (Electronic)\\r0828-282X (Linking)","ISSN":"0828282X","PMID":"23351925","abstract":"Since the publication of the 2012 guidelines new literature has emerged to inform decision-making. The 2016 guidelines primary panel selected a number of clinically relevant questions and has produced updated recommendations, on the basis of important new findings. In subjects with clinical atherosclerosis, abdominal aortic aneurysm, most subjects with diabetes or chronic kidney disease, and those with low-density lipoprotein cholesterol ??? 5 mmol/L, statin therapy is recommended. For all others, there is an emphasis on risk assessment linked to lipid determination to optimize decision-making. We have recommended nonfasting lipid determination as a suitable alternative to fasting levels. Risk assessment and lipid determination should be considered in individuals older than 40 years of age or in those at increased risk regardless of age. Pharmacotherapy is generally not indicated for those at low Framingham Risk Score (FRS; &lt;10%). A wider range of patients are now eligible for statin therapy in the FRS intermediate risk category (10%-19%) and in those with a high FRS (&gt; 20%). Despite the controversy, we continue to advocate for low-density lipoprotein cholesterol targets for subjects who start therapy. Detailed recommendations are also presented for health behaviour modification that is indicated in all subjects. Finally, recommendation for the use of nonstatin medications is provided. Shared decision-making is vital because there are many areas in which clinical trials do not fully inform practice. The guidelines are meant to be a platform for meaningful conversation between patient and care provider so that individual decisions can be made for risk screening, assessment, and treatment.","author":[{"dropping-particle":"","family":"Anderson","given":"Todd J.","non-dropping-particle":"","parse-names":false,"suffix":""},{"dropping-particle":"","family":"Gr??goire","given":"Jean","non-dropping-particle":"","parse-names":false,"suffix":""},{"dropping-particle":"","family":"Pearson","given":"Glen J.","non-dropping-particle":"","parse-names":false,"suffix":""},{"dropping-particle":"","family":"Barry","given":"Arden R.","non-dropping-particle":"","parse-names":false,"suffix":""},{"dropping-particle":"","family":"Couture","given":"Patrick","non-dropping-particle":"","parse-names":false,"suffix":""},{"dropping-particle":"","family":"Dawes","given":"Martin","non-dropping-particle":"","parse-names":false,"suffix":""},{"dropping-particle":"","family":"Francis","given":"Gordon A.","non-dropping-particle":"","parse-names":false,"suffix":""},{"dropping-particle":"","family":"Genest","given":"Jacques","non-dropping-particle":"","parse-names":false,"suffix":""},{"dropping-particle":"","family":"Grover","given":"Steven","non-dropping-particle":"","parse-names":false,"suffix":""},{"dropping-particle":"","family":"Gupta","given":"Milan","non-dropping-particle":"","parse-names":false,"suffix":""},{"dropping-particle":"","family":"Hegele","given":"Robert A.","non-dropping-particle":"","parse-names":false,"suffix":""},{"dropping-particle":"","family":"Lau","given":"David C.","non-dropping-particle":"","parse-names":false,"suffix":""},{"dropping-particle":"","family":"Leiter","given":"Lawrence A.","non-dropping-particle":"","parse-names":false,"suffix":""},{"dropping-particle":"","family":"Lonn","given":"Eva","non-dropping-particle":"","parse-names":false,"suffix":""},{"dropping-particle":"","family":"Mancini","given":"G. B John","non-dropping-particle":"","parse-names":false,"suffix":""},{"dropping-particle":"","family":"McPherson","given":"Ruth","non-dropping-particle":"","parse-names":false,"suffix":""},{"dropping-particle":"","family":"Ngui","given":"Daniel","non-dropping-particle":"","parse-names":false,"suffix":""},{"dropping-particle":"","family":"Poirier","given":"Paul","non-dropping-particle":"","parse-names":false,"suffix":""},{"dropping-particle":"","family":"Sievenpiper","given":"John L.","non-dropping-particle":"","parse-names":false,"suffix":""},{"dropping-particle":"","family":"Stone","given":"James A.","non-dropping-particle":"","parse-names":false,"suffix":""},{"dropping-particle":"","family":"Thanassoulis","given":"George","non-dropping-particle":"","parse-names":false,"suffix":""},{"dropping-particle":"","family":"Ward","given":"Richard","non-dropping-particle":"","parse-names":false,"suffix":""}],"container-title":"Canadian Journal of Cardiology","id":"ITEM-1","issue":"11","issued":{"date-parts":[["2016"]]},"title":"2016 Canadian Cardiovascular Society Guidelines for the Management of Dyslipidemia for the Prevention of Cardiovascular Disease in the Adult","type":"article-journal","volume":"32"},"uris":["http://www.mendeley.com/documents/?uuid=e1dd7ed9-56cc-3035-85d3-905728c23fbb"]}],"mendeley":{"formattedCitation":"[24]","manualFormatting":"[24, р. 1265]","plainTextFormattedCitation":"[24]","previouslyFormattedCitation":"[24]"},"properties":{"noteIndex":0},"schema":"https://github.com/citation-style-language/schema/raw/master/csl-citation.json"}</w:instrText>
      </w:r>
      <w:r w:rsidR="00EA0E64">
        <w:rPr>
          <w:rFonts w:ascii="Times New Roman" w:hAnsi="Times New Roman" w:cs="Times New Roman"/>
          <w:sz w:val="28"/>
          <w:szCs w:val="28"/>
        </w:rPr>
        <w:fldChar w:fldCharType="separate"/>
      </w:r>
      <w:r w:rsidR="00EC4CA3" w:rsidRPr="00EC4CA3">
        <w:rPr>
          <w:rFonts w:ascii="Times New Roman" w:hAnsi="Times New Roman" w:cs="Times New Roman"/>
          <w:noProof/>
          <w:sz w:val="28"/>
          <w:szCs w:val="28"/>
        </w:rPr>
        <w:t>[24</w:t>
      </w:r>
      <w:r w:rsidR="00EC4CA3">
        <w:rPr>
          <w:rFonts w:ascii="Times New Roman" w:hAnsi="Times New Roman" w:cs="Times New Roman"/>
          <w:noProof/>
          <w:sz w:val="28"/>
          <w:szCs w:val="28"/>
        </w:rPr>
        <w:t>, р. 1265</w:t>
      </w:r>
      <w:r w:rsidR="00EC4CA3" w:rsidRPr="00EC4CA3">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Для подсч</w:t>
      </w:r>
      <w:r w:rsidR="007D0631">
        <w:rPr>
          <w:rFonts w:ascii="Times New Roman" w:hAnsi="Times New Roman" w:cs="Times New Roman"/>
          <w:sz w:val="28"/>
          <w:szCs w:val="28"/>
        </w:rPr>
        <w:t>ё</w:t>
      </w:r>
      <w:r w:rsidR="00AB12B3">
        <w:rPr>
          <w:rFonts w:ascii="Times New Roman" w:hAnsi="Times New Roman" w:cs="Times New Roman"/>
          <w:sz w:val="28"/>
          <w:szCs w:val="28"/>
        </w:rPr>
        <w:t xml:space="preserve">та сердечно – сосудистого возраста применяется CLEM, где от возраста пациента вычитается разница между его ожидаемой продолжительность жизни и средней ожидаемой продолжительностью жизни канадцев того же возраста и пола </w:t>
      </w:r>
      <w:r w:rsidR="00AB12B3" w:rsidRPr="00B35C47">
        <w:rPr>
          <w:rFonts w:ascii="Times New Roman" w:hAnsi="Times New Roman" w:cs="Times New Roman"/>
          <w:sz w:val="28"/>
          <w:szCs w:val="28"/>
        </w:rPr>
        <w:t>(</w:t>
      </w:r>
      <w:hyperlink r:id="rId17" w:history="1">
        <w:r w:rsidR="00AB12B3" w:rsidRPr="00B35C47">
          <w:rPr>
            <w:rStyle w:val="a3"/>
            <w:rFonts w:ascii="Times New Roman" w:hAnsi="Times New Roman" w:cs="Times New Roman"/>
            <w:sz w:val="28"/>
            <w:szCs w:val="28"/>
          </w:rPr>
          <w:t>http://www.chiprehab.com</w:t>
        </w:r>
      </w:hyperlink>
      <w:r w:rsidR="00AB12B3" w:rsidRPr="00B35C47">
        <w:rPr>
          <w:rFonts w:ascii="Times New Roman" w:hAnsi="Times New Roman" w:cs="Times New Roman"/>
          <w:sz w:val="28"/>
          <w:szCs w:val="28"/>
        </w:rPr>
        <w:t>)</w:t>
      </w:r>
      <w:r w:rsidR="000E4E3F">
        <w:rPr>
          <w:rFonts w:ascii="Times New Roman" w:hAnsi="Times New Roman" w:cs="Times New Roman"/>
          <w:sz w:val="28"/>
          <w:szCs w:val="28"/>
        </w:rPr>
        <w:t xml:space="preserve"> </w:t>
      </w:r>
      <w:r w:rsidR="00EA0E64" w:rsidRPr="00B35C47">
        <w:rPr>
          <w:rFonts w:ascii="Times New Roman" w:hAnsi="Times New Roman" w:cs="Times New Roman"/>
          <w:sz w:val="28"/>
          <w:szCs w:val="28"/>
        </w:rPr>
        <w:fldChar w:fldCharType="begin" w:fldLock="1"/>
      </w:r>
      <w:r w:rsidR="00EC4CA3">
        <w:rPr>
          <w:rFonts w:ascii="Times New Roman" w:hAnsi="Times New Roman" w:cs="Times New Roman"/>
          <w:sz w:val="28"/>
          <w:szCs w:val="28"/>
        </w:rPr>
        <w:instrText>ADDIN CSL_CITATION {"citationItems":[{"id":"ITEM-1","itemData":{"DOI":"10.1016/j.cjca.2016.07.510","ISBN":"1916-7075 (Electronic)\\r0828-282X (Linking)","ISSN":"0828282X","PMID":"23351925","abstract":"Since the publication of the 2012 guidelines new literature has emerged to inform decision-making. The 2016 guidelines primary panel selected a number of clinically relevant questions and has produced updated recommendations, on the basis of important new findings. In subjects with clinical atherosclerosis, abdominal aortic aneurysm, most subjects with diabetes or chronic kidney disease, and those with low-density lipoprotein cholesterol ??? 5 mmol/L, statin therapy is recommended. For all others, there is an emphasis on risk assessment linked to lipid determination to optimize decision-making. We have recommended nonfasting lipid determination as a suitable alternative to fasting levels. Risk assessment and lipid determination should be considered in individuals older than 40 years of age or in those at increased risk regardless of age. Pharmacotherapy is generally not indicated for those at low Framingham Risk Score (FRS; &lt;10%). A wider range of patients are now eligible for statin therapy in the FRS intermediate risk category (10%-19%) and in those with a high FRS (&gt; 20%). Despite the controversy, we continue to advocate for low-density lipoprotein cholesterol targets for subjects who start therapy. Detailed recommendations are also presented for health behaviour modification that is indicated in all subjects. Finally, recommendation for the use of nonstatin medications is provided. Shared decision-making is vital because there are many areas in which clinical trials do not fully inform practice. The guidelines are meant to be a platform for meaningful conversation between patient and care provider so that individual decisions can be made for risk screening, assessment, and treatment.","author":[{"dropping-particle":"","family":"Anderson","given":"Todd J.","non-dropping-particle":"","parse-names":false,"suffix":""},{"dropping-particle":"","family":"Gr??goire","given":"Jean","non-dropping-particle":"","parse-names":false,"suffix":""},{"dropping-particle":"","family":"Pearson","given":"Glen J.","non-dropping-particle":"","parse-names":false,"suffix":""},{"dropping-particle":"","family":"Barry","given":"Arden R.","non-dropping-particle":"","parse-names":false,"suffix":""},{"dropping-particle":"","family":"Couture","given":"Patrick","non-dropping-particle":"","parse-names":false,"suffix":""},{"dropping-particle":"","family":"Dawes","given":"Martin","non-dropping-particle":"","parse-names":false,"suffix":""},{"dropping-particle":"","family":"Francis","given":"Gordon A.","non-dropping-particle":"","parse-names":false,"suffix":""},{"dropping-particle":"","family":"Genest","given":"Jacques","non-dropping-particle":"","parse-names":false,"suffix":""},{"dropping-particle":"","family":"Grover","given":"Steven","non-dropping-particle":"","parse-names":false,"suffix":""},{"dropping-particle":"","family":"Gupta","given":"Milan","non-dropping-particle":"","parse-names":false,"suffix":""},{"dropping-particle":"","family":"Hegele","given":"Robert A.","non-dropping-particle":"","parse-names":false,"suffix":""},{"dropping-particle":"","family":"Lau","given":"David C.","non-dropping-particle":"","parse-names":false,"suffix":""},{"dropping-particle":"","family":"Leiter","given":"Lawrence A.","non-dropping-particle":"","parse-names":false,"suffix":""},{"dropping-particle":"","family":"Lonn","given":"Eva","non-dropping-particle":"","parse-names":false,"suffix":""},{"dropping-particle":"","family":"Mancini","given":"G. B John","non-dropping-particle":"","parse-names":false,"suffix":""},{"dropping-particle":"","family":"McPherson","given":"Ruth","non-dropping-particle":"","parse-names":false,"suffix":""},{"dropping-particle":"","family":"Ngui","given":"Daniel","non-dropping-particle":"","parse-names":false,"suffix":""},{"dropping-particle":"","family":"Poirier","given":"Paul","non-dropping-particle":"","parse-names":false,"suffix":""},{"dropping-particle":"","family":"Sievenpiper","given":"John L.","non-dropping-particle":"","parse-names":false,"suffix":""},{"dropping-particle":"","family":"Stone","given":"James A.","non-dropping-particle":"","parse-names":false,"suffix":""},{"dropping-particle":"","family":"Thanassoulis","given":"George","non-dropping-particle":"","parse-names":false,"suffix":""},{"dropping-particle":"","family":"Ward","given":"Richard","non-dropping-particle":"","parse-names":false,"suffix":""}],"container-title":"Canadian Journal of Cardiology","id":"ITEM-1","issue":"11","issued":{"date-parts":[["2016"]]},"title":"2016 Canadian Cardiovascular Society Guidelines for the Management of Dyslipidemia for the Prevention of Cardiovascular Disease in the Adult","type":"article-journal","volume":"32"},"uris":["http://www.mendeley.com/documents/?uuid=e1dd7ed9-56cc-3035-85d3-905728c23fbb"]}],"mendeley":{"formattedCitation":"[24]","manualFormatting":"[24, р. 1265]","plainTextFormattedCitation":"[24]","previouslyFormattedCitation":"[24]"},"properties":{"noteIndex":0},"schema":"https://github.com/citation-style-language/schema/raw/master/csl-citation.json"}</w:instrText>
      </w:r>
      <w:r w:rsidR="00EA0E64" w:rsidRPr="00B35C47">
        <w:rPr>
          <w:rFonts w:ascii="Times New Roman" w:hAnsi="Times New Roman" w:cs="Times New Roman"/>
          <w:sz w:val="28"/>
          <w:szCs w:val="28"/>
        </w:rPr>
        <w:fldChar w:fldCharType="separate"/>
      </w:r>
      <w:r w:rsidR="00EC4CA3" w:rsidRPr="00EC4CA3">
        <w:rPr>
          <w:rFonts w:ascii="Times New Roman" w:hAnsi="Times New Roman" w:cs="Times New Roman"/>
          <w:noProof/>
          <w:sz w:val="28"/>
          <w:szCs w:val="28"/>
        </w:rPr>
        <w:t>[24</w:t>
      </w:r>
      <w:r w:rsidR="00EC4CA3">
        <w:rPr>
          <w:rFonts w:ascii="Times New Roman" w:hAnsi="Times New Roman" w:cs="Times New Roman"/>
          <w:noProof/>
          <w:sz w:val="28"/>
          <w:szCs w:val="28"/>
        </w:rPr>
        <w:t>, р. 1265</w:t>
      </w:r>
      <w:r w:rsidR="00EC4CA3" w:rsidRPr="00EC4CA3">
        <w:rPr>
          <w:rFonts w:ascii="Times New Roman" w:hAnsi="Times New Roman" w:cs="Times New Roman"/>
          <w:noProof/>
          <w:sz w:val="28"/>
          <w:szCs w:val="28"/>
        </w:rPr>
        <w:t>]</w:t>
      </w:r>
      <w:r w:rsidR="00EA0E64" w:rsidRPr="00B35C47">
        <w:rPr>
          <w:rFonts w:ascii="Times New Roman" w:hAnsi="Times New Roman" w:cs="Times New Roman"/>
          <w:sz w:val="28"/>
          <w:szCs w:val="28"/>
        </w:rPr>
        <w:fldChar w:fldCharType="end"/>
      </w:r>
      <w:r w:rsidR="00AB12B3" w:rsidRPr="00B35C47">
        <w:rPr>
          <w:rFonts w:ascii="Times New Roman" w:hAnsi="Times New Roman" w:cs="Times New Roman"/>
          <w:sz w:val="28"/>
          <w:szCs w:val="28"/>
        </w:rPr>
        <w:t>. Также CLEM автоматически корректирует годовой риск при наличии семейного анамнеза. Для лиц от 30 до 59 лет, которые не имеют СД и имеют семейный анамнез преждевременных ССЗ у родителей FRS повышался в 2 раза. Десятилетний процент FRS, удвоенный за счет семейного анамнеза преждевременных ССЗ, называется «модифицированным FRS»</w:t>
      </w:r>
      <w:r w:rsidR="000E4E3F">
        <w:rPr>
          <w:rFonts w:ascii="Times New Roman" w:hAnsi="Times New Roman" w:cs="Times New Roman"/>
          <w:sz w:val="28"/>
          <w:szCs w:val="28"/>
        </w:rPr>
        <w:t xml:space="preserve"> </w:t>
      </w:r>
    </w:p>
    <w:p w:rsidR="00AB12B3" w:rsidRPr="00250354" w:rsidRDefault="00AB12B3" w:rsidP="000E4E3F">
      <w:pPr>
        <w:spacing w:after="0" w:line="240" w:lineRule="auto"/>
        <w:jc w:val="both"/>
        <w:rPr>
          <w:rFonts w:ascii="Times New Roman" w:hAnsi="Times New Roman" w:cs="Times New Roman"/>
          <w:sz w:val="28"/>
          <w:szCs w:val="28"/>
          <w:lang w:val="kk-KZ"/>
        </w:rPr>
      </w:pPr>
      <w:r w:rsidRPr="00250354">
        <w:rPr>
          <w:rFonts w:ascii="Times New Roman" w:hAnsi="Times New Roman" w:cs="Times New Roman"/>
          <w:sz w:val="28"/>
          <w:szCs w:val="28"/>
          <w:lang w:val="kk-KZ"/>
        </w:rPr>
        <w:t>(</w:t>
      </w:r>
      <w:hyperlink r:id="rId18" w:history="1">
        <w:r w:rsidRPr="00250354">
          <w:rPr>
            <w:rStyle w:val="a3"/>
            <w:rFonts w:ascii="Times New Roman" w:hAnsi="Times New Roman" w:cs="Times New Roman"/>
            <w:sz w:val="28"/>
            <w:szCs w:val="28"/>
            <w:lang w:val="kk-KZ"/>
          </w:rPr>
          <w:t>http://www.ccs.ca/en/guidelines/guideline-resources</w:t>
        </w:r>
      </w:hyperlink>
      <w:r w:rsidRPr="00250354">
        <w:rPr>
          <w:rFonts w:ascii="Times New Roman" w:hAnsi="Times New Roman" w:cs="Times New Roman"/>
          <w:sz w:val="28"/>
          <w:szCs w:val="28"/>
          <w:lang w:val="kk-KZ"/>
        </w:rPr>
        <w:t xml:space="preserve">). </w:t>
      </w:r>
    </w:p>
    <w:p w:rsidR="00AB12B3" w:rsidRDefault="00230452"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оценки 10 – летнего риска развития </w:t>
      </w:r>
      <w:r w:rsidR="00FB406A">
        <w:rPr>
          <w:rFonts w:ascii="Times New Roman" w:hAnsi="Times New Roman" w:cs="Times New Roman"/>
          <w:sz w:val="28"/>
          <w:szCs w:val="28"/>
        </w:rPr>
        <w:t>сердечно - сосудистого</w:t>
      </w:r>
      <w:r>
        <w:rPr>
          <w:rFonts w:ascii="Times New Roman" w:hAnsi="Times New Roman" w:cs="Times New Roman"/>
          <w:sz w:val="28"/>
          <w:szCs w:val="28"/>
        </w:rPr>
        <w:t xml:space="preserve"> события в III Руководстве по лечению взрослых NCEP рекомендует </w:t>
      </w:r>
      <w:r w:rsidR="00AB12B3">
        <w:rPr>
          <w:rFonts w:ascii="Times New Roman" w:hAnsi="Times New Roman" w:cs="Times New Roman"/>
          <w:sz w:val="28"/>
          <w:szCs w:val="28"/>
        </w:rPr>
        <w:t>использовать FRS</w:t>
      </w:r>
      <w:r w:rsidR="000E4E3F">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{"citationItems":[{"id":"ITEM-1","itemData":{"DOI":"10.18553/jmcp.2003.9.s1.2","ISSN":"1083-4087","PMID":"14613351","abstract":"Coronary heart disease (CHD) persists as a major cause of morbidity and mortality in the United States, with more than 40% of all deaths each year directly attributed to the disease. Dyslipidemia is recognized as a major risk factor for the development and progression of CHD, with clinical trials clearly demonstrating the public health and economic benefits of favorable cholesterol modification. As a result of this evidence, the National Cholesterol Education Program (NCEP) has developed guidelines for the detection, evaluation, and treatment of high blood cholesterol in adults. The most recent of the NCEP recommendations, the Adult Treatment Panel III (ATP III) guidelines, were released in May 2001 and build on the earlier editions and reiterate the importance of low-density lipoprotein cholesterol (LDL-C) reduction to modify CHD risk. New features of the guidelines include the identification of CHD risk equivalents; lower treatment target goals; an emphasis on conditions conferring a higher risk for CHD, such as the metabolic syndrome; and a scoring system for calculating CHD risk. The ATP III emphasis on risk assessment will result in a substantial increase in the number of patients considered at risk for CHD and will expand the number eligible for lifestyle and drug intervention.","author":[{"dropping-particle":"","family":"Lipsy","given":"Robert J.","non-dropping-particle":"","parse-names":false,"suffix":""}],"container-title":"Journal of managed care pharmacy : JMCP","id":"ITEM-1","issue":"1 Suppl","issued":{"date-parts":[["2003","1","1"]]},"page":"2-5","title":"The National Cholesterol Education Program Adult Treatment Panel III guidelines.","type":"article-journal","volume":"9"},"uris":["http://www.mendeley.com/documents/?uuid=193b615c-f230-40a6-aaab-00fedb0efc58"]}],"mendeley":{"formattedCitation":"[46]","plainTextFormattedCitation":"[46]","previouslyFormattedCitation":"[46]"},"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[46]</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Это шкала рассчитывает баллы по наличию 6 основных факторов риска </w:t>
      </w:r>
      <w:r w:rsidR="006E111D">
        <w:rPr>
          <w:rFonts w:ascii="Times New Roman" w:hAnsi="Times New Roman" w:cs="Times New Roman"/>
          <w:sz w:val="28"/>
          <w:szCs w:val="28"/>
        </w:rPr>
        <w:t>ишемической болезни сердца (</w:t>
      </w:r>
      <w:r w:rsidR="00AB12B3">
        <w:rPr>
          <w:rFonts w:ascii="Times New Roman" w:hAnsi="Times New Roman" w:cs="Times New Roman"/>
          <w:sz w:val="28"/>
          <w:szCs w:val="28"/>
        </w:rPr>
        <w:t>ИБС</w:t>
      </w:r>
      <w:r w:rsidR="006E111D">
        <w:rPr>
          <w:rFonts w:ascii="Times New Roman" w:hAnsi="Times New Roman" w:cs="Times New Roman"/>
          <w:sz w:val="28"/>
          <w:szCs w:val="28"/>
        </w:rPr>
        <w:t>)</w:t>
      </w:r>
      <w:r w:rsidR="00AB12B3">
        <w:rPr>
          <w:rFonts w:ascii="Times New Roman" w:hAnsi="Times New Roman" w:cs="Times New Roman"/>
          <w:sz w:val="28"/>
          <w:szCs w:val="28"/>
        </w:rPr>
        <w:t xml:space="preserve">, такие как, возраст, пол, ОХС, </w:t>
      </w:r>
      <w:r w:rsidR="00141B8E">
        <w:rPr>
          <w:rFonts w:ascii="Times New Roman" w:hAnsi="Times New Roman" w:cs="Times New Roman"/>
          <w:sz w:val="28"/>
          <w:szCs w:val="28"/>
        </w:rPr>
        <w:t>систолическое АД (</w:t>
      </w:r>
      <w:r w:rsidR="00AB12B3">
        <w:rPr>
          <w:rFonts w:ascii="Times New Roman" w:hAnsi="Times New Roman" w:cs="Times New Roman"/>
          <w:sz w:val="28"/>
          <w:szCs w:val="28"/>
        </w:rPr>
        <w:t>САД</w:t>
      </w:r>
      <w:r w:rsidR="00141B8E">
        <w:rPr>
          <w:rFonts w:ascii="Times New Roman" w:hAnsi="Times New Roman" w:cs="Times New Roman"/>
          <w:sz w:val="28"/>
          <w:szCs w:val="28"/>
        </w:rPr>
        <w:t>)</w:t>
      </w:r>
      <w:r w:rsidR="00AB12B3">
        <w:rPr>
          <w:rFonts w:ascii="Times New Roman" w:hAnsi="Times New Roman" w:cs="Times New Roman"/>
          <w:sz w:val="28"/>
          <w:szCs w:val="28"/>
        </w:rPr>
        <w:t xml:space="preserve">, уровень ЛПВП, статус курения. В результате сложения всех баллов </w:t>
      </w:r>
      <w:r w:rsidR="007A689A">
        <w:rPr>
          <w:rFonts w:ascii="Times New Roman" w:hAnsi="Times New Roman" w:cs="Times New Roman"/>
          <w:sz w:val="28"/>
          <w:szCs w:val="28"/>
        </w:rPr>
        <w:t>входит сумма</w:t>
      </w:r>
      <w:r w:rsidR="00AB12B3">
        <w:rPr>
          <w:rFonts w:ascii="Times New Roman" w:hAnsi="Times New Roman" w:cs="Times New Roman"/>
          <w:sz w:val="28"/>
          <w:szCs w:val="28"/>
        </w:rPr>
        <w:t xml:space="preserve"> оценки риска развития коронарных событий на 10 лет. Пациенты, имеющие подтвержденный диагноз ИБС</w:t>
      </w:r>
      <w:r w:rsidR="000E4E3F">
        <w:rPr>
          <w:rFonts w:ascii="Times New Roman" w:hAnsi="Times New Roman" w:cs="Times New Roman"/>
          <w:sz w:val="28"/>
          <w:szCs w:val="28"/>
        </w:rPr>
        <w:t>,</w:t>
      </w:r>
      <w:r w:rsidR="00AB12B3">
        <w:rPr>
          <w:rFonts w:ascii="Times New Roman" w:hAnsi="Times New Roman" w:cs="Times New Roman"/>
          <w:sz w:val="28"/>
          <w:szCs w:val="28"/>
        </w:rPr>
        <w:t xml:space="preserve"> автоматически входят в группу высокого риска (10 – летний риск коронарного </w:t>
      </w:r>
      <w:r w:rsidR="00A4367E">
        <w:rPr>
          <w:rFonts w:ascii="Times New Roman" w:hAnsi="Times New Roman" w:cs="Times New Roman"/>
          <w:sz w:val="28"/>
          <w:szCs w:val="28"/>
        </w:rPr>
        <w:t>события&gt;</w:t>
      </w:r>
      <w:r w:rsidR="00AB12B3">
        <w:rPr>
          <w:rFonts w:ascii="Times New Roman" w:hAnsi="Times New Roman" w:cs="Times New Roman"/>
          <w:sz w:val="28"/>
          <w:szCs w:val="28"/>
        </w:rPr>
        <w:t xml:space="preserve"> 20%). Также указываются эквиваленты ИБС, это СД, заболевания периферических артерий, болезни сонной артерии, аневризма брюшной аорты. </w:t>
      </w:r>
    </w:p>
    <w:p w:rsidR="00AB12B3" w:rsidRDefault="000E4E3F"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w:t>
      </w:r>
      <w:r w:rsidR="00AE3389">
        <w:rPr>
          <w:rFonts w:ascii="Times New Roman" w:hAnsi="Times New Roman" w:cs="Times New Roman"/>
          <w:sz w:val="28"/>
          <w:szCs w:val="28"/>
        </w:rPr>
        <w:t>результате взаимодействующих факторов риска</w:t>
      </w:r>
      <w:r>
        <w:rPr>
          <w:rFonts w:ascii="Times New Roman" w:hAnsi="Times New Roman" w:cs="Times New Roman"/>
          <w:sz w:val="28"/>
          <w:szCs w:val="28"/>
        </w:rPr>
        <w:t xml:space="preserve"> </w:t>
      </w:r>
      <w:r w:rsidR="00AE3389">
        <w:rPr>
          <w:rFonts w:ascii="Times New Roman" w:hAnsi="Times New Roman" w:cs="Times New Roman"/>
          <w:sz w:val="28"/>
          <w:szCs w:val="28"/>
        </w:rPr>
        <w:t>формируется</w:t>
      </w:r>
      <w:r>
        <w:rPr>
          <w:rFonts w:ascii="Times New Roman" w:hAnsi="Times New Roman" w:cs="Times New Roman"/>
          <w:sz w:val="28"/>
          <w:szCs w:val="28"/>
        </w:rPr>
        <w:t xml:space="preserve"> </w:t>
      </w:r>
      <w:r w:rsidR="00AE3389">
        <w:rPr>
          <w:rFonts w:ascii="Times New Roman" w:hAnsi="Times New Roman" w:cs="Times New Roman"/>
          <w:sz w:val="28"/>
          <w:szCs w:val="28"/>
          <w:lang w:val="kk-KZ"/>
        </w:rPr>
        <w:t>р</w:t>
      </w:r>
      <w:r w:rsidR="00AE3389">
        <w:rPr>
          <w:rFonts w:ascii="Times New Roman" w:hAnsi="Times New Roman" w:cs="Times New Roman"/>
          <w:sz w:val="28"/>
          <w:szCs w:val="28"/>
        </w:rPr>
        <w:t>иск</w:t>
      </w:r>
      <w:r>
        <w:rPr>
          <w:rFonts w:ascii="Times New Roman" w:hAnsi="Times New Roman" w:cs="Times New Roman"/>
          <w:sz w:val="28"/>
          <w:szCs w:val="28"/>
        </w:rPr>
        <w:t xml:space="preserve"> </w:t>
      </w:r>
      <w:r w:rsidR="00AE3389">
        <w:rPr>
          <w:rFonts w:ascii="Times New Roman" w:hAnsi="Times New Roman" w:cs="Times New Roman"/>
          <w:sz w:val="28"/>
          <w:szCs w:val="28"/>
        </w:rPr>
        <w:t xml:space="preserve">ССЗ </w:t>
      </w:r>
      <w:r w:rsidR="00AE3389">
        <w:rPr>
          <w:rFonts w:ascii="Times New Roman" w:hAnsi="Times New Roman" w:cs="Times New Roman"/>
          <w:sz w:val="28"/>
          <w:szCs w:val="28"/>
          <w:lang w:val="kk-KZ"/>
        </w:rPr>
        <w:t>у</w:t>
      </w:r>
      <w:r w:rsidR="007A689A">
        <w:rPr>
          <w:rFonts w:ascii="Times New Roman" w:hAnsi="Times New Roman" w:cs="Times New Roman"/>
          <w:sz w:val="28"/>
          <w:szCs w:val="28"/>
        </w:rPr>
        <w:t xml:space="preserve"> здоровых людей </w:t>
      </w:r>
      <w:r w:rsidR="00EA0E64">
        <w:rPr>
          <w:rFonts w:ascii="Times New Roman" w:hAnsi="Times New Roman" w:cs="Times New Roman"/>
          <w:sz w:val="28"/>
          <w:szCs w:val="28"/>
        </w:rPr>
        <w:fldChar w:fldCharType="begin" w:fldLock="1"/>
      </w:r>
      <w:r w:rsidR="00EC4CA3">
        <w:rPr>
          <w:rFonts w:ascii="Times New Roman" w:hAnsi="Times New Roman" w:cs="Times New Roman"/>
          <w:sz w:val="28"/>
          <w:szCs w:val="28"/>
        </w:rPr>
        <w:instrText>ADDIN CSL_CITATION {"citationItems":[{"id":"ITEM-1","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Journal","id":"ITEM-1","issue":"1","issued":{"date-parts":[["2020","1","1"]]},"page":"111-188","title":"2019 ESC/EAS Guidelines for the management of dyslipidaemias: lipid modification to reduce cardiovascular risk","type":"article-journal","volume":"41"},"uris":["http://www.mendeley.com/documents/?uuid=596ff8fa-459c-486e-8041-242d096c7b8b"]}],"mendeley":{"formattedCitation":"[2]","manualFormatting":"[2, р. 118]","plainTextFormattedCitation":"[2]","previouslyFormattedCitation":"[2]"},"properties":{"noteIndex":0},"schema":"https://github.com/citation-style-language/schema/raw/master/csl-citation.json"}</w:instrText>
      </w:r>
      <w:r w:rsidR="00EA0E64">
        <w:rPr>
          <w:rFonts w:ascii="Times New Roman" w:hAnsi="Times New Roman" w:cs="Times New Roman"/>
          <w:sz w:val="28"/>
          <w:szCs w:val="28"/>
        </w:rPr>
        <w:fldChar w:fldCharType="separate"/>
      </w:r>
      <w:r w:rsidR="00EC4CA3" w:rsidRPr="00EC4CA3">
        <w:rPr>
          <w:rFonts w:ascii="Times New Roman" w:hAnsi="Times New Roman" w:cs="Times New Roman"/>
          <w:noProof/>
          <w:sz w:val="28"/>
          <w:szCs w:val="28"/>
        </w:rPr>
        <w:t>[2</w:t>
      </w:r>
      <w:r w:rsidR="00EC4CA3">
        <w:rPr>
          <w:rFonts w:ascii="Times New Roman" w:hAnsi="Times New Roman" w:cs="Times New Roman"/>
          <w:noProof/>
          <w:sz w:val="28"/>
          <w:szCs w:val="28"/>
        </w:rPr>
        <w:t>, р. 118</w:t>
      </w:r>
      <w:r w:rsidR="00EC4CA3" w:rsidRPr="00EC4CA3">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lang w:val="kk-KZ"/>
        </w:rPr>
        <w:t>, поэтому у</w:t>
      </w:r>
      <w:r>
        <w:rPr>
          <w:rFonts w:ascii="Times New Roman" w:hAnsi="Times New Roman" w:cs="Times New Roman"/>
          <w:sz w:val="28"/>
          <w:szCs w:val="28"/>
        </w:rPr>
        <w:t xml:space="preserve"> </w:t>
      </w:r>
      <w:r w:rsidR="00AB12B3">
        <w:rPr>
          <w:rFonts w:ascii="Times New Roman" w:hAnsi="Times New Roman" w:cs="Times New Roman"/>
          <w:sz w:val="28"/>
          <w:szCs w:val="28"/>
        </w:rPr>
        <w:t xml:space="preserve">мужчин </w:t>
      </w:r>
      <w:r w:rsidR="00AE3389">
        <w:rPr>
          <w:rFonts w:ascii="Times New Roman" w:hAnsi="Times New Roman" w:cs="Times New Roman"/>
          <w:sz w:val="28"/>
          <w:szCs w:val="28"/>
        </w:rPr>
        <w:t xml:space="preserve">надо проводит </w:t>
      </w:r>
      <w:r w:rsidR="00AE3389">
        <w:rPr>
          <w:rFonts w:ascii="Times New Roman" w:hAnsi="Times New Roman" w:cs="Times New Roman"/>
          <w:sz w:val="28"/>
          <w:szCs w:val="28"/>
          <w:lang w:val="kk-KZ"/>
        </w:rPr>
        <w:t>с</w:t>
      </w:r>
      <w:r w:rsidR="00AE3389">
        <w:rPr>
          <w:rFonts w:ascii="Times New Roman" w:hAnsi="Times New Roman" w:cs="Times New Roman"/>
          <w:sz w:val="28"/>
          <w:szCs w:val="28"/>
        </w:rPr>
        <w:t xml:space="preserve">крининг факторов риска ССЗ </w:t>
      </w:r>
      <w:r w:rsidR="00AB12B3">
        <w:rPr>
          <w:rFonts w:ascii="Times New Roman" w:hAnsi="Times New Roman" w:cs="Times New Roman"/>
          <w:sz w:val="28"/>
          <w:szCs w:val="28"/>
        </w:rPr>
        <w:t>после 40 лет</w:t>
      </w:r>
      <w:r w:rsidR="00D31C94">
        <w:rPr>
          <w:rFonts w:ascii="Times New Roman" w:hAnsi="Times New Roman" w:cs="Times New Roman"/>
          <w:sz w:val="28"/>
          <w:szCs w:val="28"/>
        </w:rPr>
        <w:t>, а</w:t>
      </w:r>
      <w:r w:rsidR="00AB12B3">
        <w:rPr>
          <w:rFonts w:ascii="Times New Roman" w:hAnsi="Times New Roman" w:cs="Times New Roman"/>
          <w:sz w:val="28"/>
          <w:szCs w:val="28"/>
        </w:rPr>
        <w:t xml:space="preserve"> у женщин </w:t>
      </w:r>
      <w:r w:rsidR="00AE3389">
        <w:rPr>
          <w:rFonts w:ascii="Times New Roman" w:hAnsi="Times New Roman" w:cs="Times New Roman"/>
          <w:sz w:val="28"/>
          <w:szCs w:val="28"/>
          <w:lang w:val="kk-KZ"/>
        </w:rPr>
        <w:t xml:space="preserve">- </w:t>
      </w:r>
      <w:r w:rsidR="00AB12B3">
        <w:rPr>
          <w:rFonts w:ascii="Times New Roman" w:hAnsi="Times New Roman" w:cs="Times New Roman"/>
          <w:sz w:val="28"/>
          <w:szCs w:val="28"/>
        </w:rPr>
        <w:t>после 50 лет или после менопаузы</w:t>
      </w:r>
      <w:r>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EC4CA3">
        <w:rPr>
          <w:rFonts w:ascii="Times New Roman" w:hAnsi="Times New Roman" w:cs="Times New Roman"/>
          <w:sz w:val="28"/>
          <w:szCs w:val="28"/>
        </w:rPr>
        <w:instrText>ADDIN CSL_CITATION {"citationItems":[{"id":"ITEM-1","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Journal","id":"ITEM-1","issue":"1","issued":{"date-parts":[["2020","1","1"]]},"page":"111-188","title":"2019 ESC/EAS Guidelines for the management of dyslipidaemias: lipid modification to reduce cardiovascular risk","type":"article-journal","volume":"41"},"uris":["http://www.mendeley.com/documents/?uuid=596ff8fa-459c-486e-8041-242d096c7b8b"]}],"mendeley":{"formattedCitation":"[2]","manualFormatting":"[2, р. 118]","plainTextFormattedCitation":"[2]","previouslyFormattedCitation":"[2]"},"properties":{"noteIndex":0},"schema":"https://github.com/citation-style-language/schema/raw/master/csl-citation.json"}</w:instrText>
      </w:r>
      <w:r w:rsidR="00EA0E64">
        <w:rPr>
          <w:rFonts w:ascii="Times New Roman" w:hAnsi="Times New Roman" w:cs="Times New Roman"/>
          <w:sz w:val="28"/>
          <w:szCs w:val="28"/>
        </w:rPr>
        <w:fldChar w:fldCharType="separate"/>
      </w:r>
      <w:r w:rsidR="00EC4CA3" w:rsidRPr="00EC4CA3">
        <w:rPr>
          <w:rFonts w:ascii="Times New Roman" w:hAnsi="Times New Roman" w:cs="Times New Roman"/>
          <w:noProof/>
          <w:sz w:val="28"/>
          <w:szCs w:val="28"/>
        </w:rPr>
        <w:t>[2</w:t>
      </w:r>
      <w:r w:rsidR="00EC4CA3">
        <w:rPr>
          <w:rFonts w:ascii="Times New Roman" w:hAnsi="Times New Roman" w:cs="Times New Roman"/>
          <w:noProof/>
          <w:sz w:val="28"/>
          <w:szCs w:val="28"/>
        </w:rPr>
        <w:t>, р. 118</w:t>
      </w:r>
      <w:r w:rsidR="00EC4CA3" w:rsidRPr="00EC4CA3">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Согласно рекомендации ESC/EAS 2019 по дислипидемии есть 4 категории </w:t>
      </w:r>
      <w:r w:rsidR="00D31C94">
        <w:rPr>
          <w:rFonts w:ascii="Times New Roman" w:hAnsi="Times New Roman" w:cs="Times New Roman"/>
          <w:sz w:val="28"/>
          <w:szCs w:val="28"/>
        </w:rPr>
        <w:t>ССР</w:t>
      </w:r>
      <w:r w:rsidR="00AB12B3">
        <w:rPr>
          <w:rFonts w:ascii="Times New Roman" w:hAnsi="Times New Roman" w:cs="Times New Roman"/>
          <w:sz w:val="28"/>
          <w:szCs w:val="28"/>
        </w:rPr>
        <w:t>: очень высокий риск, высокий риск</w:t>
      </w:r>
      <w:r w:rsidR="00D879BA">
        <w:rPr>
          <w:rFonts w:ascii="Century" w:hAnsi="Century" w:cs="Times New Roman"/>
          <w:sz w:val="28"/>
          <w:szCs w:val="28"/>
        </w:rPr>
        <w:t>,</w:t>
      </w:r>
      <w:r w:rsidR="00AB12B3">
        <w:rPr>
          <w:rFonts w:ascii="Times New Roman" w:hAnsi="Times New Roman" w:cs="Times New Roman"/>
          <w:sz w:val="28"/>
          <w:szCs w:val="28"/>
        </w:rPr>
        <w:t xml:space="preserve"> умеренный риск и низкий риск</w:t>
      </w:r>
      <w:r>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615095">
        <w:rPr>
          <w:rFonts w:ascii="Times New Roman" w:hAnsi="Times New Roman" w:cs="Times New Roman"/>
          <w:sz w:val="28"/>
          <w:szCs w:val="28"/>
        </w:rPr>
        <w:instrText>ADDIN CSL_CITATION {"citationItems":[{"id":"ITEM-1","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Journal","id":"ITEM-1","issue":"1","issued":{"date-parts":[["2020","1","1"]]},"page":"111-188","title":"2019 ESC/EAS Guidelines for the management of dyslipidaemias: lipid modification to reduce cardiovascular risk","type":"article-journal","volume":"41"},"uris":["http://www.mendeley.com/documents/?uuid=596ff8fa-459c-486e-8041-242d096c7b8b"]}],"mendeley":{"formattedCitation":"[2]","manualFormatting":"[2, р. 118]","plainTextFormattedCitation":"[2]","previouslyFormattedCitation":"[2]"},"properties":{"noteIndex":0},"schema":"https://github.com/citation-style-language/schema/raw/master/csl-citation.json"}</w:instrText>
      </w:r>
      <w:r w:rsidR="00EA0E64">
        <w:rPr>
          <w:rFonts w:ascii="Times New Roman" w:hAnsi="Times New Roman" w:cs="Times New Roman"/>
          <w:sz w:val="28"/>
          <w:szCs w:val="28"/>
        </w:rPr>
        <w:fldChar w:fldCharType="separate"/>
      </w:r>
      <w:r w:rsidR="00EC4CA3" w:rsidRPr="00EC4CA3">
        <w:rPr>
          <w:rFonts w:ascii="Times New Roman" w:hAnsi="Times New Roman" w:cs="Times New Roman"/>
          <w:noProof/>
          <w:sz w:val="28"/>
          <w:szCs w:val="28"/>
        </w:rPr>
        <w:t>[2</w:t>
      </w:r>
      <w:r w:rsidR="00EC4CA3">
        <w:rPr>
          <w:rFonts w:ascii="Times New Roman" w:hAnsi="Times New Roman" w:cs="Times New Roman"/>
          <w:noProof/>
          <w:sz w:val="28"/>
          <w:szCs w:val="28"/>
        </w:rPr>
        <w:t>, р. 118</w:t>
      </w:r>
      <w:r w:rsidR="00EC4CA3" w:rsidRPr="00EC4CA3">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AE3389">
        <w:rPr>
          <w:rFonts w:ascii="Times New Roman" w:hAnsi="Times New Roman" w:cs="Times New Roman"/>
          <w:sz w:val="28"/>
          <w:szCs w:val="28"/>
          <w:lang w:val="kk-KZ"/>
        </w:rPr>
        <w:t>.</w:t>
      </w:r>
      <w:r w:rsidR="00AB12B3">
        <w:rPr>
          <w:rFonts w:ascii="Times New Roman" w:hAnsi="Times New Roman" w:cs="Times New Roman"/>
          <w:sz w:val="28"/>
          <w:szCs w:val="28"/>
        </w:rPr>
        <w:t xml:space="preserve"> Очень высокий риск ССЗ ставится пациентам </w:t>
      </w:r>
      <w:r w:rsidR="008A59FA">
        <w:rPr>
          <w:rFonts w:ascii="Times New Roman" w:hAnsi="Times New Roman" w:cs="Times New Roman"/>
          <w:sz w:val="28"/>
          <w:szCs w:val="28"/>
        </w:rPr>
        <w:t>при наличии</w:t>
      </w:r>
      <w:r w:rsidR="00D879BA" w:rsidRPr="00DE0B0F">
        <w:rPr>
          <w:rFonts w:ascii="Times New Roman" w:hAnsi="Times New Roman" w:cs="Times New Roman"/>
          <w:sz w:val="28"/>
          <w:szCs w:val="28"/>
        </w:rPr>
        <w:t>:</w:t>
      </w:r>
    </w:p>
    <w:p w:rsidR="00AB12B3" w:rsidRPr="00703E86" w:rsidRDefault="00712C96" w:rsidP="00703E86">
      <w:pPr>
        <w:pStyle w:val="af4"/>
        <w:numPr>
          <w:ilvl w:val="0"/>
          <w:numId w:val="24"/>
        </w:numPr>
        <w:spacing w:after="0" w:line="240" w:lineRule="auto"/>
        <w:jc w:val="both"/>
        <w:rPr>
          <w:rFonts w:ascii="Times New Roman" w:hAnsi="Times New Roman" w:cs="Times New Roman"/>
          <w:sz w:val="28"/>
          <w:szCs w:val="28"/>
        </w:rPr>
      </w:pPr>
      <w:r w:rsidRPr="00703E86">
        <w:rPr>
          <w:rFonts w:ascii="Times New Roman" w:hAnsi="Times New Roman" w:cs="Times New Roman"/>
          <w:sz w:val="28"/>
          <w:szCs w:val="28"/>
        </w:rPr>
        <w:t>АССЗ</w:t>
      </w:r>
      <w:r w:rsidR="00D879BA" w:rsidRPr="00703E86">
        <w:rPr>
          <w:rFonts w:ascii="Century" w:hAnsi="Century" w:cs="Times New Roman"/>
          <w:sz w:val="28"/>
          <w:szCs w:val="28"/>
        </w:rPr>
        <w:t>,</w:t>
      </w:r>
      <w:r w:rsidR="00AB12B3" w:rsidRPr="00703E86">
        <w:rPr>
          <w:rFonts w:ascii="Times New Roman" w:hAnsi="Times New Roman" w:cs="Times New Roman"/>
          <w:sz w:val="28"/>
          <w:szCs w:val="28"/>
        </w:rPr>
        <w:t xml:space="preserve"> такие как</w:t>
      </w:r>
      <w:r w:rsidR="00D879BA" w:rsidRPr="00703E86">
        <w:rPr>
          <w:rFonts w:ascii="Century" w:hAnsi="Century" w:cs="Times New Roman"/>
          <w:sz w:val="28"/>
          <w:szCs w:val="28"/>
        </w:rPr>
        <w:t>,</w:t>
      </w:r>
      <w:r w:rsidR="00AB12B3" w:rsidRPr="00703E86">
        <w:rPr>
          <w:rFonts w:ascii="Times New Roman" w:hAnsi="Times New Roman" w:cs="Times New Roman"/>
          <w:sz w:val="28"/>
          <w:szCs w:val="28"/>
        </w:rPr>
        <w:t xml:space="preserve"> </w:t>
      </w:r>
      <w:r w:rsidR="007B4B2D" w:rsidRPr="00703E86">
        <w:rPr>
          <w:rFonts w:ascii="Times New Roman" w:hAnsi="Times New Roman" w:cs="Times New Roman"/>
          <w:sz w:val="28"/>
          <w:szCs w:val="28"/>
        </w:rPr>
        <w:t>острый коронарный синдром</w:t>
      </w:r>
      <w:r w:rsidR="00D879BA" w:rsidRPr="00703E86">
        <w:rPr>
          <w:rFonts w:ascii="Century" w:hAnsi="Century" w:cs="Times New Roman"/>
          <w:sz w:val="28"/>
          <w:szCs w:val="28"/>
        </w:rPr>
        <w:t>,</w:t>
      </w:r>
      <w:r w:rsidR="00AB12B3" w:rsidRPr="00703E86">
        <w:rPr>
          <w:rFonts w:ascii="Times New Roman" w:hAnsi="Times New Roman" w:cs="Times New Roman"/>
          <w:sz w:val="28"/>
          <w:szCs w:val="28"/>
        </w:rPr>
        <w:t xml:space="preserve"> нестабильная стенокардия</w:t>
      </w:r>
      <w:r w:rsidR="00D879BA" w:rsidRPr="00703E86">
        <w:rPr>
          <w:rFonts w:ascii="Century" w:hAnsi="Century" w:cs="Times New Roman"/>
          <w:sz w:val="28"/>
          <w:szCs w:val="28"/>
        </w:rPr>
        <w:t>,</w:t>
      </w:r>
      <w:r w:rsidR="00AB12B3" w:rsidRPr="00703E86">
        <w:rPr>
          <w:rFonts w:ascii="Times New Roman" w:hAnsi="Times New Roman" w:cs="Times New Roman"/>
          <w:sz w:val="28"/>
          <w:szCs w:val="28"/>
        </w:rPr>
        <w:t xml:space="preserve"> стабильная стенокардия</w:t>
      </w:r>
      <w:r w:rsidR="00D879BA" w:rsidRPr="00703E86">
        <w:rPr>
          <w:rFonts w:ascii="Century" w:hAnsi="Century" w:cs="Times New Roman"/>
          <w:sz w:val="28"/>
          <w:szCs w:val="28"/>
        </w:rPr>
        <w:t>,</w:t>
      </w:r>
      <w:r w:rsidR="00AB12B3" w:rsidRPr="00703E86">
        <w:rPr>
          <w:rFonts w:ascii="Times New Roman" w:hAnsi="Times New Roman" w:cs="Times New Roman"/>
          <w:sz w:val="28"/>
          <w:szCs w:val="28"/>
        </w:rPr>
        <w:t xml:space="preserve"> коронарная и другая реваскуляризация</w:t>
      </w:r>
      <w:r w:rsidR="00D879BA" w:rsidRPr="00703E86">
        <w:rPr>
          <w:rFonts w:ascii="Century" w:hAnsi="Century" w:cs="Times New Roman"/>
          <w:sz w:val="28"/>
          <w:szCs w:val="28"/>
        </w:rPr>
        <w:t>,</w:t>
      </w:r>
      <w:r w:rsidR="00AB12B3" w:rsidRPr="00703E86">
        <w:rPr>
          <w:rFonts w:ascii="Times New Roman" w:hAnsi="Times New Roman" w:cs="Times New Roman"/>
          <w:sz w:val="28"/>
          <w:szCs w:val="28"/>
        </w:rPr>
        <w:t xml:space="preserve"> инсульт</w:t>
      </w:r>
      <w:r w:rsidR="00D879BA" w:rsidRPr="00703E86">
        <w:rPr>
          <w:rFonts w:ascii="Century" w:hAnsi="Century" w:cs="Times New Roman"/>
          <w:sz w:val="28"/>
          <w:szCs w:val="28"/>
        </w:rPr>
        <w:t>,</w:t>
      </w:r>
      <w:r w:rsidR="00AB12B3" w:rsidRPr="00703E86">
        <w:rPr>
          <w:rFonts w:ascii="Times New Roman" w:hAnsi="Times New Roman" w:cs="Times New Roman"/>
          <w:sz w:val="28"/>
          <w:szCs w:val="28"/>
        </w:rPr>
        <w:t xml:space="preserve"> заболевания периферических артерий</w:t>
      </w:r>
      <w:r w:rsidR="00D879BA" w:rsidRPr="00703E86">
        <w:rPr>
          <w:rFonts w:ascii="Century" w:hAnsi="Century" w:cs="Times New Roman"/>
          <w:sz w:val="28"/>
          <w:szCs w:val="28"/>
        </w:rPr>
        <w:t>;</w:t>
      </w:r>
      <w:r w:rsidR="00AB12B3" w:rsidRPr="00703E86">
        <w:rPr>
          <w:rFonts w:ascii="Times New Roman" w:hAnsi="Times New Roman" w:cs="Times New Roman"/>
          <w:sz w:val="28"/>
          <w:szCs w:val="28"/>
        </w:rPr>
        <w:t xml:space="preserve"> </w:t>
      </w:r>
    </w:p>
    <w:p w:rsidR="00AB12B3" w:rsidRDefault="00712C96" w:rsidP="00703E86">
      <w:pPr>
        <w:pStyle w:val="af4"/>
        <w:numPr>
          <w:ilvl w:val="0"/>
          <w:numId w:val="2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СД</w:t>
      </w:r>
      <w:r w:rsidR="00AB12B3">
        <w:rPr>
          <w:rFonts w:ascii="Times New Roman" w:hAnsi="Times New Roman" w:cs="Times New Roman"/>
          <w:sz w:val="28"/>
          <w:szCs w:val="28"/>
        </w:rPr>
        <w:t xml:space="preserve"> с поражением органов – мишеней или с тремя факторами рисками или раннее начало СД 1 типа с длительной продолжительностью (более 20 лет)</w:t>
      </w:r>
      <w:r w:rsidR="00D879BA">
        <w:rPr>
          <w:rFonts w:ascii="Century" w:hAnsi="Century" w:cs="Times New Roman"/>
          <w:sz w:val="28"/>
          <w:szCs w:val="28"/>
        </w:rPr>
        <w:t>;</w:t>
      </w:r>
    </w:p>
    <w:p w:rsidR="00AB12B3" w:rsidRDefault="00AB12B3" w:rsidP="00703E86">
      <w:pPr>
        <w:pStyle w:val="af4"/>
        <w:numPr>
          <w:ilvl w:val="0"/>
          <w:numId w:val="2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Тяжел</w:t>
      </w:r>
      <w:r w:rsidR="008A59FA">
        <w:rPr>
          <w:rFonts w:ascii="Times New Roman" w:hAnsi="Times New Roman" w:cs="Times New Roman"/>
          <w:sz w:val="28"/>
          <w:szCs w:val="28"/>
        </w:rPr>
        <w:t>ой</w:t>
      </w:r>
      <w:r>
        <w:rPr>
          <w:rFonts w:ascii="Times New Roman" w:hAnsi="Times New Roman" w:cs="Times New Roman"/>
          <w:sz w:val="28"/>
          <w:szCs w:val="28"/>
        </w:rPr>
        <w:t xml:space="preserve"> хроническ</w:t>
      </w:r>
      <w:r w:rsidR="008A59FA">
        <w:rPr>
          <w:rFonts w:ascii="Times New Roman" w:hAnsi="Times New Roman" w:cs="Times New Roman"/>
          <w:sz w:val="28"/>
          <w:szCs w:val="28"/>
        </w:rPr>
        <w:t>ой</w:t>
      </w:r>
      <w:r w:rsidR="00712C96">
        <w:rPr>
          <w:rFonts w:ascii="Times New Roman" w:hAnsi="Times New Roman" w:cs="Times New Roman"/>
          <w:sz w:val="28"/>
          <w:szCs w:val="28"/>
        </w:rPr>
        <w:t xml:space="preserve"> болезн</w:t>
      </w:r>
      <w:r w:rsidR="008A59FA">
        <w:rPr>
          <w:rFonts w:ascii="Times New Roman" w:hAnsi="Times New Roman" w:cs="Times New Roman"/>
          <w:sz w:val="28"/>
          <w:szCs w:val="28"/>
        </w:rPr>
        <w:t>и</w:t>
      </w:r>
      <w:r>
        <w:rPr>
          <w:rFonts w:ascii="Times New Roman" w:hAnsi="Times New Roman" w:cs="Times New Roman"/>
          <w:sz w:val="28"/>
          <w:szCs w:val="28"/>
        </w:rPr>
        <w:t xml:space="preserve"> почек (СКФ &lt;30 мл / мин / 1</w:t>
      </w:r>
      <w:r w:rsidR="00D879BA">
        <w:rPr>
          <w:rFonts w:ascii="Century" w:hAnsi="Century" w:cs="Times New Roman"/>
          <w:sz w:val="28"/>
          <w:szCs w:val="28"/>
        </w:rPr>
        <w:t>,</w:t>
      </w:r>
      <w:r>
        <w:rPr>
          <w:rFonts w:ascii="Times New Roman" w:hAnsi="Times New Roman" w:cs="Times New Roman"/>
          <w:sz w:val="28"/>
          <w:szCs w:val="28"/>
        </w:rPr>
        <w:t>73 м</w:t>
      </w:r>
      <w:r w:rsidRPr="00323D0F">
        <w:rPr>
          <w:rFonts w:ascii="Times New Roman" w:hAnsi="Times New Roman" w:cs="Times New Roman"/>
          <w:sz w:val="28"/>
          <w:szCs w:val="28"/>
          <w:vertAlign w:val="superscript"/>
        </w:rPr>
        <w:t>2</w:t>
      </w:r>
      <w:r>
        <w:rPr>
          <w:rFonts w:ascii="Times New Roman" w:hAnsi="Times New Roman" w:cs="Times New Roman"/>
          <w:sz w:val="28"/>
          <w:szCs w:val="28"/>
        </w:rPr>
        <w:t>)</w:t>
      </w:r>
      <w:r w:rsidR="00D879BA">
        <w:rPr>
          <w:rFonts w:ascii="Century" w:hAnsi="Century" w:cs="Times New Roman"/>
          <w:sz w:val="28"/>
          <w:szCs w:val="28"/>
        </w:rPr>
        <w:t>;</w:t>
      </w:r>
    </w:p>
    <w:p w:rsidR="00AB12B3" w:rsidRDefault="00AB12B3" w:rsidP="00703E86">
      <w:pPr>
        <w:pStyle w:val="af4"/>
        <w:numPr>
          <w:ilvl w:val="0"/>
          <w:numId w:val="2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10</w:t>
      </w:r>
      <w:r w:rsidR="00D879BA">
        <w:rPr>
          <w:rFonts w:ascii="Times New Roman" w:hAnsi="Times New Roman" w:cs="Times New Roman"/>
          <w:sz w:val="28"/>
          <w:szCs w:val="28"/>
        </w:rPr>
        <w:t xml:space="preserve"> </w:t>
      </w:r>
      <w:r>
        <w:rPr>
          <w:rFonts w:ascii="Times New Roman" w:hAnsi="Times New Roman" w:cs="Times New Roman"/>
          <w:sz w:val="28"/>
          <w:szCs w:val="28"/>
        </w:rPr>
        <w:t>-</w:t>
      </w:r>
      <w:r w:rsidR="00D879BA">
        <w:rPr>
          <w:rFonts w:ascii="Times New Roman" w:hAnsi="Times New Roman" w:cs="Times New Roman"/>
          <w:sz w:val="28"/>
          <w:szCs w:val="28"/>
        </w:rPr>
        <w:t xml:space="preserve"> </w:t>
      </w:r>
      <w:r>
        <w:rPr>
          <w:rFonts w:ascii="Times New Roman" w:hAnsi="Times New Roman" w:cs="Times New Roman"/>
          <w:sz w:val="28"/>
          <w:szCs w:val="28"/>
        </w:rPr>
        <w:t>летн</w:t>
      </w:r>
      <w:r w:rsidR="008A59FA">
        <w:rPr>
          <w:rFonts w:ascii="Times New Roman" w:hAnsi="Times New Roman" w:cs="Times New Roman"/>
          <w:sz w:val="28"/>
          <w:szCs w:val="28"/>
        </w:rPr>
        <w:t>его</w:t>
      </w:r>
      <w:r>
        <w:rPr>
          <w:rFonts w:ascii="Times New Roman" w:hAnsi="Times New Roman" w:cs="Times New Roman"/>
          <w:sz w:val="28"/>
          <w:szCs w:val="28"/>
        </w:rPr>
        <w:t xml:space="preserve"> риск</w:t>
      </w:r>
      <w:r w:rsidR="008A59FA">
        <w:rPr>
          <w:rFonts w:ascii="Times New Roman" w:hAnsi="Times New Roman" w:cs="Times New Roman"/>
          <w:sz w:val="28"/>
          <w:szCs w:val="28"/>
        </w:rPr>
        <w:t>а</w:t>
      </w:r>
      <w:r>
        <w:rPr>
          <w:rFonts w:ascii="Times New Roman" w:hAnsi="Times New Roman" w:cs="Times New Roman"/>
          <w:sz w:val="28"/>
          <w:szCs w:val="28"/>
        </w:rPr>
        <w:t xml:space="preserve"> смерти от ССЗ по шкале SCORE ≥10%</w:t>
      </w:r>
      <w:r w:rsidR="00D879BA">
        <w:rPr>
          <w:rFonts w:ascii="Century" w:hAnsi="Century" w:cs="Times New Roman"/>
          <w:sz w:val="28"/>
          <w:szCs w:val="28"/>
        </w:rPr>
        <w:t>;</w:t>
      </w:r>
    </w:p>
    <w:p w:rsidR="00AB12B3" w:rsidRDefault="00AB12B3" w:rsidP="00703E86">
      <w:pPr>
        <w:pStyle w:val="af4"/>
        <w:numPr>
          <w:ilvl w:val="0"/>
          <w:numId w:val="2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Семейн</w:t>
      </w:r>
      <w:r w:rsidR="008A59FA">
        <w:rPr>
          <w:rFonts w:ascii="Times New Roman" w:hAnsi="Times New Roman" w:cs="Times New Roman"/>
          <w:sz w:val="28"/>
          <w:szCs w:val="28"/>
        </w:rPr>
        <w:t>ой</w:t>
      </w:r>
      <w:r w:rsidR="00D879BA">
        <w:rPr>
          <w:rFonts w:ascii="Times New Roman" w:hAnsi="Times New Roman" w:cs="Times New Roman"/>
          <w:sz w:val="28"/>
          <w:szCs w:val="28"/>
        </w:rPr>
        <w:t xml:space="preserve"> </w:t>
      </w:r>
      <w:r w:rsidR="00712C96">
        <w:rPr>
          <w:rFonts w:ascii="Times New Roman" w:hAnsi="Times New Roman" w:cs="Times New Roman"/>
          <w:sz w:val="28"/>
          <w:szCs w:val="28"/>
        </w:rPr>
        <w:t>гиперхолестеринеми</w:t>
      </w:r>
      <w:r w:rsidR="008A59FA">
        <w:rPr>
          <w:rFonts w:ascii="Times New Roman" w:hAnsi="Times New Roman" w:cs="Times New Roman"/>
          <w:sz w:val="28"/>
          <w:szCs w:val="28"/>
        </w:rPr>
        <w:t>и</w:t>
      </w:r>
      <w:r>
        <w:rPr>
          <w:rFonts w:ascii="Times New Roman" w:hAnsi="Times New Roman" w:cs="Times New Roman"/>
          <w:sz w:val="28"/>
          <w:szCs w:val="28"/>
        </w:rPr>
        <w:t xml:space="preserve"> с </w:t>
      </w:r>
      <w:r w:rsidR="00712C96">
        <w:rPr>
          <w:rFonts w:ascii="Times New Roman" w:hAnsi="Times New Roman" w:cs="Times New Roman"/>
          <w:sz w:val="28"/>
          <w:szCs w:val="28"/>
        </w:rPr>
        <w:t>АССЗ</w:t>
      </w:r>
      <w:r>
        <w:rPr>
          <w:rFonts w:ascii="Times New Roman" w:hAnsi="Times New Roman" w:cs="Times New Roman"/>
          <w:sz w:val="28"/>
          <w:szCs w:val="28"/>
        </w:rPr>
        <w:t xml:space="preserve"> или с другим основным фактором риска</w:t>
      </w:r>
      <w:r w:rsidR="00D879BA">
        <w:rPr>
          <w:rFonts w:ascii="Century" w:hAnsi="Century" w:cs="Times New Roman"/>
          <w:sz w:val="28"/>
          <w:szCs w:val="28"/>
        </w:rPr>
        <w:t>.</w:t>
      </w:r>
    </w:p>
    <w:p w:rsidR="00AB12B3" w:rsidRPr="00B851E4" w:rsidRDefault="00AB12B3" w:rsidP="00AB12B3">
      <w:pPr>
        <w:spacing w:after="0" w:line="240" w:lineRule="auto"/>
        <w:ind w:firstLine="360"/>
        <w:jc w:val="both"/>
        <w:rPr>
          <w:rFonts w:ascii="Century" w:hAnsi="Century" w:cs="Times New Roman"/>
          <w:sz w:val="28"/>
          <w:szCs w:val="28"/>
        </w:rPr>
      </w:pPr>
      <w:r>
        <w:rPr>
          <w:rFonts w:ascii="Times New Roman" w:hAnsi="Times New Roman" w:cs="Times New Roman"/>
          <w:sz w:val="28"/>
          <w:szCs w:val="28"/>
        </w:rPr>
        <w:t>Высокий риск ССЗ выставляется при</w:t>
      </w:r>
      <w:r w:rsidR="00D31C94">
        <w:rPr>
          <w:rFonts w:ascii="Times New Roman" w:hAnsi="Times New Roman" w:cs="Times New Roman"/>
          <w:sz w:val="28"/>
          <w:szCs w:val="28"/>
        </w:rPr>
        <w:t xml:space="preserve"> наличии</w:t>
      </w:r>
      <w:r w:rsidR="00B851E4">
        <w:rPr>
          <w:rFonts w:ascii="Century" w:hAnsi="Century" w:cs="Times New Roman"/>
          <w:sz w:val="28"/>
          <w:szCs w:val="28"/>
        </w:rPr>
        <w:t>:</w:t>
      </w:r>
    </w:p>
    <w:p w:rsidR="00AB12B3" w:rsidRDefault="00AB12B3" w:rsidP="00703E86">
      <w:pPr>
        <w:pStyle w:val="af4"/>
        <w:numPr>
          <w:ilvl w:val="0"/>
          <w:numId w:val="2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Заметно</w:t>
      </w:r>
      <w:r w:rsidR="00D31C94">
        <w:rPr>
          <w:rFonts w:ascii="Times New Roman" w:hAnsi="Times New Roman" w:cs="Times New Roman"/>
          <w:sz w:val="28"/>
          <w:szCs w:val="28"/>
        </w:rPr>
        <w:t>го повышения</w:t>
      </w:r>
      <w:r>
        <w:rPr>
          <w:rFonts w:ascii="Times New Roman" w:hAnsi="Times New Roman" w:cs="Times New Roman"/>
          <w:sz w:val="28"/>
          <w:szCs w:val="28"/>
        </w:rPr>
        <w:t xml:space="preserve"> факторов риска, такие как</w:t>
      </w:r>
      <w:r w:rsidR="00B851E4">
        <w:rPr>
          <w:rFonts w:ascii="Century" w:hAnsi="Century" w:cs="Times New Roman"/>
          <w:sz w:val="28"/>
          <w:szCs w:val="28"/>
        </w:rPr>
        <w:t>,</w:t>
      </w:r>
      <w:r>
        <w:rPr>
          <w:rFonts w:ascii="Times New Roman" w:hAnsi="Times New Roman" w:cs="Times New Roman"/>
          <w:sz w:val="28"/>
          <w:szCs w:val="28"/>
        </w:rPr>
        <w:t xml:space="preserve"> ОХС более 8 ммоль/л</w:t>
      </w:r>
      <w:r w:rsidR="00B851E4">
        <w:rPr>
          <w:rFonts w:ascii="Century" w:hAnsi="Century" w:cs="Times New Roman"/>
          <w:sz w:val="28"/>
          <w:szCs w:val="28"/>
        </w:rPr>
        <w:t>,</w:t>
      </w:r>
      <w:r>
        <w:rPr>
          <w:rFonts w:ascii="Times New Roman" w:hAnsi="Times New Roman" w:cs="Times New Roman"/>
          <w:sz w:val="28"/>
          <w:szCs w:val="28"/>
        </w:rPr>
        <w:t xml:space="preserve"> ЛПНП более 4</w:t>
      </w:r>
      <w:r w:rsidR="00B851E4">
        <w:rPr>
          <w:rFonts w:ascii="Century" w:hAnsi="Century" w:cs="Times New Roman"/>
          <w:sz w:val="28"/>
          <w:szCs w:val="28"/>
        </w:rPr>
        <w:t>,</w:t>
      </w:r>
      <w:r>
        <w:rPr>
          <w:rFonts w:ascii="Times New Roman" w:hAnsi="Times New Roman" w:cs="Times New Roman"/>
          <w:sz w:val="28"/>
          <w:szCs w:val="28"/>
        </w:rPr>
        <w:t>9 ммоль/л</w:t>
      </w:r>
      <w:r w:rsidR="00B851E4">
        <w:rPr>
          <w:rFonts w:ascii="Century" w:hAnsi="Century" w:cs="Times New Roman"/>
          <w:sz w:val="28"/>
          <w:szCs w:val="28"/>
        </w:rPr>
        <w:t>,</w:t>
      </w:r>
      <w:r>
        <w:rPr>
          <w:rFonts w:ascii="Times New Roman" w:hAnsi="Times New Roman" w:cs="Times New Roman"/>
          <w:sz w:val="28"/>
          <w:szCs w:val="28"/>
        </w:rPr>
        <w:t xml:space="preserve"> или повышение АД равно и более 180/110 мм рт</w:t>
      </w:r>
      <w:r w:rsidR="00B851E4">
        <w:rPr>
          <w:rFonts w:ascii="Century" w:hAnsi="Century" w:cs="Times New Roman"/>
          <w:sz w:val="28"/>
          <w:szCs w:val="28"/>
        </w:rPr>
        <w:t>.</w:t>
      </w:r>
      <w:r>
        <w:rPr>
          <w:rFonts w:ascii="Times New Roman" w:hAnsi="Times New Roman" w:cs="Times New Roman"/>
          <w:sz w:val="28"/>
          <w:szCs w:val="28"/>
        </w:rPr>
        <w:t>ст</w:t>
      </w:r>
      <w:r w:rsidR="00B851E4">
        <w:rPr>
          <w:rFonts w:ascii="Century" w:hAnsi="Century" w:cs="Times New Roman"/>
          <w:sz w:val="28"/>
          <w:szCs w:val="28"/>
        </w:rPr>
        <w:t>.;</w:t>
      </w:r>
    </w:p>
    <w:p w:rsidR="00AB12B3" w:rsidRDefault="00D31C94" w:rsidP="00703E86">
      <w:pPr>
        <w:pStyle w:val="af4"/>
        <w:numPr>
          <w:ilvl w:val="0"/>
          <w:numId w:val="2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Семейной гиперхолестеринемии</w:t>
      </w:r>
      <w:r w:rsidR="00AB12B3">
        <w:rPr>
          <w:rFonts w:ascii="Times New Roman" w:hAnsi="Times New Roman" w:cs="Times New Roman"/>
          <w:sz w:val="28"/>
          <w:szCs w:val="28"/>
        </w:rPr>
        <w:t xml:space="preserve"> без других основных факторов риска</w:t>
      </w:r>
      <w:r w:rsidR="009B45F4">
        <w:rPr>
          <w:rFonts w:ascii="Century" w:hAnsi="Century" w:cs="Times New Roman"/>
          <w:sz w:val="28"/>
          <w:szCs w:val="28"/>
        </w:rPr>
        <w:t>;</w:t>
      </w:r>
    </w:p>
    <w:p w:rsidR="00AB12B3" w:rsidRDefault="00AB12B3" w:rsidP="00703E86">
      <w:pPr>
        <w:pStyle w:val="af4"/>
        <w:numPr>
          <w:ilvl w:val="0"/>
          <w:numId w:val="2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СД без поражения органов – мишеней или продолжительность СД более 10 лет или с другим допольнительным фактором риска</w:t>
      </w:r>
      <w:r w:rsidR="009B45F4">
        <w:rPr>
          <w:rFonts w:ascii="Century" w:hAnsi="Century" w:cs="Times New Roman"/>
          <w:sz w:val="28"/>
          <w:szCs w:val="28"/>
        </w:rPr>
        <w:t>;</w:t>
      </w:r>
    </w:p>
    <w:p w:rsidR="00AB12B3" w:rsidRDefault="00D31C94" w:rsidP="00703E86">
      <w:pPr>
        <w:pStyle w:val="af4"/>
        <w:numPr>
          <w:ilvl w:val="0"/>
          <w:numId w:val="2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Хронической болезни</w:t>
      </w:r>
      <w:r w:rsidR="00AB12B3">
        <w:rPr>
          <w:rFonts w:ascii="Times New Roman" w:hAnsi="Times New Roman" w:cs="Times New Roman"/>
          <w:sz w:val="28"/>
          <w:szCs w:val="28"/>
        </w:rPr>
        <w:t xml:space="preserve"> почек умеренной степени (СКФ 30 - 59 мл</w:t>
      </w:r>
      <w:r w:rsidR="009B45F4">
        <w:rPr>
          <w:rFonts w:ascii="Century" w:hAnsi="Century" w:cs="Times New Roman"/>
          <w:sz w:val="28"/>
          <w:szCs w:val="28"/>
        </w:rPr>
        <w:t>/</w:t>
      </w:r>
      <w:r w:rsidR="00AB12B3">
        <w:rPr>
          <w:rFonts w:ascii="Times New Roman" w:hAnsi="Times New Roman" w:cs="Times New Roman"/>
          <w:sz w:val="28"/>
          <w:szCs w:val="28"/>
        </w:rPr>
        <w:t>мин</w:t>
      </w:r>
      <w:r w:rsidR="009B45F4">
        <w:rPr>
          <w:rFonts w:ascii="Century" w:hAnsi="Century" w:cs="Times New Roman"/>
          <w:sz w:val="28"/>
          <w:szCs w:val="28"/>
        </w:rPr>
        <w:t>/</w:t>
      </w:r>
      <w:r w:rsidR="00AB12B3">
        <w:rPr>
          <w:rFonts w:ascii="Times New Roman" w:hAnsi="Times New Roman" w:cs="Times New Roman"/>
          <w:sz w:val="28"/>
          <w:szCs w:val="28"/>
        </w:rPr>
        <w:t xml:space="preserve"> 1</w:t>
      </w:r>
      <w:r w:rsidR="009B45F4">
        <w:rPr>
          <w:rFonts w:ascii="Century" w:hAnsi="Century" w:cs="Times New Roman"/>
          <w:sz w:val="28"/>
          <w:szCs w:val="28"/>
        </w:rPr>
        <w:t>,</w:t>
      </w:r>
      <w:r w:rsidR="00AB12B3">
        <w:rPr>
          <w:rFonts w:ascii="Times New Roman" w:hAnsi="Times New Roman" w:cs="Times New Roman"/>
          <w:sz w:val="28"/>
          <w:szCs w:val="28"/>
        </w:rPr>
        <w:t>73 м</w:t>
      </w:r>
      <w:r w:rsidR="00AB12B3" w:rsidRPr="00D31C94">
        <w:rPr>
          <w:rFonts w:ascii="Times New Roman" w:hAnsi="Times New Roman" w:cs="Times New Roman"/>
          <w:sz w:val="28"/>
          <w:szCs w:val="28"/>
          <w:vertAlign w:val="superscript"/>
        </w:rPr>
        <w:t>2</w:t>
      </w:r>
      <w:r w:rsidR="00AB12B3">
        <w:rPr>
          <w:rFonts w:ascii="Times New Roman" w:hAnsi="Times New Roman" w:cs="Times New Roman"/>
          <w:sz w:val="28"/>
          <w:szCs w:val="28"/>
        </w:rPr>
        <w:t>)</w:t>
      </w:r>
      <w:r w:rsidR="009B45F4">
        <w:rPr>
          <w:rFonts w:ascii="Century" w:hAnsi="Century" w:cs="Times New Roman"/>
          <w:sz w:val="28"/>
          <w:szCs w:val="28"/>
        </w:rPr>
        <w:t>;</w:t>
      </w:r>
    </w:p>
    <w:p w:rsidR="00AB12B3" w:rsidRPr="00703E86" w:rsidRDefault="00D31C94" w:rsidP="00703E86">
      <w:pPr>
        <w:pStyle w:val="af4"/>
        <w:numPr>
          <w:ilvl w:val="0"/>
          <w:numId w:val="24"/>
        </w:numPr>
        <w:spacing w:after="0" w:line="240" w:lineRule="auto"/>
        <w:jc w:val="both"/>
        <w:rPr>
          <w:rFonts w:ascii="Times New Roman" w:hAnsi="Times New Roman" w:cs="Times New Roman"/>
          <w:sz w:val="28"/>
          <w:szCs w:val="28"/>
        </w:rPr>
      </w:pPr>
      <w:r w:rsidRPr="00703E86">
        <w:rPr>
          <w:rFonts w:ascii="Times New Roman" w:hAnsi="Times New Roman" w:cs="Times New Roman"/>
          <w:sz w:val="28"/>
          <w:szCs w:val="28"/>
        </w:rPr>
        <w:t>10-летнего</w:t>
      </w:r>
      <w:r w:rsidR="00AB12B3" w:rsidRPr="00703E86">
        <w:rPr>
          <w:rFonts w:ascii="Times New Roman" w:hAnsi="Times New Roman" w:cs="Times New Roman"/>
          <w:sz w:val="28"/>
          <w:szCs w:val="28"/>
        </w:rPr>
        <w:t xml:space="preserve"> риск</w:t>
      </w:r>
      <w:r w:rsidRPr="00703E86">
        <w:rPr>
          <w:rFonts w:ascii="Times New Roman" w:hAnsi="Times New Roman" w:cs="Times New Roman"/>
          <w:sz w:val="28"/>
          <w:szCs w:val="28"/>
        </w:rPr>
        <w:t>а</w:t>
      </w:r>
      <w:r w:rsidR="00AB12B3" w:rsidRPr="00703E86">
        <w:rPr>
          <w:rFonts w:ascii="Times New Roman" w:hAnsi="Times New Roman" w:cs="Times New Roman"/>
          <w:sz w:val="28"/>
          <w:szCs w:val="28"/>
        </w:rPr>
        <w:t xml:space="preserve"> смерти от ССЗ по шкале SCORE в пределах от 5% до 9</w:t>
      </w:r>
      <w:r w:rsidR="009B45F4" w:rsidRPr="00703E86">
        <w:rPr>
          <w:rFonts w:ascii="Century" w:hAnsi="Century" w:cs="Times New Roman"/>
          <w:sz w:val="28"/>
          <w:szCs w:val="28"/>
        </w:rPr>
        <w:t>,</w:t>
      </w:r>
      <w:r w:rsidR="00AB12B3" w:rsidRPr="00703E86">
        <w:rPr>
          <w:rFonts w:ascii="Times New Roman" w:hAnsi="Times New Roman" w:cs="Times New Roman"/>
          <w:sz w:val="28"/>
          <w:szCs w:val="28"/>
        </w:rPr>
        <w:t>99%</w:t>
      </w:r>
      <w:r w:rsidR="009B45F4" w:rsidRPr="00703E86">
        <w:rPr>
          <w:rFonts w:ascii="Century" w:hAnsi="Century" w:cs="Times New Roman"/>
          <w:sz w:val="28"/>
          <w:szCs w:val="28"/>
        </w:rPr>
        <w:t>.</w:t>
      </w:r>
    </w:p>
    <w:p w:rsidR="00AB12B3" w:rsidRDefault="00AB12B3" w:rsidP="00AB12B3">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Умеренный риск выставляется молодым людям моложе 35 лет с СД 1 типа или моложе 50 лет с СД 2 типа с продолжительность СД меньше 10 лет и без других факторов рисков</w:t>
      </w:r>
      <w:r w:rsidR="00012D1C">
        <w:rPr>
          <w:rFonts w:ascii="Century" w:hAnsi="Century" w:cs="Times New Roman"/>
          <w:sz w:val="28"/>
          <w:szCs w:val="28"/>
        </w:rPr>
        <w:t>;</w:t>
      </w:r>
      <w:r>
        <w:rPr>
          <w:rFonts w:ascii="Times New Roman" w:hAnsi="Times New Roman" w:cs="Times New Roman"/>
          <w:sz w:val="28"/>
          <w:szCs w:val="28"/>
        </w:rPr>
        <w:t xml:space="preserve"> 10-летний риск смерти от ССЗ по шкале SCORE в пределах от 1% до 4</w:t>
      </w:r>
      <w:r w:rsidR="00012D1C">
        <w:rPr>
          <w:rFonts w:ascii="Century" w:hAnsi="Century" w:cs="Times New Roman"/>
          <w:sz w:val="28"/>
          <w:szCs w:val="28"/>
        </w:rPr>
        <w:t>,</w:t>
      </w:r>
      <w:r>
        <w:rPr>
          <w:rFonts w:ascii="Times New Roman" w:hAnsi="Times New Roman" w:cs="Times New Roman"/>
          <w:sz w:val="28"/>
          <w:szCs w:val="28"/>
        </w:rPr>
        <w:t>99%</w:t>
      </w:r>
      <w:r w:rsidR="00012D1C">
        <w:rPr>
          <w:rFonts w:ascii="Century" w:hAnsi="Century" w:cs="Times New Roman"/>
          <w:sz w:val="28"/>
          <w:szCs w:val="28"/>
        </w:rPr>
        <w:t>.</w:t>
      </w:r>
    </w:p>
    <w:p w:rsidR="00AB12B3" w:rsidRDefault="00AB12B3" w:rsidP="00AB12B3">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Низкий риск ССЗ выставляется</w:t>
      </w:r>
      <w:r w:rsidR="005B630D">
        <w:rPr>
          <w:rFonts w:ascii="Century" w:hAnsi="Century" w:cs="Times New Roman"/>
          <w:sz w:val="28"/>
          <w:szCs w:val="28"/>
        </w:rPr>
        <w:t>,</w:t>
      </w:r>
      <w:r>
        <w:rPr>
          <w:rFonts w:ascii="Times New Roman" w:hAnsi="Times New Roman" w:cs="Times New Roman"/>
          <w:sz w:val="28"/>
          <w:szCs w:val="28"/>
        </w:rPr>
        <w:t xml:space="preserve"> если 10-летний риск смерти от ССЗ по шкале SCORE меньше 1%</w:t>
      </w:r>
      <w:r w:rsidR="005B630D">
        <w:rPr>
          <w:rFonts w:ascii="Century" w:hAnsi="Century" w:cs="Times New Roman"/>
          <w:sz w:val="28"/>
          <w:szCs w:val="28"/>
        </w:rPr>
        <w:t>.</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5F0879">
      <w:pPr>
        <w:spacing w:after="0" w:line="240" w:lineRule="auto"/>
        <w:ind w:firstLine="360"/>
        <w:jc w:val="both"/>
        <w:rPr>
          <w:rFonts w:ascii="Times New Roman" w:hAnsi="Times New Roman" w:cs="Times New Roman"/>
          <w:b/>
          <w:sz w:val="28"/>
          <w:szCs w:val="28"/>
        </w:rPr>
      </w:pPr>
      <w:r>
        <w:rPr>
          <w:rFonts w:ascii="Times New Roman" w:hAnsi="Times New Roman" w:cs="Times New Roman"/>
          <w:b/>
          <w:sz w:val="28"/>
          <w:szCs w:val="28"/>
        </w:rPr>
        <w:t>1.2 Роль молекулярно – генетических факторов в развитии дислипидемии и инсулинорезистентности</w:t>
      </w:r>
    </w:p>
    <w:p w:rsidR="00AB12B3" w:rsidRDefault="00AB12B3" w:rsidP="002D47DA">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1.2.1 Современные представления значимости полиморфизмов в развитии дислипидемии</w:t>
      </w:r>
    </w:p>
    <w:p w:rsidR="00AB12B3" w:rsidRDefault="00AB12B3" w:rsidP="00AB12B3">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Ген, кодирующий липопротеинлипазу LPL Ser447Ter (rs328)</w:t>
      </w:r>
    </w:p>
    <w:p w:rsidR="00AB12B3" w:rsidRDefault="00AB12B3" w:rsidP="0059719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Ген </w:t>
      </w:r>
      <w:r>
        <w:rPr>
          <w:rFonts w:ascii="Times New Roman" w:hAnsi="Times New Roman" w:cs="Times New Roman"/>
          <w:i/>
          <w:sz w:val="28"/>
          <w:szCs w:val="28"/>
        </w:rPr>
        <w:t>LPL</w:t>
      </w:r>
      <w:r>
        <w:rPr>
          <w:rFonts w:ascii="Times New Roman" w:hAnsi="Times New Roman" w:cs="Times New Roman"/>
          <w:sz w:val="28"/>
          <w:szCs w:val="28"/>
        </w:rPr>
        <w:t xml:space="preserve"> кодирует </w:t>
      </w:r>
      <w:r w:rsidR="00876339">
        <w:rPr>
          <w:rFonts w:ascii="Times New Roman" w:hAnsi="Times New Roman" w:cs="Times New Roman"/>
          <w:sz w:val="28"/>
          <w:szCs w:val="28"/>
        </w:rPr>
        <w:t>ЛПЛ, которая</w:t>
      </w:r>
      <w:r w:rsidR="00906EEE">
        <w:rPr>
          <w:rFonts w:ascii="Times New Roman" w:hAnsi="Times New Roman" w:cs="Times New Roman"/>
          <w:sz w:val="28"/>
          <w:szCs w:val="28"/>
          <w:lang w:val="kk-KZ"/>
        </w:rPr>
        <w:t xml:space="preserve"> </w:t>
      </w:r>
      <w:r>
        <w:rPr>
          <w:rFonts w:ascii="Times New Roman" w:hAnsi="Times New Roman" w:cs="Times New Roman"/>
          <w:sz w:val="28"/>
          <w:szCs w:val="28"/>
        </w:rPr>
        <w:t>гидролизует ТГ в циркулирующем ХС ЛПОНП и хиломикронах, обеспечивая свободные жирные кислоты и моноацилглицерин для утилизации окружающими тканями-мишенями, особенно скелетной мускулатурой, сердечной мышцей и жировой тканью. Известно, что ИР связана с повышенным синтезом и сниженной абсорбцией ХС, что приводит к дислипидемии. Ключевым ферментом в метаболизме липидов человека является ЛПЛ, которая регулирует обмен липопротеинов, богатых ТГ (хиломикроны и ЛПОНП), путем гидролизации их ядер в свободные жиры и моноацилглицерины. Варианты ЛПЛ являются важными детерминантами концентрации ТГ и ЛПВП, а</w:t>
      </w:r>
      <w:r w:rsidR="00876339">
        <w:rPr>
          <w:rFonts w:ascii="Times New Roman" w:hAnsi="Times New Roman" w:cs="Times New Roman"/>
          <w:sz w:val="28"/>
          <w:szCs w:val="28"/>
        </w:rPr>
        <w:t xml:space="preserve"> в свою очередь</w:t>
      </w:r>
      <w:r w:rsidR="00534E98">
        <w:rPr>
          <w:rFonts w:ascii="Times New Roman" w:hAnsi="Times New Roman" w:cs="Times New Roman"/>
          <w:sz w:val="28"/>
          <w:szCs w:val="28"/>
          <w:lang w:val="kk-KZ"/>
        </w:rPr>
        <w:t xml:space="preserve"> </w:t>
      </w:r>
      <w:r>
        <w:rPr>
          <w:rFonts w:ascii="Times New Roman" w:hAnsi="Times New Roman" w:cs="Times New Roman"/>
          <w:sz w:val="28"/>
          <w:szCs w:val="28"/>
        </w:rPr>
        <w:t>высокий уровень ТГ в сочетании с низким уровнем ЛПВП приводят к склонности к развитию АГ, непереносимости глюкозы и абдоминальному ожирению, которые формируют МС</w:t>
      </w:r>
      <w:r w:rsidR="00771599">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{"citationItems":[{"id":"ITEM-1","itemData":{"DOI":"10.1093/eurheartj/19.Abstract_Supplement.1","ISSN":"0195-668X","PMID":"9519338","abstract":"Hyperlipidaemias are important risk factors for coronary heart disease. To prevent and treat the different forms of hyperlipidaemias it is important to understand lipoprotein metabolism. The current knowledge on lipoprotein metabolism is based on many different biochemical and metabolic studies which are summarized here for a clinically orientated overview. Exogenous fat is transported in chylomicrons from the intestine to the liver. After entry in the blood stream the chylomicrons are hydrolyzed by the endothelial-bound lipoprotein lipase. The chylomicron remnants are rapidly taken up into the liver via the LDL receptor and the LDL receptor-related protein. Apolipoprotein E and lipoprotein lipase are the recognition signals for these receptors. The liver utilizes the exogenous fat and can release surplus lipids via VLDL into the blood. The VLDL are another substrate for lipoprotein lipase. The remaining VLDL remnants can either be taken up into the liver or are hydrolyzed to LDL. LDL delivers cholesterol to all body cells via the LDL receptor. The level of LDL cholesterol is regulated by the amount of LDL receptor, and defects in the LDL receptor molecule lead to hypercholesterolaemia. The level of triglyceride-rich remnants is regulated by the amount and activity of lipoprotein lipase and defects in this enzyme cause mixed hyperlipidaemias. Both these forms of hyperlipoproteinaemias are the most frequent and represent major risk factors for arteriosclerosis.","author":[{"dropping-particle":"","family":"Beisiegel","given":"U.","non-dropping-particle":"","parse-names":false,"suffix":""}],"container-title":"European heart journal","id":"ITEM-1","issue":"Abstract Supplement","issued":{"date-parts":[["1998","2","2"]]},"page":"A20-3","title":"Lipoprotein metabolism.","type":"article-journal","volume":"19 Suppl A"},"uris":["http://www.mendeley.com/documents/?uuid=c04c71c4-f758-479d-a5a0-f34f7d16f7eb"]}],"mendeley":{"formattedCitation":"[47]","plainTextFormattedCitation":"[47]","previouslyFormattedCitation":"[47]"},"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[47]</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Гипертриглицеридемия, один из широко распространенных симптомов дефицита и дисфункции ЛПЛ, может быть фактором риска развития дислипидемии, СД 2 типа, АГ, ИБС и болезни Альцгеймера. В своем обзоре Xie C. (2010) рассматривал молекулярную структуру, экспрессию и функции гена </w:t>
      </w:r>
      <w:r>
        <w:rPr>
          <w:rFonts w:ascii="Times New Roman" w:hAnsi="Times New Roman" w:cs="Times New Roman"/>
          <w:i/>
          <w:sz w:val="28"/>
          <w:szCs w:val="28"/>
        </w:rPr>
        <w:t>LPL</w:t>
      </w:r>
      <w:r>
        <w:rPr>
          <w:rFonts w:ascii="Times New Roman" w:hAnsi="Times New Roman" w:cs="Times New Roman"/>
          <w:sz w:val="28"/>
          <w:szCs w:val="28"/>
        </w:rPr>
        <w:t xml:space="preserve"> на предмет связи с дислипидемией, СД 2 типа, АГ, ИБС и болезнью Альцгеймера</w:t>
      </w:r>
      <w:r w:rsidR="00771599">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{"citationItems":[{"id":"ITEM-1","itemData":{"DOI":"10.1038/ejhg.2009.134","ISBN":"1018-4813","ISSN":"10184813","PMID":"19639021","abstract":"The lipoprotein lipase (LPL) gene encodes a rate-limiting enzyme protein that has a key role in the hydrolysis of triglycerides. Hypertriglyceridemia, one widely prevalent syndrome of LPL deficiency and dysfunction, may be a risk factor in the development of dyslipidemia, type II diabetes (T2D), essential hypertension (EH), coronary heart disease (CHD) and Alzheimer's disease (AD). Findings from earlier studies indicate that LPL may have a role in the pathology of these diseases and therefore is a common or shared biological basis for these common complex diseases. To examine this hypothesis, we reviewed articles on the molecular structure, expression and function of the LPL gene, and its potential role in the etiology of diseases. Evidence from these studies indicate that LPL dysfunction is involved in dyslipidemia, T2D, EH, CHD and AD; and support the hypothesis that there is a common or shared biological basis for these common complex diseases.","author":[{"dropping-particle":"","family":"Xie","given":"Cui","non-dropping-particle":"","parse-names":false,"suffix":""},{"dropping-particle":"","family":"Wang","given":"Zeng Chan","non-dropping-particle":"","parse-names":false,"suffix":""},{"dropping-particle":"","family":"Liu","given":"Xiao Feng","non-dropping-particle":"","parse-names":false,"suffix":""},{"dropping-particle":"","family":"Yang","given":"Mao Sheng","non-dropping-particle":"","parse-names":false,"suffix":""}],"container-title":"European Journal of Human Genetics","id":"ITEM-1","issue":"1","issued":{"date-parts":[["2010"]]},"page":"3-7","publisher":"Nature Publishing Group","title":"The common biological basis for common complex diseases: Evidence from lipoprotein lipase gene","type":"article-journal","volume":"18"},"uris":["http://www.mendeley.com/documents/?uuid=cb9dd942-8514-4a6a-a362-809de00bd64e"]}],"mendeley":{"formattedCitation":"[48]","plainTextFormattedCitation":"[48]","previouslyFormattedCitation":"[48]"},"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[48]</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Недостаточный синтез или дисфункция ЛПЛ снижает гидролиз хиломикронов и ЛПОНП, препятствует потреблению липидов и приводит к накоплению липопротеинов в плазме. Вызванная геном </w:t>
      </w:r>
      <w:r>
        <w:rPr>
          <w:rFonts w:ascii="Times New Roman" w:hAnsi="Times New Roman" w:cs="Times New Roman"/>
          <w:i/>
          <w:sz w:val="28"/>
          <w:szCs w:val="28"/>
        </w:rPr>
        <w:t>LPL</w:t>
      </w:r>
      <w:r w:rsidR="00BF1491">
        <w:rPr>
          <w:rFonts w:ascii="Times New Roman" w:hAnsi="Times New Roman" w:cs="Times New Roman"/>
          <w:i/>
          <w:sz w:val="28"/>
          <w:szCs w:val="28"/>
        </w:rPr>
        <w:t xml:space="preserve"> </w:t>
      </w:r>
      <w:r>
        <w:rPr>
          <w:rFonts w:ascii="Times New Roman" w:hAnsi="Times New Roman" w:cs="Times New Roman"/>
          <w:sz w:val="28"/>
          <w:szCs w:val="28"/>
        </w:rPr>
        <w:t xml:space="preserve">дислипидемия и дисфункция антиоксидантного стресса может быть </w:t>
      </w:r>
      <w:r>
        <w:rPr>
          <w:rFonts w:ascii="Times New Roman" w:hAnsi="Times New Roman" w:cs="Times New Roman"/>
          <w:sz w:val="28"/>
          <w:szCs w:val="28"/>
        </w:rPr>
        <w:lastRenderedPageBreak/>
        <w:t>промежуточным процессом при развитии этих заболевании. Mo</w:t>
      </w:r>
      <w:r w:rsidR="00BF1491">
        <w:rPr>
          <w:rFonts w:ascii="Times New Roman" w:hAnsi="Times New Roman" w:cs="Times New Roman"/>
          <w:sz w:val="28"/>
          <w:szCs w:val="28"/>
        </w:rPr>
        <w:t xml:space="preserve"> </w:t>
      </w:r>
      <w:r w:rsidR="00B12573">
        <w:rPr>
          <w:rFonts w:ascii="Times New Roman" w:hAnsi="Times New Roman" w:cs="Times New Roman"/>
          <w:sz w:val="28"/>
          <w:szCs w:val="28"/>
        </w:rPr>
        <w:t xml:space="preserve">X. </w:t>
      </w:r>
      <w:r>
        <w:rPr>
          <w:rFonts w:ascii="Times New Roman" w:hAnsi="Times New Roman" w:cs="Times New Roman"/>
          <w:sz w:val="28"/>
          <w:szCs w:val="28"/>
        </w:rPr>
        <w:t xml:space="preserve">(2013), </w:t>
      </w:r>
      <w:r w:rsidR="00261721">
        <w:rPr>
          <w:rFonts w:ascii="Times New Roman" w:hAnsi="Times New Roman" w:cs="Times New Roman"/>
          <w:sz w:val="28"/>
          <w:szCs w:val="28"/>
        </w:rPr>
        <w:t>исследуя</w:t>
      </w:r>
      <w:r>
        <w:rPr>
          <w:rFonts w:ascii="Times New Roman" w:hAnsi="Times New Roman" w:cs="Times New Roman"/>
          <w:sz w:val="28"/>
          <w:szCs w:val="28"/>
        </w:rPr>
        <w:t xml:space="preserve"> ассоциаци</w:t>
      </w:r>
      <w:r w:rsidR="00261721">
        <w:rPr>
          <w:rFonts w:ascii="Times New Roman" w:hAnsi="Times New Roman" w:cs="Times New Roman"/>
          <w:sz w:val="28"/>
          <w:szCs w:val="28"/>
        </w:rPr>
        <w:t>ю</w:t>
      </w:r>
      <w:r>
        <w:rPr>
          <w:rFonts w:ascii="Times New Roman" w:hAnsi="Times New Roman" w:cs="Times New Roman"/>
          <w:sz w:val="28"/>
          <w:szCs w:val="28"/>
        </w:rPr>
        <w:t xml:space="preserve"> полиморфизм</w:t>
      </w:r>
      <w:r w:rsidR="00261721">
        <w:rPr>
          <w:rFonts w:ascii="Times New Roman" w:hAnsi="Times New Roman" w:cs="Times New Roman"/>
          <w:sz w:val="28"/>
          <w:szCs w:val="28"/>
        </w:rPr>
        <w:t>ов</w:t>
      </w:r>
      <w:r>
        <w:rPr>
          <w:rFonts w:ascii="Times New Roman" w:hAnsi="Times New Roman" w:cs="Times New Roman"/>
          <w:sz w:val="28"/>
          <w:szCs w:val="28"/>
        </w:rPr>
        <w:t xml:space="preserve"> в гене </w:t>
      </w:r>
      <w:r>
        <w:rPr>
          <w:rFonts w:ascii="Times New Roman" w:hAnsi="Times New Roman" w:cs="Times New Roman"/>
          <w:i/>
          <w:sz w:val="28"/>
          <w:szCs w:val="28"/>
        </w:rPr>
        <w:t>LPL</w:t>
      </w:r>
      <w:r>
        <w:rPr>
          <w:rFonts w:ascii="Times New Roman" w:hAnsi="Times New Roman" w:cs="Times New Roman"/>
          <w:sz w:val="28"/>
          <w:szCs w:val="28"/>
        </w:rPr>
        <w:t xml:space="preserve"> с </w:t>
      </w:r>
      <w:r w:rsidR="00261721">
        <w:rPr>
          <w:rFonts w:ascii="Times New Roman" w:hAnsi="Times New Roman" w:cs="Times New Roman"/>
          <w:sz w:val="28"/>
          <w:szCs w:val="28"/>
        </w:rPr>
        <w:t xml:space="preserve">концентрацией </w:t>
      </w:r>
      <w:r>
        <w:rPr>
          <w:rFonts w:ascii="Times New Roman" w:hAnsi="Times New Roman" w:cs="Times New Roman"/>
          <w:sz w:val="28"/>
          <w:szCs w:val="28"/>
        </w:rPr>
        <w:t>сывороточны</w:t>
      </w:r>
      <w:r w:rsidR="00261721">
        <w:rPr>
          <w:rFonts w:ascii="Times New Roman" w:hAnsi="Times New Roman" w:cs="Times New Roman"/>
          <w:sz w:val="28"/>
          <w:szCs w:val="28"/>
        </w:rPr>
        <w:t>х</w:t>
      </w:r>
      <w:r>
        <w:rPr>
          <w:rFonts w:ascii="Times New Roman" w:hAnsi="Times New Roman" w:cs="Times New Roman"/>
          <w:sz w:val="28"/>
          <w:szCs w:val="28"/>
        </w:rPr>
        <w:t xml:space="preserve"> </w:t>
      </w:r>
      <w:r w:rsidR="00261721">
        <w:rPr>
          <w:rFonts w:ascii="Times New Roman" w:hAnsi="Times New Roman" w:cs="Times New Roman"/>
          <w:sz w:val="28"/>
          <w:szCs w:val="28"/>
        </w:rPr>
        <w:t>липидов и уровне</w:t>
      </w:r>
      <w:r>
        <w:rPr>
          <w:rFonts w:ascii="Times New Roman" w:hAnsi="Times New Roman" w:cs="Times New Roman"/>
          <w:sz w:val="28"/>
          <w:szCs w:val="28"/>
        </w:rPr>
        <w:t xml:space="preserve">м экспрессии генов в китайской популяции, обнаружил, что полиморфизм гена </w:t>
      </w:r>
      <w:r w:rsidR="00261721">
        <w:rPr>
          <w:rFonts w:ascii="Times New Roman" w:hAnsi="Times New Roman" w:cs="Times New Roman"/>
          <w:i/>
          <w:sz w:val="28"/>
          <w:szCs w:val="28"/>
        </w:rPr>
        <w:t>LPL</w:t>
      </w:r>
      <w:r w:rsidR="00261721">
        <w:rPr>
          <w:rFonts w:ascii="Times New Roman" w:hAnsi="Times New Roman" w:cs="Times New Roman"/>
          <w:sz w:val="28"/>
          <w:szCs w:val="28"/>
        </w:rPr>
        <w:t xml:space="preserve"> </w:t>
      </w:r>
      <w:r>
        <w:rPr>
          <w:rFonts w:ascii="Times New Roman" w:hAnsi="Times New Roman" w:cs="Times New Roman"/>
          <w:sz w:val="28"/>
          <w:szCs w:val="28"/>
        </w:rPr>
        <w:t xml:space="preserve">был значительно связан с ТГ и с ЛПВП только у курильщиков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{"citationItems":[{"id":"ITEM-1","itemData":{"DOI":"10.1038/jhg.2012.151","ISSN":"14345161","PMID":"23344322","abstract":"Many single-nucleotide polymorphisms (SNPs) have been reported to be associated with lipid concentrations in recent genome-wide association studies. The aim of this study was to validate the associations of rs2197089 in the lipoprotein lipase (LPL) gene with serum lipid concentrations and gene expression levels in the Chinese Han population and examine the potential interactions. A total of 9339 participants were recruited and genotyped for rs2197089. Gene expression levels of LPL in blood cells of 309 participants were evaluated by real-time PCR. We observed significant associations between rs2197089 and decreased triglycerides (TG) (P=0.0006), but not high-density lipoprotein cholesterol (HDL-C) concentration (P=0.0881). However, weak evidence of interaction between cigarette smoking and rs2197089 was detected (P=0.0362). In smokers, significant association between rs2197089 and increased HDL-C concentration was found (P=0.0068). Participants with the minor allele A had higher expression levels of LPL (P=0.0243). The results of our study indicated that rs2197089 was significantly associated with TG but it was associated with HDL-C only in smokers. This SNP seemed to have influence on the expression level of LPL.","author":[{"dropping-particle":"","family":"Mo","given":"Xingbo","non-dropping-particle":"","parse-names":false,"suffix":""},{"dropping-particle":"","family":"Liu","given":"Xuehui","non-dropping-particle":"","parse-names":false,"suffix":""},{"dropping-particle":"","family":"Wang","given":"Laiyuan","non-dropping-particle":"","parse-names":false,"suffix":""},{"dropping-particle":"","family":"Lu","given":"Xiangfeng","non-dropping-particle":"","parse-names":false,"suffix":""},{"dropping-particle":"","family":"Chen","given":"Shufeng","non-dropping-particle":"","parse-names":false,"suffix":""},{"dropping-particle":"","family":"Li","given":"Hongfan","non-dropping-particle":"","parse-names":false,"suffix":""},{"dropping-particle":"","family":"Huang","given":"Jianfeng","non-dropping-particle":"","parse-names":false,"suffix":""},{"dropping-particle":"","family":"Chen","given":"Jichun","non-dropping-particle":"","parse-names":false,"suffix":""},{"dropping-particle":"","family":"Cao","given":"Jie","non-dropping-particle":"","parse-names":false,"suffix":""},{"dropping-particle":"","family":"Li","given":"Jianxin","non-dropping-particle":"","parse-names":false,"suffix":""},{"dropping-particle":"","family":"Tang","given":"Yida","non-dropping-particle":"","parse-names":false,"suffix":""},{"dropping-particle":"","family":"Gu","given":"Dongfeng","non-dropping-particle":"","parse-names":false,"suffix":""}],"container-title":"Journal of Human Genetics","id":"ITEM-1","issue":"3","issued":{"date-parts":[["2013"]]},"page":"160-164","publisher":"Nature Publishing Group","title":"Association of lipoprotein lipase polymorphism rs2197089 with serum lipid concentrations and LPL gene expression","type":"article-journal","volume":"58"},"uris":["http://www.mendeley.com/documents/?uuid=a566f5e4-4b3d-41a9-ae0f-e899887830ae"]}],"mendeley":{"formattedCitation":"[49]","plainTextFormattedCitation":"[49]","previouslyFormattedCitation":"[49]"},"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[49]</w:t>
      </w:r>
      <w:r w:rsidR="00EA0E64">
        <w:rPr>
          <w:rFonts w:ascii="Times New Roman" w:hAnsi="Times New Roman" w:cs="Times New Roman"/>
          <w:sz w:val="28"/>
          <w:szCs w:val="28"/>
        </w:rPr>
        <w:fldChar w:fldCharType="end"/>
      </w:r>
      <w:r w:rsidR="00B7218C">
        <w:rPr>
          <w:rFonts w:ascii="Times New Roman" w:hAnsi="Times New Roman" w:cs="Times New Roman"/>
          <w:sz w:val="28"/>
          <w:szCs w:val="28"/>
        </w:rPr>
        <w:t>. Carty C.L. (2014) в своей работе по</w:t>
      </w:r>
      <w:r>
        <w:rPr>
          <w:rFonts w:ascii="Times New Roman" w:hAnsi="Times New Roman" w:cs="Times New Roman"/>
          <w:sz w:val="28"/>
          <w:szCs w:val="28"/>
        </w:rPr>
        <w:t xml:space="preserve"> метаанализ</w:t>
      </w:r>
      <w:r w:rsidR="00B7218C">
        <w:rPr>
          <w:rFonts w:ascii="Times New Roman" w:hAnsi="Times New Roman" w:cs="Times New Roman"/>
          <w:sz w:val="28"/>
          <w:szCs w:val="28"/>
        </w:rPr>
        <w:t>у</w:t>
      </w:r>
      <w:r>
        <w:rPr>
          <w:rFonts w:ascii="Times New Roman" w:hAnsi="Times New Roman" w:cs="Times New Roman"/>
          <w:sz w:val="28"/>
          <w:szCs w:val="28"/>
        </w:rPr>
        <w:t xml:space="preserve"> выделили новый специфичный вариант rs12721054/</w:t>
      </w:r>
      <w:r>
        <w:rPr>
          <w:rFonts w:ascii="Times New Roman" w:hAnsi="Times New Roman" w:cs="Times New Roman"/>
          <w:i/>
          <w:sz w:val="28"/>
          <w:szCs w:val="28"/>
        </w:rPr>
        <w:t>APOC1</w:t>
      </w:r>
      <w:r>
        <w:rPr>
          <w:rFonts w:ascii="Times New Roman" w:hAnsi="Times New Roman" w:cs="Times New Roman"/>
          <w:sz w:val="28"/>
          <w:szCs w:val="28"/>
        </w:rPr>
        <w:t xml:space="preserve"> и rs10096633</w:t>
      </w:r>
      <w:r>
        <w:rPr>
          <w:rFonts w:ascii="Times New Roman" w:hAnsi="Times New Roman" w:cs="Times New Roman"/>
          <w:i/>
          <w:sz w:val="28"/>
          <w:szCs w:val="28"/>
        </w:rPr>
        <w:t>/LPL</w:t>
      </w:r>
      <w:r>
        <w:rPr>
          <w:rFonts w:ascii="Times New Roman" w:hAnsi="Times New Roman" w:cs="Times New Roman"/>
          <w:sz w:val="28"/>
          <w:szCs w:val="28"/>
        </w:rPr>
        <w:t xml:space="preserve">, который был связан с тремя и более компонентами МС у афроамериканцев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{"citationItems":[{"id":"ITEM-1","itemData":{"DOI":"10.1161/CIRCGENETICS.113.000386","ISBN":"2122633255","ISSN":"19423268","PMID":"25023634","abstract":"BACKGROUND Metabolic syndrome (MetS) refers to the clustering of cardiometabolic risk factors, including dyslipidemia, central adiposity, hypertension, and hyperglycemia, in individuals. Identification of pleiotropic genetic factors associated with MetS traits may shed light on key pathways or mediators underlying MetS. METHODS AND RESULTS Using the Metabochip array in 15 148 African Americans from the Population Architecture using Genomics and Epidemiology (PAGE) study, we identify susceptibility loci and investigate pleiotropy among genetic variants using a subset-based meta-analysis method, ASsociation-analysis-based-on-subSETs (ASSET). Unlike conventional models that lack power when associations for MetS components are null or have opposite effects, Association-analysis-based-on-subsets uses 1-sided tests to detect positive and negative associations for components separately and combines tests accounting for correlations among components. With Association-analysis-based-on-subsets, we identify 27 single nucleotide polymorphisms in 1 glucose and 4 lipids loci (TCF7L2, LPL, APOA5, CETP, and APOC1/APOE/TOMM40) significantly associated with MetS components overall, all P&lt;2.5e-7, the Bonferroni adjusted P value. Three loci replicate in a Hispanic population, n=5172. A novel African American-specific variant, rs12721054/APOC1, and rs10096633/LPL are associated with ≥3 MetS components. We find additional evidence of pleiotropy for APOE, TOMM40, TCF7L2, and CETP variants, many with opposing effects (eg, the same rs7901695/TCF7L2 allele is associated with increased odds of high glucose and decreased odds of central adiposity). CONCLUSIONS We highlight a method to increase power in large-scale genomic association analyses and report a novel variant associated with all MetS components in African Americans. We also identify pleiotropic associations that may be clinically useful in patient risk profiling and for informing translational research of potential gene targets and medications.","author":[{"dropping-particle":"","family":"Carty","given":"Cara L.","non-dropping-particle":"","parse-names":false,"suffix":""},{"dropping-particle":"","family":"Bhattacharjee","given":"Samsiddhi","non-dropping-particle":"","parse-names":false,"suffix":""},{"dropping-particle":"","family":"Haessler","given":"Jeff","non-dropping-particle":"","parse-names":false,"suffix":""},{"dropping-particle":"","family":"Cheng","given":"Iona","non-dropping-particle":"","parse-names":false,"suffix":""},{"dropping-particle":"","family":"Hindorff","given":"Lucia A.","non-dropping-particle":"","parse-names":false,"suffix":""},{"dropping-particle":"","family":"Aroda","given":"Vanita","non-dropping-particle":"","parse-names":false,"suffix":""},{"dropping-particle":"","family":"Carlson","given":"Christopher S.","non-dropping-particle":"","parse-names":false,"suffix":""},{"dropping-particle":"","family":"Hsu","given":"Chun Nan","non-dropping-particle":"","parse-names":false,"suffix":""},{"dropping-particle":"","family":"Wilkens","given":"Lynne","non-dropping-particle":"","parse-names":false,"suffix":""},{"dropping-particle":"","family":"Liu","given":"Simin","non-dropping-particle":"","parse-names":false,"suffix":""},{"dropping-particle":"","family":"Selvin","given":"Elizabeth","non-dropping-particle":"","parse-names":false,"suffix":""},{"dropping-particle":"","family":"Jackson","given":"Rebecca","non-dropping-particle":"","parse-names":false,"suffix":""},{"dropping-particle":"","family":"North","given":"Kari E.","non-dropping-particle":"","parse-names":false,"suffix":""},{"dropping-particle":"","family":"Peters","given":"Ulrike","non-dropping-particle":"","parse-names":false,"suffix":""},{"dropping-particle":"","family":"Pankow","given":"James S.","non-dropping-particle":"","parse-names":false,"suffix":""},{"dropping-particle":"","family":"Chatterjee","given":"Nilanjan","non-dropping-particle":"","parse-names":false,"suffix":""},{"dropping-particle":"","family":"Kooperberg","given":"Charles","non-dropping-particle":"","parse-names":false,"suffix":""}],"container-title":"Circulation: Cardiovascular Genetics","id":"ITEM-1","issued":{"date-parts":[["2014"]]},"page":"505-513","title":"Analysis of Metabolic Syndrome Components in &gt;15 000 African Americans Identifies Pleiotropic Variants Results from the Population Architecture Using Genomics and Epidemiology Study","type":"article-journal","volume":"7"},"uris":["http://www.mendeley.com/documents/?uuid=4a25c5ea-e341-3afb-80c2-c9014a03f06f"]}],"mendeley":{"formattedCitation":"[50]","plainTextFormattedCitation":"[50]","previouslyFormattedCitation":"[50]"},"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[50]</w:t>
      </w:r>
      <w:r w:rsidR="00EA0E64">
        <w:rPr>
          <w:rFonts w:ascii="Times New Roman" w:hAnsi="Times New Roman" w:cs="Times New Roman"/>
          <w:sz w:val="28"/>
          <w:szCs w:val="28"/>
        </w:rPr>
        <w:fldChar w:fldCharType="end"/>
      </w:r>
      <w:r>
        <w:rPr>
          <w:rFonts w:ascii="Times New Roman" w:hAnsi="Times New Roman" w:cs="Times New Roman"/>
          <w:sz w:val="28"/>
          <w:szCs w:val="28"/>
        </w:rPr>
        <w:t>. По его данным,</w:t>
      </w:r>
      <w:r w:rsidR="00B7218C">
        <w:rPr>
          <w:rFonts w:ascii="Times New Roman" w:hAnsi="Times New Roman" w:cs="Times New Roman"/>
          <w:sz w:val="28"/>
          <w:szCs w:val="28"/>
        </w:rPr>
        <w:t xml:space="preserve"> различные</w:t>
      </w:r>
      <w:r>
        <w:rPr>
          <w:rFonts w:ascii="Times New Roman" w:hAnsi="Times New Roman" w:cs="Times New Roman"/>
          <w:sz w:val="28"/>
          <w:szCs w:val="28"/>
        </w:rPr>
        <w:t xml:space="preserve"> варианты гена </w:t>
      </w:r>
      <w:r>
        <w:rPr>
          <w:rFonts w:ascii="Times New Roman" w:hAnsi="Times New Roman" w:cs="Times New Roman"/>
          <w:i/>
          <w:sz w:val="28"/>
          <w:szCs w:val="28"/>
        </w:rPr>
        <w:t>LPL</w:t>
      </w:r>
      <w:r>
        <w:rPr>
          <w:rFonts w:ascii="Times New Roman" w:hAnsi="Times New Roman" w:cs="Times New Roman"/>
          <w:sz w:val="28"/>
          <w:szCs w:val="28"/>
        </w:rPr>
        <w:t xml:space="preserve"> были связаны с высоким</w:t>
      </w:r>
      <w:r w:rsidR="00B7218C">
        <w:rPr>
          <w:rFonts w:ascii="Times New Roman" w:hAnsi="Times New Roman" w:cs="Times New Roman"/>
          <w:sz w:val="28"/>
          <w:szCs w:val="28"/>
        </w:rPr>
        <w:t xml:space="preserve"> шансо</w:t>
      </w:r>
      <w:r>
        <w:rPr>
          <w:rFonts w:ascii="Times New Roman" w:hAnsi="Times New Roman" w:cs="Times New Roman"/>
          <w:sz w:val="28"/>
          <w:szCs w:val="28"/>
        </w:rPr>
        <w:t xml:space="preserve">м развития гипертриглицеридемии, повышенного уровня ЛПВП и глюкозы.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Malczewska-Malec</w:t>
      </w:r>
      <w:r w:rsidR="00483789">
        <w:rPr>
          <w:rFonts w:ascii="Times New Roman" w:hAnsi="Times New Roman" w:cs="Times New Roman"/>
          <w:sz w:val="28"/>
          <w:szCs w:val="28"/>
        </w:rPr>
        <w:t xml:space="preserve"> М.</w:t>
      </w:r>
      <w:r>
        <w:rPr>
          <w:rFonts w:ascii="Times New Roman" w:hAnsi="Times New Roman" w:cs="Times New Roman"/>
          <w:sz w:val="28"/>
          <w:szCs w:val="28"/>
        </w:rPr>
        <w:t xml:space="preserve"> (2004), анализируя взаимосвязь факторов риска, связанных с избыточным весом/ожирением, ИР, липидной толерантностью, АГ, эндотелиальной функцией и гено</w:t>
      </w:r>
      <w:r w:rsidR="00B7218C">
        <w:rPr>
          <w:rFonts w:ascii="Times New Roman" w:hAnsi="Times New Roman" w:cs="Times New Roman"/>
          <w:sz w:val="28"/>
          <w:szCs w:val="28"/>
        </w:rPr>
        <w:t>типом</w:t>
      </w:r>
      <w:r>
        <w:rPr>
          <w:rFonts w:ascii="Times New Roman" w:hAnsi="Times New Roman" w:cs="Times New Roman"/>
          <w:sz w:val="28"/>
          <w:szCs w:val="28"/>
        </w:rPr>
        <w:t xml:space="preserve">, пришел к выводу, что ген </w:t>
      </w:r>
      <w:r>
        <w:rPr>
          <w:rFonts w:ascii="Times New Roman" w:hAnsi="Times New Roman" w:cs="Times New Roman"/>
          <w:i/>
          <w:sz w:val="28"/>
          <w:szCs w:val="28"/>
        </w:rPr>
        <w:t>LPL</w:t>
      </w:r>
      <w:r>
        <w:rPr>
          <w:rFonts w:ascii="Times New Roman" w:hAnsi="Times New Roman" w:cs="Times New Roman"/>
          <w:sz w:val="28"/>
          <w:szCs w:val="28"/>
        </w:rPr>
        <w:t xml:space="preserve"> имеет значимую связь с развитием избыточного веса у мужчин и ИР у женщин</w:t>
      </w:r>
      <w:r w:rsidR="00771599">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{"citationItems":[{"id":"ITEM-1","itemData":{"DOI":"10.1515/CCLM.2004.083","ISBN":"1434-6621 (Print)\\r1434-6621","ISSN":"14346621","PMID":"15202783","abstract":"This study analyzes the relationship between risk factors related to overweight/obesity, insulin resistance, lipid tolerance, hypertension, endothelial function and genetic polymorphisms associated with: i) appetite regulation (leptin, melanocortin-3-receptor (MCR-3), dopamine receptor 2 (D2R)); ii) adipocyte differentiation and insulin sensitivity (peroxisome proliferator-activated receptor-gamma2 (PPAR-gamma2), tumor necrosis factor-alpha (TNF-alpha)); iii) thermogenesis and free fatty acid (FFA) transport/catabolism (uncoupling protein-1 (UCP1), lipoprotein lipase (LPL), beta2- and beta3-adrenergic receptor (beta2AR, beta3AR), fatty acid transport protein-1 (FATP-1) and iv) lipoproteins (apoliprotein E (apoE), apo CIII). The 122 members of 40 obese Caucasian families from southern Poland participated in the study. The genotypes were analyzed by restriction fragment length polymorphism-polymerase chain reaction (RFLP-PCR) or by direct sequencing. Phenotypes related to obesity (body mass index (BMI), fat/lean body mass composition, waist-to-hip ratio (WHR)), fasting lipids, glucose, leptin and insulin, as well as insulin during oral glucose tolerance test (OGTT) (4 points within 2 hours) and during oral lipid tolerance test (OLTT) (5 points within 8 hours) were assessed. The insulin sensitivity indexes: homeostasis model assessment of insulin resistance, whole body insulin sensitivity index, hepatic insulin sensitivity and early secretory response to an oral glucose load (HOMA-IR, ISI-COMP, ISI-HOMA and DELTA) were calculated. The single gene mutations such as C105 T OB and Pro115 Gln PPAR-gamma2 linked to morbid obesity were not detected in our group. A weak correlation between obesity and certain gene polymorphisms was observed. Being overweight (25 &lt; BMI &gt; or = 30 kg/m2) significantly correlated with worse FFA tolerance in male PPAR-gamma2 12Pro, LPL-H (G) allele carriers. Insulin resistance was found in female PPAR-gamma2 Pro12, TNF-alpha (-308A) and LPL-H (G) allele carriers. Hypertension linked to the PPAR-gamma2 Pro allele carriers was characterized by high leptin output during OLTT. We conclude that the polymorphisms we investigated were weakly correlated with obesity but significantly modified the risk factors of the metabolic syndrome.","author":[{"dropping-particle":"","family":"Malczewska-Malec","given":"Małgorzata","non-dropping-particle":"","parse-names":false,"suffix":""},{"dropping-particle":"","family":"Wybranska","given":"Iwona","non-dropping-particle":"","parse-names":false,"suffix":""},{"dropping-particle":"","family":"Leszczynska-Golabek","given":"Iwona","non-dropping-particle":"","parse-names":false,"suffix":""},{"dropping-particle":"","family":"Partyka","given":"Lukasz","non-dropping-particle":"","parse-names":false,"suffix":""},{"dropping-particle":"","family":"Hartwich","given":"Jadwiga","non-dropping-particle":"","parse-names":false,"suffix":""},{"dropping-particle":"","family":"Jabrocka","given":"Agata","non-dropping-particle":"","parse-names":false,"suffix":""},{"dropping-particle":"","family":"Kiec-Wilk","given":"Beata","non-dropping-particle":"","parse-names":false,"suffix":""},{"dropping-particle":"","family":"Kwasniak","given":"Małgorzata","non-dropping-particle":"","parse-names":false,"suffix":""},{"dropping-particle":"","family":"Motyka","given":"Marcin","non-dropping-particle":"","parse-names":false,"suffix":""},{"dropping-particle":"","family":"Dembinska-Kiec","given":"Aldona","non-dropping-particle":"","parse-names":false,"suffix":""}],"container-title":"Clinical Chemistry and Laboratory Medicine","id":"ITEM-1","issue":"5","issued":{"date-parts":[["2004"]]},"page":"487-493","title":"Analysis of candidate genes in Polish families with obesity","type":"article-journal","volume":"42"},"uris":["http://www.mendeley.com/documents/?uuid=3653348a-71a1-4079-b0a0-b801fb4847a3"]}],"mendeley":{"formattedCitation":"[51]","plainTextFormattedCitation":"[51]","previouslyFormattedCitation":"[51]"},"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[51]</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В результатах Liu A. (2004) показано, что при наличии полиморфизма X447 гена </w:t>
      </w:r>
      <w:r>
        <w:rPr>
          <w:rFonts w:ascii="Times New Roman" w:hAnsi="Times New Roman" w:cs="Times New Roman"/>
          <w:i/>
          <w:sz w:val="28"/>
          <w:szCs w:val="28"/>
        </w:rPr>
        <w:t>LPL</w:t>
      </w:r>
      <w:r>
        <w:rPr>
          <w:rFonts w:ascii="Times New Roman" w:hAnsi="Times New Roman" w:cs="Times New Roman"/>
          <w:sz w:val="28"/>
          <w:szCs w:val="28"/>
        </w:rPr>
        <w:t xml:space="preserve"> наблюдается высокая концентрация ТГ и/или низкая концентрация ЛПВП, что связано с высоким САД и пульсовым давлением у пациентов с АГ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{"citationItems":[{"id":"ITEM-1","itemData":{"DOI":"10.1097/01.hjh.0000125456.28861.e4","ISSN":"0263-6352","abstract":"Objective: To investigate the association between the S447X polymorphism of the lipoprotein lipase (LPL) gene and lipoprotein lipid and blood pressure (BP) levels in 904 Chinese subjects with essential hypertension. Method: Five hundred and sixty-three male and 341 female patients (aged 35-69 years) were randomly selected from hypertensive patients diagnosed in the Community-based Comprehensive Studies on Prevention and Control of Hypertension Project in China (CCPACH) and not treated with antihypertensive medications for at least 2 weeks immediately before blood collection. Results: After multivariate adjustment for age, body mass index (BMI), smoking status, alcohol intake and serum glucose, the X447 allele was significantly associated with low triglyceride, log triglyceride: high-density lipoprotein (HDL)-cholesterol ratio and high HDL-cholesterol levels compared with the S447S genotype, but not with BP levels in the whole study population. However, upon stratification for dyslipidemic status, the X447 allele was associated with higher systolic blood pressure (SBP) (P&lt;0.05) and pulse pressure (PP) (P &lt; 0.05) compared with the S447S genotype after multivariate adjustment in dyslipidemic subjects, but not in those without dyslipidemia. A statistically significant interaction between the LPL S447X polymorphism and dyslipidemic status was observed for SBP and PP levels, suggesting that dyslipidemic status might modify the effect of the LPL S447X polymorphism on BP levels. Conclusions: Our findings suggest that a high concentration of triglyceride and/or low concentration of HDL-cholesterol are associated with high SBP and PP in hypertensive patients with the X447 allele of the LPL gene. © 2004 Lippincott Williams &amp; Wilkins.","author":[{"dropping-particle":"","family":"Liu","given":"Aiping","non-dropping-particle":"","parse-names":false,"suffix":""},{"dropping-particle":"","family":"Lee","given":"Liming","non-dropping-particle":"","parse-names":false,"suffix":""},{"dropping-particle":"","family":"Zhan","given":"Siyan","non-dropping-particle":"","parse-names":false,"suffix":""},{"dropping-particle":"","family":"Cao","given":"Weihua","non-dropping-particle":"","parse-names":false,"suffix":""},{"dropping-particle":"","family":"Lv","given":"Jun","non-dropping-particle":"","parse-names":false,"suffix":""},{"dropping-particle":"","family":"Guo","given":"Xiaoxia","non-dropping-particle":"","parse-names":false,"suffix":""},{"dropping-particle":"","family":"Hu","given":"Yonghua","non-dropping-particle":"","parse-names":false,"suffix":""}],"container-title":"Journal of Hypertension","id":"ITEM-1","issue":"8","issued":{"date-parts":[["2004","8"]]},"page":"1503-1509","title":"The S447X polymorphism of the lipoprotein lipase gene is associated with lipoprotein lipid and blood pressure levels in Chinese patients with essential hypertension","type":"article-journal","volume":"22"},"uris":["http://www.mendeley.com/documents/?uuid=6efad478-fe46-40f3-b1bf-62e3b924dc73","http://www.mendeley.com/documents/?uuid=86971b1d-c3c7-447e-98be-05f697bc85ca"]}],"mendeley":{"formattedCitation":"[52]","plainTextFormattedCitation":"[52]","previouslyFormattedCitation":"[52]"},"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[52]</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Автор полагает, что дислипидемия может модифицировать полиморфизм гена </w:t>
      </w:r>
      <w:r>
        <w:rPr>
          <w:rFonts w:ascii="Times New Roman" w:hAnsi="Times New Roman" w:cs="Times New Roman"/>
          <w:i/>
          <w:sz w:val="28"/>
          <w:szCs w:val="28"/>
        </w:rPr>
        <w:t>LPL</w:t>
      </w:r>
      <w:r>
        <w:rPr>
          <w:rFonts w:ascii="Times New Roman" w:hAnsi="Times New Roman" w:cs="Times New Roman"/>
          <w:sz w:val="28"/>
          <w:szCs w:val="28"/>
        </w:rPr>
        <w:t xml:space="preserve"> на уровни АД. Оценивая связь полиморфизма S447X и полиморфизма Hind III гена </w:t>
      </w:r>
      <w:r>
        <w:rPr>
          <w:rFonts w:ascii="Times New Roman" w:hAnsi="Times New Roman" w:cs="Times New Roman"/>
          <w:i/>
          <w:sz w:val="28"/>
          <w:szCs w:val="28"/>
        </w:rPr>
        <w:t>LPL</w:t>
      </w:r>
      <w:r>
        <w:rPr>
          <w:rFonts w:ascii="Times New Roman" w:hAnsi="Times New Roman" w:cs="Times New Roman"/>
          <w:sz w:val="28"/>
          <w:szCs w:val="28"/>
        </w:rPr>
        <w:t xml:space="preserve"> с дислипидемией при МС у пациентов с АГ, Liu A. (2005) обнаружил достоверную связь между ними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{"citationItems":[{"id":"ITEM-1","itemData":{"DOI":"940622037 [pii]","ISBN":"1003-9406 (Print)","ISSN":"10039406","abstract":"OBJECTIVE: To assess the association of S447X mutation and Hind III polymorphism in the lipoprotein lipase gene with dyslipidemia of the metabolic syndrome in patients with essential hypertension. METHODS: A total of 983 patients were randomly selected from those with hypertension (diagnosed in the Community-based Comprehensive Studies on Prevention and Control of Hypertension Project in China) and those not treated with anti-hypertensive medications for at least in 2 weeks immediately before blood collection. Among them were 389 subjects with dyslipidemia and 594 subjects without dyslipidemia. The definition of dyslipidemia in patients with hypertension was used only when triglyceride or HDL-cholesterol was at abnormal level. Polymerase chain reaction-restriction fragment length polymorphism (PCR-RFLP) was used to determine Ser447stop mutation and Hind III polymorphism in LPL gene. RESULTS: Linkage disequilibrium between the two sites was observed, with three major haplotypes identified: H+S, H-S, and H-X. The LPL gene S447X mutation and H-X haplotype were significantly associated with dyslipidemia (OR=0.547, 95%CI: 0.348-0.859 for S447X mutation; OR=0.537, 95%CI: 0.328-0.880 for H-X haplotype) in male, both by themselves and after adjustment for age, body mass index, smoking, alcohol intake, systolic blood pressure, diastolic blood pressure, education and serum glucose. The LPL H- carriers and H-S haplotype were significantly associated with dyslipidemia (OR=0.575, 95%CI: 0.358-0.923) in female after multivariate adjustment. Moreover, compared with the H+S haplotype, the H-X haplotypes were associated with significantly lower TG and Log (TG/HDL-C) levels in both men and women, and with higher HDL-C levels in women; whereas no significant difference was observed between the H-S and H+S haplotype. Compared with the H-S haplotype, the H-X haplotypes had significant effect on the HDL-C levels in women. CONCLUSION: The LPL H-X haplotype was one of the protective factors of dyslipidemia of metabolic syndrome in hypertensive patients. It is significantly associated with low triglyceride, log triglyceride-to-HDL-cholesterol ratio and high HDL-cholesterol levels. S447X mutation does not explain all the effect associated with the Hind III polymorphism, although the effect on serum lipids associated with the H-X haplotype appeared to be mainly mediated by the S447X mutation. It is possible that some functional mutations in the LPL gene besides the S447X mutation…","author":[{"dropping-particle":"","family":"Liu","given":"Ai Ping","non-dropping-particle":"","parse-names":false,"suffix":""},{"dropping-particle":"","family":"Li","given":"Li Ming","non-dropping-particle":"","parse-names":false,"suffix":""},{"dropping-particle":"","family":"Cao","given":"Wei Hua","non-dropping-particle":"","parse-names":false,"suffix":""},{"dropping-particle":"","family":"Zhan","given":"Si Yan","non-dropping-particle":"","parse-names":false,"suffix":""},{"dropping-particle":"","family":"Lu","given":"Jun","non-dropping-particle":"","parse-names":false,"suffix":""},{"dropping-particle":"","family":"Guo","given":"Xiao Xia","non-dropping-particle":"","parse-names":false,"suffix":""},{"dropping-particle":"","family":"Hu","given":"Yong Hua","non-dropping-particle":"","parse-names":false,"suffix":""}],"container-title":"Chinese Journal of Medical Genetics","id":"ITEM-1","issue":"2","issued":{"date-parts":[["2005"]]},"page":"151-157","title":"The association of S447X and Hind III polymorphism in the lipoprotein lipase gene with dyslipidemia of the metabolic syndrome in patients with essential hypertension","type":"article-journal","volume":"22"},"uris":["http://www.mendeley.com/documents/?uuid=2015578e-08e0-4ec2-acf5-5c670d079156"]}],"mendeley":{"formattedCitation":"[53]","plainTextFormattedCitation":"[53]","previouslyFormattedCitation":"[53]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[53]</w:t>
      </w:r>
      <w:r w:rsidR="00EA0E64">
        <w:rPr>
          <w:rFonts w:ascii="Times New Roman" w:hAnsi="Times New Roman" w:cs="Times New Roman"/>
          <w:sz w:val="28"/>
          <w:szCs w:val="28"/>
        </w:rPr>
        <w:fldChar w:fldCharType="end"/>
      </w:r>
      <w:r>
        <w:rPr>
          <w:rFonts w:ascii="Times New Roman" w:hAnsi="Times New Roman" w:cs="Times New Roman"/>
          <w:sz w:val="28"/>
          <w:szCs w:val="28"/>
        </w:rPr>
        <w:t>. Он утверждает, что гаплотип</w:t>
      </w:r>
      <w:r w:rsidR="00771599">
        <w:rPr>
          <w:rFonts w:ascii="Times New Roman" w:hAnsi="Times New Roman" w:cs="Times New Roman"/>
          <w:sz w:val="28"/>
          <w:szCs w:val="28"/>
        </w:rPr>
        <w:t xml:space="preserve"> </w:t>
      </w:r>
      <w:r>
        <w:rPr>
          <w:rFonts w:ascii="Times New Roman" w:hAnsi="Times New Roman" w:cs="Times New Roman"/>
          <w:i/>
          <w:sz w:val="28"/>
          <w:szCs w:val="28"/>
        </w:rPr>
        <w:t>LPL</w:t>
      </w:r>
      <w:r>
        <w:rPr>
          <w:rFonts w:ascii="Times New Roman" w:hAnsi="Times New Roman" w:cs="Times New Roman"/>
          <w:sz w:val="28"/>
          <w:szCs w:val="28"/>
        </w:rPr>
        <w:t xml:space="preserve"> H-X является одним из защитных факторов дислипидемии при МС у пациентов с АГ. Этот гаплотип в значительной степени </w:t>
      </w:r>
      <w:r w:rsidR="007A5580">
        <w:rPr>
          <w:rFonts w:ascii="Times New Roman" w:hAnsi="Times New Roman" w:cs="Times New Roman"/>
          <w:sz w:val="28"/>
          <w:szCs w:val="28"/>
        </w:rPr>
        <w:t xml:space="preserve">был </w:t>
      </w:r>
      <w:r>
        <w:rPr>
          <w:rFonts w:ascii="Times New Roman" w:hAnsi="Times New Roman" w:cs="Times New Roman"/>
          <w:sz w:val="28"/>
          <w:szCs w:val="28"/>
        </w:rPr>
        <w:t xml:space="preserve">связан с низким уровнем ТГ и высоким уровнем ЛПВП. </w:t>
      </w:r>
    </w:p>
    <w:p w:rsidR="00AB12B3" w:rsidRDefault="0024776D"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изучении роли генов в развитии АГ </w:t>
      </w:r>
      <w:r w:rsidR="00AB12B3">
        <w:rPr>
          <w:rFonts w:ascii="Times New Roman" w:hAnsi="Times New Roman" w:cs="Times New Roman"/>
          <w:sz w:val="28"/>
          <w:szCs w:val="28"/>
        </w:rPr>
        <w:t xml:space="preserve">Chen P. (2007) обнаружил, что полиморфизмы гена </w:t>
      </w:r>
      <w:r w:rsidR="00AB12B3">
        <w:rPr>
          <w:rFonts w:ascii="Times New Roman" w:hAnsi="Times New Roman" w:cs="Times New Roman"/>
          <w:i/>
          <w:sz w:val="28"/>
          <w:szCs w:val="28"/>
        </w:rPr>
        <w:t>LPL</w:t>
      </w:r>
      <w:r w:rsidR="00AB12B3">
        <w:rPr>
          <w:rFonts w:ascii="Times New Roman" w:hAnsi="Times New Roman" w:cs="Times New Roman"/>
          <w:sz w:val="28"/>
          <w:szCs w:val="28"/>
        </w:rPr>
        <w:t xml:space="preserve"> не только способствуют развитию АГ, но и также влияют на повышение уровня ТГ</w:t>
      </w:r>
      <w:r w:rsidR="00E83CEF">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{"citationItems":[{"id":"ITEM-1","itemData":{"DOI":"10.1002/humu.20812","ISSN":"10597794","abstract":"Previously, we observed that young onset hypertension was independently associated with elevated plasma triglyceride(s) (TG) levels to a greater extent than other metabolic risk factors. Thus, focusing on the endophenotype-hypertension combined with elevated TG-we designed a family-based haplotype association study to explore its genetic connection with novel genetic variants of lipoprotein lipase gene (LPL), which encodes a major lipid metabolizing enzyme. Young onset hypertension probands and their families were recruited, numbering 1,002 individuals from 345 families. Single-nucleotide polymorphism discovery for LPL, linkage disequilibrium (LD) analysis, transmission disequilibrium tests (TDT), bin construction, haplotype TDT association and logistic regression analysis were per. formed. We found that the CC- haplotype (i) spanning from intron 2 to intron 4 and the ACATT haplotype (ii) spanning from intron 5 to intron 6 were significantly associated with hypertension-related phenotypes: hypertension (ii, P = 0.05), elevated TG (i, P = 0.01), and hypertension combined with elevated TG 6, P = 0.001; ii, P &lt; 0.0001), according to TDT. The risk of this hypertension subtype increased with the number of risk haplotypes in the two loci, using logistic regression model after adjusting within-family correlation. The relationships betweenLPL variants and hypertension-related disorders were also confirmed by an independent association study. Finally, we showed it trend that individuals with homozygous risk haplotypes had de. creased LPL expression after a fatty meal, as opposed to","author":[{"dropping-particle":"","family":"Chen","given":"Pei","non-dropping-particle":"","parse-names":false,"suffix":""},{"dropping-particle":"","family":"Jou","given":"Yuh-Shan","non-dropping-particle":"","parse-names":false,"suffix":""},{"dropping-particle":"","family":"Fann","given":"Cathy SJ","non-dropping-particle":"","parse-names":false,"suffix":""},{"dropping-particle":"","family":"Chen","given":"Jaw-Wen","non-dropping-particle":"","parse-names":false,"suffix":""},{"dropping-particle":"","family":"Chung","given":"Chia-Min","non-dropping-particle":"","parse-names":false,"suffix":""},{"dropping-particle":"","family":"Lin","given":"Chin-Yu","non-dropping-particle":"","parse-names":false,"suffix":""},{"dropping-particle":"","family":"Wu","given":"Sheng-Yeu","non-dropping-particle":"","parse-names":false,"suffix":""},{"dropping-particle":"","family":"Kang","given":"Mei-Jyh","non-dropping-particle":"","parse-names":false,"suffix":""},{"dropping-particle":"","family":"Chen","given":"Ying-Chuang","non-dropping-particle":"","parse-names":false,"suffix":""},{"dropping-particle":"","family":"Jong","given":"Yuh-Shiun","non-dropping-particle":"","parse-names":false,"suffix":""},{"dropping-particle":"","family":"Lo","given":"Huey-Ming","non-dropping-particle":"","parse-names":false,"suffix":""},{"dropping-particle":"","family":"Kang","given":"Chih-Sen","non-dropping-particle":"","parse-names":false,"suffix":""},{"dropping-particle":"","family":"Chen","given":"Chien-Chung","non-dropping-particle":"","parse-names":false,"suffix":""},{"dropping-particle":"","family":"Chang","given":"Huan-Cheng","non-dropping-particle":"","parse-names":false,"suffix":""},{"dropping-particle":"","family":"Huang","given":"Nai-Kuei","non-dropping-particle":"","parse-names":false,"suffix":""},{"dropping-particle":"","family":"Wu","given":"Yi-Lin","non-dropping-particle":"","parse-names":false,"suffix":""},{"dropping-particle":"","family":"Pan","given":"Wen-Harn","non-dropping-particle":"","parse-names":false,"suffix":""}],"container-title":"Human Mutation","id":"ITEM-1","issue":"1","issued":{"date-parts":[["2009","1"]]},"page":"49-55","title":"Lipoprotein lipase variants associated with an endophenotype of hypertension: hypertension combined with elevated triglycerides","type":"article-journal","volume":"30"},"uris":["http://www.mendeley.com/documents/?uuid=4bdaeddb-4932-4b96-8e44-60030dd9b612"]}],"mendeley":{"formattedCitation":"[54]","plainTextFormattedCitation":"[54]","previouslyFormattedCitation":"[54]"},"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[54]</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Функциональное исследование экспрессии </w:t>
      </w:r>
      <w:r w:rsidR="00AB12B3">
        <w:rPr>
          <w:rFonts w:ascii="Times New Roman" w:hAnsi="Times New Roman" w:cs="Times New Roman"/>
          <w:i/>
          <w:sz w:val="28"/>
          <w:szCs w:val="28"/>
        </w:rPr>
        <w:t>LPL</w:t>
      </w:r>
      <w:r w:rsidR="00AB12B3">
        <w:rPr>
          <w:rFonts w:ascii="Times New Roman" w:hAnsi="Times New Roman" w:cs="Times New Roman"/>
          <w:sz w:val="28"/>
          <w:szCs w:val="28"/>
        </w:rPr>
        <w:t xml:space="preserve"> показало тенденцию </w:t>
      </w:r>
      <w:r w:rsidR="00055771">
        <w:rPr>
          <w:rFonts w:ascii="Times New Roman" w:hAnsi="Times New Roman" w:cs="Times New Roman"/>
          <w:sz w:val="28"/>
          <w:szCs w:val="28"/>
        </w:rPr>
        <w:t>к снижению уровня</w:t>
      </w:r>
      <w:r w:rsidR="00AB12B3">
        <w:rPr>
          <w:rFonts w:ascii="Times New Roman" w:hAnsi="Times New Roman" w:cs="Times New Roman"/>
          <w:sz w:val="28"/>
          <w:szCs w:val="28"/>
        </w:rPr>
        <w:t xml:space="preserve"> экспрессии </w:t>
      </w:r>
      <w:r w:rsidR="00AB12B3">
        <w:rPr>
          <w:rFonts w:ascii="Times New Roman" w:hAnsi="Times New Roman" w:cs="Times New Roman"/>
          <w:i/>
          <w:sz w:val="28"/>
          <w:szCs w:val="28"/>
        </w:rPr>
        <w:t>LPL</w:t>
      </w:r>
      <w:r w:rsidR="00AB12B3">
        <w:rPr>
          <w:rFonts w:ascii="Times New Roman" w:hAnsi="Times New Roman" w:cs="Times New Roman"/>
          <w:sz w:val="28"/>
          <w:szCs w:val="28"/>
        </w:rPr>
        <w:t xml:space="preserve"> у пациентов с полиморфизмами гена </w:t>
      </w:r>
      <w:r w:rsidR="00AB12B3">
        <w:rPr>
          <w:rFonts w:ascii="Times New Roman" w:hAnsi="Times New Roman" w:cs="Times New Roman"/>
          <w:i/>
          <w:sz w:val="28"/>
          <w:szCs w:val="28"/>
        </w:rPr>
        <w:t>LPL</w:t>
      </w:r>
      <w:r w:rsidR="00AB12B3">
        <w:rPr>
          <w:rFonts w:ascii="Times New Roman" w:hAnsi="Times New Roman" w:cs="Times New Roman"/>
          <w:sz w:val="28"/>
          <w:szCs w:val="28"/>
        </w:rPr>
        <w:t xml:space="preserve"> после приема жирной пищи, хотя данные не были статистически значимыми из-за небольшого размера выборки. Jeppesen</w:t>
      </w:r>
      <w:r w:rsidR="00D57F9D">
        <w:rPr>
          <w:rFonts w:ascii="Times New Roman" w:hAnsi="Times New Roman" w:cs="Times New Roman"/>
          <w:sz w:val="28"/>
          <w:szCs w:val="28"/>
        </w:rPr>
        <w:t xml:space="preserve"> </w:t>
      </w:r>
      <w:r w:rsidR="007F7DC3">
        <w:rPr>
          <w:rFonts w:ascii="Times New Roman" w:hAnsi="Times New Roman" w:cs="Times New Roman"/>
          <w:sz w:val="28"/>
          <w:szCs w:val="28"/>
        </w:rPr>
        <w:t xml:space="preserve">J. </w:t>
      </w:r>
      <w:r w:rsidR="00AB12B3">
        <w:rPr>
          <w:rFonts w:ascii="Times New Roman" w:hAnsi="Times New Roman" w:cs="Times New Roman"/>
          <w:sz w:val="28"/>
          <w:szCs w:val="28"/>
        </w:rPr>
        <w:t xml:space="preserve">в своем исследовании (2010) не обнаружил взаимосвязи между гиперинсулинемией и риском развития ИБС при разных полиморфизмах гена </w:t>
      </w:r>
      <w:r w:rsidR="00AB12B3">
        <w:rPr>
          <w:rFonts w:ascii="Times New Roman" w:hAnsi="Times New Roman" w:cs="Times New Roman"/>
          <w:i/>
          <w:sz w:val="28"/>
          <w:szCs w:val="28"/>
        </w:rPr>
        <w:t>LPL</w:t>
      </w:r>
      <w:r w:rsidR="006C2CD2">
        <w:rPr>
          <w:rFonts w:ascii="Times New Roman" w:hAnsi="Times New Roman" w:cs="Times New Roman"/>
          <w:i/>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{"citationItems":[{"id":"ITEM-1","itemData":{"DOI":"https://dx.doi.org/10.1016/j.atherosclerosis.2010.02.030","ISSN":"1879-1484","PMID":"20347446","abstract":"OBJECTIVE: Hyperinsulinemia and lipoprotein lipase (LPL) are important determinants of fasting and postprandial plasma triglyceride levels. High insulin and high triglyceride levels are associated with an increased risk of ischemic heart disease (IHD). This study aimed to find out whether common LPL gene sequence variants could change the relationship between insulin and IHD., METHODS: This investigation was a prospective population-based study of 2265 women and men, age 41-72 years, without major cardiovascular diseases and diabetes at baseline. At baseline, IHD risk factors, including fasting levels of plasma glucose and serum insulin, were measured, and carrier status for the two common LPL gene sequence variants: 447X and 291Ser, was determined., RESULTS: Of the 2265 participants, 19.9% had the 447X variant and 4.9% had the 291Ser variant. Over a median follow-up of 12.6 years, incidence of IHD (fatal and non-fatal) amounted to 169 events. In proportional-hazard models, adjusted for age, sex, smoking, hypertension, and hypercholesterolemia, hyperinsulinemia, defined as the highest sex-specific insulin quartile, was significantly associated with incident IHD with a hazard ratio (95% confidence interval) of 1.44 (1.05-1.98), P=0.025, without the LPL variants in the model, and a hazard ratio of 1.42 (1.03-1.95), P=0.031, with the LPL variants included in the model. In addition, we found no interactions between insulin and the LPL variants and IHD risk (P&gt;0.21)., CONCLUSION: The relationship between hyperinsulinemia and IHD risk was not changed significantly by common LPL gene sequence variants., Copyright 2010 Elsevier Ireland Ltd. All rights reserved.","author":[{"dropping-particle":"","family":"Jeppesen","given":"Jorgen","non-dropping-particle":"","parse-names":false,"suffix":""},{"dropping-particle":"","family":"Hansen","given":"Tine Willum","non-dropping-particle":"","parse-names":false,"suffix":""},{"dropping-particle":"","family":"Torp-Pedersen","given":"Christian","non-dropping-particle":"","parse-names":false,"suffix":""},{"dropping-particle":"","family":"Madsbad","given":"Sten","non-dropping-particle":"","parse-names":false,"suffix":""},{"dropping-particle":"","family":"Ibsen","given":"Hans","non-dropping-particle":"","parse-names":false,"suffix":""},{"dropping-particle":"","family":"Jorgensen","given":"Torben","non-dropping-particle":"","parse-names":false,"suffix":""},{"dropping-particle":"","family":"Fenger","given":"Mogens","non-dropping-particle":"","parse-names":false,"suffix":""}],"container-title":"Atherosclerosis","id":"ITEM-1","issue":"2","issued":{"date-parts":[["2010"]]},"page":"506-511","title":"Relationship between common lipoprotein lipase gene sequence variants, hyperinsulinemia, and risk of ischemic heart disease: A population-based study.","type":"article-journal","volume":"211"},"uris":["http://www.mendeley.com/documents/?uuid=567887e4-7560-4be1-bf98-fe6b7512440e"]}],"mendeley":{"formattedCitation":"[55]","plainTextFormattedCitation":"[55]","previouslyFormattedCitation":"[55]"},"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[55]</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Kraja</w:t>
      </w:r>
      <w:r w:rsidR="00AD770F">
        <w:rPr>
          <w:rFonts w:ascii="Times New Roman" w:hAnsi="Times New Roman" w:cs="Times New Roman"/>
          <w:sz w:val="28"/>
          <w:szCs w:val="28"/>
        </w:rPr>
        <w:t xml:space="preserve"> </w:t>
      </w:r>
      <w:r w:rsidR="00483789">
        <w:rPr>
          <w:rFonts w:ascii="Times New Roman" w:hAnsi="Times New Roman" w:cs="Times New Roman"/>
          <w:sz w:val="28"/>
          <w:szCs w:val="28"/>
        </w:rPr>
        <w:t xml:space="preserve">А. </w:t>
      </w:r>
      <w:r w:rsidR="00AB12B3">
        <w:rPr>
          <w:rFonts w:ascii="Times New Roman" w:hAnsi="Times New Roman" w:cs="Times New Roman"/>
          <w:sz w:val="28"/>
          <w:szCs w:val="28"/>
        </w:rPr>
        <w:t>и соавторы (2011) в свое</w:t>
      </w:r>
      <w:r w:rsidR="00055771">
        <w:rPr>
          <w:rFonts w:ascii="Times New Roman" w:hAnsi="Times New Roman" w:cs="Times New Roman"/>
          <w:sz w:val="28"/>
          <w:szCs w:val="28"/>
        </w:rPr>
        <w:t>й работе по</w:t>
      </w:r>
      <w:r w:rsidR="00AB12B3">
        <w:rPr>
          <w:rFonts w:ascii="Times New Roman" w:hAnsi="Times New Roman" w:cs="Times New Roman"/>
          <w:sz w:val="28"/>
          <w:szCs w:val="28"/>
        </w:rPr>
        <w:t xml:space="preserve"> метаанализ</w:t>
      </w:r>
      <w:r w:rsidR="00055771">
        <w:rPr>
          <w:rFonts w:ascii="Times New Roman" w:hAnsi="Times New Roman" w:cs="Times New Roman"/>
          <w:sz w:val="28"/>
          <w:szCs w:val="28"/>
        </w:rPr>
        <w:t>у</w:t>
      </w:r>
      <w:r w:rsidR="00AB12B3">
        <w:rPr>
          <w:rFonts w:ascii="Times New Roman" w:hAnsi="Times New Roman" w:cs="Times New Roman"/>
          <w:sz w:val="28"/>
          <w:szCs w:val="28"/>
        </w:rPr>
        <w:t xml:space="preserve"> </w:t>
      </w:r>
      <w:r w:rsidR="00467D0F">
        <w:rPr>
          <w:rFonts w:ascii="Times New Roman" w:hAnsi="Times New Roman" w:cs="Times New Roman"/>
          <w:sz w:val="28"/>
          <w:szCs w:val="28"/>
        </w:rPr>
        <w:t>выявили</w:t>
      </w:r>
      <w:r w:rsidR="00AB12B3">
        <w:rPr>
          <w:rFonts w:ascii="Times New Roman" w:hAnsi="Times New Roman" w:cs="Times New Roman"/>
          <w:sz w:val="28"/>
          <w:szCs w:val="28"/>
        </w:rPr>
        <w:t xml:space="preserve">, что определенные полиморфизмы гена </w:t>
      </w:r>
      <w:r w:rsidR="00AB12B3">
        <w:rPr>
          <w:rFonts w:ascii="Times New Roman" w:hAnsi="Times New Roman" w:cs="Times New Roman"/>
          <w:i/>
          <w:sz w:val="28"/>
          <w:szCs w:val="28"/>
        </w:rPr>
        <w:t>LPL</w:t>
      </w:r>
      <w:r w:rsidR="00467D0F">
        <w:rPr>
          <w:rFonts w:ascii="Times New Roman" w:hAnsi="Times New Roman" w:cs="Times New Roman"/>
          <w:sz w:val="28"/>
          <w:szCs w:val="28"/>
        </w:rPr>
        <w:t xml:space="preserve"> показали высокую ассоциативную связь</w:t>
      </w:r>
      <w:r w:rsidR="00AB12B3">
        <w:rPr>
          <w:rFonts w:ascii="Times New Roman" w:hAnsi="Times New Roman" w:cs="Times New Roman"/>
          <w:sz w:val="28"/>
          <w:szCs w:val="28"/>
        </w:rPr>
        <w:t xml:space="preserve"> с МС, а также с бинарными признаками ЛПВП - АД, ТГ - АД, ТГ - глюкоза, ТГ - ЛПВП и окружность талии </w:t>
      </w:r>
      <w:r>
        <w:rPr>
          <w:rFonts w:ascii="Times New Roman" w:hAnsi="Times New Roman" w:cs="Times New Roman"/>
          <w:sz w:val="28"/>
          <w:szCs w:val="28"/>
        </w:rPr>
        <w:t>–</w:t>
      </w:r>
      <w:r w:rsidR="00AB12B3">
        <w:rPr>
          <w:rFonts w:ascii="Times New Roman" w:hAnsi="Times New Roman" w:cs="Times New Roman"/>
          <w:sz w:val="28"/>
          <w:szCs w:val="28"/>
        </w:rPr>
        <w:t xml:space="preserve"> ЛПВП</w:t>
      </w:r>
      <w:r w:rsidR="006C2CD2">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 xml:space="preserve">ADDIN CSL_CITATION {"citationItems":[{"id":"ITEM-1","itemData":{"DOI":"10.2337/db10-1011","ISSN":"00121797","abstract":"OBJECTIVE The metabolic syndrome (MetS) is defined as concomitant disorders of lipid and glucose metabolism, central obesity, and high blood pressure, with an increased risk of type 2 diabetes and cardiovascular disease. This study tests whether common genetic variants with pleiotropic effects account for some of the correlated architecture among five metabolic phenotypes that define MetS. RESEARCH DESIGN AND METHODS Seven studies of the STAMPEED consortium, comprising 22,161 participants of European ancestry, underwent genome-wide association analyses of metabolic traits using a panel of </w:instrText>
      </w:r>
      <w:r w:rsidR="002312BD">
        <w:rPr>
          <w:rFonts w:ascii="Cambria Math" w:hAnsi="Cambria Math" w:cs="Cambria Math"/>
          <w:sz w:val="28"/>
          <w:szCs w:val="28"/>
        </w:rPr>
        <w:instrText>∼</w:instrText>
      </w:r>
      <w:r w:rsidR="002312BD">
        <w:rPr>
          <w:rFonts w:ascii="Times New Roman" w:hAnsi="Times New Roman" w:cs="Times New Roman"/>
          <w:sz w:val="28"/>
          <w:szCs w:val="28"/>
        </w:rPr>
        <w:instrText xml:space="preserve">2.5 million imputed single nucleotide polymorphisms (SNPs). Phenotypes were defined by the National Cholesterol Education Program (NCEP) criteria for MetS in pairwise combinations. Individuals exceeding the NCEP thresholds for both traits of a pair were considered affected. RESULTS Twenty-nine common variants were associated with MetS or a pair of traits. Variants in the genes LPL, CETP, APOA5 (and its cluster), GCKR (and its cluster), LIPC, TRIB1, LOC100128354/MTNR1B, ABCB11, and LOC100129150 were further tested for their association with individual qualitative and quantitative traits. None of the 16 top SNPs (one per gene) associated simultaneously with more than two individual traits. Of them 11 variants showed nominal associations with MetS per se. The effects of 16 top SNPs on the quantitative traits were relatively small, together explaining from </w:instrText>
      </w:r>
      <w:r w:rsidR="002312BD">
        <w:rPr>
          <w:rFonts w:ascii="Cambria Math" w:hAnsi="Cambria Math" w:cs="Cambria Math"/>
          <w:sz w:val="28"/>
          <w:szCs w:val="28"/>
        </w:rPr>
        <w:instrText>∼</w:instrText>
      </w:r>
      <w:r w:rsidR="002312BD">
        <w:rPr>
          <w:rFonts w:ascii="Times New Roman" w:hAnsi="Times New Roman" w:cs="Times New Roman"/>
          <w:sz w:val="28"/>
          <w:szCs w:val="28"/>
        </w:rPr>
        <w:instrText>9% of the variance in triglycerides, 5.8% of high-density lipoprotein cholesterol, 3.6% of fasting glucose, and 1.4% of systolic blood pressure. CONCLUSIONS Qualitative and quantitative pleiotropic tests on pairs of traits indicate that a small portion of the covariation in these traits can be explained by the reported common genetic variants.","author":[{"dropping-particle":"","family":"Kraja","given":"Aldi T.","non-dropping-particle":"","parse-names":false,"suffix":""},{"dropping-particle":"","family":"Vaidya","given":"Dhananjay","non-dropping-particle":"","parse-names":false,"suffix":""},{"dropping-particle":"","family":"Pankow","given":"James S.","non-dropping-particle":"","parse-names":false,"suffix":""},{"dropping-particle":"","family":"Goodarzi","given":"Mark O.","non-dropping-particle":"","parse-names":false,"suffix":""},{"dropping-particle":"","family":"Assimes","given":"Themistocles L.","non-dropping-particle":"","parse-names":false,"suffix":""},{"dropping-particle":"","family":"Kullo","given":"Iftikhar J.","non-dropping-particle":"","parse-names":false,"suffix":""},{"dropping-particle":"","family":"Sovio","given":"Ulla","non-dropping-particle":"","parse-names":false,"suffix":""},{"dropping-particle":"","family":"Mathias","given":"Rasika A.","non-dropping-particle":"","parse-names":false,"suffix":""},{"dropping-particle":"V.","family":"Sun","given":"Yan","non-dropping-particle":"","parse-names":false,"suffix":""},{"dropping-particle":"","family":"Franceschini","given":"Nora","non-dropping-particle":"","parse-names":false,"suffix":""},{"dropping-particle":"","family":"Absher","given":"Devin","non-dropping-particle":"","parse-names":false,"suffix":""},{"dropping-particle":"","family":"Li","given":"Guo","non-dropping-particle":"","parse-names":false,"suffix":""},{"dropping-particle":"","family":"Zhang","given":"Qunyuan","non-dropping-particle":"","parse-names":false,"suffix":""},{"dropping-particle":"","family":"Feitosa","given":"Mary F.","non-dropping-particle":"","parse-names":false,"suffix":""},{"dropping-particle":"","family":"Glazer","given":"Nicole L.","non-dropping-particle":"","parse-names":false,"suffix":""},{"dropping-particle":"","family":"Haritunians","given":"Talin","non-dropping-particle":"","parse-names":false,"suffix":""},{"dropping-particle":"","family":"Hartikainen","given":"Anna Liisa","non-dropping-particle":"","parse-names":false,"suffix":""},{"dropping-particle":"","family":"Knowles","given":"Joshua W.","non-dropping-particle":"","parse-names":false,"suffix":""},{"dropping-particle":"","family":"North","given":"Kari E.","non-dropping-particle":"","parse-names":false,"suffix":""},{"dropping-particle":"","family":"Iribarren","given":"Carlos","non-dropping-particle":"","parse-names":false,"suffix":""},{"dropping-particle":"","family":"Kral","given":"Brian","non-dropping-particle":"","parse-names":false,"suffix":""},{"dropping-particle":"","family":"Yanek","given":"Lisa","non-dropping-particle":"","parse-names":false,"suffix":""},{"dropping-particle":"","family":"O'Reilly","given":"Paul F.","non-dropping-particle":"","parse-names":false,"suffix":""},{"dropping-particle":"","family":"McCarthy","given":"Mark I.","non-dropping-particle":"","parse-names":false,"suffix":""},{"dropping-particle":"","family":"Jaquish","given":"Cashell","non-dropping-particle":"","parse-names":false,"suffix":""},{"dropping-particle":"","family":"Couper","given":"David J.","non-dropping-particle":"","parse-names":false,"suffix":""},{"dropping-particle":"","family":"Chakravarti","given":"Aravinda","non-dropping-particle":"","parse-names":false,"suffix":""},{"dropping-particle":"","family":"Psaty","given":"Bruce M.","non-dropping-particle":"","parse-names":false,"suffix":""},{"dropping-particle":"","family":"Becker","given":"Lewis C.","non-dropping-particle":"","parse-names":false,"suffix":""},{"dropping-particle":"","family":"Province","given":"Michael A.","non-dropping-particle":"","parse-names":false,"suffix":""},{"dropping-particle":"","family":"Boerwinkle","given":"Eric","non-dropping-particle":"","parse-names":false,"suffix":""},{"dropping-particle":"","family":"Quertermous","given":"Thomas","non-dropping-particle":"","parse-names":false,"suffix":""},{"dropping-particle":"","family":"Palotie","given":"Leena","non-dropping-particle":"","parse-names":false,"suffix":""},{"dropping-particle":"","family":"Jarvelin","given":"Marjo Riitta","non-dropping-particle":"","parse-names":false,"suffix":""},{"dropping-particle":"","family":"Becker","given":"Diane M.","non-dropping-particle":"","parse-names":false,"suffix":""},{"dropping-particle":"","family":"Kardia","given":"Sharon L.R.","non-dropping-particle":"","parse-names":false,"suffix":""},{"dropping-particle":"","family":"Rotter","given":"Jerome I.","non-dropping-particle":"","parse-names":false,"suffix":""},{"dropping-particle":"","family":"Chen","given":"Yii Der Ida","non-dropping-particle":"","parse-names":false,"suffix":""},{"dropping-particle":"","family":"Borecki","given":"Ingrid B.","non-dropping-particle":"","parse-names":false,"suffix":""}],"container-title":"Diabetes","id":"ITEM-1","issue":"4","issued":{"date-parts":[["2011"]]},"page":"1329-1339","title":"A bivariate genome-wide approach to metabolic syndrome: STAMPEED Consortium","type":"article-journal","volume":"60"},"uris":["http://www.mendeley.com/documents/?uuid=a776602f-10d0-4c06-a3cc-89ceeaa6ddd3"]}],"mendeley":{"formattedCitation":"[56]","plainTextFormattedCitation":"[56]","previouslyFormattedCitation":"[56]"},"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[56]</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w:t>
      </w:r>
    </w:p>
    <w:p w:rsidR="00AB12B3" w:rsidRDefault="00483789" w:rsidP="00AB12B3">
      <w:pPr>
        <w:spacing w:after="0" w:line="240" w:lineRule="auto"/>
        <w:ind w:firstLine="708"/>
        <w:jc w:val="both"/>
        <w:rPr>
          <w:rFonts w:ascii="Times New Roman" w:hAnsi="Times New Roman" w:cs="Times New Roman"/>
          <w:sz w:val="28"/>
          <w:szCs w:val="28"/>
        </w:rPr>
      </w:pPr>
      <w:r w:rsidRPr="00DB7859">
        <w:rPr>
          <w:rFonts w:ascii="Times New Roman" w:hAnsi="Times New Roman" w:cs="Times New Roman"/>
          <w:noProof/>
          <w:sz w:val="28"/>
          <w:szCs w:val="24"/>
          <w:lang w:val="en-US"/>
        </w:rPr>
        <w:t>Mu</w:t>
      </w:r>
      <w:r w:rsidRPr="00483789">
        <w:rPr>
          <w:rFonts w:ascii="Times New Roman" w:hAnsi="Times New Roman" w:cs="Times New Roman"/>
          <w:noProof/>
          <w:sz w:val="28"/>
          <w:szCs w:val="24"/>
        </w:rPr>
        <w:t>ñ</w:t>
      </w:r>
      <w:r w:rsidRPr="00DB7859">
        <w:rPr>
          <w:rFonts w:ascii="Times New Roman" w:hAnsi="Times New Roman" w:cs="Times New Roman"/>
          <w:noProof/>
          <w:sz w:val="28"/>
          <w:szCs w:val="24"/>
          <w:lang w:val="en-US"/>
        </w:rPr>
        <w:t>oz</w:t>
      </w:r>
      <w:r w:rsidRPr="00483789">
        <w:rPr>
          <w:rFonts w:ascii="Times New Roman" w:hAnsi="Times New Roman" w:cs="Times New Roman"/>
          <w:noProof/>
          <w:sz w:val="28"/>
          <w:szCs w:val="24"/>
        </w:rPr>
        <w:t>-</w:t>
      </w:r>
      <w:r w:rsidRPr="00DB7859">
        <w:rPr>
          <w:rFonts w:ascii="Times New Roman" w:hAnsi="Times New Roman" w:cs="Times New Roman"/>
          <w:noProof/>
          <w:sz w:val="28"/>
          <w:szCs w:val="24"/>
          <w:lang w:val="en-US"/>
        </w:rPr>
        <w:t>Barrios</w:t>
      </w:r>
      <w:r w:rsidR="005D6CBA">
        <w:rPr>
          <w:rFonts w:ascii="Times New Roman" w:hAnsi="Times New Roman" w:cs="Times New Roman"/>
          <w:noProof/>
          <w:sz w:val="28"/>
          <w:szCs w:val="24"/>
        </w:rPr>
        <w:t xml:space="preserve"> </w:t>
      </w:r>
      <w:r w:rsidRPr="00DB7859">
        <w:rPr>
          <w:rFonts w:ascii="Times New Roman" w:hAnsi="Times New Roman" w:cs="Times New Roman"/>
          <w:noProof/>
          <w:sz w:val="28"/>
          <w:szCs w:val="24"/>
          <w:lang w:val="en-US"/>
        </w:rPr>
        <w:t>S</w:t>
      </w:r>
      <w:r w:rsidRPr="00483789">
        <w:rPr>
          <w:rFonts w:ascii="Times New Roman" w:hAnsi="Times New Roman" w:cs="Times New Roman"/>
          <w:noProof/>
          <w:sz w:val="28"/>
          <w:szCs w:val="24"/>
        </w:rPr>
        <w:t>.</w:t>
      </w:r>
      <w:r w:rsidR="005D6CBA">
        <w:rPr>
          <w:rFonts w:ascii="Times New Roman" w:hAnsi="Times New Roman" w:cs="Times New Roman"/>
          <w:noProof/>
          <w:sz w:val="28"/>
          <w:szCs w:val="24"/>
        </w:rPr>
        <w:t xml:space="preserve"> </w:t>
      </w:r>
      <w:r w:rsidR="00AB12B3">
        <w:rPr>
          <w:rFonts w:ascii="Times New Roman" w:hAnsi="Times New Roman" w:cs="Times New Roman"/>
          <w:sz w:val="28"/>
          <w:szCs w:val="28"/>
        </w:rPr>
        <w:t xml:space="preserve">(2012) провел анализ взаимосвязи полиморфизмов HindIII и S447X в гене </w:t>
      </w:r>
      <w:r w:rsidR="00AB12B3">
        <w:rPr>
          <w:rFonts w:ascii="Times New Roman" w:hAnsi="Times New Roman" w:cs="Times New Roman"/>
          <w:i/>
          <w:sz w:val="28"/>
          <w:szCs w:val="28"/>
        </w:rPr>
        <w:t>LPL</w:t>
      </w:r>
      <w:r w:rsidR="00AB12B3">
        <w:rPr>
          <w:rFonts w:ascii="Times New Roman" w:hAnsi="Times New Roman" w:cs="Times New Roman"/>
          <w:sz w:val="28"/>
          <w:szCs w:val="28"/>
        </w:rPr>
        <w:t xml:space="preserve"> с факторами риска ССЗ в мексиканских семьях и обнаружил</w:t>
      </w:r>
      <w:r w:rsidR="00001FB9">
        <w:rPr>
          <w:rFonts w:ascii="Century" w:hAnsi="Century" w:cs="Times New Roman"/>
          <w:sz w:val="28"/>
          <w:szCs w:val="28"/>
        </w:rPr>
        <w:t>,</w:t>
      </w:r>
      <w:r w:rsidR="00AB12B3">
        <w:rPr>
          <w:rFonts w:ascii="Times New Roman" w:hAnsi="Times New Roman" w:cs="Times New Roman"/>
          <w:sz w:val="28"/>
          <w:szCs w:val="28"/>
        </w:rPr>
        <w:t xml:space="preserve"> что генотип T/T полиморфизма HindIII был связан с </w:t>
      </w:r>
      <w:r w:rsidR="00F9129F">
        <w:rPr>
          <w:rFonts w:ascii="Times New Roman" w:hAnsi="Times New Roman" w:cs="Times New Roman"/>
          <w:sz w:val="28"/>
          <w:szCs w:val="28"/>
        </w:rPr>
        <w:t>диастолическим АД (</w:t>
      </w:r>
      <w:r w:rsidR="00AB12B3">
        <w:rPr>
          <w:rFonts w:ascii="Times New Roman" w:hAnsi="Times New Roman" w:cs="Times New Roman"/>
          <w:sz w:val="28"/>
          <w:szCs w:val="28"/>
        </w:rPr>
        <w:t>ДАД</w:t>
      </w:r>
      <w:r w:rsidR="00F9129F">
        <w:rPr>
          <w:rFonts w:ascii="Times New Roman" w:hAnsi="Times New Roman" w:cs="Times New Roman"/>
          <w:sz w:val="28"/>
          <w:szCs w:val="28"/>
        </w:rPr>
        <w:t>)</w:t>
      </w:r>
      <w:r w:rsidR="00001FB9">
        <w:rPr>
          <w:rFonts w:ascii="Century" w:hAnsi="Century" w:cs="Times New Roman"/>
          <w:sz w:val="28"/>
          <w:szCs w:val="28"/>
        </w:rPr>
        <w:t>,</w:t>
      </w:r>
      <w:r w:rsidR="00AB12B3">
        <w:rPr>
          <w:rFonts w:ascii="Times New Roman" w:hAnsi="Times New Roman" w:cs="Times New Roman"/>
          <w:sz w:val="28"/>
          <w:szCs w:val="28"/>
        </w:rPr>
        <w:t xml:space="preserve"> тогда как генотип C/C полиморфизма S447X был связан с САД</w:t>
      </w:r>
      <w:r w:rsidR="00001FB9">
        <w:rPr>
          <w:rFonts w:ascii="Century" w:hAnsi="Century" w:cs="Times New Roman"/>
          <w:sz w:val="28"/>
          <w:szCs w:val="28"/>
        </w:rPr>
        <w:t>,</w:t>
      </w:r>
      <w:r w:rsidR="00AB12B3">
        <w:rPr>
          <w:rFonts w:ascii="Times New Roman" w:hAnsi="Times New Roman" w:cs="Times New Roman"/>
          <w:sz w:val="28"/>
          <w:szCs w:val="28"/>
        </w:rPr>
        <w:t xml:space="preserve"> с ДАД, СД 2 типа и с высоким уровнем ОХС</w:t>
      </w:r>
      <w:r w:rsidR="006C2CD2">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{"citationItems":[{"id":"ITEM-1","itemData":{"DOI":"10.3233/DMA-2012-00940","ISSN":"18758630","PMID":"23089926","abstract":"Lipoprotein lipase (LPL) is a key enzyme in lipid metabolism and is associated with obesity, dyslipidemias, hypertension (HTN) and type 2 diabetes mellitus (T2DM). LPL gene polymorphisms can be related with the development of cardiovascular risk factors. The present study was conducted to analyze the relationship of the HindIII and S447X polymorphisms in LPL gene with cardiovascular risk factors in Mexican families. The study population comprised ninety members of 30 Mexican families, in which an index case had obesity, were included in the study. We evaluated the body composition by bioelectrical impedance. Peripheral blood samples were collected to determine biochemical parameters. Screening for both polymorphisms was made by PCR-RFLPs. In the parents, both polymorphisms were in Hardy-Weinberg's equilibrium. We found that the genotype T/T of HindIII was associated with diastolic blood pressure &gt;/= 85 mmHg (OR=1.1; p=0.011), whereas the genotype C/C of S447X was associated with systolic blood pressure &gt;/= 130 mmHg (OR=1.2; p&lt;0.001), diastolic blood pressure &gt;/= 85 mmHg (OR = 1.3; p&lt; 0.001), T2DM (OR=1.3; p&lt; 0.001) and with increase of total cholesterol (beta =23.6 mg/mL; p=0.03). These data suggest that the HindIII and S447X LPL gene polymorphisms can confer susceptibility for the development of hypertension and T2DM in Mexican families.","author":[{"dropping-particle":"","family":"Muñoz-Barrios","given":"Salvador","non-dropping-particle":"","parse-names":false,"suffix":""},{"dropping-particle":"","family":"Guzmán-Guzmán","given":"Iris Paola","non-dropping-particle":"","parse-names":false,"suffix":""},{"dropping-particle":"","family":"José Francisco","given":"J. F.","non-dropping-particle":"","parse-names":false,"suffix":""},{"dropping-particle":"","family":"Salgado-Bernabé","given":"Aralia Berenice","non-dropping-particle":"","parse-names":false,"suffix":""},{"dropping-particle":"","family":"Salgado-Goytia","given":"Lorenzo","non-dropping-particle":"","parse-names":false,"suffix":""},{"dropping-particle":"","family":"Parra-Rojas","given":"Isela","non-dropping-particle":"","parse-names":false,"suffix":""}],"container-title":"Disease Markers","id":"ITEM-1","issue":"6","issued":{"date-parts":[["2012"]]},"page":"313-320","title":"Association of the HindIII and S447X polymorphisms in LPL gene with hypertension and type 2 diabetes in Mexican families","type":"article-journal","volume":"33"},"uris":["http://www.mendeley.com/documents/?uuid=5659a652-c08b-40f1-81d1-ec5ae4576306"]}],"mendeley":{"formattedCitation":"[57]","plainTextFormattedCitation":"[57]","previouslyFormattedCitation":"[57]"},"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[57]</w:t>
      </w:r>
      <w:r w:rsidR="00EA0E64">
        <w:rPr>
          <w:rFonts w:ascii="Times New Roman" w:hAnsi="Times New Roman" w:cs="Times New Roman"/>
          <w:sz w:val="28"/>
          <w:szCs w:val="28"/>
        </w:rPr>
        <w:fldChar w:fldCharType="end"/>
      </w:r>
      <w:r w:rsidR="00001FB9">
        <w:rPr>
          <w:rFonts w:ascii="Century" w:hAnsi="Century" w:cs="Times New Roman"/>
          <w:sz w:val="28"/>
          <w:szCs w:val="28"/>
        </w:rPr>
        <w:t>.</w:t>
      </w:r>
      <w:r w:rsidR="00001FB9">
        <w:rPr>
          <w:rFonts w:ascii="Times New Roman" w:hAnsi="Times New Roman" w:cs="Times New Roman"/>
          <w:sz w:val="28"/>
          <w:szCs w:val="28"/>
        </w:rPr>
        <w:t xml:space="preserve"> </w:t>
      </w:r>
      <w:r w:rsidR="00AB12B3">
        <w:rPr>
          <w:rFonts w:ascii="Times New Roman" w:hAnsi="Times New Roman" w:cs="Times New Roman"/>
          <w:sz w:val="28"/>
          <w:szCs w:val="28"/>
        </w:rPr>
        <w:t xml:space="preserve">Эти данные свидетельствуют о том, что полиморфизмы HindIII и S447X гена </w:t>
      </w:r>
      <w:r w:rsidR="00AB12B3">
        <w:rPr>
          <w:rFonts w:ascii="Times New Roman" w:hAnsi="Times New Roman" w:cs="Times New Roman"/>
          <w:i/>
          <w:sz w:val="28"/>
          <w:szCs w:val="28"/>
        </w:rPr>
        <w:t>LPL</w:t>
      </w:r>
      <w:r w:rsidR="00AB12B3">
        <w:rPr>
          <w:rFonts w:ascii="Times New Roman" w:hAnsi="Times New Roman" w:cs="Times New Roman"/>
          <w:sz w:val="28"/>
          <w:szCs w:val="28"/>
        </w:rPr>
        <w:t xml:space="preserve"> могут</w:t>
      </w:r>
      <w:r w:rsidR="0024776D">
        <w:rPr>
          <w:rFonts w:ascii="Times New Roman" w:hAnsi="Times New Roman" w:cs="Times New Roman"/>
          <w:sz w:val="28"/>
          <w:szCs w:val="28"/>
        </w:rPr>
        <w:t xml:space="preserve"> </w:t>
      </w:r>
      <w:r w:rsidR="0024776D">
        <w:rPr>
          <w:rFonts w:ascii="Times New Roman" w:hAnsi="Times New Roman" w:cs="Times New Roman"/>
          <w:sz w:val="28"/>
          <w:szCs w:val="28"/>
        </w:rPr>
        <w:lastRenderedPageBreak/>
        <w:t>увелич</w:t>
      </w:r>
      <w:r w:rsidR="008B5E99">
        <w:rPr>
          <w:rFonts w:ascii="Times New Roman" w:hAnsi="Times New Roman" w:cs="Times New Roman"/>
          <w:sz w:val="28"/>
          <w:szCs w:val="28"/>
        </w:rPr>
        <w:t>ит</w:t>
      </w:r>
      <w:r w:rsidR="003A500E">
        <w:rPr>
          <w:rFonts w:ascii="Times New Roman" w:hAnsi="Times New Roman" w:cs="Times New Roman"/>
          <w:sz w:val="28"/>
          <w:szCs w:val="28"/>
        </w:rPr>
        <w:t>ь</w:t>
      </w:r>
      <w:r w:rsidR="00AB12B3">
        <w:rPr>
          <w:rFonts w:ascii="Times New Roman" w:hAnsi="Times New Roman" w:cs="Times New Roman"/>
          <w:sz w:val="28"/>
          <w:szCs w:val="28"/>
        </w:rPr>
        <w:t xml:space="preserve"> риск развития АГ и СД 2 типа в мексиканских семьях</w:t>
      </w:r>
      <w:r w:rsidR="00D57F9D">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{"citationItems":[{"id":"ITEM-1","itemData":{"DOI":"10.3233/DMA-2012-00940","ISSN":"18758630","PMID":"23089926","abstract":"Lipoprotein lipase (LPL) is a key enzyme in lipid metabolism and is associated with obesity, dyslipidemias, hypertension (HTN) and type 2 diabetes mellitus (T2DM). LPL gene polymorphisms can be related with the development of cardiovascular risk factors. The present study was conducted to analyze the relationship of the HindIII and S447X polymorphisms in LPL gene with cardiovascular risk factors in Mexican families. The study population comprised ninety members of 30 Mexican families, in which an index case had obesity, were included in the study. We evaluated the body composition by bioelectrical impedance. Peripheral blood samples were collected to determine biochemical parameters. Screening for both polymorphisms was made by PCR-RFLPs. In the parents, both polymorphisms were in Hardy-Weinberg's equilibrium. We found that the genotype T/T of HindIII was associated with diastolic blood pressure &gt;/= 85 mmHg (OR=1.1; p=0.011), whereas the genotype C/C of S447X was associated with systolic blood pressure &gt;/= 130 mmHg (OR=1.2; p&lt;0.001), diastolic blood pressure &gt;/= 85 mmHg (OR = 1.3; p&lt; 0.001), T2DM (OR=1.3; p&lt; 0.001) and with increase of total cholesterol (beta =23.6 mg/mL; p=0.03). These data suggest that the HindIII and S447X LPL gene polymorphisms can confer susceptibility for the development of hypertension and T2DM in Mexican families.","author":[{"dropping-particle":"","family":"Muñoz-Barrios","given":"Salvador","non-dropping-particle":"","parse-names":false,"suffix":""},{"dropping-particle":"","family":"Guzmán-Guzmán","given":"Iris Paola","non-dropping-particle":"","parse-names":false,"suffix":""},{"dropping-particle":"","family":"José Francisco","given":"J. F.","non-dropping-particle":"","parse-names":false,"suffix":""},{"dropping-particle":"","family":"Salgado-Bernabé","given":"Aralia Berenice","non-dropping-particle":"","parse-names":false,"suffix":""},{"dropping-particle":"","family":"Salgado-Goytia","given":"Lorenzo","non-dropping-particle":"","parse-names":false,"suffix":""},{"dropping-particle":"","family":"Parra-Rojas","given":"Isela","non-dropping-particle":"","parse-names":false,"suffix":""}],"container-title":"Disease Markers","id":"ITEM-1","issue":"6","issued":{"date-parts":[["2012"]]},"page":"313-320","title":"Association of the HindIII and S447X polymorphisms in LPL gene with hypertension and type 2 diabetes in Mexican families","type":"article-journal","volume":"33"},"uris":["http://www.mendeley.com/documents/?uuid=5659a652-c08b-40f1-81d1-ec5ae4576306"]}],"mendeley":{"formattedCitation":"[57]","plainTextFormattedCitation":"[57]","previouslyFormattedCitation":"[57]"},"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[57</w:t>
      </w:r>
      <w:r w:rsidR="00AD6A7F">
        <w:rPr>
          <w:rFonts w:ascii="Times New Roman" w:hAnsi="Times New Roman" w:cs="Times New Roman"/>
          <w:noProof/>
          <w:sz w:val="28"/>
          <w:szCs w:val="28"/>
        </w:rPr>
        <w:t>, р. 317</w:t>
      </w:r>
      <w:r w:rsidR="00224447" w:rsidRPr="00224447">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Во время исследования Xing H. (2015), в котором изучалась взаимосвязь полиморфизма гена </w:t>
      </w:r>
      <w:r w:rsidR="00AB12B3">
        <w:rPr>
          <w:rFonts w:ascii="Times New Roman" w:hAnsi="Times New Roman" w:cs="Times New Roman"/>
          <w:i/>
          <w:sz w:val="28"/>
          <w:szCs w:val="28"/>
        </w:rPr>
        <w:t>LPL</w:t>
      </w:r>
      <w:r w:rsidR="00AB12B3">
        <w:rPr>
          <w:rFonts w:ascii="Times New Roman" w:hAnsi="Times New Roman" w:cs="Times New Roman"/>
          <w:sz w:val="28"/>
          <w:szCs w:val="28"/>
        </w:rPr>
        <w:t xml:space="preserve"> </w:t>
      </w:r>
      <w:r w:rsidR="00AA652E">
        <w:rPr>
          <w:rFonts w:ascii="Times New Roman" w:hAnsi="Times New Roman" w:cs="Times New Roman"/>
          <w:sz w:val="28"/>
          <w:szCs w:val="28"/>
        </w:rPr>
        <w:t>с развитием</w:t>
      </w:r>
      <w:r w:rsidR="00AB12B3">
        <w:rPr>
          <w:rFonts w:ascii="Times New Roman" w:hAnsi="Times New Roman" w:cs="Times New Roman"/>
          <w:sz w:val="28"/>
          <w:szCs w:val="28"/>
        </w:rPr>
        <w:t xml:space="preserve"> мозгового кровоизлияния в китайской популяции, авторы пришли к выводу, что аллель G является защитным фактором от церебрального кровоизлияния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{"citationItems":[{"id":"ITEM-1","itemData":{"ISBN":"1940-5901 (Electronic)\\r1940-5901 (Linking)","PMID":"26550299","abstract":"OBJECTIVE: To investigate the relationship between lipoprotein lipase (LPL) gene polymorphism and cerebral hemorrhage in a Chinese population. METHOD: This study was based on the case-control study, PCR-RELP and sequencing method were utilized for genotyping. LPL gene Hind III polymorphism was detected both in 300 patients with cerebral hemorrhage (CH group) and in 300 healthy control subjects (control group). Blood lipid level and blood glucose were detected at the same time. RESULT: Our results showed that G allele frequency was significant lower in the CH group than that in the control group (OR=0.611; 95% CI: 0.427-0.876, P=0.001). We also found both GG (OR=0.543, 95% CI: 0.233-0.988; P=0.041) and TG (OR=0.609, 95% CI: 0.387-0.959, P=0.032) genotype were frequent in the control group than that in the CH group. TG level of the groups who carry TT genotype were much higher than that of the groups carrying TG+GG genotype (P&lt;0.05). By means of adjusting age, hypertension and hyperglycemia, logistic multivariate regression analysis revealed that LPL Hind III G allele might be a protective factor (OR=0.601, 95% CI: 0.231-0.876; P=0.001) in the present study. CONCLUSION: It is suggested that LPL Hind III G allelic mutation might be a protective factor against cerebral hemorrhage disease in Chinese population.","author":[{"dropping-particle":"","family":"Xing","given":"H X","non-dropping-particle":"","parse-names":false,"suffix":""},{"dropping-particle":"","family":"Guo","given":"S X","non-dropping-particle":"","parse-names":false,"suffix":""},{"dropping-particle":"","family":"Zhang","given":"Y","non-dropping-particle":"","parse-names":false,"suffix":""},{"dropping-particle":"","family":"Zhang","given":"X Y","non-dropping-particle":"","parse-names":false,"suffix":""}],"container-title":"Int J Clin Exp Med","id":"ITEM-1","issue":"8","issued":{"date-parts":[["2015"]]},"page":"13592-13597","title":"Relationship between lipoprotein lipase gene polymorphism and hemorrhagic stroke in a Chinese population","type":"article-journal","volume":"8"},"uris":["http://www.mendeley.com/documents/?uuid=b377f89b-fd1e-432b-8af1-4519c874a8c1"]}],"mendeley":{"formattedCitation":"[58]","plainTextFormattedCitation":"[58]","previouslyFormattedCitation":"[58]"},"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[58]</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Pereira V. и соавторы (2016) в своем исследовании не </w:t>
      </w:r>
      <w:r w:rsidR="00AE3389">
        <w:rPr>
          <w:rFonts w:ascii="Times New Roman" w:hAnsi="Times New Roman" w:cs="Times New Roman"/>
          <w:sz w:val="28"/>
          <w:szCs w:val="28"/>
          <w:lang w:val="kk-KZ"/>
        </w:rPr>
        <w:t>выявили</w:t>
      </w:r>
      <w:r w:rsidR="00AB12B3">
        <w:rPr>
          <w:rFonts w:ascii="Times New Roman" w:hAnsi="Times New Roman" w:cs="Times New Roman"/>
          <w:sz w:val="28"/>
          <w:szCs w:val="28"/>
        </w:rPr>
        <w:t xml:space="preserve"> связи между полиморфизмами rs320, rs285 и rs328</w:t>
      </w:r>
      <w:r w:rsidR="00AD770F">
        <w:rPr>
          <w:rFonts w:ascii="Times New Roman" w:hAnsi="Times New Roman" w:cs="Times New Roman"/>
          <w:sz w:val="28"/>
          <w:szCs w:val="28"/>
        </w:rPr>
        <w:t xml:space="preserve"> </w:t>
      </w:r>
      <w:r w:rsidR="00AB12B3">
        <w:rPr>
          <w:rFonts w:ascii="Times New Roman" w:hAnsi="Times New Roman" w:cs="Times New Roman"/>
          <w:sz w:val="28"/>
          <w:szCs w:val="28"/>
        </w:rPr>
        <w:t xml:space="preserve">гена </w:t>
      </w:r>
      <w:r w:rsidR="00AB12B3">
        <w:rPr>
          <w:rFonts w:ascii="Times New Roman" w:hAnsi="Times New Roman" w:cs="Times New Roman"/>
          <w:i/>
          <w:sz w:val="28"/>
          <w:szCs w:val="28"/>
        </w:rPr>
        <w:t>LPL</w:t>
      </w:r>
      <w:r w:rsidR="00AB12B3">
        <w:rPr>
          <w:rFonts w:ascii="Times New Roman" w:hAnsi="Times New Roman" w:cs="Times New Roman"/>
          <w:sz w:val="28"/>
          <w:szCs w:val="28"/>
        </w:rPr>
        <w:t xml:space="preserve"> и риском развития острого ишемического инсульта в колумбийской популяции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{"citationItems":[{"id":"ITEM-1","itemData":{"ISSN":"1657-9534","PMID":"28293042","abstract":"OBJECTIVE To analyze if there is an association between the presence of polymorphisms in the LPL gene (rs320, rs285 and rs328) with development of acute ischemic stroke in Colombian population. METHODS In a case control design, 133 acute ischemic stroke patients (clinical diagnosis and x-ray CT) and 269 subjects without stroke as controls were studied. PCR -RFLP technique was used to detect rs320, rs285 and rs328 polymorphisms in the LPL gene. RESULTS In the present research was not found any association between any of the LPL gene polymorphism and acute ischemic stroke in the population studied; the allele and genotypic frequencies of the studied polymorphisms were similar in cases and controls and followed the Hardy-Weinberg equilibrium. The study was approved by the IRB and each subject signed the informed consent. CONCLUSION LPL gene polymorphisms are not genetic markers for the development of stroke in the Colombian sample used. OBJETIVO Determinar la asociación entre los polimorfismos en el gen LPL (rs320, rs285 y rs328), y la enfermedad cerebrovascular isquémica aguda en una muestra de población colombiana. MÉTODOS A partir de un diseño de casos y controles, se estudiaron 133 casos con enfermedad cerebrovascular isquémica aguda (diagnóstico clínico y TAC), y 269 controles sin enfermedad cerebrovascular. Se examinó los polimorfismos rs320, rs285 y rs328 en el gen LPL con la técnica PCR-RFLP. RESULTADOS En el presente estudio no se encontró asociación entre rs320, rs285 y rs328 con la enfermedad cerebrovascular isquémica aguda en la muestra analizada; siendo las frecuencias alélicas y genotípicas de los polimorfismos similares entre casos y controles, y se encontró en equilibrio de Hardy-Weinberg. El estudio fue avalado por el comité de ética de las instituciones vinculadas y todos los pacientes dieron consentimiento informado. CONCLUSIÓN Los polimorfismos en el gen de la LPL no tienen utilidad como marcadores genéticos asociados con la presentación de la enfermedad cerebrovascular isquémica aguda en la muestra analizada.","author":[{"dropping-particle":"","family":"Pereira","given":"Velásquez Carolina Leydi","non-dropping-particle":"","parse-names":false,"suffix":""},{"dropping-particle":"","family":"Castellanos","given":"Vargas","non-dropping-particle":"","parse-names":false,"suffix":""},{"dropping-particle":"","family":"Sieger","given":"Inés Clara","non-dropping-particle":"","parse-names":false,"suffix":""},{"dropping-particle":"","family":"Federico","given":"Silva Arturo","non-dropping-particle":"","parse-names":false,"suffix":""}],"container-title":"Colombia medica (Cali, Colombia)","id":"ITEM-1","issue":"4","issued":{"date-parts":[["2016","12","30"]]},"page":"189-195","title":"Polymorphisms of the lipoprotein lipase gene as genetic markers for stroke in colombian population: a case control study.","type":"article-journal","volume":"47"},"uris":["http://www.mendeley.com/documents/?uuid=db08116c-4162-44b5-827c-6b237f94ed3f"]}],"mendeley":{"formattedCitation":"[59]","plainTextFormattedCitation":"[59]","previouslyFormattedCitation":"[59]"},"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[59]</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В перекрестном исследовании Vishram J. (2016) обнаружил влияние двух полиморфизмов гена </w:t>
      </w:r>
      <w:r w:rsidR="00AB12B3">
        <w:rPr>
          <w:rFonts w:ascii="Times New Roman" w:hAnsi="Times New Roman" w:cs="Times New Roman"/>
          <w:i/>
          <w:sz w:val="28"/>
          <w:szCs w:val="28"/>
        </w:rPr>
        <w:t>LPL</w:t>
      </w:r>
      <w:r w:rsidR="00AB12B3">
        <w:rPr>
          <w:rFonts w:ascii="Times New Roman" w:hAnsi="Times New Roman" w:cs="Times New Roman"/>
          <w:sz w:val="28"/>
          <w:szCs w:val="28"/>
        </w:rPr>
        <w:t xml:space="preserve"> на такие признаки МС, как высокий уровень ТГ/низкий уровень ЛПВП, но не был связан с окружностью талии, АГ и непереносимостью глюкозы</w:t>
      </w:r>
      <w:r w:rsidR="00D57F9D">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{"citationItems":[{"id":"ITEM-1","itemData":{"DOI":"10.1089/met.2016.0030","ISSN":"1540-4196","PMID":"27676127","abstract":"BACKGROUND Common lipoprotein lipase (LPL) variants are important determinants of triglycerides (TG) and high-density lipoprotein (HDL) cholesterol (C) concentrations. High TG/low HDL-C tend to cluster with hypertension, glucose intolerance, and abdominal obesity and comprise the metabolic syndrome (MetS). The role of LPL variants as a cause of MetS is unclear. This study investigated the relationship between two common LPL variants and the presence of MetS and its individual components. METHODS Cross-sectional study, including 2348 Danish women (50.7%) and men, age 41-72 years, without known cardiovascular disease. Carrier status for the two common LPL variants: 447Ter (low TG/high HDL-C) and 291Ser (high TG/low HDL-C) was determined. The prevalence of MetS according to the National Cholesterol Education Program criteria was 16.6%. RESULTS Of the 2348 participants, 19.8% had the 447Ter variant and 4.9% had the 291Ser variant. Compared with the reference variant, the prevalence of MetS was lower in carriers of the 447Ter variant (11.2% vs. 17.9%, P &lt; 0.001) but with no difference in carriers of the 291Ser variant (18.4% vs. 16.5%, P = 0.59). Adjusted for age, sex, smoking, physical activity, alcohol consumption, and highest sex-specific insulin quartile, the relative risk of MetS was 0.63 (95% confidence interval [CI] 0.45-0.89, P &lt; 0.01) for carriers of the 447Ter variant and 1.20 (95% CI 0.70-2.03, P &gt; 0.05) for carriers of the 291Ser variant. Both LPL variants were associated with high TG/low HDL-C (P &lt; 0.01), but not with the MetS components waist circumference, hypertension, and glucose intolerance (P &gt; 0.05). CONCLUSION The two common LPL variants were associated with MetS through their effect on high TG/low HDL-C.","author":[{"dropping-particle":"","family":"Vishram","given":"Julie K. K.","non-dropping-particle":"","parse-names":false,"suffix":""},{"dropping-particle":"","family":"Hansen","given":"Tine W.","non-dropping-particle":"","parse-names":false,"suffix":""},{"dropping-particle":"","family":"Torp-Pedersen","given":"Christian","non-dropping-particle":"","parse-names":false,"suffix":""},{"dropping-particle":"","family":"Madsbad","given":"Sten","non-dropping-particle":"","parse-names":false,"suffix":""},{"dropping-particle":"","family":"Jørgensen","given":"Torben","non-dropping-particle":"","parse-names":false,"suffix":""},{"dropping-particle":"","family":"Fenger","given":"Mogens","non-dropping-particle":"","parse-names":false,"suffix":""},{"dropping-particle":"","family":"Lyngbæk","given":"Stig","non-dropping-particle":"","parse-names":false,"suffix":""},{"dropping-particle":"","family":"Jeppesen","given":"Jørgen","non-dropping-particle":"","parse-names":false,"suffix":""}],"container-title":"Metabolic Syndrome and Related Disorders","id":"ITEM-1","issue":"9","issued":{"date-parts":[["2016"]]},"page":"442-448","title":"Relationship Between Two Common Lipoprotein Lipase Variants and the Metabolic Syndrome and Its Individual Components","type":"article-journal","volume":"14"},"uris":["http://www.mendeley.com/documents/?uuid=cc1dc561-4790-3981-aa3f-c283fe80b3a2"]}],"mendeley":{"formattedCitation":"[60]","plainTextFormattedCitation":"[60]","previouslyFormattedCitation":"[60]"},"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[60]</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w:t>
      </w:r>
      <w:r w:rsidR="003F7FB6">
        <w:rPr>
          <w:rFonts w:ascii="Times New Roman" w:hAnsi="Times New Roman" w:cs="Times New Roman"/>
          <w:sz w:val="28"/>
          <w:szCs w:val="28"/>
        </w:rPr>
        <w:t xml:space="preserve">При изучении вклада полиморфизмов генов на тяжесть течения и развитие осложнений у пациентов с МС и ИБС, перенесших ОКС </w:t>
      </w:r>
      <w:r w:rsidR="00AB12B3">
        <w:rPr>
          <w:rFonts w:ascii="Times New Roman" w:hAnsi="Times New Roman" w:cs="Times New Roman"/>
          <w:sz w:val="28"/>
          <w:szCs w:val="28"/>
        </w:rPr>
        <w:t>Fischer S. (2017)</w:t>
      </w:r>
      <w:r w:rsidR="00D57F9D">
        <w:rPr>
          <w:rFonts w:ascii="Times New Roman" w:hAnsi="Times New Roman" w:cs="Times New Roman"/>
          <w:sz w:val="28"/>
          <w:szCs w:val="28"/>
        </w:rPr>
        <w:t xml:space="preserve"> </w:t>
      </w:r>
      <w:r w:rsidR="00BB3D32">
        <w:rPr>
          <w:rFonts w:ascii="Times New Roman" w:hAnsi="Times New Roman" w:cs="Times New Roman"/>
          <w:sz w:val="28"/>
          <w:szCs w:val="28"/>
        </w:rPr>
        <w:t>выявил,</w:t>
      </w:r>
      <w:r w:rsidR="00AB12B3">
        <w:rPr>
          <w:rFonts w:ascii="Times New Roman" w:hAnsi="Times New Roman" w:cs="Times New Roman"/>
          <w:sz w:val="28"/>
          <w:szCs w:val="28"/>
        </w:rPr>
        <w:t xml:space="preserve"> что D/D генотип гена </w:t>
      </w:r>
      <w:r w:rsidR="00AB12B3">
        <w:rPr>
          <w:rFonts w:ascii="Times New Roman" w:hAnsi="Times New Roman" w:cs="Times New Roman"/>
          <w:i/>
          <w:sz w:val="28"/>
          <w:szCs w:val="28"/>
        </w:rPr>
        <w:t>LPL</w:t>
      </w:r>
      <w:r w:rsidR="00AB12B3">
        <w:rPr>
          <w:rFonts w:ascii="Times New Roman" w:hAnsi="Times New Roman" w:cs="Times New Roman"/>
          <w:sz w:val="28"/>
          <w:szCs w:val="28"/>
        </w:rPr>
        <w:t xml:space="preserve"> был связан с тяжелым течением ИБС и с частыми коронарными поражениями типа ОКС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{"citationItems":[{"id":"ITEM-1","itemData":{"DOI":"10.5935/abc.20170177","ISSN":"0066-782X","author":[{"dropping-particle":"","family":"Fischer","given":"Simone Cristina Pinto Matheus","non-dropping-particle":"","parse-names":false,"suffix":""},{"dropping-particle":"","family":"Pinto","given":"Simone Pires","non-dropping-particle":"","parse-names":false,"suffix":""},{"dropping-particle":"","family":"Lins","given":"Lívia Campos do Amaral Silva","non-dropping-particle":"","parse-names":false,"suffix":""},{"dropping-particle":"","family":"Bianco","given":"Henrique Tria","non-dropping-particle":"","parse-names":false,"suffix":""},{"dropping-particle":"","family":"Monteiro","given":"Carlos Manoel de Castro","non-dropping-particle":"","parse-names":false,"suffix":""},{"dropping-particle":"","family":"Pinheiro","given":"Luiz Fernando Muniz","non-dropping-particle":"","parse-names":false,"suffix":""},{"dropping-particle":"","family":"Fonseca","given":"Francisco Antonio Helfenstein","non-dropping-particle":"","parse-names":false,"suffix":""},{"dropping-particle":"","family":"Izar","given":"Maria Cristina de Oliveira","non-dropping-particle":"","parse-names":false,"suffix":""}],"container-title":"Arquivos Brasileiros de Cardiologia","id":"ITEM-1","issue":"1","issued":{"date-parts":[["2017"]]},"page":"16-23","title":"Association of Multiple Genetic Variants with the Extension and Severity of Coronary Artery Disease","type":"article-journal","volume":"110"},"uris":["http://www.mendeley.com/documents/?uuid=e9b37ca3-8f13-4255-89af-a8456e470182"]}],"mendeley":{"formattedCitation":"[61]","plainTextFormattedCitation":"[61]","previouslyFormattedCitation":"[61]"},"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[61]</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Matsunaga A.</w:t>
      </w:r>
      <w:r w:rsidR="0093167F">
        <w:rPr>
          <w:rFonts w:ascii="Times New Roman" w:hAnsi="Times New Roman" w:cs="Times New Roman"/>
          <w:sz w:val="28"/>
          <w:szCs w:val="28"/>
        </w:rPr>
        <w:t xml:space="preserve"> и соавторы (2020) изучали влияние</w:t>
      </w:r>
      <w:r>
        <w:rPr>
          <w:rFonts w:ascii="Times New Roman" w:hAnsi="Times New Roman" w:cs="Times New Roman"/>
          <w:sz w:val="28"/>
          <w:szCs w:val="28"/>
        </w:rPr>
        <w:t xml:space="preserve"> полиморфизмов генов ЛПЛ, апоС2, апоA5, гликозилфосфатидилиноситол привязанный ЛПВП – связывающий протеина 1, созревающий фактора 1 липазы, регулятора глюкокиназы на риск развития тяжелой гипертриглицеридемии в японской популяции </w:t>
      </w:r>
      <w:r w:rsidR="00EA0E64">
        <w:rPr>
          <w:rFonts w:ascii="Times New Roman" w:hAnsi="Times New Roman" w:cs="Times New Roman"/>
          <w:sz w:val="28"/>
          <w:szCs w:val="28"/>
        </w:rPr>
        <w:fldChar w:fldCharType="begin" w:fldLock="1"/>
      </w:r>
      <w:r w:rsidR="002A5F9F">
        <w:rPr>
          <w:rFonts w:ascii="Times New Roman" w:hAnsi="Times New Roman" w:cs="Times New Roman"/>
          <w:sz w:val="28"/>
          <w:szCs w:val="28"/>
        </w:rPr>
        <w:instrText>ADDIN CSL_CITATION {"citationItems":[{"id":"ITEM-1","itemData":{"DOI":"10.5551/jat.51540","ISSN":"1340-3478","abstract":"Aim: Hypertriglyceridemia is a type of dyslipidemia that contributes to atherosclerosis and coronary heart dis- ease. Variants in lipoprotein lipase (LPL), apolipoprotein CII (APOC2), apolipoprotein AV (APOA5), glyco- sylphosphatidylinositol-anchored high-density lipoprotein-binding protein 1 (GPIHBP1), lipase maturation fac- tor 1 (LMF1), and glucokinase regulator (GCKR) are responsible for hypertriglyceridemia. We investigated the molecular basis of severe hypertriglyceridemia in adult patients referred to the Clinical Laboratory at Fukuoka University Hospital. Methods: Twenty-three adult patients with severe hypertriglyceridemia (</w:instrText>
      </w:r>
      <w:r w:rsidR="002A5F9F">
        <w:rPr>
          <w:rFonts w:ascii="MS Gothic" w:eastAsia="MS Gothic" w:hAnsi="MS Gothic" w:cs="MS Gothic" w:hint="eastAsia"/>
          <w:sz w:val="28"/>
          <w:szCs w:val="28"/>
        </w:rPr>
        <w:instrText>＞</w:instrText>
      </w:r>
      <w:r w:rsidR="002A5F9F">
        <w:rPr>
          <w:rFonts w:ascii="Times New Roman" w:hAnsi="Times New Roman" w:cs="Times New Roman"/>
          <w:sz w:val="28"/>
          <w:szCs w:val="28"/>
        </w:rPr>
        <w:instrText xml:space="preserve">1,000 mg/dL, 11.29 mmol/L) were selected. The coding regions of candidate genes were sequenced by next-generation sequencing. Forty-nine genes reportedly associated with hypertriglyceridemia were analyzed. Results: In the 23 patients, we detected 70 variants: 28 rare and 42 common ones. Among the 28 rare variants with </w:instrText>
      </w:r>
      <w:r w:rsidR="002A5F9F">
        <w:rPr>
          <w:rFonts w:ascii="MS Gothic" w:eastAsia="MS Gothic" w:hAnsi="MS Gothic" w:cs="MS Gothic" w:hint="eastAsia"/>
          <w:sz w:val="28"/>
          <w:szCs w:val="28"/>
        </w:rPr>
        <w:instrText>＜</w:instrText>
      </w:r>
      <w:r w:rsidR="002A5F9F">
        <w:rPr>
          <w:rFonts w:ascii="Times New Roman" w:hAnsi="Times New Roman" w:cs="Times New Roman"/>
          <w:sz w:val="28"/>
          <w:szCs w:val="28"/>
        </w:rPr>
        <w:instrText>1% allele frequency, p.I4533L in APOB, p.M490I in MLXIPL, p.L152M in NCAN, and p.S264T in TIMD4 were novel. We did not observe single gene homozygous or compound heterozygous disease-causing rare variants in any of the 23 hypertriglyceridemia cases. However, in silico algorithms and previous reports indicated that five rare variants, APOA5 (p.T184S), GCKR (c.354</w:instrText>
      </w:r>
      <w:r w:rsidR="002A5F9F">
        <w:rPr>
          <w:rFonts w:ascii="MS Gothic" w:eastAsia="MS Gothic" w:hAnsi="MS Gothic" w:cs="MS Gothic" w:hint="eastAsia"/>
          <w:sz w:val="28"/>
          <w:szCs w:val="28"/>
        </w:rPr>
        <w:instrText>＋</w:instrText>
      </w:r>
      <w:r w:rsidR="002A5F9F">
        <w:rPr>
          <w:rFonts w:ascii="Times New Roman" w:hAnsi="Times New Roman" w:cs="Times New Roman"/>
          <w:sz w:val="28"/>
          <w:szCs w:val="28"/>
        </w:rPr>
        <w:instrText>1G</w:instrText>
      </w:r>
      <w:r w:rsidR="002A5F9F">
        <w:rPr>
          <w:rFonts w:ascii="MS Gothic" w:eastAsia="MS Gothic" w:hAnsi="MS Gothic" w:cs="MS Gothic" w:hint="eastAsia"/>
          <w:sz w:val="28"/>
          <w:szCs w:val="28"/>
        </w:rPr>
        <w:instrText>＞</w:instrText>
      </w:r>
      <w:r w:rsidR="002A5F9F">
        <w:rPr>
          <w:rFonts w:ascii="Times New Roman" w:hAnsi="Times New Roman" w:cs="Times New Roman"/>
          <w:sz w:val="28"/>
          <w:szCs w:val="28"/>
        </w:rPr>
        <w:instrText>A), LMF1 (p.G410R), and LRP1 (p.G813R; p.R2173Q), and seven common variants, APOA5 (pG185C), APOE (p.C130R; p.E262K/p.E263K), GCKR (p.V103M), GPIHBP1 (p.C14F), LRP1 (p.Y4054F), and MLXIPL (p.Q241H), can cause hypertriglyceridemia. However, all five disease-causing rare variants detected in this study were heterozygous. Conclusions: The prevalence of disease-causing rare variants in candidate genes in severe hypertriglyceridemia patients was low. The major causes of severe hypertriglyceridemia were not single gene abnormalities, but involved multiple gene variations and environmental factors. Key","author":[{"dropping-particle":"","family":"Matsunaga","given":"Akira","non-dropping-particle":"","parse-names":false,"suffix":""},{"dropping-particle":"","family":"Nagashima","given":"Mariko","non-dropping-particle":"","parse-names":false,"suffix":""},{"dropping-particle":"","family":"Yamagishi","given":"Hideko","non-dropping-particle":"","parse-names":false,"suffix":""},{"dropping-particle":"","family":"Saku","given":"Keijiro","non-dropping-particle":"","parse-names":false,"suffix":""}],"container-title":"Journal of Atherosclerosis and Thrombosis","id":"ITEM-1","issued":{"date-parts":[["2020"]]},"page":"1-14","title":"Variants of Lipid-Related Genes in Adult Japanese Patients with Severe Hypertriglyceridemia","type":"article-journal","volume":"12"},"uris":["http://www.mendeley.com/documents/?uuid=a0fa54e1-491c-499c-a810-86923c759319"]}],"mendeley":{"formattedCitation":"[62]","plainTextFormattedCitation":"[62]","previouslyFormattedCitation":"[62]"},"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[62]</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по их результатам что пять редких вариантов: </w:t>
      </w:r>
      <w:r>
        <w:rPr>
          <w:rFonts w:ascii="Times New Roman" w:hAnsi="Times New Roman" w:cs="Times New Roman"/>
          <w:i/>
          <w:sz w:val="28"/>
          <w:szCs w:val="28"/>
        </w:rPr>
        <w:t xml:space="preserve">APOA5 </w:t>
      </w:r>
      <w:r>
        <w:rPr>
          <w:rFonts w:ascii="Times New Roman" w:hAnsi="Times New Roman" w:cs="Times New Roman"/>
          <w:sz w:val="28"/>
          <w:szCs w:val="28"/>
        </w:rPr>
        <w:t>(p.T184S),</w:t>
      </w:r>
      <w:r>
        <w:rPr>
          <w:rFonts w:ascii="Times New Roman" w:hAnsi="Times New Roman" w:cs="Times New Roman"/>
          <w:i/>
          <w:sz w:val="28"/>
          <w:szCs w:val="28"/>
        </w:rPr>
        <w:t xml:space="preserve"> GCKR </w:t>
      </w:r>
      <w:r>
        <w:rPr>
          <w:rFonts w:ascii="Times New Roman" w:hAnsi="Times New Roman" w:cs="Times New Roman"/>
          <w:sz w:val="28"/>
          <w:szCs w:val="28"/>
        </w:rPr>
        <w:t>(c.354</w:t>
      </w:r>
      <w:r w:rsidRPr="00BB7743">
        <w:rPr>
          <w:rFonts w:ascii="Times New Roman" w:eastAsia="MS Gothic" w:hAnsi="Times New Roman" w:cs="Times New Roman" w:hint="eastAsia"/>
          <w:sz w:val="28"/>
          <w:szCs w:val="28"/>
        </w:rPr>
        <w:t>＋</w:t>
      </w:r>
      <w:r>
        <w:rPr>
          <w:rFonts w:ascii="Times New Roman" w:hAnsi="Times New Roman" w:cs="Times New Roman"/>
          <w:sz w:val="28"/>
          <w:szCs w:val="28"/>
        </w:rPr>
        <w:t>1G</w:t>
      </w:r>
      <w:r w:rsidRPr="00BB7743">
        <w:rPr>
          <w:rFonts w:ascii="Times New Roman" w:eastAsia="MS Gothic" w:hAnsi="Times New Roman" w:cs="Times New Roman" w:hint="eastAsia"/>
          <w:sz w:val="28"/>
          <w:szCs w:val="28"/>
        </w:rPr>
        <w:t>＞</w:t>
      </w:r>
      <w:r>
        <w:rPr>
          <w:rFonts w:ascii="Times New Roman" w:hAnsi="Times New Roman" w:cs="Times New Roman"/>
          <w:sz w:val="28"/>
          <w:szCs w:val="28"/>
        </w:rPr>
        <w:t>A),</w:t>
      </w:r>
      <w:r>
        <w:rPr>
          <w:rFonts w:ascii="Times New Roman" w:hAnsi="Times New Roman" w:cs="Times New Roman"/>
          <w:i/>
          <w:sz w:val="28"/>
          <w:szCs w:val="28"/>
        </w:rPr>
        <w:t xml:space="preserve"> LMF1 </w:t>
      </w:r>
      <w:r>
        <w:rPr>
          <w:rFonts w:ascii="Times New Roman" w:hAnsi="Times New Roman" w:cs="Times New Roman"/>
          <w:sz w:val="28"/>
          <w:szCs w:val="28"/>
        </w:rPr>
        <w:t xml:space="preserve">(p.G410R) и </w:t>
      </w:r>
      <w:r>
        <w:rPr>
          <w:rFonts w:ascii="Times New Roman" w:hAnsi="Times New Roman" w:cs="Times New Roman"/>
          <w:i/>
          <w:sz w:val="28"/>
          <w:szCs w:val="28"/>
        </w:rPr>
        <w:t xml:space="preserve">LRP1 </w:t>
      </w:r>
      <w:r>
        <w:rPr>
          <w:rFonts w:ascii="Times New Roman" w:hAnsi="Times New Roman" w:cs="Times New Roman"/>
          <w:sz w:val="28"/>
          <w:szCs w:val="28"/>
        </w:rPr>
        <w:t xml:space="preserve">(p.G813R; p.R2173Q) и семь распространенных вариантов: </w:t>
      </w:r>
      <w:r>
        <w:rPr>
          <w:rFonts w:ascii="Times New Roman" w:hAnsi="Times New Roman" w:cs="Times New Roman"/>
          <w:i/>
          <w:sz w:val="28"/>
          <w:szCs w:val="28"/>
        </w:rPr>
        <w:t xml:space="preserve">APOA5 </w:t>
      </w:r>
      <w:r>
        <w:rPr>
          <w:rFonts w:ascii="Times New Roman" w:hAnsi="Times New Roman" w:cs="Times New Roman"/>
          <w:sz w:val="28"/>
          <w:szCs w:val="28"/>
        </w:rPr>
        <w:t>(pG185C),</w:t>
      </w:r>
      <w:r>
        <w:rPr>
          <w:rFonts w:ascii="Times New Roman" w:hAnsi="Times New Roman" w:cs="Times New Roman"/>
          <w:i/>
          <w:sz w:val="28"/>
          <w:szCs w:val="28"/>
        </w:rPr>
        <w:t xml:space="preserve"> APOE </w:t>
      </w:r>
      <w:r>
        <w:rPr>
          <w:rFonts w:ascii="Times New Roman" w:hAnsi="Times New Roman" w:cs="Times New Roman"/>
          <w:sz w:val="28"/>
          <w:szCs w:val="28"/>
        </w:rPr>
        <w:t xml:space="preserve">(p.C130R; p.E262K/p.E263K), </w:t>
      </w:r>
      <w:r>
        <w:rPr>
          <w:rFonts w:ascii="Times New Roman" w:hAnsi="Times New Roman" w:cs="Times New Roman"/>
          <w:i/>
          <w:sz w:val="28"/>
          <w:szCs w:val="28"/>
        </w:rPr>
        <w:t xml:space="preserve">GCKR </w:t>
      </w:r>
      <w:r>
        <w:rPr>
          <w:rFonts w:ascii="Times New Roman" w:hAnsi="Times New Roman" w:cs="Times New Roman"/>
          <w:sz w:val="28"/>
          <w:szCs w:val="28"/>
        </w:rPr>
        <w:t>(p.V103M),</w:t>
      </w:r>
      <w:r>
        <w:rPr>
          <w:rFonts w:ascii="Times New Roman" w:hAnsi="Times New Roman" w:cs="Times New Roman"/>
          <w:i/>
          <w:sz w:val="28"/>
          <w:szCs w:val="28"/>
        </w:rPr>
        <w:t xml:space="preserve"> GPIHBP1 </w:t>
      </w:r>
      <w:r>
        <w:rPr>
          <w:rFonts w:ascii="Times New Roman" w:hAnsi="Times New Roman" w:cs="Times New Roman"/>
          <w:sz w:val="28"/>
          <w:szCs w:val="28"/>
        </w:rPr>
        <w:t>(p.C14F),</w:t>
      </w:r>
      <w:r>
        <w:rPr>
          <w:rFonts w:ascii="Times New Roman" w:hAnsi="Times New Roman" w:cs="Times New Roman"/>
          <w:i/>
          <w:sz w:val="28"/>
          <w:szCs w:val="28"/>
        </w:rPr>
        <w:t xml:space="preserve"> LRP1 </w:t>
      </w:r>
      <w:r>
        <w:rPr>
          <w:rFonts w:ascii="Times New Roman" w:hAnsi="Times New Roman" w:cs="Times New Roman"/>
          <w:sz w:val="28"/>
          <w:szCs w:val="28"/>
        </w:rPr>
        <w:t>(p.Y4054F),</w:t>
      </w:r>
      <w:r>
        <w:rPr>
          <w:rFonts w:ascii="Times New Roman" w:hAnsi="Times New Roman" w:cs="Times New Roman"/>
          <w:i/>
          <w:sz w:val="28"/>
          <w:szCs w:val="28"/>
        </w:rPr>
        <w:t xml:space="preserve"> MLXIPL </w:t>
      </w:r>
      <w:r>
        <w:rPr>
          <w:rFonts w:ascii="Times New Roman" w:hAnsi="Times New Roman" w:cs="Times New Roman"/>
          <w:sz w:val="28"/>
          <w:szCs w:val="28"/>
        </w:rPr>
        <w:t xml:space="preserve">(p.Q241H), могут вызвать гипертриглицеридемию. </w:t>
      </w:r>
      <w:r w:rsidR="00985E93">
        <w:rPr>
          <w:rFonts w:ascii="Times New Roman" w:hAnsi="Times New Roman" w:cs="Times New Roman"/>
          <w:sz w:val="28"/>
          <w:szCs w:val="28"/>
        </w:rPr>
        <w:t>Авторы отмечают, что</w:t>
      </w:r>
      <w:r>
        <w:rPr>
          <w:rFonts w:ascii="Times New Roman" w:hAnsi="Times New Roman" w:cs="Times New Roman"/>
          <w:sz w:val="28"/>
          <w:szCs w:val="28"/>
        </w:rPr>
        <w:t xml:space="preserve"> гетерозиготный генотип полиморфизма rs328 гена </w:t>
      </w:r>
      <w:r>
        <w:rPr>
          <w:rFonts w:ascii="Times New Roman" w:hAnsi="Times New Roman" w:cs="Times New Roman"/>
          <w:i/>
          <w:sz w:val="28"/>
          <w:szCs w:val="28"/>
        </w:rPr>
        <w:t>LPL</w:t>
      </w:r>
      <w:r>
        <w:rPr>
          <w:rFonts w:ascii="Times New Roman" w:hAnsi="Times New Roman" w:cs="Times New Roman"/>
          <w:sz w:val="28"/>
          <w:szCs w:val="28"/>
        </w:rPr>
        <w:t xml:space="preserve"> чаще встречался у п</w:t>
      </w:r>
      <w:r w:rsidR="0093167F">
        <w:rPr>
          <w:rFonts w:ascii="Times New Roman" w:hAnsi="Times New Roman" w:cs="Times New Roman"/>
          <w:sz w:val="28"/>
          <w:szCs w:val="28"/>
        </w:rPr>
        <w:t>ациентов с гипертриглицеридемии.</w:t>
      </w:r>
      <w:r w:rsidR="00BF6257">
        <w:rPr>
          <w:rFonts w:ascii="Times New Roman" w:hAnsi="Times New Roman" w:cs="Times New Roman"/>
          <w:sz w:val="28"/>
          <w:szCs w:val="28"/>
        </w:rPr>
        <w:t xml:space="preserve"> </w:t>
      </w:r>
      <w:r w:rsidR="0093167F">
        <w:rPr>
          <w:rFonts w:ascii="Times New Roman" w:hAnsi="Times New Roman" w:cs="Times New Roman"/>
          <w:sz w:val="28"/>
          <w:szCs w:val="28"/>
        </w:rPr>
        <w:t xml:space="preserve">Они утверждают, </w:t>
      </w:r>
      <w:r>
        <w:rPr>
          <w:rFonts w:ascii="Times New Roman" w:hAnsi="Times New Roman" w:cs="Times New Roman"/>
          <w:sz w:val="28"/>
          <w:szCs w:val="28"/>
        </w:rPr>
        <w:t>основными причинами развития тяжелой гипертриглицеридемии являются множественные генные вариации и факторы окружающей среды.</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Shahid S. и соавторы (2017) провели исследование, в котором они оценивали влияние генов, которые участвуют в регуляции уровней ТГ и ЛПВП на риск ИБС у пакистанской популяции</w:t>
      </w:r>
      <w:r w:rsidR="00DC3F71">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{"citationItems":[{"id":"ITEM-1","itemData":{"DOI":"10.1186/s12944-017-0419-4","ISSN":"1476-511X","abstract":"Background: Serum Triglyceride (TG) and High Density Lipoprotein (HDL-C) levels are modifiable coronary artery disease (CAD) risk factors. Polymorphisms in the genes regulating TG and HDL-C levels contribute to the development of CAD. The objective of the current study was to investigate the effect of four such single nucleotide polymorphism (SNPs) in the genes for Lipoprotein Lipase (LPL) (rs328, rs1801177), Apolipoprotein A5 (APOA5) (rs66279) and Cholesteryl ester transfer protein (CETP) (rs708272) on HDL-C and TG levels and to examine the association of these SNPs with CAD risk. Methods: A total of 640 subjects (415 cases, 225 controls) were enrolled in the study. The SNPs were genotyped by KASPar allelic discrimination technique. Serum HDL-C and TG were determined by spectrophotometric methods. Results: The population under study was in Hardy Weinberg equilibrium and minor allele of SNP rs1801177 was completely absent in the studied subjects. The SNPs were association with TG and HDL-C levels was checked through regression analysis. For rs328, the effect size of each risk allele on TG and HDL-C (mmol/l) was 0.16(0.08) and −0.11(0.05) respectively. Similarly, the effect size of rs662799 for TG and HDL-C was 0.12(0.06) and −0.13(0.0.3) and that of rs708272 was 0.08(0.04) and 0.1(0.03) respectively. The risk allele frequencies of the SNPs were higher in cases than controls, but the difference was not significant (p &gt; 0.05) and SNPs were not associated with CAD risk (p &gt; 0.05). The combined gene score of four SNPs significantly raised TG and lowered HDL-C but did not increase CAD risk. Conclusion: The studied SNPs were associated with TG and HDL-C levels, but not with CAD in Pakistani population under study.","author":[{"dropping-particle":"","family":"Shahid","given":"Saleem Ullah","non-dropping-particle":"","parse-names":false,"suffix":""},{"dropping-particle":"","family":"Shabana","given":"N.A.","non-dropping-particle":"","parse-names":false,"suffix":""},{"dropping-particle":"","family":"Cooper","given":"Jackie A.","non-dropping-particle":"","parse-names":false,"suffix":""},{"dropping-particle":"","family":"Rehman","given":"Abdul","non-dropping-particle":"","parse-names":false,"suffix":""},{"dropping-particle":"","family":"Humphries","given":"Steve E.","non-dropping-particle":"","parse-names":false,"suffix":""}],"container-title":"Lipids in Health and Disease","id":"ITEM-1","issue":"24","issued":{"date-parts":[["2017","12","31"]]},"page":"1-7","publisher":"Lipids in Health and Disease","title":"Common variants in the genes of triglyceride and HDL-C metabolism lack association with coronary artery disease in the Pakistani subjects","type":"article-journal","volume":"16"},"uris":["http://www.mendeley.com/documents/?uuid=10a6c933-ff82-439b-9ae0-01be3b967328"]}],"mendeley":{"formattedCitation":"[63]","plainTextFormattedCitation":"[63]","previouslyFormattedCitation":"[63]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[63]</w:t>
      </w:r>
      <w:r w:rsidR="00EA0E64">
        <w:rPr>
          <w:rFonts w:ascii="Times New Roman" w:hAnsi="Times New Roman" w:cs="Times New Roman"/>
          <w:sz w:val="28"/>
          <w:szCs w:val="28"/>
        </w:rPr>
        <w:fldChar w:fldCharType="end"/>
      </w:r>
      <w:r w:rsidR="00B80ACA">
        <w:rPr>
          <w:rFonts w:ascii="Times New Roman" w:hAnsi="Times New Roman" w:cs="Times New Roman"/>
          <w:sz w:val="28"/>
          <w:szCs w:val="28"/>
        </w:rPr>
        <w:t>.</w:t>
      </w:r>
      <w:r w:rsidR="00DC3F71">
        <w:rPr>
          <w:rFonts w:ascii="Times New Roman" w:hAnsi="Times New Roman" w:cs="Times New Roman"/>
          <w:sz w:val="28"/>
          <w:szCs w:val="28"/>
        </w:rPr>
        <w:t xml:space="preserve"> </w:t>
      </w:r>
      <w:r w:rsidR="00B80ACA">
        <w:rPr>
          <w:rFonts w:ascii="Times New Roman" w:hAnsi="Times New Roman" w:cs="Times New Roman"/>
          <w:sz w:val="28"/>
          <w:szCs w:val="28"/>
        </w:rPr>
        <w:t>Б</w:t>
      </w:r>
      <w:r w:rsidR="00154D81">
        <w:rPr>
          <w:rFonts w:ascii="Times New Roman" w:hAnsi="Times New Roman" w:cs="Times New Roman"/>
          <w:sz w:val="28"/>
          <w:szCs w:val="28"/>
        </w:rPr>
        <w:t>ыло обнаружено, что</w:t>
      </w:r>
      <w:r>
        <w:rPr>
          <w:rFonts w:ascii="Times New Roman" w:hAnsi="Times New Roman" w:cs="Times New Roman"/>
          <w:sz w:val="28"/>
          <w:szCs w:val="28"/>
        </w:rPr>
        <w:t xml:space="preserve"> аллель G полиморфизма rs328 гена </w:t>
      </w:r>
      <w:r>
        <w:rPr>
          <w:rFonts w:ascii="Times New Roman" w:hAnsi="Times New Roman" w:cs="Times New Roman"/>
          <w:i/>
          <w:sz w:val="28"/>
          <w:szCs w:val="28"/>
        </w:rPr>
        <w:t>LPL</w:t>
      </w:r>
      <w:r>
        <w:rPr>
          <w:rFonts w:ascii="Times New Roman" w:hAnsi="Times New Roman" w:cs="Times New Roman"/>
          <w:sz w:val="28"/>
          <w:szCs w:val="28"/>
        </w:rPr>
        <w:t xml:space="preserve"> снижал уровни ТГ и повышал уровень ЛПВП, а аллель С повышал уровень ТГ и понижал уровень ЛПВП. Такой эффект полиморфизма rs328 гена </w:t>
      </w:r>
      <w:r>
        <w:rPr>
          <w:rFonts w:ascii="Times New Roman" w:hAnsi="Times New Roman" w:cs="Times New Roman"/>
          <w:i/>
          <w:sz w:val="28"/>
          <w:szCs w:val="28"/>
        </w:rPr>
        <w:t>LPL</w:t>
      </w:r>
      <w:r>
        <w:rPr>
          <w:rFonts w:ascii="Times New Roman" w:hAnsi="Times New Roman" w:cs="Times New Roman"/>
          <w:sz w:val="28"/>
          <w:szCs w:val="28"/>
        </w:rPr>
        <w:t xml:space="preserve"> они объясняют тем, что этот полиморфизм приводит к изменению белка, который приводит к усиленному поглощению липопротеинов в клеточных рецепторах. Но несмотря, на влияние этих полиморфизмов на уровни ТГ и ЛПВП они не имели никак</w:t>
      </w:r>
      <w:r w:rsidR="003A500E">
        <w:rPr>
          <w:rFonts w:ascii="Times New Roman" w:hAnsi="Times New Roman" w:cs="Times New Roman"/>
          <w:sz w:val="28"/>
          <w:szCs w:val="28"/>
        </w:rPr>
        <w:t xml:space="preserve">ого </w:t>
      </w:r>
      <w:r>
        <w:rPr>
          <w:rFonts w:ascii="Times New Roman" w:hAnsi="Times New Roman" w:cs="Times New Roman"/>
          <w:sz w:val="28"/>
          <w:szCs w:val="28"/>
        </w:rPr>
        <w:t xml:space="preserve">влияние на риск ИБС </w:t>
      </w:r>
      <w:r w:rsidR="00EA0E64">
        <w:rPr>
          <w:rFonts w:ascii="Times New Roman" w:hAnsi="Times New Roman" w:cs="Times New Roman"/>
          <w:sz w:val="28"/>
          <w:szCs w:val="28"/>
        </w:rPr>
        <w:fldChar w:fldCharType="begin" w:fldLock="1"/>
      </w:r>
      <w:r w:rsidR="008E155C">
        <w:rPr>
          <w:rFonts w:ascii="Times New Roman" w:hAnsi="Times New Roman" w:cs="Times New Roman"/>
          <w:sz w:val="28"/>
          <w:szCs w:val="28"/>
        </w:rPr>
        <w:instrText>ADDIN CSL_CITATION {"citationItems":[{"id":"ITEM-1","itemData":{"DOI":"10.1186/s12944-017-0419-4","ISSN":"1476-511X","abstract":"Background: Serum Triglyceride (TG) and High Density Lipoprotein (HDL-C) levels are modifiable coronary artery disease (CAD) risk factors. Polymorphisms in the genes regulating TG and HDL-C levels contribute to the development of CAD. The objective of the current study was to investigate the effect of four such single nucleotide polymorphism (SNPs) in the genes for Lipoprotein Lipase (LPL) (rs328, rs1801177), Apolipoprotein A5 (APOA5) (rs66279) and Cholesteryl ester transfer protein (CETP) (rs708272) on HDL-C and TG levels and to examine the association of these SNPs with CAD risk. Methods: A total of 640 subjects (415 cases, 225 controls) were enrolled in the study. The SNPs were genotyped by KASPar allelic discrimination technique. Serum HDL-C and TG were determined by spectrophotometric methods. Results: The population under study was in Hardy Weinberg equilibrium and minor allele of SNP rs1801177 was completely absent in the studied subjects. The SNPs were association with TG and HDL-C levels was checked through regression analysis. For rs328, the effect size of each risk allele on TG and HDL-C (mmol/l) was 0.16(0.08) and −0.11(0.05) respectively. Similarly, the effect size of rs662799 for TG and HDL-C was 0.12(0.06) and −0.13(0.0.3) and that of rs708272 was 0.08(0.04) and 0.1(0.03) respectively. The risk allele frequencies of the SNPs were higher in cases than controls, but the difference was not significant (p &gt; 0.05) and SNPs were not associated with CAD risk (p &gt; 0.05). The combined gene score of four SNPs significantly raised TG and lowered HDL-C but did not increase CAD risk. Conclusion: The studied SNPs were associated with TG and HDL-C levels, but not with CAD in Pakistani population under study.","author":[{"dropping-particle":"","family":"Shahid","given":"Saleem Ullah","non-dropping-particle":"","parse-names":false,"suffix":""},{"dropping-particle":"","family":"Shabana","given":"N.A.","non-dropping-particle":"","parse-names":false,"suffix":""},{"dropping-particle":"","family":"Cooper","given":"Jackie A.","non-dropping-particle":"","parse-names":false,"suffix":""},{"dropping-particle":"","family":"Rehman","given":"Abdul","non-dropping-particle":"","parse-names":false,"suffix":""},{"dropping-particle":"","family":"Humphries","given":"Steve E.","non-dropping-particle":"","parse-names":false,"suffix":""}],"container-title":"Lipids in Health and Disease","id":"ITEM-1","issue":"24","issued":{"date-parts":[["2017","12","31"]]},"page":"1-7","publisher":"Lipids in Health and Disease","title":"Common variants in the genes of triglyceride and HDL-C metabolism lack association with coronary artery disease in the Pakistani subjects","type":"article-journal","volume":"16"},"uris":["http://www.mendeley.com/documents/?uuid=10a6c933-ff82-439b-9ae0-01be3b967328"]}],"mendeley":{"formattedCitation":"[63]","manualFormatting":"[63, р. 4]","plainTextFormattedCitation":"[63]","previouslyFormattedCitation":"[63]"},"properties":{"noteIndex":0},"schema":"https://github.com/citation-style-language/schema/raw/master/csl-citation.json"}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[63</w:t>
      </w:r>
      <w:r w:rsidR="00615095">
        <w:rPr>
          <w:rFonts w:ascii="Times New Roman" w:hAnsi="Times New Roman" w:cs="Times New Roman"/>
          <w:noProof/>
          <w:sz w:val="28"/>
          <w:szCs w:val="28"/>
        </w:rPr>
        <w:t>, р. 4</w:t>
      </w:r>
      <w:r w:rsidR="00224447" w:rsidRPr="00224447">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EE6777"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исследовании по изучению влияния полиморфизмов гена </w:t>
      </w:r>
      <w:r>
        <w:rPr>
          <w:rFonts w:ascii="Times New Roman" w:hAnsi="Times New Roman" w:cs="Times New Roman"/>
          <w:i/>
          <w:sz w:val="28"/>
          <w:szCs w:val="28"/>
        </w:rPr>
        <w:t>LPL</w:t>
      </w:r>
      <w:r>
        <w:rPr>
          <w:rFonts w:ascii="Times New Roman" w:hAnsi="Times New Roman" w:cs="Times New Roman"/>
          <w:sz w:val="28"/>
          <w:szCs w:val="28"/>
        </w:rPr>
        <w:t xml:space="preserve"> на гипертриглицеридемию и пониженный уровень ЛПВП в иранской популяции </w:t>
      </w:r>
      <w:r w:rsidR="00AB12B3">
        <w:rPr>
          <w:rFonts w:ascii="Times New Roman" w:hAnsi="Times New Roman" w:cs="Times New Roman"/>
          <w:sz w:val="28"/>
          <w:szCs w:val="28"/>
        </w:rPr>
        <w:t>Alinaghian N. и группа исследователей (2020) обнаружили, что некоторые генотипы полиморфизма S447X (rs328) был</w:t>
      </w:r>
      <w:r>
        <w:rPr>
          <w:rFonts w:ascii="Times New Roman" w:hAnsi="Times New Roman" w:cs="Times New Roman"/>
          <w:sz w:val="28"/>
          <w:szCs w:val="28"/>
        </w:rPr>
        <w:t>и</w:t>
      </w:r>
      <w:r w:rsidR="00AB12B3">
        <w:rPr>
          <w:rFonts w:ascii="Times New Roman" w:hAnsi="Times New Roman" w:cs="Times New Roman"/>
          <w:sz w:val="28"/>
          <w:szCs w:val="28"/>
        </w:rPr>
        <w:t xml:space="preserve"> связан</w:t>
      </w:r>
      <w:r>
        <w:rPr>
          <w:rFonts w:ascii="Times New Roman" w:hAnsi="Times New Roman" w:cs="Times New Roman"/>
          <w:sz w:val="28"/>
          <w:szCs w:val="28"/>
        </w:rPr>
        <w:t>ы</w:t>
      </w:r>
      <w:r w:rsidR="00AB12B3">
        <w:rPr>
          <w:rFonts w:ascii="Times New Roman" w:hAnsi="Times New Roman" w:cs="Times New Roman"/>
          <w:sz w:val="28"/>
          <w:szCs w:val="28"/>
        </w:rPr>
        <w:t xml:space="preserve"> с низким риском развития пониженного уровня ЛПВП только у мужчин, и защитный эффект Hind III (rs320) от гипертриглицеридемии</w:t>
      </w:r>
      <w:r>
        <w:rPr>
          <w:rFonts w:ascii="Times New Roman" w:hAnsi="Times New Roman" w:cs="Times New Roman"/>
          <w:sz w:val="28"/>
          <w:szCs w:val="28"/>
        </w:rPr>
        <w:t xml:space="preserve"> был выявлен</w:t>
      </w:r>
      <w:r w:rsidR="00AB12B3">
        <w:rPr>
          <w:rFonts w:ascii="Times New Roman" w:hAnsi="Times New Roman" w:cs="Times New Roman"/>
          <w:sz w:val="28"/>
          <w:szCs w:val="28"/>
        </w:rPr>
        <w:t xml:space="preserve"> только у женщин</w:t>
      </w:r>
      <w:r w:rsidR="00DC3F71">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{"citationItems":[{"id":"ITEM-1","itemData":{"DOI":"10.1016/j.gene.2019.144152","ISSN":"03781119","abstract":"The authors regret there has been a mistake in the first sentence of “Conclusions” in the “Abstract”. In fact the name of the genotypes have been misplaced. The corrected sentence is: “The present study proves that some genotypes of S447X were associated with a reduced risk of developing low HDL-C only in men, while the protective effects of HindIII on hypertriglyceridemia were only seen in women.” The authors would like to thank Dr Foad Ghazizadeh (PhD candidate at Department of Pharmacology, College of Medicine, Iran University of Medical Sciences, Tehran, Iran) for his precise reading of the article and finding this mistake. The authors would also apologize for any inconvenience this caused.","author":[{"dropping-particle":"","family":"Alinaghian","given":"Nazila","non-dropping-particle":"","parse-names":false,"suffix":""},{"dropping-particle":"","family":"Abdollahi","given":"Elaheh","non-dropping-particle":"","parse-names":false,"suffix":""},{"dropping-particle":"","family":"Torab","given":"Mansour","non-dropping-particle":"","parse-names":false,"suffix":""},{"dropping-particle":"","family":"Khodaparast","given":"Maral","non-dropping-particle":"","parse-names":false,"suffix":""},{"dropping-particle":"","family":"Zamani","given":"Farhad","non-dropping-particle":"","parse-names":false,"suffix":""},{"dropping-particle":"","family":"Rahimi-Moghaddam","given":"Parvaneh","non-dropping-particle":"","parse-names":false,"suffix":""}],"container-title":"Gene","id":"ITEM-1","issue":"September 2019","issued":{"date-parts":[["2020","1"]]},"page":"144152","publisher":"Elsevier","title":"Corrigendum to “Gender-related relation between metabolic syndrome and S447X and HindIII polymorphisms of lipoprotein lipase gene in northern Iran” [Gene 706 (2019) 13–18]","type":"article-journal","volume":"725"},"uris":["http://www.mendeley.com/documents/?uuid=557abde8-8c43-4ce8-9468-7ded5486ca3d"]}],"mendeley":{"formattedCitation":"[64]","plainTextFormattedCitation":"[64]","previouslyFormattedCitation":"[64]"},"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[64]</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w:t>
      </w:r>
      <w:r w:rsidR="00AB12B3">
        <w:rPr>
          <w:rFonts w:ascii="Times New Roman" w:hAnsi="Times New Roman" w:cs="Times New Roman"/>
          <w:sz w:val="28"/>
          <w:szCs w:val="28"/>
        </w:rPr>
        <w:lastRenderedPageBreak/>
        <w:t xml:space="preserve">В другом исследовании (2017), которое проводилось на пакистанской популяции, показало, что полиморфизм rs328 гена </w:t>
      </w:r>
      <w:r w:rsidR="00AB12B3">
        <w:rPr>
          <w:rFonts w:ascii="Times New Roman" w:hAnsi="Times New Roman" w:cs="Times New Roman"/>
          <w:i/>
          <w:sz w:val="28"/>
          <w:szCs w:val="28"/>
        </w:rPr>
        <w:t>LPL</w:t>
      </w:r>
      <w:r w:rsidR="00AB12B3">
        <w:rPr>
          <w:rFonts w:ascii="Times New Roman" w:hAnsi="Times New Roman" w:cs="Times New Roman"/>
          <w:sz w:val="28"/>
          <w:szCs w:val="28"/>
        </w:rPr>
        <w:t xml:space="preserve"> отдельно не влиял на риск развития ИБС, но в взаимодействии с другими генами, которые влияют на липиды, показал совместно влияние на риск развития ИБС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{"citationItems":[{"id":"ITEM-1","itemData":{"DOI":"10.1016/j.atherosclerosis.2017.01.024","ISSN":"00219150","author":[{"dropping-particle":"","family":"Shahid","given":"Saleem Ullah","non-dropping-particle":"","parse-names":false,"suffix":""},{"dropping-particle":"","family":"Shabana","given":"","non-dropping-particle":"","parse-names":false,"suffix":""},{"dropping-particle":"","family":"Cooper","given":"Jackie A.","non-dropping-particle":"","parse-names":false,"suffix":""},{"dropping-particle":"","family":"Beaney","given":"Katherine E.","non-dropping-particle":"","parse-names":false,"suffix":""},{"dropping-particle":"","family":"Li","given":"Kawah","non-dropping-particle":"","parse-names":false,"suffix":""},{"dropping-particle":"","family":"Rehman","given":"Abdul","non-dropping-particle":"","parse-names":false,"suffix":""},{"dropping-particle":"","family":"Humphries","given":"Steve E.","non-dropping-particle":"","parse-names":false,"suffix":""}],"container-title":"Atherosclerosis","id":"ITEM-1","issued":{"date-parts":[["2017","3"]]},"page":"1-7","title":"Genetic risk analysis of coronary artery disease in Pakistani subjects using a genetic risk score of 21 variants","type":"article-journal","volume":"258"},"uris":["http://www.mendeley.com/documents/?uuid=abdc6864-e5f8-48c9-b849-1e38253c96af"]}],"mendeley":{"formattedCitation":"[65]","plainTextFormattedCitation":"[65]","previouslyFormattedCitation":"[65]"},"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[65]</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w:t>
      </w:r>
    </w:p>
    <w:p w:rsidR="00AB12B3" w:rsidRDefault="00D414E2"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 изучени</w:t>
      </w:r>
      <w:r w:rsidR="008D5E7C">
        <w:rPr>
          <w:rFonts w:ascii="Times New Roman" w:hAnsi="Times New Roman" w:cs="Times New Roman"/>
          <w:sz w:val="28"/>
          <w:szCs w:val="28"/>
        </w:rPr>
        <w:t>и</w:t>
      </w:r>
      <w:r>
        <w:rPr>
          <w:rFonts w:ascii="Times New Roman" w:hAnsi="Times New Roman" w:cs="Times New Roman"/>
          <w:sz w:val="28"/>
          <w:szCs w:val="28"/>
        </w:rPr>
        <w:t xml:space="preserve"> </w:t>
      </w:r>
      <w:r w:rsidR="008D5E7C">
        <w:rPr>
          <w:rFonts w:ascii="Times New Roman" w:hAnsi="Times New Roman" w:cs="Times New Roman"/>
          <w:sz w:val="28"/>
          <w:szCs w:val="28"/>
        </w:rPr>
        <w:t>ассоциации</w:t>
      </w:r>
      <w:r>
        <w:rPr>
          <w:rFonts w:ascii="Times New Roman" w:hAnsi="Times New Roman" w:cs="Times New Roman"/>
          <w:sz w:val="28"/>
          <w:szCs w:val="28"/>
        </w:rPr>
        <w:t xml:space="preserve"> генов, </w:t>
      </w:r>
      <w:r w:rsidR="008D5E7C">
        <w:rPr>
          <w:rFonts w:ascii="Times New Roman" w:hAnsi="Times New Roman" w:cs="Times New Roman"/>
          <w:sz w:val="28"/>
          <w:szCs w:val="28"/>
        </w:rPr>
        <w:t>вовлеченных</w:t>
      </w:r>
      <w:r>
        <w:rPr>
          <w:rFonts w:ascii="Times New Roman" w:hAnsi="Times New Roman" w:cs="Times New Roman"/>
          <w:sz w:val="28"/>
          <w:szCs w:val="28"/>
        </w:rPr>
        <w:t xml:space="preserve"> в патогенез</w:t>
      </w:r>
      <w:r w:rsidR="008D5E7C">
        <w:rPr>
          <w:rFonts w:ascii="Times New Roman" w:hAnsi="Times New Roman" w:cs="Times New Roman"/>
          <w:sz w:val="28"/>
          <w:szCs w:val="28"/>
        </w:rPr>
        <w:t xml:space="preserve"> атеросклероза с</w:t>
      </w:r>
      <w:r>
        <w:rPr>
          <w:rFonts w:ascii="Times New Roman" w:hAnsi="Times New Roman" w:cs="Times New Roman"/>
          <w:sz w:val="28"/>
          <w:szCs w:val="28"/>
        </w:rPr>
        <w:t xml:space="preserve"> риск</w:t>
      </w:r>
      <w:r w:rsidR="008D5E7C">
        <w:rPr>
          <w:rFonts w:ascii="Times New Roman" w:hAnsi="Times New Roman" w:cs="Times New Roman"/>
          <w:sz w:val="28"/>
          <w:szCs w:val="28"/>
        </w:rPr>
        <w:t>ом</w:t>
      </w:r>
      <w:r>
        <w:rPr>
          <w:rFonts w:ascii="Times New Roman" w:hAnsi="Times New Roman" w:cs="Times New Roman"/>
          <w:sz w:val="28"/>
          <w:szCs w:val="28"/>
        </w:rPr>
        <w:t xml:space="preserve"> развития ИМ российские </w:t>
      </w:r>
      <w:r w:rsidR="00F134A0">
        <w:rPr>
          <w:rFonts w:ascii="Times New Roman" w:hAnsi="Times New Roman" w:cs="Times New Roman"/>
          <w:sz w:val="28"/>
          <w:szCs w:val="28"/>
        </w:rPr>
        <w:t xml:space="preserve">ученые </w:t>
      </w:r>
      <w:r w:rsidR="00AB12B3">
        <w:rPr>
          <w:rFonts w:ascii="Times New Roman" w:hAnsi="Times New Roman" w:cs="Times New Roman"/>
          <w:sz w:val="28"/>
          <w:szCs w:val="28"/>
        </w:rPr>
        <w:t>обнаружили</w:t>
      </w:r>
      <w:r w:rsidR="008658D2">
        <w:rPr>
          <w:rFonts w:ascii="Times New Roman" w:hAnsi="Times New Roman" w:cs="Times New Roman"/>
          <w:sz w:val="28"/>
          <w:szCs w:val="28"/>
        </w:rPr>
        <w:t xml:space="preserve"> (2017)</w:t>
      </w:r>
      <w:r w:rsidR="00AB12B3">
        <w:rPr>
          <w:rFonts w:ascii="Times New Roman" w:hAnsi="Times New Roman" w:cs="Times New Roman"/>
          <w:sz w:val="28"/>
          <w:szCs w:val="28"/>
        </w:rPr>
        <w:t xml:space="preserve">, что сочетание генов </w:t>
      </w:r>
      <w:r w:rsidR="00AB12B3">
        <w:rPr>
          <w:rFonts w:ascii="Times New Roman" w:hAnsi="Times New Roman" w:cs="Times New Roman"/>
          <w:i/>
          <w:sz w:val="28"/>
          <w:szCs w:val="28"/>
        </w:rPr>
        <w:t xml:space="preserve">FGB </w:t>
      </w:r>
      <w:r w:rsidR="00AB12B3">
        <w:rPr>
          <w:rFonts w:ascii="Times New Roman" w:hAnsi="Times New Roman" w:cs="Times New Roman"/>
          <w:sz w:val="28"/>
          <w:szCs w:val="28"/>
        </w:rPr>
        <w:t>rs1800788 * T</w:t>
      </w:r>
      <w:r w:rsidR="00AB12B3">
        <w:rPr>
          <w:rFonts w:ascii="Times New Roman" w:hAnsi="Times New Roman" w:cs="Times New Roman"/>
          <w:i/>
          <w:sz w:val="28"/>
          <w:szCs w:val="28"/>
        </w:rPr>
        <w:t xml:space="preserve"> + TGFB1 </w:t>
      </w:r>
      <w:r w:rsidR="00AB12B3">
        <w:rPr>
          <w:rFonts w:ascii="Times New Roman" w:hAnsi="Times New Roman" w:cs="Times New Roman"/>
          <w:sz w:val="28"/>
          <w:szCs w:val="28"/>
        </w:rPr>
        <w:t>rs1982073 * T;</w:t>
      </w:r>
      <w:r w:rsidR="00AB12B3">
        <w:rPr>
          <w:rFonts w:ascii="Times New Roman" w:hAnsi="Times New Roman" w:cs="Times New Roman"/>
          <w:i/>
          <w:sz w:val="28"/>
          <w:szCs w:val="28"/>
        </w:rPr>
        <w:t xml:space="preserve"> FGB </w:t>
      </w:r>
      <w:r w:rsidR="00AB12B3">
        <w:rPr>
          <w:rFonts w:ascii="Times New Roman" w:hAnsi="Times New Roman" w:cs="Times New Roman"/>
          <w:sz w:val="28"/>
          <w:szCs w:val="28"/>
        </w:rPr>
        <w:t>rs1800788 * T</w:t>
      </w:r>
      <w:r w:rsidR="00AB12B3">
        <w:rPr>
          <w:rFonts w:ascii="Times New Roman" w:hAnsi="Times New Roman" w:cs="Times New Roman"/>
          <w:i/>
          <w:sz w:val="28"/>
          <w:szCs w:val="28"/>
        </w:rPr>
        <w:t xml:space="preserve"> + LPL </w:t>
      </w:r>
      <w:r w:rsidR="00AB12B3">
        <w:rPr>
          <w:rFonts w:ascii="Times New Roman" w:hAnsi="Times New Roman" w:cs="Times New Roman"/>
          <w:sz w:val="28"/>
          <w:szCs w:val="28"/>
        </w:rPr>
        <w:t>rs328 * C</w:t>
      </w:r>
      <w:r w:rsidR="00AB12B3">
        <w:rPr>
          <w:rFonts w:ascii="Times New Roman" w:hAnsi="Times New Roman" w:cs="Times New Roman"/>
          <w:i/>
          <w:sz w:val="28"/>
          <w:szCs w:val="28"/>
        </w:rPr>
        <w:t xml:space="preserve"> + IL4 </w:t>
      </w:r>
      <w:r w:rsidR="00AB12B3">
        <w:rPr>
          <w:rFonts w:ascii="Times New Roman" w:hAnsi="Times New Roman" w:cs="Times New Roman"/>
          <w:sz w:val="28"/>
          <w:szCs w:val="28"/>
        </w:rPr>
        <w:t xml:space="preserve">rs2243250 </w:t>
      </w:r>
      <w:r w:rsidR="00AB12B3">
        <w:rPr>
          <w:rFonts w:ascii="Times New Roman" w:hAnsi="Times New Roman" w:cs="Times New Roman"/>
          <w:i/>
          <w:sz w:val="28"/>
          <w:szCs w:val="28"/>
        </w:rPr>
        <w:t xml:space="preserve">* </w:t>
      </w:r>
      <w:r w:rsidR="00AB12B3">
        <w:rPr>
          <w:rFonts w:ascii="Times New Roman" w:hAnsi="Times New Roman" w:cs="Times New Roman"/>
          <w:sz w:val="28"/>
          <w:szCs w:val="28"/>
        </w:rPr>
        <w:t>C;</w:t>
      </w:r>
      <w:r w:rsidR="00AB12B3">
        <w:rPr>
          <w:rFonts w:ascii="Times New Roman" w:hAnsi="Times New Roman" w:cs="Times New Roman"/>
          <w:i/>
          <w:sz w:val="28"/>
          <w:szCs w:val="28"/>
        </w:rPr>
        <w:t xml:space="preserve"> FGB </w:t>
      </w:r>
      <w:r w:rsidR="00AB12B3">
        <w:rPr>
          <w:rFonts w:ascii="Times New Roman" w:hAnsi="Times New Roman" w:cs="Times New Roman"/>
          <w:sz w:val="28"/>
          <w:szCs w:val="28"/>
        </w:rPr>
        <w:t>rs1800788 * T</w:t>
      </w:r>
      <w:r w:rsidR="00AB12B3">
        <w:rPr>
          <w:rFonts w:ascii="Times New Roman" w:hAnsi="Times New Roman" w:cs="Times New Roman"/>
          <w:i/>
          <w:sz w:val="28"/>
          <w:szCs w:val="28"/>
        </w:rPr>
        <w:t xml:space="preserve"> + ENOS </w:t>
      </w:r>
      <w:r w:rsidR="00AB12B3">
        <w:rPr>
          <w:rFonts w:ascii="Times New Roman" w:hAnsi="Times New Roman" w:cs="Times New Roman"/>
          <w:sz w:val="28"/>
          <w:szCs w:val="28"/>
        </w:rPr>
        <w:t xml:space="preserve">rs2070744 * C увеличивает риск развития ИМ в молодом возрасте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10.1007/s11033-017-4112-5","ISSN":"0301-4851","author":[{"dropping-particle":"V.","family":"Titov","given":"Boris","non-dropping-particle":"","parse-names":false,"suffix":""},{"dropping-particle":"","family":"Osmak","given":"German J.","non-dropping-particle":"","parse-names":false,"suffix":""},{"dropping-particle":"","family":"Matveeva","given":"Natalia A.","non-dropping-particle":"","parse-names":false,"suffix":""},{"dropping-particle":"","family":"Kukava","given":"Nino G.","non-dropping-particle":"","parse-names":false,"suffix":""},{"dropping-particle":"","family":"Shakhnovich","given":"Roman M.","non-dropping-particle":"","parse-names":false,"suffix":""},{"dropping-particle":"V.","family":"Favorov","given":"Alexander","non-dropping-particle":"","parse-names":false,"suffix":""},{"dropping-particle":"","family":"Ruda","given":"Mikhail Ya.","non-dropping-particle":"","parse-names":false,"suffix":""},{"dropping-particle":"","family":"Favorova","given":"Olga O.","non-dropping-particle":"","parse-names":false,"suffix":""}],"container-title":"Molecular Biology Reports","id":"ITEM-1","issue":"4","issued":{"date-parts":[["2017","8","6"]]},"page":"315-321","title":"Genetic risk factors for myocardial infarction more clearly manifest for early age of first onset","type":"article-journal","volume":"44"},"uris":["http://www.mendeley.com/documents/?uuid=a2976391-122b-465b-8902-78d64abce5e9"]}],"mendeley":{"formattedCitation":"[66]","plainTextFormattedCitation":"[66]","previouslyFormattedCitation":"[66]"},"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[66]</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Изучая нарушение липидного обмена у сибирских народов, </w:t>
      </w:r>
      <w:r w:rsidR="00F134A0">
        <w:rPr>
          <w:rFonts w:ascii="Times New Roman" w:hAnsi="Times New Roman" w:cs="Times New Roman"/>
          <w:sz w:val="28"/>
          <w:szCs w:val="28"/>
        </w:rPr>
        <w:t xml:space="preserve">авторы </w:t>
      </w:r>
      <w:r w:rsidR="00AB12B3">
        <w:rPr>
          <w:rFonts w:ascii="Times New Roman" w:hAnsi="Times New Roman" w:cs="Times New Roman"/>
          <w:sz w:val="28"/>
          <w:szCs w:val="28"/>
        </w:rPr>
        <w:t xml:space="preserve">обнаружили, что полиморфизм rs328 гена </w:t>
      </w:r>
      <w:r w:rsidR="00AB12B3">
        <w:rPr>
          <w:rFonts w:ascii="Times New Roman" w:hAnsi="Times New Roman" w:cs="Times New Roman"/>
          <w:i/>
          <w:sz w:val="28"/>
          <w:szCs w:val="28"/>
        </w:rPr>
        <w:t>LPL</w:t>
      </w:r>
      <w:r w:rsidR="00AB12B3">
        <w:rPr>
          <w:rFonts w:ascii="Times New Roman" w:hAnsi="Times New Roman" w:cs="Times New Roman"/>
          <w:sz w:val="28"/>
          <w:szCs w:val="28"/>
        </w:rPr>
        <w:t xml:space="preserve"> не связан с дислипидемией у бурятов, телеутов, русских и потомки смешанных русско-бурятских браков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{"citationItems":[{"id":"ITEM-1","itemData":{"DOI":"10.18699/VJ19.578","ISSN":"25003259","abstract":"Lipid metabolism disorders underlie the pathogenesis of a number of diseases. Indigenous peoples of Siberia have a specific genetically determined type of metabolism supporting such lipid blood parameters that favor increased consumption (in comparison with Caucasians) of animal products. At the same time, indigenous Siberian ethnic groups are less susceptible to metabolic diseases. The objective of the presented study was to investigate the allele frequencies of lipid metabolism genes in indigenous populations of Siberia to identify the ethnic features of allele frequency distribution for polymorphic variants in genes CETP (G1264A, rs5882), LPL (C1791G, rs328) and FTO (C83401A, rs8050136) in the samples taken from Buryats, Teleuts and Russians of Eastern Siberia, and to compare them with data on world populations. Samples of the Eastern (N = 132) and Western (N = 278) Buryats, Teleuts (N = 120), Russians (N = 122) and persons of mixed Buryat-Russian origin (N = 56) were genotyped by real-time PCR using competitive TaqMan-probes. The obtained results have for the first time demonstrated that the CETP and FTO allele frequencies in the Buryat samples are intermediate between European and East Asian populations. Significantly lower incidence of the obesity-assossiated 83401A allele of the FTO gene has been shown in Buryats, compared with Russians, which is consistent with lower susceptibility of the indigenous ethnic groups to metabolic disorders. There have been no population differences in the distribution of LPL gene polymorphic variants associated with dyslipidemia, which means they probably do not contribute to the ethnic characteristics of the lipid profile. The intermediate frequencies of the CETP 1264G and FTO 83401A alleles found in the metis group demonstrate that the metabolic disorders associated with these variants can be rather expected in the descendants of mixed marriages than among Buryats. It has also been demonstrated that Teleuts differ by FTO 83401A allele frequency from some of the European groups and have the lowest detected frequency of the allele CETP 1264G associated with the favorable lipid blood parameters.","author":[{"dropping-particle":"","family":"Tabikhanova","given":"L. E.","non-dropping-particle":"","parse-names":false,"suffix":""},{"dropping-particle":"","family":"Osipova","given":"L. P.","non-dropping-particle":"","parse-names":false,"suffix":""},{"dropping-particle":"","family":"Voronina","given":"E. N.","non-dropping-particle":"","parse-names":false,"suffix":""},{"dropping-particle":"","family":"Bragin","given":"A. O.","non-dropping-particle":"","parse-names":false,"suffix":""},{"dropping-particle":"","family":"Filipenko","given":"M. L.","non-dropping-particle":"","parse-names":false,"suffix":""}],"container-title":"Vavilovskii Zhurnal Genetiki i Selektsii","id":"ITEM-1","issue":"8","issued":{"date-parts":[["2019"]]},"page":"1011-1019","title":"Polymorphism of lipid exchange genes in some populations of South and East Siberia","type":"article-journal","volume":"23"},"uris":["http://www.mendeley.com/documents/?uuid=2ed9a2a5-9fcb-4830-a02b-241c583b39f0"]}],"mendeley":{"formattedCitation":"[67]","plainTextFormattedCitation":"[67]","previouslyFormattedCitation":"[67]"},"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[67]</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Shatwan</w:t>
      </w:r>
      <w:r w:rsidR="00DC3F71">
        <w:rPr>
          <w:rFonts w:ascii="Times New Roman" w:hAnsi="Times New Roman" w:cs="Times New Roman"/>
          <w:sz w:val="28"/>
          <w:szCs w:val="28"/>
        </w:rPr>
        <w:t xml:space="preserve"> </w:t>
      </w:r>
      <w:r>
        <w:rPr>
          <w:rFonts w:ascii="Times New Roman" w:hAnsi="Times New Roman" w:cs="Times New Roman"/>
          <w:sz w:val="28"/>
          <w:szCs w:val="28"/>
        </w:rPr>
        <w:t xml:space="preserve">I. и соавторы (2016) </w:t>
      </w:r>
      <w:r w:rsidR="00B61D8F">
        <w:rPr>
          <w:rFonts w:ascii="Times New Roman" w:hAnsi="Times New Roman" w:cs="Times New Roman"/>
          <w:sz w:val="28"/>
          <w:szCs w:val="28"/>
        </w:rPr>
        <w:t>исследовали</w:t>
      </w:r>
      <w:r>
        <w:rPr>
          <w:rFonts w:ascii="Times New Roman" w:hAnsi="Times New Roman" w:cs="Times New Roman"/>
          <w:sz w:val="28"/>
          <w:szCs w:val="28"/>
        </w:rPr>
        <w:t xml:space="preserve"> в</w:t>
      </w:r>
      <w:r w:rsidR="008D5E7C">
        <w:rPr>
          <w:rFonts w:ascii="Times New Roman" w:hAnsi="Times New Roman" w:cs="Times New Roman"/>
          <w:sz w:val="28"/>
          <w:szCs w:val="28"/>
        </w:rPr>
        <w:t>заимосвязь</w:t>
      </w:r>
      <w:r>
        <w:rPr>
          <w:rFonts w:ascii="Times New Roman" w:hAnsi="Times New Roman" w:cs="Times New Roman"/>
          <w:sz w:val="28"/>
          <w:szCs w:val="28"/>
        </w:rPr>
        <w:t xml:space="preserve"> двух полиморфизмов гена </w:t>
      </w:r>
      <w:r>
        <w:rPr>
          <w:rFonts w:ascii="Times New Roman" w:hAnsi="Times New Roman" w:cs="Times New Roman"/>
          <w:i/>
          <w:sz w:val="28"/>
          <w:szCs w:val="28"/>
        </w:rPr>
        <w:t>LPL</w:t>
      </w:r>
      <w:r>
        <w:rPr>
          <w:rFonts w:ascii="Times New Roman" w:hAnsi="Times New Roman" w:cs="Times New Roman"/>
          <w:sz w:val="28"/>
          <w:szCs w:val="28"/>
        </w:rPr>
        <w:t xml:space="preserve"> на тощаковые и нетощаковые уровни липидов</w:t>
      </w:r>
      <w:r w:rsidR="00DC3F71">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{"citationItems":[{"id":"ITEM-1","itemData":{"DOI":"10.3390/ijms17030397","ISSN":"1422-0067","abstract":"Lipoprotein lipase (LPL) is a key rate-limiting enzyme for the hydrolysis of triacylglycerol (TAG) in chylomicrons and very low-density lipoprotein. Given that postprandial assessment of lipoprotein metabolism may provide a more physiological perspective of disturbances in lipoprotein homeostasis compared to assessment in the fasting state, we have investigated the influence of two commonly studied LPL polymorphisms (rs320, HindIII; rs328, S447X) on postprandial lipaemia, in 261 participants using a standard sequential meal challenge. S447 homozygotes had lower fasting HDL-C (p = 0.015) and a trend for higher fasting TAG (p = 0.057) concentrations relative to the 447X allele carriers. In the postprandial state, there was an association of the S447X polymorphism with postprandial TAG and glucose, where S447 homozygotes had 12% higher TAG area under the curve (AUC) (p = 0.037), 8.4% higher glucose-AUC (p = 0.006) and 22% higher glucose-incremental area under the curve (IAUC) (p = 0.042). A significant gene–gender interaction was observed for fasting TAG (p = 0.004), TAG-AUC (Pinteraction = 0.004) and TAG-IAUC (Pinteraction = 0.016), where associations were only evident in men. In conclusion, our study provides novel findings of an effect of LPL S447X polymorphism on the postprandial glucose and gender-specific impact of the polymorphism on fasting and postprandial TAG concentrations in response to sequential meal challenge in healthy participants.","author":[{"dropping-particle":"","family":"Shatwan","given":"Israa","non-dropping-particle":"","parse-names":false,"suffix":""},{"dropping-particle":"","family":"Minihane","given":"Anne-Marie","non-dropping-particle":"","parse-names":false,"suffix":""},{"dropping-particle":"","family":"Williams","given":"Christine","non-dropping-particle":"","parse-names":false,"suffix":""},{"dropping-particle":"","family":"Lovegrove","given":"Julie","non-dropping-particle":"","parse-names":false,"suffix":""},{"dropping-particle":"","family":"Jackson","given":"Kim","non-dropping-particle":"","parse-names":false,"suffix":""},{"dropping-particle":"","family":"Vimaleswaran","given":"Karani","non-dropping-particle":"","parse-names":false,"suffix":""}],"container-title":"International Journal of Molecular Sciences","id":"ITEM-1","issue":"3","issued":{"date-parts":[["2016","3","18"]]},"page":"397","title":"Impact of Lipoprotein Lipase Gene Polymorphism, S447X, on Postprandial Triacylglycerol and Glucose Response to Sequential Meal Ingestion","type":"article-journal","volume":"17"},"uris":["http://www.mendeley.com/documents/?uuid=c8009612-b9c1-4d41-a098-df6138fe1dce"]}],"mendeley":{"formattedCitation":"[68]","plainTextFormattedCitation":"[68]","previouslyFormattedCitation":"[68]"},"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[68]</w:t>
      </w:r>
      <w:r w:rsidR="00EA0E64">
        <w:rPr>
          <w:rFonts w:ascii="Times New Roman" w:hAnsi="Times New Roman" w:cs="Times New Roman"/>
          <w:sz w:val="28"/>
          <w:szCs w:val="28"/>
        </w:rPr>
        <w:fldChar w:fldCharType="end"/>
      </w:r>
      <w:r>
        <w:rPr>
          <w:rFonts w:ascii="Times New Roman" w:hAnsi="Times New Roman" w:cs="Times New Roman"/>
          <w:sz w:val="28"/>
          <w:szCs w:val="28"/>
        </w:rPr>
        <w:t>, по их результатам носители гомозиготных генотипов полиморфизма rs328 имели высокие показатели тощаковых и нетощаковых уровней ЛПВП и триацилглицеролов. Nejati M. и соавторы (2018) в свое</w:t>
      </w:r>
      <w:r w:rsidR="001410FA">
        <w:rPr>
          <w:rFonts w:ascii="Times New Roman" w:hAnsi="Times New Roman" w:cs="Times New Roman"/>
          <w:sz w:val="28"/>
          <w:szCs w:val="28"/>
        </w:rPr>
        <w:t>й работе по</w:t>
      </w:r>
      <w:r>
        <w:rPr>
          <w:rFonts w:ascii="Times New Roman" w:hAnsi="Times New Roman" w:cs="Times New Roman"/>
          <w:sz w:val="28"/>
          <w:szCs w:val="28"/>
        </w:rPr>
        <w:t xml:space="preserve"> метанализ</w:t>
      </w:r>
      <w:r w:rsidR="001410FA">
        <w:rPr>
          <w:rFonts w:ascii="Times New Roman" w:hAnsi="Times New Roman" w:cs="Times New Roman"/>
          <w:sz w:val="28"/>
          <w:szCs w:val="28"/>
        </w:rPr>
        <w:t>у</w:t>
      </w:r>
      <w:r>
        <w:rPr>
          <w:rFonts w:ascii="Times New Roman" w:hAnsi="Times New Roman" w:cs="Times New Roman"/>
          <w:sz w:val="28"/>
          <w:szCs w:val="28"/>
        </w:rPr>
        <w:t xml:space="preserve"> показали, что полиморфизмы гена </w:t>
      </w:r>
      <w:r>
        <w:rPr>
          <w:rFonts w:ascii="Times New Roman" w:hAnsi="Times New Roman" w:cs="Times New Roman"/>
          <w:i/>
          <w:sz w:val="28"/>
          <w:szCs w:val="28"/>
        </w:rPr>
        <w:t>LPL</w:t>
      </w:r>
      <w:r>
        <w:rPr>
          <w:rFonts w:ascii="Times New Roman" w:hAnsi="Times New Roman" w:cs="Times New Roman"/>
          <w:sz w:val="28"/>
          <w:szCs w:val="28"/>
        </w:rPr>
        <w:t xml:space="preserve"> </w:t>
      </w:r>
      <w:r w:rsidR="001410FA">
        <w:rPr>
          <w:rFonts w:ascii="Times New Roman" w:hAnsi="Times New Roman" w:cs="Times New Roman"/>
          <w:sz w:val="28"/>
          <w:szCs w:val="28"/>
        </w:rPr>
        <w:t xml:space="preserve">ассоциированы со </w:t>
      </w:r>
      <w:r>
        <w:rPr>
          <w:rFonts w:ascii="Times New Roman" w:hAnsi="Times New Roman" w:cs="Times New Roman"/>
          <w:sz w:val="28"/>
          <w:szCs w:val="28"/>
        </w:rPr>
        <w:t>сниж</w:t>
      </w:r>
      <w:r w:rsidR="001410FA">
        <w:rPr>
          <w:rFonts w:ascii="Times New Roman" w:hAnsi="Times New Roman" w:cs="Times New Roman"/>
          <w:sz w:val="28"/>
          <w:szCs w:val="28"/>
        </w:rPr>
        <w:t>ением</w:t>
      </w:r>
      <w:r>
        <w:rPr>
          <w:rFonts w:ascii="Times New Roman" w:hAnsi="Times New Roman" w:cs="Times New Roman"/>
          <w:sz w:val="28"/>
          <w:szCs w:val="28"/>
        </w:rPr>
        <w:t xml:space="preserve"> риск</w:t>
      </w:r>
      <w:r w:rsidR="001410FA">
        <w:rPr>
          <w:rFonts w:ascii="Times New Roman" w:hAnsi="Times New Roman" w:cs="Times New Roman"/>
          <w:sz w:val="28"/>
          <w:szCs w:val="28"/>
        </w:rPr>
        <w:t>а</w:t>
      </w:r>
      <w:r>
        <w:rPr>
          <w:rFonts w:ascii="Times New Roman" w:hAnsi="Times New Roman" w:cs="Times New Roman"/>
          <w:sz w:val="28"/>
          <w:szCs w:val="28"/>
        </w:rPr>
        <w:t xml:space="preserve"> развития инсульта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{"citationItems":[{"id":"ITEM-1","itemData":{"DOI":"10.22038/ijbms.2018.29009.7001","ISSN":"20083874","abstract":"Objective(s): Stroke is the most common neurological disorder and genetic susceptibility has an important role in its etiology. Polymorphism in several genes such as lipoprotein lipase (LPL) is propounded as a risk for stroke. This meta-analysis investigated the association of rs285 and rs320 LPL polymorphism with stroke risk. Materials and Methods: We searched PubMed, Clarivate Analytics Web of Science, Google Scholar, and Science Direct databases for appropriate studies. The odds ratios (ORs) with 95% confidence intervals (CIs) were calculated to estimate the strength of this association. Also, the effects of four common polymorphisms (rs268, rs285, rs320, and rs328) on the molecular aspects of LPL were evaluated by in silico tools. Five studies were included in meta-analysis after screening. Results: Our data indicated that rs320 significantly decreased the risk of stroke (G vs. T: OR= 0.64, 95%CI=0.54-0.76; GG vs. TT: OR=0.47, 95%CI=0.29-0.75; TG vs. TT: OR=0.65, 95%CI=0.53-0.80; TG+GG vs. TT: OR=0.62, 95%CI=0.51-0.75; GG vs. TT+TG: OR=0.51, 95%CI=0.32-0.82). Moreover, a significant association between rs285 and diminution of stroke risk was seen (P-vs. P+: OR=0.72, 95%CI=0.58-0.91; P-P-vs. P+P+: OR=0.50, 95%CI=0.31-0.82; P+P-+P-P-vs. P+P+: OR=0.72, 95%CI=0.53-0.96; P-P-vs. P+P++P+P-: OR=0.581, 95%CI=0.369-0.916). Also, the same results were observed after stratifying, without any publication bias (PEgger &gt;0.05). Furthermore, computational analysis revealed that rs268 and rs328 may affect the protein structure (prediction: non-neutral; score=19; expected accuracy=59%) while rs320 could affect the RNA structure (distance=0.2264, P-value=0.0534; P&lt;0.2 is significant). Conclusion: This meta-analysis indicated that risk of stroke was decreased in rs320 and rs285 polymorphisms in the LPL gene.","author":[{"dropping-particle":"","family":"Nejati","given":"Majid","non-dropping-particle":"","parse-names":false,"suffix":""},{"dropping-particle":"","family":"Atlasi","given":"Mohammad Ali","non-dropping-particle":"","parse-names":false,"suffix":""},{"dropping-particle":"","family":"Karimian","given":"Mohammad","non-dropping-particle":"","parse-names":false,"suffix":""},{"dropping-particle":"","family":"Nikzad","given":"Hossein","non-dropping-particle":"","parse-names":false,"suffix":""},{"dropping-particle":"","family":"Azami Tameh","given":"Abolfazl","non-dropping-particle":"","parse-names":false,"suffix":""}],"container-title":"Iranian Journal of Basic Medical Sciences","id":"ITEM-1","issue":"7","issued":{"date-parts":[["2018"]]},"page":"701-708","title":"Lipoprotein lipase gene polymorphisms as risk factors for stroke: A computational and meta-analysis","type":"article-journal","volume":"21"},"uris":["http://www.mendeley.com/documents/?uuid=d639c486-bc85-44ee-bcad-4aeb4891a8fc"]}],"mendeley":{"formattedCitation":"[69]","plainTextFormattedCitation":"[69]","previouslyFormattedCitation":"[69]"},"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[69]</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особенно </w:t>
      </w:r>
      <w:r w:rsidR="001410FA">
        <w:rPr>
          <w:rFonts w:ascii="Times New Roman" w:hAnsi="Times New Roman" w:cs="Times New Roman"/>
          <w:sz w:val="28"/>
          <w:szCs w:val="28"/>
        </w:rPr>
        <w:t>протективны</w:t>
      </w:r>
      <w:r w:rsidR="00DB1055">
        <w:rPr>
          <w:rFonts w:ascii="Times New Roman" w:hAnsi="Times New Roman" w:cs="Times New Roman"/>
          <w:sz w:val="28"/>
          <w:szCs w:val="28"/>
          <w:lang w:val="kk-KZ"/>
        </w:rPr>
        <w:t>м</w:t>
      </w:r>
      <w:r w:rsidR="001410FA">
        <w:rPr>
          <w:rFonts w:ascii="Times New Roman" w:hAnsi="Times New Roman" w:cs="Times New Roman"/>
          <w:sz w:val="28"/>
          <w:szCs w:val="28"/>
        </w:rPr>
        <w:t xml:space="preserve"> эффектом обладают</w:t>
      </w:r>
      <w:r>
        <w:rPr>
          <w:rFonts w:ascii="Times New Roman" w:hAnsi="Times New Roman" w:cs="Times New Roman"/>
          <w:sz w:val="28"/>
          <w:szCs w:val="28"/>
        </w:rPr>
        <w:t xml:space="preserve"> rs320 и rs285, и </w:t>
      </w:r>
      <w:r w:rsidR="001410FA">
        <w:rPr>
          <w:rFonts w:ascii="Times New Roman" w:hAnsi="Times New Roman" w:cs="Times New Roman"/>
          <w:sz w:val="28"/>
          <w:szCs w:val="28"/>
        </w:rPr>
        <w:t>посредством</w:t>
      </w:r>
      <w:r>
        <w:rPr>
          <w:rFonts w:ascii="Times New Roman" w:hAnsi="Times New Roman" w:cs="Times New Roman"/>
          <w:sz w:val="28"/>
          <w:szCs w:val="28"/>
        </w:rPr>
        <w:t xml:space="preserve"> влияни</w:t>
      </w:r>
      <w:r w:rsidR="001410FA">
        <w:rPr>
          <w:rFonts w:ascii="Times New Roman" w:hAnsi="Times New Roman" w:cs="Times New Roman"/>
          <w:sz w:val="28"/>
          <w:szCs w:val="28"/>
        </w:rPr>
        <w:t>я</w:t>
      </w:r>
      <w:r>
        <w:rPr>
          <w:rFonts w:ascii="Times New Roman" w:hAnsi="Times New Roman" w:cs="Times New Roman"/>
          <w:sz w:val="28"/>
          <w:szCs w:val="28"/>
        </w:rPr>
        <w:t xml:space="preserve"> на rs268 и rs328 через </w:t>
      </w:r>
      <w:r w:rsidR="001410FA">
        <w:rPr>
          <w:rFonts w:ascii="Times New Roman" w:hAnsi="Times New Roman" w:cs="Times New Roman"/>
          <w:sz w:val="28"/>
          <w:szCs w:val="28"/>
        </w:rPr>
        <w:t>изменения</w:t>
      </w:r>
      <w:r>
        <w:rPr>
          <w:rFonts w:ascii="Times New Roman" w:hAnsi="Times New Roman" w:cs="Times New Roman"/>
          <w:sz w:val="28"/>
          <w:szCs w:val="28"/>
        </w:rPr>
        <w:t xml:space="preserve"> структур</w:t>
      </w:r>
      <w:r w:rsidR="001410FA">
        <w:rPr>
          <w:rFonts w:ascii="Times New Roman" w:hAnsi="Times New Roman" w:cs="Times New Roman"/>
          <w:sz w:val="28"/>
          <w:szCs w:val="28"/>
        </w:rPr>
        <w:t>ы</w:t>
      </w:r>
      <w:r>
        <w:rPr>
          <w:rFonts w:ascii="Times New Roman" w:hAnsi="Times New Roman" w:cs="Times New Roman"/>
          <w:sz w:val="28"/>
          <w:szCs w:val="28"/>
        </w:rPr>
        <w:t xml:space="preserve"> белка, а rs320 </w:t>
      </w:r>
      <w:r w:rsidR="00B61D8F">
        <w:rPr>
          <w:rFonts w:ascii="Times New Roman" w:hAnsi="Times New Roman" w:cs="Times New Roman"/>
          <w:sz w:val="28"/>
          <w:szCs w:val="28"/>
        </w:rPr>
        <w:t xml:space="preserve">- </w:t>
      </w:r>
      <w:r w:rsidR="001410FA">
        <w:rPr>
          <w:rFonts w:ascii="Times New Roman" w:hAnsi="Times New Roman" w:cs="Times New Roman"/>
          <w:sz w:val="28"/>
          <w:szCs w:val="28"/>
        </w:rPr>
        <w:t>посредством</w:t>
      </w:r>
      <w:r>
        <w:rPr>
          <w:rFonts w:ascii="Times New Roman" w:hAnsi="Times New Roman" w:cs="Times New Roman"/>
          <w:sz w:val="28"/>
          <w:szCs w:val="28"/>
        </w:rPr>
        <w:t xml:space="preserve"> влияни</w:t>
      </w:r>
      <w:r w:rsidR="001410FA">
        <w:rPr>
          <w:rFonts w:ascii="Times New Roman" w:hAnsi="Times New Roman" w:cs="Times New Roman"/>
          <w:sz w:val="28"/>
          <w:szCs w:val="28"/>
        </w:rPr>
        <w:t>я</w:t>
      </w:r>
      <w:r w:rsidR="00B6180D">
        <w:rPr>
          <w:rFonts w:ascii="Times New Roman" w:hAnsi="Times New Roman" w:cs="Times New Roman"/>
          <w:sz w:val="28"/>
          <w:szCs w:val="28"/>
        </w:rPr>
        <w:t xml:space="preserve"> на структуру РНК. </w:t>
      </w:r>
      <w:r w:rsidR="00B61D8F">
        <w:rPr>
          <w:rFonts w:ascii="Times New Roman" w:hAnsi="Times New Roman" w:cs="Times New Roman"/>
          <w:sz w:val="28"/>
          <w:szCs w:val="28"/>
        </w:rPr>
        <w:t xml:space="preserve">Изучая </w:t>
      </w:r>
      <w:r w:rsidR="001410FA">
        <w:rPr>
          <w:rFonts w:ascii="Times New Roman" w:hAnsi="Times New Roman" w:cs="Times New Roman"/>
          <w:sz w:val="28"/>
          <w:szCs w:val="28"/>
        </w:rPr>
        <w:t>ассоциацию</w:t>
      </w:r>
      <w:r w:rsidR="00B61D8F">
        <w:rPr>
          <w:rFonts w:ascii="Times New Roman" w:hAnsi="Times New Roman" w:cs="Times New Roman"/>
          <w:sz w:val="28"/>
          <w:szCs w:val="28"/>
        </w:rPr>
        <w:t xml:space="preserve"> 3'UTR SNP полиморфизма Ser474Ter (rs328) гена </w:t>
      </w:r>
      <w:r w:rsidR="00B61D8F">
        <w:rPr>
          <w:rFonts w:ascii="Times New Roman" w:hAnsi="Times New Roman" w:cs="Times New Roman"/>
          <w:i/>
          <w:sz w:val="28"/>
          <w:szCs w:val="28"/>
        </w:rPr>
        <w:t>LPL</w:t>
      </w:r>
      <w:r w:rsidR="00B61D8F">
        <w:rPr>
          <w:rFonts w:ascii="Times New Roman" w:hAnsi="Times New Roman" w:cs="Times New Roman"/>
          <w:sz w:val="28"/>
          <w:szCs w:val="28"/>
        </w:rPr>
        <w:t xml:space="preserve"> на модулирование концентрации ТГ в плазме </w:t>
      </w:r>
      <w:r w:rsidR="00B6180D">
        <w:rPr>
          <w:rFonts w:ascii="Times New Roman" w:hAnsi="Times New Roman" w:cs="Times New Roman"/>
          <w:sz w:val="28"/>
          <w:szCs w:val="28"/>
        </w:rPr>
        <w:t>Caussy C. и</w:t>
      </w:r>
      <w:r>
        <w:rPr>
          <w:rFonts w:ascii="Times New Roman" w:hAnsi="Times New Roman" w:cs="Times New Roman"/>
          <w:sz w:val="28"/>
          <w:szCs w:val="28"/>
        </w:rPr>
        <w:t xml:space="preserve"> соавторы показали</w:t>
      </w:r>
      <w:r w:rsidR="00B61D8F">
        <w:rPr>
          <w:rFonts w:ascii="Times New Roman" w:hAnsi="Times New Roman" w:cs="Times New Roman"/>
          <w:sz w:val="28"/>
          <w:szCs w:val="28"/>
        </w:rPr>
        <w:t xml:space="preserve"> (2016)</w:t>
      </w:r>
      <w:r>
        <w:rPr>
          <w:rFonts w:ascii="Times New Roman" w:hAnsi="Times New Roman" w:cs="Times New Roman"/>
          <w:sz w:val="28"/>
          <w:szCs w:val="28"/>
        </w:rPr>
        <w:t>, что этот</w:t>
      </w:r>
      <w:r w:rsidR="001410FA">
        <w:rPr>
          <w:rFonts w:ascii="Times New Roman" w:hAnsi="Times New Roman" w:cs="Times New Roman"/>
          <w:sz w:val="28"/>
          <w:szCs w:val="28"/>
        </w:rPr>
        <w:t xml:space="preserve"> генотип связан низкой</w:t>
      </w:r>
      <w:r>
        <w:rPr>
          <w:rFonts w:ascii="Times New Roman" w:hAnsi="Times New Roman" w:cs="Times New Roman"/>
          <w:sz w:val="28"/>
          <w:szCs w:val="28"/>
        </w:rPr>
        <w:t xml:space="preserve"> концентраци</w:t>
      </w:r>
      <w:r w:rsidR="001410FA">
        <w:rPr>
          <w:rFonts w:ascii="Times New Roman" w:hAnsi="Times New Roman" w:cs="Times New Roman"/>
          <w:sz w:val="28"/>
          <w:szCs w:val="28"/>
        </w:rPr>
        <w:t xml:space="preserve">ей </w:t>
      </w:r>
      <w:r>
        <w:rPr>
          <w:rFonts w:ascii="Times New Roman" w:hAnsi="Times New Roman" w:cs="Times New Roman"/>
          <w:sz w:val="28"/>
          <w:szCs w:val="28"/>
        </w:rPr>
        <w:t>ТГ в плазме за счет его сильн</w:t>
      </w:r>
      <w:r w:rsidR="001410FA">
        <w:rPr>
          <w:rFonts w:ascii="Times New Roman" w:hAnsi="Times New Roman" w:cs="Times New Roman"/>
          <w:sz w:val="28"/>
          <w:szCs w:val="28"/>
        </w:rPr>
        <w:t>ого</w:t>
      </w:r>
      <w:r>
        <w:rPr>
          <w:rFonts w:ascii="Times New Roman" w:hAnsi="Times New Roman" w:cs="Times New Roman"/>
          <w:sz w:val="28"/>
          <w:szCs w:val="28"/>
        </w:rPr>
        <w:t xml:space="preserve"> неравновесн</w:t>
      </w:r>
      <w:r w:rsidR="001410FA">
        <w:rPr>
          <w:rFonts w:ascii="Times New Roman" w:hAnsi="Times New Roman" w:cs="Times New Roman"/>
          <w:sz w:val="28"/>
          <w:szCs w:val="28"/>
        </w:rPr>
        <w:t>ого</w:t>
      </w:r>
      <w:r>
        <w:rPr>
          <w:rFonts w:ascii="Times New Roman" w:hAnsi="Times New Roman" w:cs="Times New Roman"/>
          <w:sz w:val="28"/>
          <w:szCs w:val="28"/>
        </w:rPr>
        <w:t xml:space="preserve"> сцеплени</w:t>
      </w:r>
      <w:r w:rsidR="001410FA">
        <w:rPr>
          <w:rFonts w:ascii="Times New Roman" w:hAnsi="Times New Roman" w:cs="Times New Roman"/>
          <w:sz w:val="28"/>
          <w:szCs w:val="28"/>
        </w:rPr>
        <w:t>я</w:t>
      </w:r>
      <w:r>
        <w:rPr>
          <w:rFonts w:ascii="Times New Roman" w:hAnsi="Times New Roman" w:cs="Times New Roman"/>
          <w:sz w:val="28"/>
          <w:szCs w:val="28"/>
        </w:rPr>
        <w:t xml:space="preserve"> с 3'UTR SNP</w:t>
      </w:r>
      <w:r w:rsidR="00DC3F71">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{"citationItems":[{"id":"ITEM-1","itemData":{"DOI":"10.1016/j.atherosclerosis.2016.01.010","ISSN":"00219150","PMID":"26820803","abstract":"BACKGROUND Lipoprotein lipase (LPL) is a key enzyme in triglyceride (TG) metabolism. LPL gene single nucleotide polymorphisms (SNPs) are associated with TG concentrations however the functionality of many of these SNPs remains poorly understood. MicroRNAs (miR) exert post-transcriptional down-regulation and their target sequence on the 3'UTR may be altered by SNPs. We therefore investigated whether LPL 3'UTR SNPs could modulate plasma TG concentration through the alteration of miR binding-sites. METHODS AND RESULTS We performed genetic association studies of LPL 3'UTR SNPs with TG concentrations in 271 type 2 diabetic patients and in general population samples (2997 individuals). A specific LPL haplotype (Hap4) was associated with lower plasma TG concentration (TG-0.18, IC95% [-0.30, -0.07] mmol/L or logTG-0.13, IC95% [-0.18, -0.08], p = 4.77·10(-8)) in the meta-analysis. Hap4 comprises seven 3'UTR SNP minor alleles and p.Ser474Ter (rs328) a well-documented nonsense mutation associated with low TG concentration although by an unknown mechanism so far. Bio-informatic studies identified several putative miRNA binding-sites on the wild-type Hap1 haplotype, lost on Hap4. Functional validation performed in HEK-293T cells using luciferase expression constructs with various LPL 3'UTR allele combinations demonstrated a binding of miR-29, miR-1277 and miR-410 on Hap1, lost on Hap4. This loss of specific miR binding-site in presence of Hap4 was independent of the allelic variation of p.Ser474Ter (rs328). CONCLUSIONS We report the regulation of LPL by the miR-29, miR-1277 and miR-410 that is lost in presence of Hap4, a specific LPL TG-lowering haplotype. Consequently p.Ser474Ter association with TG concentration could be at least partially explained by its strong linkage disequilibrium with these functional 3'UTR SNPs.","author":[{"dropping-particle":"","family":"Caussy","given":"Cyrielle","non-dropping-particle":"","parse-names":false,"suffix":""},{"dropping-particle":"","family":"Charrière","given":"Sybil","non-dropping-particle":"","parse-names":false,"suffix":""},{"dropping-particle":"","family":"Meirhaeghe","given":"Aline","non-dropping-particle":"","parse-names":false,"suffix":""},{"dropping-particle":"","family":"Dallongeville","given":"Jean","non-dropping-particle":"","parse-names":false,"suffix":""},{"dropping-particle":"","family":"Lefai","given":"Etienne","non-dropping-particle":"","parse-names":false,"suffix":""},{"dropping-particle":"","family":"Rome","given":"Sophie","non-dropping-particle":"","parse-names":false,"suffix":""},{"dropping-particle":"","family":"Cuerq","given":"Charlotte","non-dropping-particle":"","parse-names":false,"suffix":""},{"dropping-particle":"","family":"Euthine","given":"Vanessa","non-dropping-particle":"","parse-names":false,"suffix":""},{"dropping-particle":"","family":"Delay","given":"Mireille","non-dropping-particle":"","parse-names":false,"suffix":""},{"dropping-particle":"","family":"Marmontel","given":"Oriane","non-dropping-particle":"","parse-names":false,"suffix":""},{"dropping-particle":"","family":"Filippo","given":"Mathilde","non-dropping-particle":"Di","parse-names":false,"suffix":""},{"dropping-particle":"","family":"Lagarde","given":"Michel","non-dropping-particle":"","parse-names":false,"suffix":""},{"dropping-particle":"","family":"Moulin","given":"Philippe","non-dropping-particle":"","parse-names":false,"suffix":""},{"dropping-particle":"","family":"Marçais","given":"Christophe","non-dropping-particle":"","parse-names":false,"suffix":""}],"container-title":"Atherosclerosis","id":"ITEM-1","issued":{"date-parts":[["2016","3"]]},"page":"280-286","title":"Multiple microRNA regulation of lipoprotein lipase gene abolished by 3′UTR polymorphisms in a triglyceride-lowering haplotype harboring p.Ser474Ter","type":"article-journal","volume":"246"},"uris":["http://www.mendeley.com/documents/?uuid=a8c04fe5-e2e3-4dbc-b836-e33cd67f587d"]}],"mendeley":{"formattedCitation":"[70]","plainTextFormattedCitation":"[70]","previouslyFormattedCitation":"[70]"},"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[70]</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Таким образом, полиморфизмы гена </w:t>
      </w:r>
      <w:r>
        <w:rPr>
          <w:rFonts w:ascii="Times New Roman" w:hAnsi="Times New Roman" w:cs="Times New Roman"/>
          <w:i/>
          <w:sz w:val="28"/>
          <w:szCs w:val="28"/>
        </w:rPr>
        <w:t>LPL</w:t>
      </w:r>
      <w:r>
        <w:rPr>
          <w:rFonts w:ascii="Times New Roman" w:hAnsi="Times New Roman" w:cs="Times New Roman"/>
          <w:sz w:val="28"/>
          <w:szCs w:val="28"/>
        </w:rPr>
        <w:t xml:space="preserve"> </w:t>
      </w:r>
      <w:r w:rsidR="00815790">
        <w:rPr>
          <w:rFonts w:ascii="Times New Roman" w:hAnsi="Times New Roman" w:cs="Times New Roman"/>
          <w:sz w:val="28"/>
          <w:szCs w:val="28"/>
        </w:rPr>
        <w:t>ассоциированы нарушением</w:t>
      </w:r>
      <w:r>
        <w:rPr>
          <w:rFonts w:ascii="Times New Roman" w:hAnsi="Times New Roman" w:cs="Times New Roman"/>
          <w:sz w:val="28"/>
          <w:szCs w:val="28"/>
        </w:rPr>
        <w:t xml:space="preserve"> обмен</w:t>
      </w:r>
      <w:r w:rsidR="00815790">
        <w:rPr>
          <w:rFonts w:ascii="Times New Roman" w:hAnsi="Times New Roman" w:cs="Times New Roman"/>
          <w:sz w:val="28"/>
          <w:szCs w:val="28"/>
        </w:rPr>
        <w:t>а</w:t>
      </w:r>
      <w:r>
        <w:rPr>
          <w:rFonts w:ascii="Times New Roman" w:hAnsi="Times New Roman" w:cs="Times New Roman"/>
          <w:sz w:val="28"/>
          <w:szCs w:val="28"/>
        </w:rPr>
        <w:t xml:space="preserve"> ТГ, хиломикронов, ЛПВП, ЛПОНП </w:t>
      </w:r>
      <w:r w:rsidR="00815790">
        <w:rPr>
          <w:rFonts w:ascii="Times New Roman" w:hAnsi="Times New Roman" w:cs="Times New Roman"/>
          <w:sz w:val="28"/>
          <w:szCs w:val="28"/>
        </w:rPr>
        <w:t xml:space="preserve">и </w:t>
      </w:r>
      <w:r>
        <w:rPr>
          <w:rFonts w:ascii="Times New Roman" w:hAnsi="Times New Roman" w:cs="Times New Roman"/>
          <w:sz w:val="28"/>
          <w:szCs w:val="28"/>
        </w:rPr>
        <w:t>вызывают дислипидемию, которая в свою очередь приводит к развитию вначале ИР, дисфункции ССС и далее к ССЗ, СД 2 типа, МС.</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Ген β-2-адренергического рецептора ADRB2 Gln27Glu (rs1042714)</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Ген </w:t>
      </w:r>
      <w:r>
        <w:rPr>
          <w:rFonts w:ascii="Times New Roman" w:hAnsi="Times New Roman" w:cs="Times New Roman"/>
          <w:i/>
          <w:sz w:val="28"/>
          <w:szCs w:val="28"/>
        </w:rPr>
        <w:t>ADRB2</w:t>
      </w:r>
      <w:r>
        <w:rPr>
          <w:rFonts w:ascii="Times New Roman" w:hAnsi="Times New Roman" w:cs="Times New Roman"/>
          <w:sz w:val="28"/>
          <w:szCs w:val="28"/>
        </w:rPr>
        <w:t xml:space="preserve"> кодирует β2-адренорецептор, который активируется адреналином и вызывает усиление гликогенолиза в мышцах, повышает секрецию инсулина, глюкагона, усиливает сокращение сердца, и, тем самым, влияет </w:t>
      </w:r>
      <w:r w:rsidR="004B7EB8">
        <w:rPr>
          <w:rFonts w:ascii="Times New Roman" w:hAnsi="Times New Roman" w:cs="Times New Roman"/>
          <w:sz w:val="28"/>
          <w:szCs w:val="28"/>
        </w:rPr>
        <w:t>на липидный и углеводный обмен</w:t>
      </w:r>
      <w:r w:rsidR="00DC3F71">
        <w:rPr>
          <w:rFonts w:ascii="Times New Roman" w:hAnsi="Times New Roman" w:cs="Times New Roman"/>
          <w:sz w:val="28"/>
          <w:szCs w:val="28"/>
        </w:rPr>
        <w:t xml:space="preserve"> </w:t>
      </w:r>
      <w:r w:rsidR="00EA0E64" w:rsidRPr="006E14E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{"citationItems":[{"id":"ITEM-1","itemData":{"DOI":"10.1007/s00125-006-0578-8","ISSN":"0012186X","author":[{"dropping-particle":"","family":"Gjesing","given":"A. P.","non-dropping-particle":"","parse-names":false,"suffix":""},{"dropping-particle":"","family":"Andersen","given":"G.","non-dropping-particle":"","parse-names":false,"suffix":""},{"dropping-particle":"","family":"Burgdorf","given":"K. S.","non-dropping-particle":"","parse-names":false,"suffix":""},{"dropping-particle":"","family":"Borch-Johnsen","given":"K.","non-dropping-particle":"","parse-names":false,"suffix":""},{"dropping-particle":"","family":"Jørgensen","given":"T.","non-dropping-particle":"","parse-names":false,"suffix":""},{"dropping-particle":"","family":"Hansen","given":"T.","non-dropping-particle":"","parse-names":false,"suffix":""},{"dropping-particle":"","family":"Pedersen","given":"O.","non-dropping-particle":"","parse-names":false,"suffix":""}],"container-title":"Diabetologia","id":"ITEM-1","issue":"3","issued":{"date-parts":[["2007"]]},"page":"563-568","title":"Studies of the associations between functional β2- adrenergic receptor variants and obesity, hypertension and type 2 diabetes in 7,808 white subjects","type":"article-journal","volume":"50"},"uris":["http://www.mendeley.com/documents/?uuid=256d87e7-bdb6-4d89-8b43-6fb671648da9"]}],"mendeley":{"formattedCitation":"[71]","plainTextFormattedCitation":"[71]","previouslyFormattedCitation":"[71]"},"properties":{"noteIndex":0},"schema":"https://github.com/citation-style-language/schema/raw/master/csl-citation.json"}</w:instrText>
      </w:r>
      <w:r w:rsidR="00EA0E64" w:rsidRPr="006E14E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[71]</w:t>
      </w:r>
      <w:r w:rsidR="00EA0E64" w:rsidRPr="006E14E4">
        <w:rPr>
          <w:rFonts w:ascii="Times New Roman" w:hAnsi="Times New Roman" w:cs="Times New Roman"/>
          <w:sz w:val="28"/>
          <w:szCs w:val="28"/>
        </w:rPr>
        <w:fldChar w:fldCharType="end"/>
      </w:r>
      <w:r w:rsidR="004B7EB8" w:rsidRPr="006E14E4">
        <w:rPr>
          <w:rFonts w:ascii="Times New Roman" w:hAnsi="Times New Roman" w:cs="Times New Roman"/>
          <w:sz w:val="28"/>
          <w:szCs w:val="28"/>
        </w:rPr>
        <w:t>.</w:t>
      </w:r>
      <w:r w:rsidR="00DC3F71">
        <w:rPr>
          <w:rFonts w:ascii="Times New Roman" w:hAnsi="Times New Roman" w:cs="Times New Roman"/>
          <w:sz w:val="28"/>
          <w:szCs w:val="28"/>
        </w:rPr>
        <w:t xml:space="preserve"> </w:t>
      </w:r>
      <w:r>
        <w:rPr>
          <w:rFonts w:ascii="Times New Roman" w:hAnsi="Times New Roman" w:cs="Times New Roman"/>
          <w:sz w:val="28"/>
          <w:szCs w:val="28"/>
        </w:rPr>
        <w:t xml:space="preserve">Rosmond R. и соавторы (2000) изучали </w:t>
      </w:r>
      <w:r w:rsidR="00815790">
        <w:rPr>
          <w:rFonts w:ascii="Times New Roman" w:hAnsi="Times New Roman" w:cs="Times New Roman"/>
          <w:sz w:val="28"/>
          <w:szCs w:val="28"/>
        </w:rPr>
        <w:t>ассоциацию</w:t>
      </w:r>
      <w:r>
        <w:rPr>
          <w:rFonts w:ascii="Times New Roman" w:hAnsi="Times New Roman" w:cs="Times New Roman"/>
          <w:sz w:val="28"/>
          <w:szCs w:val="28"/>
        </w:rPr>
        <w:t xml:space="preserve"> полиморфизмов гена </w:t>
      </w:r>
      <w:r>
        <w:rPr>
          <w:rFonts w:ascii="Times New Roman" w:hAnsi="Times New Roman" w:cs="Times New Roman"/>
          <w:i/>
          <w:sz w:val="28"/>
          <w:szCs w:val="28"/>
        </w:rPr>
        <w:t>ADRB2</w:t>
      </w:r>
      <w:r>
        <w:rPr>
          <w:rFonts w:ascii="Times New Roman" w:hAnsi="Times New Roman" w:cs="Times New Roman"/>
          <w:sz w:val="28"/>
          <w:szCs w:val="28"/>
        </w:rPr>
        <w:t xml:space="preserve"> на ССР у шведских мужчин, где полиморфизм Arg16Gly был значительно связан с преимущественно абдоминальным ожирением и повышенным САД, в то время как полиморфизм Glu27Glu был связан с повышенными уровнями лептина и ТГ, но не с другими </w:t>
      </w:r>
      <w:r w:rsidR="00815790">
        <w:rPr>
          <w:rFonts w:ascii="Times New Roman" w:hAnsi="Times New Roman" w:cs="Times New Roman"/>
          <w:sz w:val="28"/>
          <w:szCs w:val="28"/>
        </w:rPr>
        <w:t>показателями</w:t>
      </w:r>
      <w:r>
        <w:rPr>
          <w:rFonts w:ascii="Times New Roman" w:hAnsi="Times New Roman" w:cs="Times New Roman"/>
          <w:sz w:val="28"/>
          <w:szCs w:val="28"/>
        </w:rPr>
        <w:t xml:space="preserve">, </w:t>
      </w:r>
      <w:r w:rsidR="00BF16C6">
        <w:rPr>
          <w:rFonts w:ascii="Times New Roman" w:hAnsi="Times New Roman" w:cs="Times New Roman"/>
          <w:sz w:val="28"/>
          <w:szCs w:val="28"/>
          <w:lang w:val="kk-KZ"/>
        </w:rPr>
        <w:t>в том числе</w:t>
      </w:r>
      <w:r>
        <w:rPr>
          <w:rFonts w:ascii="Times New Roman" w:hAnsi="Times New Roman" w:cs="Times New Roman"/>
          <w:sz w:val="28"/>
          <w:szCs w:val="28"/>
        </w:rPr>
        <w:t xml:space="preserve"> ожирение</w:t>
      </w:r>
      <w:r w:rsidR="00DC3F71">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{"citationItems":[{"id":"ITEM-1","itemData":{"DOI":"10.1046/j.1365-2796.2000.00721.x","ISBN":"0954-6820 (Print)\\r0954-6820 (Linking)","ISSN":"0954-6820","PMID":"10971791","abstract":"OBJECTIVE: To investigate the effect of polymorphisms in codon 16 (Arg16Gly) and codon 27 (Gln27Glu) of the beta2-adrenergic receptor gene (ADRB2) on anthropometric, endocrine, metabolic and haemodynamic variables.\\n\\nDESIGN: A cross-sectional study.\\n\\nSUBJECTS: A subgroup of 284 Swedish men from a population sample of 1040 at the age of 51 years.\\n\\nMAIN OUTCOME MEASURES: Genotype examination of ADRB2 polymorphisms in codon 16 and codon 27 with polymerase chain reaction and restriction fragment length polymorphism. Anthropometric measurements included body mass index, waist-to-hip ratio and abdominal sagittal diameter. Endocrine measurements included blood levels of testosterone, insulin-like growth factor I, and leptin plus salivary cortisol. Overnight fasting values of serum insulin, blood glucose, triglycerides, total, low and high density lipoprotein cholesterol, as well as blood pressure and resting heart rate, were also determined.\\n\\nRESULTS: Polymorphisms were frequent in both codon 16 and codon 27. The Arg16Gly genotype showed significant relationships to elevated central distribution of body fat and to systolic blood pressure, whilst the Glu27Glu genotype was associated with elevated leptin and triglyceride levels but not to other measurements, including obesity variables.\\n\\nCONCLUSIONS: We conclude that only a few cardiovascular risk factors are associated with DNA sequence variation in the ADRB2 in Swedish men.","author":[{"dropping-particle":"","family":"Rosmond","given":"R","non-dropping-particle":"","parse-names":false,"suffix":""},{"dropping-particle":"","family":"Ukkola","given":"O","non-dropping-particle":"","parse-names":false,"suffix":""},{"dropping-particle":"","family":"Chagnon","given":"M","non-dropping-particle":"","parse-names":false,"suffix":""},{"dropping-particle":"","family":"Bouchard","given":"C","non-dropping-particle":"","parse-names":false,"suffix":""},{"dropping-particle":"","family":"Björntorp","given":"P","non-dropping-particle":"","parse-names":false,"suffix":""}],"container-title":"Journal of internal medicine","id":"ITEM-1","issued":{"date-parts":[["2000"]]},"title":"Polymorphisms of the beta2-adrenergic receptor gene (ADRB2) in relation to cardiovascular risk factors in men.","type":"article-journal"},"uris":["http://www.mendeley.com/documents/?uuid=9062aff4-a295-3073-a0a3-b985a306a191"]}],"mendeley":{"formattedCitation":"[72]","plainTextFormattedCitation":"[72]","previouslyFormattedCitation":"[72]"},"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[72]</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Учитывая что</w:t>
      </w:r>
      <w:r w:rsidR="00285254">
        <w:rPr>
          <w:rFonts w:ascii="Century" w:hAnsi="Century" w:cs="Times New Roman"/>
          <w:sz w:val="28"/>
          <w:szCs w:val="28"/>
        </w:rPr>
        <w:t>,</w:t>
      </w:r>
      <w:r>
        <w:rPr>
          <w:rFonts w:ascii="Times New Roman" w:hAnsi="Times New Roman" w:cs="Times New Roman"/>
          <w:sz w:val="28"/>
          <w:szCs w:val="28"/>
        </w:rPr>
        <w:t xml:space="preserve"> АГ является мультифакторным заболеваниям Gu</w:t>
      </w:r>
      <w:r w:rsidR="00F44932">
        <w:rPr>
          <w:rFonts w:ascii="Times New Roman" w:hAnsi="Times New Roman" w:cs="Times New Roman"/>
          <w:sz w:val="28"/>
          <w:szCs w:val="28"/>
        </w:rPr>
        <w:t xml:space="preserve"> </w:t>
      </w:r>
      <w:r w:rsidR="00D456FE">
        <w:rPr>
          <w:rFonts w:ascii="Times New Roman" w:hAnsi="Times New Roman" w:cs="Times New Roman"/>
          <w:sz w:val="28"/>
          <w:szCs w:val="28"/>
        </w:rPr>
        <w:t xml:space="preserve">D. </w:t>
      </w:r>
      <w:r>
        <w:rPr>
          <w:rFonts w:ascii="Times New Roman" w:hAnsi="Times New Roman" w:cs="Times New Roman"/>
          <w:sz w:val="28"/>
          <w:szCs w:val="28"/>
        </w:rPr>
        <w:t xml:space="preserve">и группа ученых (2006) в своих исследованиях </w:t>
      </w:r>
      <w:r w:rsidR="00BF16C6">
        <w:rPr>
          <w:rFonts w:ascii="Times New Roman" w:hAnsi="Times New Roman" w:cs="Times New Roman"/>
          <w:sz w:val="28"/>
          <w:szCs w:val="28"/>
          <w:lang w:val="kk-KZ"/>
        </w:rPr>
        <w:t>изучали</w:t>
      </w:r>
      <w:r w:rsidR="00DC3F71">
        <w:rPr>
          <w:rFonts w:ascii="Times New Roman" w:hAnsi="Times New Roman" w:cs="Times New Roman"/>
          <w:sz w:val="28"/>
          <w:szCs w:val="28"/>
          <w:lang w:val="kk-KZ"/>
        </w:rPr>
        <w:t xml:space="preserve"> </w:t>
      </w:r>
      <w:r>
        <w:rPr>
          <w:rFonts w:ascii="Times New Roman" w:hAnsi="Times New Roman" w:cs="Times New Roman"/>
          <w:sz w:val="28"/>
          <w:szCs w:val="28"/>
        </w:rPr>
        <w:t>33 полиморфизма 11 генов – кандидатов</w:t>
      </w:r>
      <w:r w:rsidR="00285254">
        <w:rPr>
          <w:rFonts w:ascii="Century" w:hAnsi="Century" w:cs="Times New Roman"/>
          <w:sz w:val="28"/>
          <w:szCs w:val="28"/>
        </w:rPr>
        <w:t>,</w:t>
      </w:r>
      <w:r>
        <w:rPr>
          <w:rFonts w:ascii="Times New Roman" w:hAnsi="Times New Roman" w:cs="Times New Roman"/>
          <w:sz w:val="28"/>
          <w:szCs w:val="28"/>
        </w:rPr>
        <w:t xml:space="preserve"> которые участвуют в развитии и прогрессировании АГ</w:t>
      </w:r>
      <w:r w:rsidR="00712C45">
        <w:rPr>
          <w:rFonts w:ascii="Times New Roman" w:hAnsi="Times New Roman" w:cs="Times New Roman"/>
          <w:sz w:val="28"/>
          <w:szCs w:val="28"/>
        </w:rPr>
        <w:t xml:space="preserve"> </w:t>
      </w:r>
      <w:r w:rsidR="00EA0E64">
        <w:rPr>
          <w:rFonts w:ascii="Times New Roman" w:hAnsi="Times New Roman" w:cs="Times New Roman"/>
          <w:sz w:val="28"/>
          <w:szCs w:val="28"/>
        </w:rPr>
        <w:lastRenderedPageBreak/>
        <w:fldChar w:fldCharType="begin" w:fldLock="1"/>
      </w:r>
      <w:r w:rsidR="002312BD">
        <w:rPr>
          <w:rFonts w:ascii="Times New Roman" w:hAnsi="Times New Roman" w:cs="Times New Roman"/>
          <w:sz w:val="28"/>
          <w:szCs w:val="28"/>
        </w:rPr>
        <w:instrText>ADDIN CSL_CITATION {"citationItems":[{"id":"ITEM-1","itemData":{"DOI":"10.1161/01.HYP.0000219041.66702.45","abstract":"Essential hypertension is considered to be a typical complex disease with multifactorial etiology, which leads to inconsistent findings in genetic studies. One possibility of failure to replicate some single-locus results is that the underlying genetics of hypertension are not only based on multiple genes with minor effects but also on gene–gene interactions. To test this hypothesis, a case–control study was constructed in Chinese subjects, detecting both single locus and multilocus effects. Eleven candidate genes were selected from biochemical pathways that have been implicated in the development and progression of hypertension, and 33 polymorphisms were evaluated in 503 hypertension patients and 490 age- and gender-matched controls. Single-locus associations, using traditional logistic regression analyses, and multilocus associations, using classification and regression trees and multivariate adaptive regression splines, were both explored in this study. Final models were selected using either Bonferroni correction or cross-validation. Three polymorphisms, TH*rs2070762, ADRB2*Q27E, and GRK4*A486V, were found to be independently associated with essential hypertension in Chinese subjects. In addition to these individual predictors, a potential interaction of CYP11B2-AGTR1 is also involved in the etiology of hypertension. These findings support the multigenic nature of the etiology of essential hypertension and propose a potential gene–gene interactive model for future studies.","author":[{"dropping-particle":"","family":"Gu","given":"Dongfeng","non-dropping-particle":"","parse-names":false,"suffix":""},{"dropping-particle":"","family":"Su","given":"Shaoyong","non-dropping-particle":"","parse-names":false,"suffix":""},{"dropping-particle":"","family":"Ge","given":"Dongliang","non-dropping-particle":"","parse-names":false,"suffix":""},{"dropping-particle":"","family":"Chen","given":"Shufeng","non-dropping-particle":"","parse-names":false,"suffix":""},{"dropping-particle":"","family":"Huang","given":"Jianfeng","non-dropping-particle":"","parse-names":false,"suffix":""},{"dropping-particle":"","family":"Li","given":"Biao","non-dropping-particle":"","parse-names":false,"suffix":""},{"dropping-particle":"","family":"Chen","given":"Runsheng","non-dropping-particle":"","parse-names":false,"suffix":""},{"dropping-particle":"","family":"Qiang","given":"Boqin","non-dropping-particle":"","parse-names":false,"suffix":""}],"container-title":"Hypertension","id":"ITEM-1","issue":"1147-1154","issued":{"date-parts":[["2006"]]},"title":"Association Study With 33 Single-Nucleotide Polymorphisms in 11 Candidate Genes for Hypertension in Chinese","type":"article-journal"},"uris":["http://www.mendeley.com/documents/?uuid=cff2e829-5aab-428d-bbdb-775401c25a2e"]}],"mendeley":{"formattedCitation":"[73]","plainTextFormattedCitation":"[73]","previouslyFormattedCitation":"[73]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[73]</w:t>
      </w:r>
      <w:r w:rsidR="00EA0E64">
        <w:rPr>
          <w:rFonts w:ascii="Times New Roman" w:hAnsi="Times New Roman" w:cs="Times New Roman"/>
          <w:sz w:val="28"/>
          <w:szCs w:val="28"/>
        </w:rPr>
        <w:fldChar w:fldCharType="end"/>
      </w:r>
      <w:r w:rsidR="00285254">
        <w:rPr>
          <w:rFonts w:ascii="Century" w:hAnsi="Century" w:cs="Times New Roman"/>
          <w:sz w:val="28"/>
          <w:szCs w:val="28"/>
        </w:rPr>
        <w:t>.</w:t>
      </w:r>
      <w:r>
        <w:rPr>
          <w:rFonts w:ascii="Times New Roman" w:hAnsi="Times New Roman" w:cs="Times New Roman"/>
          <w:sz w:val="28"/>
          <w:szCs w:val="28"/>
        </w:rPr>
        <w:t xml:space="preserve"> По утверждению авторов одно локусные исследования не всегда могут отразить весь эффект гена на риск развития АГ</w:t>
      </w:r>
      <w:r w:rsidR="00285254">
        <w:rPr>
          <w:rFonts w:ascii="Century" w:hAnsi="Century" w:cs="Times New Roman"/>
          <w:sz w:val="28"/>
          <w:szCs w:val="28"/>
        </w:rPr>
        <w:t>,</w:t>
      </w:r>
      <w:r>
        <w:rPr>
          <w:rFonts w:ascii="Times New Roman" w:hAnsi="Times New Roman" w:cs="Times New Roman"/>
          <w:sz w:val="28"/>
          <w:szCs w:val="28"/>
        </w:rPr>
        <w:t xml:space="preserve"> потому как есть еще ген</w:t>
      </w:r>
      <w:r w:rsidR="00396149">
        <w:rPr>
          <w:rFonts w:ascii="Times New Roman" w:hAnsi="Times New Roman" w:cs="Times New Roman"/>
          <w:sz w:val="28"/>
          <w:szCs w:val="28"/>
        </w:rPr>
        <w:t xml:space="preserve"> - ген</w:t>
      </w:r>
      <w:r>
        <w:rPr>
          <w:rFonts w:ascii="Times New Roman" w:hAnsi="Times New Roman" w:cs="Times New Roman"/>
          <w:sz w:val="28"/>
          <w:szCs w:val="28"/>
        </w:rPr>
        <w:t xml:space="preserve"> взаимодействи</w:t>
      </w:r>
      <w:r w:rsidR="00815790">
        <w:rPr>
          <w:rFonts w:ascii="Times New Roman" w:hAnsi="Times New Roman" w:cs="Times New Roman"/>
          <w:sz w:val="28"/>
          <w:szCs w:val="28"/>
        </w:rPr>
        <w:t>е</w:t>
      </w:r>
      <w:r w:rsidR="00285254">
        <w:rPr>
          <w:rFonts w:ascii="Century" w:hAnsi="Century" w:cs="Times New Roman"/>
          <w:sz w:val="28"/>
          <w:szCs w:val="28"/>
        </w:rPr>
        <w:t>.</w:t>
      </w:r>
      <w:r w:rsidR="00815790">
        <w:rPr>
          <w:rFonts w:ascii="Times New Roman" w:hAnsi="Times New Roman" w:cs="Times New Roman"/>
          <w:sz w:val="28"/>
          <w:szCs w:val="28"/>
        </w:rPr>
        <w:t xml:space="preserve"> По результатам их исследования</w:t>
      </w:r>
      <w:r>
        <w:rPr>
          <w:rFonts w:ascii="Times New Roman" w:hAnsi="Times New Roman" w:cs="Times New Roman"/>
          <w:sz w:val="28"/>
          <w:szCs w:val="28"/>
        </w:rPr>
        <w:t xml:space="preserve"> 2 гена из симпатической системы (</w:t>
      </w:r>
      <w:r>
        <w:rPr>
          <w:rFonts w:ascii="Times New Roman" w:hAnsi="Times New Roman" w:cs="Times New Roman"/>
          <w:i/>
          <w:sz w:val="28"/>
          <w:szCs w:val="28"/>
        </w:rPr>
        <w:t>TH</w:t>
      </w:r>
      <w:r>
        <w:rPr>
          <w:rFonts w:ascii="Times New Roman" w:hAnsi="Times New Roman" w:cs="Times New Roman"/>
          <w:sz w:val="28"/>
          <w:szCs w:val="28"/>
        </w:rPr>
        <w:t xml:space="preserve"> и </w:t>
      </w:r>
      <w:r>
        <w:rPr>
          <w:rFonts w:ascii="Times New Roman" w:hAnsi="Times New Roman" w:cs="Times New Roman"/>
          <w:i/>
          <w:sz w:val="28"/>
          <w:szCs w:val="28"/>
        </w:rPr>
        <w:t>ADRB2</w:t>
      </w:r>
      <w:r>
        <w:rPr>
          <w:rFonts w:ascii="Times New Roman" w:hAnsi="Times New Roman" w:cs="Times New Roman"/>
          <w:sz w:val="28"/>
          <w:szCs w:val="28"/>
        </w:rPr>
        <w:t>) и 1 ген</w:t>
      </w:r>
      <w:r w:rsidR="00285254">
        <w:rPr>
          <w:rFonts w:ascii="Century" w:hAnsi="Century" w:cs="Times New Roman"/>
          <w:sz w:val="28"/>
          <w:szCs w:val="28"/>
        </w:rPr>
        <w:t>,</w:t>
      </w:r>
      <w:r w:rsidR="00815790">
        <w:rPr>
          <w:rFonts w:ascii="Times New Roman" w:hAnsi="Times New Roman" w:cs="Times New Roman"/>
          <w:sz w:val="28"/>
          <w:szCs w:val="28"/>
        </w:rPr>
        <w:t xml:space="preserve"> вовлеченный в</w:t>
      </w:r>
      <w:r>
        <w:rPr>
          <w:rFonts w:ascii="Times New Roman" w:hAnsi="Times New Roman" w:cs="Times New Roman"/>
          <w:sz w:val="28"/>
          <w:szCs w:val="28"/>
        </w:rPr>
        <w:t xml:space="preserve"> натриевый баланс (</w:t>
      </w:r>
      <w:r>
        <w:rPr>
          <w:rFonts w:ascii="Times New Roman" w:hAnsi="Times New Roman" w:cs="Times New Roman"/>
          <w:i/>
          <w:sz w:val="28"/>
          <w:szCs w:val="28"/>
        </w:rPr>
        <w:t>GRK4</w:t>
      </w:r>
      <w:r>
        <w:rPr>
          <w:rFonts w:ascii="Times New Roman" w:hAnsi="Times New Roman" w:cs="Times New Roman"/>
          <w:sz w:val="28"/>
          <w:szCs w:val="28"/>
        </w:rPr>
        <w:t>)</w:t>
      </w:r>
      <w:r w:rsidR="00285254">
        <w:rPr>
          <w:rFonts w:ascii="Century" w:hAnsi="Century" w:cs="Times New Roman"/>
          <w:sz w:val="28"/>
          <w:szCs w:val="28"/>
        </w:rPr>
        <w:t>,</w:t>
      </w:r>
      <w:r>
        <w:rPr>
          <w:rFonts w:ascii="Times New Roman" w:hAnsi="Times New Roman" w:cs="Times New Roman"/>
          <w:sz w:val="28"/>
          <w:szCs w:val="28"/>
        </w:rPr>
        <w:t xml:space="preserve"> независимо друг от друга были связаны со значительным риском АГ в китайской популяции</w:t>
      </w:r>
      <w:r w:rsidR="00285254">
        <w:rPr>
          <w:rFonts w:ascii="Century" w:hAnsi="Century" w:cs="Times New Roman"/>
          <w:sz w:val="28"/>
          <w:szCs w:val="28"/>
        </w:rPr>
        <w:t>.</w:t>
      </w:r>
      <w:r>
        <w:rPr>
          <w:rFonts w:ascii="Times New Roman" w:hAnsi="Times New Roman" w:cs="Times New Roman"/>
          <w:sz w:val="28"/>
          <w:szCs w:val="28"/>
        </w:rPr>
        <w:t xml:space="preserve"> Кроме того</w:t>
      </w:r>
      <w:r w:rsidR="00285254">
        <w:rPr>
          <w:rFonts w:ascii="Century" w:hAnsi="Century" w:cs="Times New Roman"/>
          <w:sz w:val="28"/>
          <w:szCs w:val="28"/>
        </w:rPr>
        <w:t>,</w:t>
      </w:r>
      <w:r>
        <w:rPr>
          <w:rFonts w:ascii="Times New Roman" w:hAnsi="Times New Roman" w:cs="Times New Roman"/>
          <w:sz w:val="28"/>
          <w:szCs w:val="28"/>
        </w:rPr>
        <w:t xml:space="preserve"> они обнаружили</w:t>
      </w:r>
      <w:r w:rsidR="00285254">
        <w:rPr>
          <w:rFonts w:ascii="Century" w:hAnsi="Century" w:cs="Times New Roman"/>
          <w:sz w:val="28"/>
          <w:szCs w:val="28"/>
        </w:rPr>
        <w:t>,</w:t>
      </w:r>
      <w:r>
        <w:rPr>
          <w:rFonts w:ascii="Times New Roman" w:hAnsi="Times New Roman" w:cs="Times New Roman"/>
          <w:sz w:val="28"/>
          <w:szCs w:val="28"/>
        </w:rPr>
        <w:t xml:space="preserve"> что взаимодействие </w:t>
      </w:r>
      <w:r>
        <w:rPr>
          <w:rFonts w:ascii="Times New Roman" w:hAnsi="Times New Roman" w:cs="Times New Roman"/>
          <w:i/>
          <w:sz w:val="28"/>
          <w:szCs w:val="28"/>
        </w:rPr>
        <w:t>CYP11B2</w:t>
      </w:r>
      <w:r>
        <w:rPr>
          <w:rFonts w:ascii="Times New Roman" w:hAnsi="Times New Roman" w:cs="Times New Roman"/>
          <w:sz w:val="28"/>
          <w:szCs w:val="28"/>
        </w:rPr>
        <w:t xml:space="preserve"> - </w:t>
      </w:r>
      <w:r>
        <w:rPr>
          <w:rFonts w:ascii="Times New Roman" w:hAnsi="Times New Roman" w:cs="Times New Roman"/>
          <w:i/>
          <w:sz w:val="28"/>
          <w:szCs w:val="28"/>
        </w:rPr>
        <w:t>AGTR1</w:t>
      </w:r>
      <w:r>
        <w:rPr>
          <w:rFonts w:ascii="Times New Roman" w:hAnsi="Times New Roman" w:cs="Times New Roman"/>
          <w:sz w:val="28"/>
          <w:szCs w:val="28"/>
        </w:rPr>
        <w:t xml:space="preserve"> также </w:t>
      </w:r>
      <w:r w:rsidR="00815790">
        <w:rPr>
          <w:rFonts w:ascii="Times New Roman" w:hAnsi="Times New Roman" w:cs="Times New Roman"/>
          <w:sz w:val="28"/>
          <w:szCs w:val="28"/>
        </w:rPr>
        <w:t>вовлечено</w:t>
      </w:r>
      <w:r>
        <w:rPr>
          <w:rFonts w:ascii="Times New Roman" w:hAnsi="Times New Roman" w:cs="Times New Roman"/>
          <w:sz w:val="28"/>
          <w:szCs w:val="28"/>
        </w:rPr>
        <w:t xml:space="preserve"> в этиологи</w:t>
      </w:r>
      <w:r w:rsidR="00815790">
        <w:rPr>
          <w:rFonts w:ascii="Times New Roman" w:hAnsi="Times New Roman" w:cs="Times New Roman"/>
          <w:sz w:val="28"/>
          <w:szCs w:val="28"/>
        </w:rPr>
        <w:t>ю развития</w:t>
      </w:r>
      <w:r>
        <w:rPr>
          <w:rFonts w:ascii="Times New Roman" w:hAnsi="Times New Roman" w:cs="Times New Roman"/>
          <w:sz w:val="28"/>
          <w:szCs w:val="28"/>
        </w:rPr>
        <w:t xml:space="preserve"> АГ</w:t>
      </w:r>
      <w:r w:rsidR="00285254">
        <w:rPr>
          <w:rFonts w:ascii="Century" w:hAnsi="Century"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Факторы окружающей среды (</w:t>
      </w:r>
      <w:r w:rsidR="00BF16C6">
        <w:rPr>
          <w:rFonts w:ascii="Times New Roman" w:hAnsi="Times New Roman" w:cs="Times New Roman"/>
          <w:sz w:val="28"/>
          <w:szCs w:val="28"/>
        </w:rPr>
        <w:t>неправильное питание</w:t>
      </w:r>
      <w:r w:rsidR="00BF16C6">
        <w:rPr>
          <w:rFonts w:ascii="Times New Roman" w:hAnsi="Times New Roman" w:cs="Times New Roman"/>
          <w:sz w:val="28"/>
          <w:szCs w:val="28"/>
          <w:lang w:val="kk-KZ"/>
        </w:rPr>
        <w:t>,</w:t>
      </w:r>
      <w:r w:rsidR="009966EC">
        <w:rPr>
          <w:rFonts w:ascii="Times New Roman" w:hAnsi="Times New Roman" w:cs="Times New Roman"/>
          <w:sz w:val="28"/>
          <w:szCs w:val="28"/>
          <w:lang w:val="kk-KZ"/>
        </w:rPr>
        <w:t xml:space="preserve"> </w:t>
      </w:r>
      <w:r>
        <w:rPr>
          <w:rFonts w:ascii="Times New Roman" w:hAnsi="Times New Roman" w:cs="Times New Roman"/>
          <w:sz w:val="28"/>
          <w:szCs w:val="28"/>
        </w:rPr>
        <w:t>сидячий образ жизни, низкая физическая активность), в</w:t>
      </w:r>
      <w:r w:rsidR="003767CE">
        <w:rPr>
          <w:rFonts w:ascii="Times New Roman" w:hAnsi="Times New Roman" w:cs="Times New Roman"/>
          <w:sz w:val="28"/>
          <w:szCs w:val="28"/>
        </w:rPr>
        <w:t xml:space="preserve"> совокупности</w:t>
      </w:r>
      <w:r>
        <w:rPr>
          <w:rFonts w:ascii="Times New Roman" w:hAnsi="Times New Roman" w:cs="Times New Roman"/>
          <w:sz w:val="28"/>
          <w:szCs w:val="28"/>
        </w:rPr>
        <w:t xml:space="preserve"> с генетическим компонентом, играют важную роль в патогенезе СД 2 типа. Поэтому аспекты диеты, связанные с геномикой питания, могут играть заметную роль в развитии и профилактике ожирения и СД 2 типа. Steemburgo T. (2009) </w:t>
      </w:r>
      <w:r w:rsidR="008B0B37">
        <w:rPr>
          <w:rFonts w:ascii="Times New Roman" w:hAnsi="Times New Roman" w:cs="Times New Roman"/>
          <w:sz w:val="28"/>
          <w:szCs w:val="28"/>
        </w:rPr>
        <w:t>изучая несколько генов, отметил</w:t>
      </w:r>
      <w:r>
        <w:rPr>
          <w:rFonts w:ascii="Times New Roman" w:hAnsi="Times New Roman" w:cs="Times New Roman"/>
          <w:sz w:val="28"/>
          <w:szCs w:val="28"/>
        </w:rPr>
        <w:t xml:space="preserve">, что полиморфизм гена </w:t>
      </w:r>
      <w:r>
        <w:rPr>
          <w:rFonts w:ascii="Times New Roman" w:hAnsi="Times New Roman" w:cs="Times New Roman"/>
          <w:i/>
          <w:sz w:val="28"/>
          <w:szCs w:val="28"/>
        </w:rPr>
        <w:t>ADRB2</w:t>
      </w:r>
      <w:r>
        <w:rPr>
          <w:rFonts w:ascii="Times New Roman" w:hAnsi="Times New Roman" w:cs="Times New Roman"/>
          <w:sz w:val="28"/>
          <w:szCs w:val="28"/>
        </w:rPr>
        <w:t xml:space="preserve"> влияет на липолиз и связан с ожирением</w:t>
      </w:r>
      <w:r w:rsidR="004D046B">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{"citationItems":[{"id":"ITEM-1","itemData":{"DOI":"10.1590/S0004-27302009000500003","ISSN":"0004-2730","abstract":"A genômica nutricional avalia o efeito da variação genética na interação entre dieta e doenças crônicas. O objetivo deste manuscrito foi revisar os principais polimorfismos associados à obesidade, ao diabetes melito e também aos fatores da dieta. As principais interações entre polimorfismos genéticos e dieta foram: para obesidade: interleucina-6 (IL-6) com consumo energético; receptor ativado por proliferador de peroxissoma gama 2 (PPAR-gama2) e fat mass and obesity associated (FTO) com consumo de gorduras; receptor β-adrenérgico 2 (ADRB2) e receptor da melanocortina-4 (MCR4) com consumo de carboidratos; para perda de peso: proteínas desacopladoras (UCPs) com restrição calórica; para leptinemia: receptor da leptina (LEPR) com restrição calórica; para diabetes melito: PPAR-gama2 com consumo de gordura; para hipertrigliceridemia: proteína transportadora de ácidos graxos 2 (FABP2) com consumo de gordura. Os dados apresentados sugerem que a genômica nutricional é importante ao desenvolvimento da obesidade e do diabetes melito.","author":[{"dropping-particle":"","family":"Steemburgo","given":"Thais","non-dropping-particle":"","parse-names":false,"suffix":""},{"dropping-particle":"","family":"Azevedo","given":"Mirela J.de","non-dropping-particle":"","parse-names":false,"suffix":""},{"dropping-particle":"","family":"Martínez","given":"José Alfredo","non-dropping-particle":"","parse-names":false,"suffix":""}],"container-title":"Arquivos Brasileiros de Endocrinologia &amp; Metabologia","id":"ITEM-1","issue":"2","issued":{"date-parts":[["2009"]]},"page":"497-508","title":"Interação entre gene e nutriente e sua associação à obesidade e ao diabetes melito","type":"article-journal","volume":"53"},"uris":["http://www.mendeley.com/documents/?uuid=40dedaeb-bd83-44d8-abe1-f0d3d5eede07"]}],"mendeley":{"formattedCitation":"[74]","plainTextFormattedCitation":"[74]","previouslyFormattedCitation":"[74]"},"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[74]</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исследовании Pereira</w:t>
      </w:r>
      <w:r w:rsidR="006B29FC">
        <w:rPr>
          <w:rFonts w:ascii="Times New Roman" w:hAnsi="Times New Roman" w:cs="Times New Roman"/>
          <w:sz w:val="28"/>
          <w:szCs w:val="28"/>
        </w:rPr>
        <w:t xml:space="preserve"> Т.</w:t>
      </w:r>
      <w:r>
        <w:rPr>
          <w:rFonts w:ascii="Times New Roman" w:hAnsi="Times New Roman" w:cs="Times New Roman"/>
          <w:sz w:val="28"/>
          <w:szCs w:val="28"/>
        </w:rPr>
        <w:t xml:space="preserve"> (2011) не был обнаружен синергический эффект между вариантами, расположенными в гене рецептора лептина </w:t>
      </w:r>
      <w:r>
        <w:rPr>
          <w:rFonts w:ascii="Times New Roman" w:hAnsi="Times New Roman" w:cs="Times New Roman"/>
          <w:i/>
          <w:sz w:val="28"/>
          <w:szCs w:val="28"/>
        </w:rPr>
        <w:t>LEPR</w:t>
      </w:r>
      <w:r>
        <w:rPr>
          <w:rFonts w:ascii="Times New Roman" w:hAnsi="Times New Roman" w:cs="Times New Roman"/>
          <w:sz w:val="28"/>
          <w:szCs w:val="28"/>
        </w:rPr>
        <w:t xml:space="preserve"> и в гене </w:t>
      </w:r>
      <w:r>
        <w:rPr>
          <w:rFonts w:ascii="Times New Roman" w:hAnsi="Times New Roman" w:cs="Times New Roman"/>
          <w:i/>
          <w:sz w:val="28"/>
          <w:szCs w:val="28"/>
        </w:rPr>
        <w:t>ADRB2</w:t>
      </w:r>
      <w:r>
        <w:rPr>
          <w:rFonts w:ascii="Times New Roman" w:hAnsi="Times New Roman" w:cs="Times New Roman"/>
          <w:sz w:val="28"/>
          <w:szCs w:val="28"/>
        </w:rPr>
        <w:t xml:space="preserve"> </w:t>
      </w:r>
      <w:r w:rsidR="008B0B37">
        <w:rPr>
          <w:rFonts w:ascii="Times New Roman" w:hAnsi="Times New Roman" w:cs="Times New Roman"/>
          <w:sz w:val="28"/>
          <w:szCs w:val="28"/>
        </w:rPr>
        <w:t xml:space="preserve">с </w:t>
      </w:r>
      <w:r>
        <w:rPr>
          <w:rFonts w:ascii="Times New Roman" w:hAnsi="Times New Roman" w:cs="Times New Roman"/>
          <w:sz w:val="28"/>
          <w:szCs w:val="28"/>
        </w:rPr>
        <w:t>риском развития избыточного веса/ожирения</w:t>
      </w:r>
      <w:r w:rsidR="004D046B">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{"citationItems":[{"id":"ITEM-1","itemData":{"DOI":"10.1038/oby.2010.322","ISBN":"1930-739X (Electronic)\r1930-7381 (Linking)","ISSN":"19307381","PMID":"21233812","abstract":"The objective of the present study was to validate a recently reported synergistic effect between variants located in the leptin receptor (LEPR) gene and in the β-2 adrenergic receptor (ADRB2) gene on the risk of overweight/obesity. We studied a middle-aged/elderly sample of 4,193 nondiabetic Japanese subjects stratified according gender (1,911 women and 2,282 men). The LEPR Gln223Arg (rs1137101) variant as well as both ADRB2 Arg16Gly (rs1042713) and Gln27Glu (rs1042714) polymorphisms were analyzed. The primary outcome was the risk of overweight/obesity defined as BMI ≥25 kg/m(2), whereas secondary outcomes included the risk of a BMI ≥27 kg/m(2) and BMI as a continuous variable. None of the studied polymorphisms showed statistically significant individual effects, regardless of the group or phenotype studied. Haplotype analysis also did not disclose any associations of ADRB2 polymorphisms with BMI. However, dimensionality reduction-based models confirmed significant interactions among the investigated variants for BMI as a continuous variable as well as for the risk of obesity defined as BMI ≥27 kg/m(2). All disclosed interactions were found in men only. Our results provide external validation for a male specific ADRB2-LEPR interaction effect on the risk of overweight/obesity, but indicate that effect sizes associated with these interactions may be smaller in the population studied.","author":[{"dropping-particle":"V.","family":"Pereira","given":"Tiago","non-dropping-particle":"","parse-names":false,"suffix":""},{"dropping-particle":"","family":"Mingroni-Netto","given":"Regina C.","non-dropping-particle":"","parse-names":false,"suffix":""},{"dropping-particle":"","family":"Yamada","given":"Yoshiji","non-dropping-particle":"","parse-names":false,"suffix":""}],"container-title":"Obesity","id":"ITEM-1","issue":"7","issued":{"date-parts":[["2011"]]},"page":"1523-1527","publisher":"Nature Publishing Group","title":"ADRB2 and LEPR gene polymorphisms: Synergistic effects on the risk of obesity in Japanese","type":"article-journal","volume":"19"},"uris":["http://www.mendeley.com/documents/?uuid=15f9f8ca-d3ef-4308-908f-d65fdb31adb5"]}],"mendeley":{"formattedCitation":"[75]","plainTextFormattedCitation":"[75]","previouslyFormattedCitation":"[75]"},"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[75]</w:t>
      </w:r>
      <w:r w:rsidR="00EA0E64">
        <w:rPr>
          <w:rFonts w:ascii="Times New Roman" w:hAnsi="Times New Roman" w:cs="Times New Roman"/>
          <w:sz w:val="28"/>
          <w:szCs w:val="28"/>
        </w:rPr>
        <w:fldChar w:fldCharType="end"/>
      </w:r>
      <w:r>
        <w:rPr>
          <w:rFonts w:ascii="Times New Roman" w:hAnsi="Times New Roman" w:cs="Times New Roman"/>
          <w:sz w:val="28"/>
          <w:szCs w:val="28"/>
        </w:rPr>
        <w:t>. Тем не менее, автор утверждает, что модели, основанные на уменьшении размерности, подтвердили значительное взаимодействие исследуемых вариантов с ИМТ в качестве непрерывной переменной, а также с риском развития ожирения при ИМТ ≥27 кг/м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у мужчин. Все </w:t>
      </w:r>
      <w:r w:rsidR="00DB1055">
        <w:rPr>
          <w:rFonts w:ascii="Times New Roman" w:hAnsi="Times New Roman" w:cs="Times New Roman"/>
          <w:sz w:val="28"/>
          <w:szCs w:val="28"/>
        </w:rPr>
        <w:t>вышеуказанные</w:t>
      </w:r>
      <w:r w:rsidR="0051248D">
        <w:rPr>
          <w:rFonts w:ascii="Times New Roman" w:hAnsi="Times New Roman" w:cs="Times New Roman"/>
          <w:sz w:val="28"/>
          <w:szCs w:val="28"/>
        </w:rPr>
        <w:t xml:space="preserve"> изменения</w:t>
      </w:r>
      <w:r>
        <w:rPr>
          <w:rFonts w:ascii="Times New Roman" w:hAnsi="Times New Roman" w:cs="Times New Roman"/>
          <w:sz w:val="28"/>
          <w:szCs w:val="28"/>
        </w:rPr>
        <w:t xml:space="preserve"> были обнаружены только у мужчин. Результаты исследований Pereira</w:t>
      </w:r>
      <w:r w:rsidR="00096567">
        <w:rPr>
          <w:rFonts w:ascii="Times New Roman" w:hAnsi="Times New Roman" w:cs="Times New Roman"/>
          <w:sz w:val="28"/>
          <w:szCs w:val="28"/>
        </w:rPr>
        <w:t xml:space="preserve"> </w:t>
      </w:r>
      <w:r w:rsidR="0009597C">
        <w:rPr>
          <w:rFonts w:ascii="Times New Roman" w:hAnsi="Times New Roman" w:cs="Times New Roman"/>
          <w:sz w:val="28"/>
          <w:szCs w:val="28"/>
        </w:rPr>
        <w:t xml:space="preserve">Т. </w:t>
      </w:r>
      <w:r>
        <w:rPr>
          <w:rFonts w:ascii="Times New Roman" w:hAnsi="Times New Roman" w:cs="Times New Roman"/>
          <w:sz w:val="28"/>
          <w:szCs w:val="28"/>
        </w:rPr>
        <w:t xml:space="preserve">обеспечивают внешнюю валидацию взаимодействия </w:t>
      </w:r>
      <w:r>
        <w:rPr>
          <w:rFonts w:ascii="Times New Roman" w:hAnsi="Times New Roman" w:cs="Times New Roman"/>
          <w:i/>
          <w:sz w:val="28"/>
          <w:szCs w:val="28"/>
        </w:rPr>
        <w:t>ADRB2-LEPR</w:t>
      </w:r>
      <w:r>
        <w:rPr>
          <w:rFonts w:ascii="Times New Roman" w:hAnsi="Times New Roman" w:cs="Times New Roman"/>
          <w:sz w:val="28"/>
          <w:szCs w:val="28"/>
        </w:rPr>
        <w:t xml:space="preserve"> на риск избыточного веса/ожирения</w:t>
      </w:r>
      <w:r w:rsidR="0051248D" w:rsidRPr="0051248D">
        <w:rPr>
          <w:rFonts w:ascii="Times New Roman" w:hAnsi="Times New Roman" w:cs="Times New Roman"/>
          <w:sz w:val="28"/>
          <w:szCs w:val="28"/>
        </w:rPr>
        <w:t xml:space="preserve"> </w:t>
      </w:r>
      <w:r w:rsidR="0051248D">
        <w:rPr>
          <w:rFonts w:ascii="Times New Roman" w:hAnsi="Times New Roman" w:cs="Times New Roman"/>
          <w:sz w:val="28"/>
          <w:szCs w:val="28"/>
        </w:rPr>
        <w:t>для мужского пола</w:t>
      </w:r>
      <w:r>
        <w:rPr>
          <w:rFonts w:ascii="Times New Roman" w:hAnsi="Times New Roman" w:cs="Times New Roman"/>
          <w:sz w:val="28"/>
          <w:szCs w:val="28"/>
        </w:rPr>
        <w:t xml:space="preserve">, но указывают, что величина эффекта, связанного с этими взаимодействиями, может быть меньше в изучаемой популяции. Автор предлагает сопоставить полиморфизм генов </w:t>
      </w:r>
      <w:r>
        <w:rPr>
          <w:rFonts w:ascii="Times New Roman" w:hAnsi="Times New Roman" w:cs="Times New Roman"/>
          <w:i/>
          <w:sz w:val="28"/>
          <w:szCs w:val="28"/>
        </w:rPr>
        <w:t>ADRB2-LEPR</w:t>
      </w:r>
      <w:r>
        <w:rPr>
          <w:rFonts w:ascii="Times New Roman" w:hAnsi="Times New Roman" w:cs="Times New Roman"/>
          <w:sz w:val="28"/>
          <w:szCs w:val="28"/>
        </w:rPr>
        <w:t xml:space="preserve"> с физической активностью, образом жизни и питанием в разных популяциях</w:t>
      </w:r>
      <w:r w:rsidR="00096567">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8E155C">
        <w:rPr>
          <w:rFonts w:ascii="Times New Roman" w:hAnsi="Times New Roman" w:cs="Times New Roman"/>
          <w:sz w:val="28"/>
          <w:szCs w:val="28"/>
        </w:rPr>
        <w:instrText>ADDIN CSL_CITATION {"citationItems":[{"id":"ITEM-1","itemData":{"DOI":"10.1038/oby.2010.322","ISBN":"1930-739X (Electronic)\r1930-7381 (Linking)","ISSN":"19307381","PMID":"21233812","abstract":"The objective of the present study was to validate a recently reported synergistic effect between variants located in the leptin receptor (LEPR) gene and in the β-2 adrenergic receptor (ADRB2) gene on the risk of overweight/obesity. We studied a middle-aged/elderly sample of 4,193 nondiabetic Japanese subjects stratified according gender (1,911 women and 2,282 men). The LEPR Gln223Arg (rs1137101) variant as well as both ADRB2 Arg16Gly (rs1042713) and Gln27Glu (rs1042714) polymorphisms were analyzed. The primary outcome was the risk of overweight/obesity defined as BMI ≥25 kg/m(2), whereas secondary outcomes included the risk of a BMI ≥27 kg/m(2) and BMI as a continuous variable. None of the studied polymorphisms showed statistically significant individual effects, regardless of the group or phenotype studied. Haplotype analysis also did not disclose any associations of ADRB2 polymorphisms with BMI. However, dimensionality reduction-based models confirmed significant interactions among the investigated variants for BMI as a continuous variable as well as for the risk of obesity defined as BMI ≥27 kg/m(2). All disclosed interactions were found in men only. Our results provide external validation for a male specific ADRB2-LEPR interaction effect on the risk of overweight/obesity, but indicate that effect sizes associated with these interactions may be smaller in the population studied.","author":[{"dropping-particle":"V.","family":"Pereira","given":"Tiago","non-dropping-particle":"","parse-names":false,"suffix":""},{"dropping-particle":"","family":"Mingroni-Netto","given":"Regina C.","non-dropping-particle":"","parse-names":false,"suffix":""},{"dropping-particle":"","family":"Yamada","given":"Yoshiji","non-dropping-particle":"","parse-names":false,"suffix":""}],"container-title":"Obesity","id":"ITEM-1","issue":"7","issued":{"date-parts":[["2011"]]},"page":"1523-1527","publisher":"Nature Publishing Group","title":"ADRB2 and LEPR gene polymorphisms: Synergistic effects on the risk of obesity in Japanese","type":"article-journal","volume":"19"},"uris":["http://www.mendeley.com/documents/?uuid=15f9f8ca-d3ef-4308-908f-d65fdb31adb5"]}],"mendeley":{"formattedCitation":"[75]","manualFormatting":"[75, р. 1525]","plainTextFormattedCitation":"[75]","previouslyFormattedCitation":"[75]"},"properties":{"noteIndex":0},"schema":"https://github.com/citation-style-language/schema/raw/master/csl-citation.json"}</w:instrText>
      </w:r>
      <w:r w:rsidR="00EA0E64">
        <w:rPr>
          <w:rFonts w:ascii="Times New Roman" w:hAnsi="Times New Roman" w:cs="Times New Roman"/>
          <w:sz w:val="28"/>
          <w:szCs w:val="28"/>
        </w:rPr>
        <w:fldChar w:fldCharType="separate"/>
      </w:r>
      <w:r w:rsidR="008E155C" w:rsidRPr="008E155C">
        <w:rPr>
          <w:rFonts w:ascii="Times New Roman" w:hAnsi="Times New Roman" w:cs="Times New Roman"/>
          <w:noProof/>
          <w:sz w:val="28"/>
          <w:szCs w:val="28"/>
        </w:rPr>
        <w:t>[75</w:t>
      </w:r>
      <w:r w:rsidR="008E155C">
        <w:rPr>
          <w:rFonts w:ascii="Times New Roman" w:hAnsi="Times New Roman" w:cs="Times New Roman"/>
          <w:noProof/>
          <w:sz w:val="28"/>
          <w:szCs w:val="28"/>
        </w:rPr>
        <w:t>, р. 1525</w:t>
      </w:r>
      <w:r w:rsidR="008E155C" w:rsidRPr="008E155C">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09597C">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определении </w:t>
      </w:r>
      <w:r w:rsidR="00C410CA">
        <w:rPr>
          <w:rFonts w:ascii="Times New Roman" w:hAnsi="Times New Roman" w:cs="Times New Roman"/>
          <w:sz w:val="28"/>
          <w:szCs w:val="28"/>
        </w:rPr>
        <w:t>основных</w:t>
      </w:r>
      <w:r>
        <w:rPr>
          <w:rFonts w:ascii="Times New Roman" w:hAnsi="Times New Roman" w:cs="Times New Roman"/>
          <w:sz w:val="28"/>
          <w:szCs w:val="28"/>
        </w:rPr>
        <w:t xml:space="preserve"> генов-кандидатов, повышающих риск развития ожирения Lee S. (2011) </w:t>
      </w:r>
      <w:r w:rsidR="00A925A4">
        <w:rPr>
          <w:rFonts w:ascii="Times New Roman" w:hAnsi="Times New Roman" w:cs="Times New Roman"/>
          <w:sz w:val="28"/>
          <w:szCs w:val="28"/>
        </w:rPr>
        <w:t>выяви</w:t>
      </w:r>
      <w:r>
        <w:rPr>
          <w:rFonts w:ascii="Times New Roman" w:hAnsi="Times New Roman" w:cs="Times New Roman"/>
          <w:sz w:val="28"/>
          <w:szCs w:val="28"/>
        </w:rPr>
        <w:t xml:space="preserve">л, что полиморфизм гена </w:t>
      </w:r>
      <w:r>
        <w:rPr>
          <w:rFonts w:ascii="Times New Roman" w:hAnsi="Times New Roman" w:cs="Times New Roman"/>
          <w:i/>
          <w:sz w:val="28"/>
          <w:szCs w:val="28"/>
        </w:rPr>
        <w:t>ADRB2</w:t>
      </w:r>
      <w:r>
        <w:rPr>
          <w:rFonts w:ascii="Times New Roman" w:hAnsi="Times New Roman" w:cs="Times New Roman"/>
          <w:sz w:val="28"/>
          <w:szCs w:val="28"/>
        </w:rPr>
        <w:t xml:space="preserve"> в совокупности с курением и перееданием сильно связан с ожирением, и шанс развития ожирения был в 11,7 раз выше у курящих по сравнению с некурящими</w:t>
      </w:r>
      <w:r w:rsidR="00096567">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{"citationItems":[{"id":"ITEM-1","itemData":{"ISSN":"09647058","PMID":"22094842","abstract":"The aim of this study was to determine the strong candidate genes increasing susceptibility to obesity among previously reported obesity-related genes in Korean subjects and evaluate gene-environmental interactions in susceptibility to obesity. The study population comprised of 163 adolescents (95 boys and 68 girls) and their parents (97 men and 96 women).We used multivariable-adjusted logistic regression analysis, and classification and regression tree (CART) analysis incorporating both the genetic (ADRB2 R16G genotype) and environmental (overeating, smoking status, and parent's obese status) variables. The polymorphisms were genotyped with SNP-ITTM assays using the SNPstream 25KTM System (Orchid Biosciences, New Jersey, USA). Arg16 allele of ADRB2 R16G, smoking and overeating were linked to an increased risk of obesity in adults. CART analysis showed that smoking parents who overate and carried the Arg allele, ADRB2 R16G, had an odds ratio (OR) of 11.7 (95% confidence interval (CI), 2.13-64.04) for obesity compared to non-smoking parents who had none of these factors. Among children, the highest risk group for obesity was the overeater with obese parents (OR, 5.20; 95% CI, 1.86-14.53). The results of the study indicate that beta2-adrenoceptor polymorphism may contribute to the development of obesity through gene-environmental interactions. Further replication studies with larger sample size would be needed to confirm our study results.","author":[{"dropping-particle":"","family":"Lee","given":"Sangyeoup","non-dropping-particle":"","parse-names":false,"suffix":""},{"dropping-particle":"","family":"Kim","given":"Cheol Min","non-dropping-particle":"","parse-names":false,"suffix":""},{"dropping-particle":"","family":"Kim","given":"Hyun Jun","non-dropping-particle":"","parse-names":false,"suffix":""},{"dropping-particle":"","family":"Park","given":"Hye Soon","non-dropping-particle":"","parse-names":false,"suffix":""}],"container-title":"Asia Pacific Journal of Clinical Nutrition","id":"ITEM-1","issue":"4","issued":{"date-parts":[["2011"]]},"page":"563-571","title":"Interactive effects of main genotype, caloric intakes, and smoking status on risk of obesity","type":"article-journal","volume":"20"},"uris":["http://www.mendeley.com/documents/?uuid=f2e6482e-7064-404c-8661-562c6be4fa53"]}],"mendeley":{"formattedCitation":"[76]","plainTextFormattedCitation":"[76]","previouslyFormattedCitation":"[76]"},"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[76]</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Gok I. и соавторы (2014) определили распределение полиморфизмов Arg16Gly и Gln27Glu гена </w:t>
      </w:r>
      <w:r>
        <w:rPr>
          <w:rFonts w:ascii="Times New Roman" w:hAnsi="Times New Roman" w:cs="Times New Roman"/>
          <w:i/>
          <w:sz w:val="28"/>
          <w:szCs w:val="28"/>
        </w:rPr>
        <w:t>ADRB2</w:t>
      </w:r>
      <w:r>
        <w:rPr>
          <w:rFonts w:ascii="Times New Roman" w:hAnsi="Times New Roman" w:cs="Times New Roman"/>
          <w:sz w:val="28"/>
          <w:szCs w:val="28"/>
        </w:rPr>
        <w:t xml:space="preserve"> у пациентов с синдромом обструктивного апноэ во </w:t>
      </w:r>
      <w:r w:rsidR="00DB1055">
        <w:rPr>
          <w:rFonts w:ascii="Times New Roman" w:hAnsi="Times New Roman" w:cs="Times New Roman"/>
          <w:sz w:val="28"/>
          <w:szCs w:val="28"/>
          <w:lang w:val="kk-KZ"/>
        </w:rPr>
        <w:t xml:space="preserve">время </w:t>
      </w:r>
      <w:r>
        <w:rPr>
          <w:rFonts w:ascii="Times New Roman" w:hAnsi="Times New Roman" w:cs="Times New Roman"/>
          <w:sz w:val="28"/>
          <w:szCs w:val="28"/>
        </w:rPr>
        <w:t xml:space="preserve">сне и не обнаружили никакой корреляции между полиморфизмом и синдромом обструктивного апноэ во </w:t>
      </w:r>
      <w:r w:rsidR="00DB1055">
        <w:rPr>
          <w:rFonts w:ascii="Times New Roman" w:hAnsi="Times New Roman" w:cs="Times New Roman"/>
          <w:sz w:val="28"/>
          <w:szCs w:val="28"/>
          <w:lang w:val="kk-KZ"/>
        </w:rPr>
        <w:t xml:space="preserve">время </w:t>
      </w:r>
      <w:r>
        <w:rPr>
          <w:rFonts w:ascii="Times New Roman" w:hAnsi="Times New Roman" w:cs="Times New Roman"/>
          <w:sz w:val="28"/>
          <w:szCs w:val="28"/>
        </w:rPr>
        <w:t xml:space="preserve">сне. Однако распределение полиморфизмов Arg16Gly по сравнению Gln27Glu </w:t>
      </w:r>
      <w:r w:rsidR="001C543A">
        <w:rPr>
          <w:rFonts w:ascii="Times New Roman" w:hAnsi="Times New Roman" w:cs="Times New Roman"/>
          <w:sz w:val="28"/>
          <w:szCs w:val="28"/>
        </w:rPr>
        <w:t xml:space="preserve">в исследуемой выборке </w:t>
      </w:r>
      <w:r>
        <w:rPr>
          <w:rFonts w:ascii="Times New Roman" w:hAnsi="Times New Roman" w:cs="Times New Roman"/>
          <w:sz w:val="28"/>
          <w:szCs w:val="28"/>
        </w:rPr>
        <w:t xml:space="preserve">больше способствовало ожирению у пациентов с ИМТ более 30 кг/м2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{"citationItems":[{"id":"ITEM-1","itemData":{"DOI":"10.4238/2014.October.20.27","ISBN":"1676-5680","ISSN":"1676-5680 (Electronic)","PMID":"25366745","abstract":"We determined the distribution of the Arg16Gly and Gln27Glu polymorphisms of the  beta-2 adrenergic receptor gene (ADRB2) in patients with obstructive sleep apnea syndrome as well as a control group in Northeastern Turkey. A total of 52 patients diagnosed with obstructive sleep apnea in a sleep laboratory and 78 control subjects were examined. Peripheral blood samples were taken from patients diagnosed with obstructive sleep apnea by polysomnography. DNA was extracted from blood samples and amplified using polymerase chain reaction. Amplification products were digested with restriction enzymes to investigate gene polymorphisms. Restriction products were extracted from agarose gel electrophoresis and polymorphisms were analyzed using gel images. The Arg16Gly polymorphism was observed in 18 of 52 patients and in 23 of 78 controls. The Gln27Glu polymorphism was observed in 21 of 52 patients and in 28 of 78 controls. In conclusion, there was no correlation among polymorphic frequencies between patient and control groups. Based on the results, these polymorphisms do not contribute to the clinical diagnosis of this syndrome. However, the distribution of Arg16Gly vs Gln27Glu polymorphisms may contribute to obesity in patients with a body mass index greater than 30 (P &lt; 0.05). Different results may be obtained if the parameters of obstructive sleep apnea disease are changed.","author":[{"dropping-particle":"","family":"Gok","given":"I","non-dropping-particle":"","parse-names":false,"suffix":""},{"dropping-particle":"","family":"Celebi","given":"I","non-dropping-particle":"","parse-names":false,"suffix":""},{"dropping-particle":"","family":"Huseyinoglu","given":"N","non-dropping-particle":"","parse-names":false,"suffix":""},{"dropping-particle":"","family":"Ozic","given":"C","non-dropping-particle":"","parse-names":false,"suffix":""}],"container-title":"Genetics and molecular research : GMR","id":"ITEM-1","issue":"4","issued":{"date-parts":[["2014"]]},"page":"8511-8518","title":"Roles of beta2-adrenergic receptor gene polymorphisms in a Turkish population with obstructive sleep apnea syndrome or obesity.","type":"article-journal","volume":"13"},"uris":["http://www.mendeley.com/documents/?uuid=0cbbab67-4df1-4b1e-9c79-df507b60dde6"]}],"mendeley":{"formattedCitation":"[77]","plainTextFormattedCitation":"[77]","previouslyFormattedCitation":"[77]"},"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[77]</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Исследование Apalasamy Y. (2015) обнаружило связь между полиморфизмом Gln27Glu гена </w:t>
      </w:r>
      <w:r>
        <w:rPr>
          <w:rFonts w:ascii="Times New Roman" w:hAnsi="Times New Roman" w:cs="Times New Roman"/>
          <w:i/>
          <w:sz w:val="28"/>
          <w:szCs w:val="28"/>
        </w:rPr>
        <w:t>ADRB2</w:t>
      </w:r>
      <w:r>
        <w:rPr>
          <w:rFonts w:ascii="Times New Roman" w:hAnsi="Times New Roman" w:cs="Times New Roman"/>
          <w:sz w:val="28"/>
          <w:szCs w:val="28"/>
        </w:rPr>
        <w:t xml:space="preserve"> и развитием ожирения в малазийской популяции</w:t>
      </w:r>
      <w:r w:rsidR="00096567">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{"citationItems":[{"id":"ITEM-1","itemData":{"DOI":"10.1177/1010539511430250","ISBN":"1010-5395","ISSN":"10105395","PMID":"22199155","abstract":"Recent findings have shown that the rs1042714 (Gln27Glu) single-nucleotide polymorphism (SNP) on the Î²2-adrenoceptor gene may predispose to obesity. The findings from other studies carried on different populations, however, have been inconsistent. The authors investigated the association between the rs1042714 SNP with obesity-related parameters. DNA of 672 Malaysian Malays was analyzed using real-time polymerase chain reaction. Univariate and multivariate linear regression analyses revealed significant associations between rs1042714 and diastolic blood pressure in the pooled Malaysian Malay subjects under additive and recessive models. After gender stratification, however, a significant association was found between the rs1042714 and triglyceride and the rs1042714 and log-transformed high-density lipoprotein cholesterol levels in Malaysian Malay men. No significant association was found between the SNP and log-transformed body mass index. This polymorphism may have an important role in the development of obesity-related traits in Malaysian Malays. Gender is an effect modifier for the effect of the rs1042714 polymorphism on obesity-related traits in Malaysian Malays.","author":[{"dropping-particle":"","family":"Apalasamy","given":"Yamunah Devi","non-dropping-particle":"","parse-names":false,"suffix":""},{"dropping-particle":"","family":"Ming","given":"Moy Foong","non-dropping-particle":"","parse-names":false,"suffix":""},{"dropping-particle":"","family":"Rampal","given":"Sanjay","non-dropping-particle":"","parse-names":false,"suffix":""},{"dropping-particle":"","family":"Bulgiba","given":"Awang","non-dropping-particle":"","parse-names":false,"suffix":""},{"dropping-particle":"","family":"Mohamed","given":"Zahurin","non-dropping-particle":"","parse-names":false,"suffix":""}],"container-title":"Asia-Pacific Journal of Public Health","id":"ITEM-1","issue":"2","issued":{"date-parts":[["2015"]]},"page":"NP154-NP165","title":"Gender-dependent association of a β2-adrenergic gene variant with obesity parameters in Malaysian Malays","type":"article-journal","volume":"27"},"uris":["http://www.mendeley.com/documents/?uuid=31c6ef43-7029-4c68-9be1-2a9d620f0a40"]}],"mendeley":{"formattedCitation":"[78]","plainTextFormattedCitation":"[78]","previouslyFormattedCitation":"[78]"},"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[78]</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Этот полиморфизм </w:t>
      </w:r>
      <w:r w:rsidR="001C543A">
        <w:rPr>
          <w:rFonts w:ascii="Times New Roman" w:hAnsi="Times New Roman" w:cs="Times New Roman"/>
          <w:sz w:val="28"/>
          <w:szCs w:val="28"/>
        </w:rPr>
        <w:t>был ассоциирован с</w:t>
      </w:r>
      <w:r>
        <w:rPr>
          <w:rFonts w:ascii="Times New Roman" w:hAnsi="Times New Roman" w:cs="Times New Roman"/>
          <w:sz w:val="28"/>
          <w:szCs w:val="28"/>
        </w:rPr>
        <w:t xml:space="preserve"> уровн</w:t>
      </w:r>
      <w:r w:rsidR="001C543A">
        <w:rPr>
          <w:rFonts w:ascii="Times New Roman" w:hAnsi="Times New Roman" w:cs="Times New Roman"/>
          <w:sz w:val="28"/>
          <w:szCs w:val="28"/>
        </w:rPr>
        <w:t>ем</w:t>
      </w:r>
      <w:r>
        <w:rPr>
          <w:rFonts w:ascii="Times New Roman" w:hAnsi="Times New Roman" w:cs="Times New Roman"/>
          <w:sz w:val="28"/>
          <w:szCs w:val="28"/>
        </w:rPr>
        <w:t xml:space="preserve"> ЛПВП и ТГ у мужского пола. El-Menyar</w:t>
      </w:r>
      <w:r w:rsidR="006B29FC">
        <w:rPr>
          <w:rFonts w:ascii="Times New Roman" w:hAnsi="Times New Roman" w:cs="Times New Roman"/>
          <w:sz w:val="28"/>
          <w:szCs w:val="28"/>
        </w:rPr>
        <w:t xml:space="preserve"> А.</w:t>
      </w:r>
      <w:r>
        <w:rPr>
          <w:rFonts w:ascii="Times New Roman" w:hAnsi="Times New Roman" w:cs="Times New Roman"/>
          <w:sz w:val="28"/>
          <w:szCs w:val="28"/>
        </w:rPr>
        <w:t xml:space="preserve"> (2016) </w:t>
      </w:r>
      <w:r w:rsidR="000F3E17">
        <w:rPr>
          <w:rFonts w:ascii="Times New Roman" w:hAnsi="Times New Roman" w:cs="Times New Roman"/>
          <w:sz w:val="28"/>
          <w:szCs w:val="28"/>
        </w:rPr>
        <w:t>утверждает</w:t>
      </w:r>
      <w:r>
        <w:rPr>
          <w:rFonts w:ascii="Times New Roman" w:hAnsi="Times New Roman" w:cs="Times New Roman"/>
          <w:sz w:val="28"/>
          <w:szCs w:val="28"/>
        </w:rPr>
        <w:t xml:space="preserve">, что </w:t>
      </w:r>
      <w:r w:rsidR="007B16AF">
        <w:rPr>
          <w:rFonts w:ascii="Times New Roman" w:hAnsi="Times New Roman" w:cs="Times New Roman"/>
          <w:sz w:val="28"/>
          <w:szCs w:val="28"/>
        </w:rPr>
        <w:t>пациенты, имеющие</w:t>
      </w:r>
      <w:r w:rsidR="00096567">
        <w:rPr>
          <w:rFonts w:ascii="Times New Roman" w:hAnsi="Times New Roman" w:cs="Times New Roman"/>
          <w:sz w:val="28"/>
          <w:szCs w:val="28"/>
        </w:rPr>
        <w:t xml:space="preserve"> </w:t>
      </w:r>
      <w:r w:rsidR="007B16AF">
        <w:rPr>
          <w:rFonts w:ascii="Times New Roman" w:hAnsi="Times New Roman" w:cs="Times New Roman"/>
          <w:sz w:val="28"/>
          <w:szCs w:val="28"/>
          <w:lang w:val="kk-KZ"/>
        </w:rPr>
        <w:t>гомозиготный</w:t>
      </w:r>
      <w:r w:rsidR="008150A0">
        <w:rPr>
          <w:rFonts w:ascii="Times New Roman" w:hAnsi="Times New Roman" w:cs="Times New Roman"/>
          <w:sz w:val="28"/>
          <w:szCs w:val="28"/>
        </w:rPr>
        <w:t xml:space="preserve"> генотип</w:t>
      </w:r>
      <w:r>
        <w:rPr>
          <w:rFonts w:ascii="Times New Roman" w:hAnsi="Times New Roman" w:cs="Times New Roman"/>
          <w:sz w:val="28"/>
          <w:szCs w:val="28"/>
        </w:rPr>
        <w:t xml:space="preserve"> G/G гена </w:t>
      </w:r>
      <w:r w:rsidR="00096567" w:rsidRPr="008150A0">
        <w:rPr>
          <w:rFonts w:ascii="Times New Roman" w:hAnsi="Times New Roman" w:cs="Times New Roman"/>
          <w:i/>
          <w:sz w:val="28"/>
          <w:szCs w:val="28"/>
        </w:rPr>
        <w:t>ADRB2,</w:t>
      </w:r>
      <w:r w:rsidR="000F3E17">
        <w:rPr>
          <w:rFonts w:ascii="Times New Roman" w:hAnsi="Times New Roman" w:cs="Times New Roman"/>
          <w:sz w:val="28"/>
          <w:szCs w:val="28"/>
        </w:rPr>
        <w:t xml:space="preserve"> чаще ст</w:t>
      </w:r>
      <w:r w:rsidR="007B6F15">
        <w:rPr>
          <w:rFonts w:ascii="Times New Roman" w:hAnsi="Times New Roman" w:cs="Times New Roman"/>
          <w:sz w:val="28"/>
          <w:szCs w:val="28"/>
        </w:rPr>
        <w:t>радали</w:t>
      </w:r>
      <w:r w:rsidR="00096567">
        <w:rPr>
          <w:rFonts w:ascii="Times New Roman" w:hAnsi="Times New Roman" w:cs="Times New Roman"/>
          <w:sz w:val="28"/>
          <w:szCs w:val="28"/>
        </w:rPr>
        <w:t xml:space="preserve"> </w:t>
      </w:r>
      <w:r>
        <w:rPr>
          <w:rFonts w:ascii="Times New Roman" w:hAnsi="Times New Roman" w:cs="Times New Roman"/>
          <w:sz w:val="28"/>
          <w:szCs w:val="28"/>
        </w:rPr>
        <w:t xml:space="preserve">ОКС с тяжелым </w:t>
      </w:r>
      <w:r>
        <w:rPr>
          <w:rFonts w:ascii="Times New Roman" w:hAnsi="Times New Roman" w:cs="Times New Roman"/>
          <w:sz w:val="28"/>
          <w:szCs w:val="28"/>
        </w:rPr>
        <w:lastRenderedPageBreak/>
        <w:t xml:space="preserve">стенозом коронарной артерии. Также у пациентов с СД 2 типа с генотипом G/G гена </w:t>
      </w:r>
      <w:r>
        <w:rPr>
          <w:rFonts w:ascii="Times New Roman" w:hAnsi="Times New Roman" w:cs="Times New Roman"/>
          <w:i/>
          <w:sz w:val="28"/>
          <w:szCs w:val="28"/>
        </w:rPr>
        <w:t>ADRB2</w:t>
      </w:r>
      <w:r>
        <w:rPr>
          <w:rFonts w:ascii="Times New Roman" w:hAnsi="Times New Roman" w:cs="Times New Roman"/>
          <w:sz w:val="28"/>
          <w:szCs w:val="28"/>
        </w:rPr>
        <w:t xml:space="preserve"> наблюдался повышенный риск значительного коронарного стеноза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{"citationItems":[{"id":"ITEM-1","itemData":{"DOI":"10.1177/0003319715618039","ISSN":"0003-3197","abstract":"© The Author(s) 2015. We evaluated the association between beta-adrenergic receptor genes (ADRB1 and ADRB2) polymorphism, cardiovascular risk, and acute coronary syndrome (ACS) in individuals from an Arab ethnicity. A total of 388 Qatari participants were assessed and genotyped for ADRB1 (rs1801252 &amp; rs1801253) and ADRB2 (rs1042718 &amp; rs1042713) polymorphisms using allele-specific PCR. Minor allele frequencies (MAF) in each single-nucleotide polymorphisms (SNPs) did not show statistically significant difference between cases and controls. A higher proportion of patients with ACS had homozygous minor alleles (GG) for rs1801253 (28.8% vs 17.1%; P =.019) compared with controls. Among cases with ACS, there was an association of minor allele frequency (G) for rs1801253 with severe coronary artery stenosis (0.485 vs 0.428; P =.04) than that of insignificant stenosis ( &lt; 50% stenosis). There was a 3-fold increased risk of significant coronary stenosis in patients with diabetes mellitus (DM) and carrier of rs1801253 genotypes with dominant model (P =.01) and recessive model (P =.05). There is a possible synergic association between DM, carrier of ADRB1 (Arg389Gly) variants, and significant coronary artery stenosis among Arabs. Further prospective studies with larger sample sizes are warranted to support our findings.","author":[{"dropping-particle":"","family":"El-Menyar","given":"Ayman","non-dropping-particle":"","parse-names":false,"suffix":""},{"dropping-particle":"","family":"Rizk","given":"Nasser M.","non-dropping-particle":"","parse-names":false,"suffix":""},{"dropping-particle":"","family":"Asim","given":"Mohammad","non-dropping-particle":"","parse-names":false,"suffix":""},{"dropping-particle":"","family":"Al-Thani","given":"Hassan","non-dropping-particle":"","parse-names":false,"suffix":""},{"dropping-particle":"","family":"Elgendy","given":"Akram","non-dropping-particle":"","parse-names":false,"suffix":""},{"dropping-particle":"","family":"Al-Suwaidi","given":"Jassim","non-dropping-particle":"","parse-names":false,"suffix":""}],"container-title":"Angiology","id":"ITEM-1","issue":"8","issued":{"date-parts":[["2016","9","20"]]},"page":"762-771","title":"Association of β-Adrenergic Receptor Gene Polymorphisms With Acute Coronary Syndrome and Cardiovascular Risk Factors in an Arab Population","type":"article-journal","volume":"67"},"uris":["http://www.mendeley.com/documents/?uuid=625465f7-e10d-4a1a-9db5-f5a906bdacff"]}],"mendeley":{"formattedCitation":"[79]","plainTextFormattedCitation":"[79]","previouslyFormattedCitation":"[79]"},"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[79]</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Rodrigues J. и соавторы (2020) в своем исследовании </w:t>
      </w:r>
      <w:r w:rsidR="007F4D29">
        <w:rPr>
          <w:rFonts w:ascii="Times New Roman" w:hAnsi="Times New Roman" w:cs="Times New Roman"/>
          <w:sz w:val="28"/>
          <w:szCs w:val="28"/>
        </w:rPr>
        <w:t>выяви</w:t>
      </w:r>
      <w:r>
        <w:rPr>
          <w:rFonts w:ascii="Times New Roman" w:hAnsi="Times New Roman" w:cs="Times New Roman"/>
          <w:sz w:val="28"/>
          <w:szCs w:val="28"/>
        </w:rPr>
        <w:t xml:space="preserve">ли, что полиморфизмы Arg16Gly (rs1042713) и Gln27Glu (rs1042714) гена </w:t>
      </w:r>
      <w:r>
        <w:rPr>
          <w:rFonts w:ascii="Times New Roman" w:hAnsi="Times New Roman" w:cs="Times New Roman"/>
          <w:i/>
          <w:sz w:val="28"/>
          <w:szCs w:val="28"/>
        </w:rPr>
        <w:t>ADRB2</w:t>
      </w:r>
      <w:r>
        <w:rPr>
          <w:rFonts w:ascii="Times New Roman" w:hAnsi="Times New Roman" w:cs="Times New Roman"/>
          <w:sz w:val="28"/>
          <w:szCs w:val="28"/>
        </w:rPr>
        <w:t xml:space="preserve"> и аэробные тренировки являются важными в улучшении вегетативной функции и других показателей состояния здоровья у лиц с избыточным весом и ожирением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{"citationItems":[{"id":"ITEM-1","itemData":{"DOI":"10.1007/s00421-020-04301-z","ISBN":"0123456789","ISSN":"1439-6319","PMID":"31915906","abstract":"Purpose: To verify the influence of different volumes and intensities of aerobic exercise on cardiac autonomic function (CAF) through heart rate variability (HRV) analysis as well the influence of β2 adrenergic receptor (ADRB2) variants in overweight/obese individuals. Methods: 70 physically inactive adults were randomly allocated into the following 16-week training: 1-high-intensity interval training (HIIT) (n = 25, 1 × 4 min bout at 85–95%HR peak, 3×/week), 4-HIIT (n = 26, 4 × 4 min bouts at 85–95%HR peak, interspersed with 3 min of recovery at 50–70%HR peak, 3×/week), and moderate continuous training (MCT) (n = 19, 30 min at 60–70%HR peak, 5×/week). Before and after the exercise training, anthropometric, BP, cardiorespiratory fitness, and HRV measures were evaluated. R–R intervals recorded for 10 min in a supine position at pre- and post-intervention were used to analyze HRV in the plot-Poincare indexes (SD1, SD2), and frequency-domain (LF, HF, LF/HF). Full blood samples were used for genotyping. Results: 4-HIIT and MCT showed positive outcomes for almost all variables while 1-HIIT had a positive influence only on SBP and SD2 index. No associations were observed between isolated ADRB2 variants and changes in HRV. In the analysis of the interaction genotypes, all groups responded positively for the SD1 index of HRV and only the H1 (GG and CC) and H2 (GG and CG + GG) groups presented increases in the RMSSD index. Furthermore, there was an increase in the LF index only in the H3 (CC and AA + AG) and H4 (AA + AG and CG + GG) groups. Conclusions: ADRB2 variants and aerobic exercise training are important interacting variables to improve autonomic function and other health variables outcomes in overweight or obese individuals.","author":[{"dropping-particle":"","family":"Rodrigues","given":"Jhennyfer Aline Lima","non-dropping-particle":"","parse-names":false,"suffix":""},{"dropping-particle":"","family":"Ferrari","given":"Gustavo Duarte","non-dropping-particle":"","parse-names":false,"suffix":""},{"dropping-particle":"","family":"Trapé","given":"Átila Alexandre","non-dropping-particle":"","parse-names":false,"suffix":""},{"dropping-particle":"","family":"Moraes","given":"Vitor Nolasco","non-dropping-particle":"de","parse-names":false,"suffix":""},{"dropping-particle":"","family":"Gonçalves","given":"Thiago Correa Porto","non-dropping-particle":"","parse-names":false,"suffix":""},{"dropping-particle":"","family":"Tavares","given":"Simone Sakagute","non-dropping-particle":"","parse-names":false,"suffix":""},{"dropping-particle":"","family":"Tjønna","given":"Arnt Erik","non-dropping-particle":"","parse-names":false,"suffix":""},{"dropping-particle":"","family":"Souza","given":"Hugo Celso Dutra","non-dropping-particle":"de","parse-names":false,"suffix":""},{"dropping-particle":"","family":"Júnior","given":"Carlos Roberto Bueno","non-dropping-particle":"","parse-names":false,"suffix":""}],"container-title":"European Journal of Applied Physiology","id":"ITEM-1","issue":"3","issued":{"date-parts":[["2020","3","8"]]},"page":"613-624","publisher":"Springer Berlin Heidelberg","title":"β2 adrenergic interaction and cardiac autonomic function: effects of aerobic training in overweight/obese individuals","type":"article-journal","volume":"120"},"uris":["http://www.mendeley.com/documents/?uuid=9818ad9e-bb09-46b5-91ec-6c2ddc1a6593"]}],"mendeley":{"formattedCitation":"[80]","plainTextFormattedCitation":"[80]","previouslyFormattedCitation":"[80]"},"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[80]</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А в другом исследовании </w:t>
      </w:r>
      <w:r w:rsidR="007F4D29">
        <w:rPr>
          <w:rFonts w:ascii="Times New Roman" w:hAnsi="Times New Roman" w:cs="Times New Roman"/>
          <w:sz w:val="28"/>
          <w:szCs w:val="28"/>
        </w:rPr>
        <w:t xml:space="preserve">Du S. и </w:t>
      </w:r>
      <w:r w:rsidR="001C543A">
        <w:rPr>
          <w:rFonts w:ascii="Times New Roman" w:hAnsi="Times New Roman" w:cs="Times New Roman"/>
          <w:sz w:val="28"/>
          <w:szCs w:val="28"/>
        </w:rPr>
        <w:t>другие</w:t>
      </w:r>
      <w:r w:rsidR="007F4D29">
        <w:rPr>
          <w:rFonts w:ascii="Times New Roman" w:hAnsi="Times New Roman" w:cs="Times New Roman"/>
          <w:sz w:val="28"/>
          <w:szCs w:val="28"/>
        </w:rPr>
        <w:t xml:space="preserve"> </w:t>
      </w:r>
      <w:r>
        <w:rPr>
          <w:rFonts w:ascii="Times New Roman" w:hAnsi="Times New Roman" w:cs="Times New Roman"/>
          <w:sz w:val="28"/>
          <w:szCs w:val="28"/>
        </w:rPr>
        <w:t xml:space="preserve">полиморфизмы Arg16Gly (rs1042713) и Gln27Glu (rs1042714) гена </w:t>
      </w:r>
      <w:r>
        <w:rPr>
          <w:rFonts w:ascii="Times New Roman" w:hAnsi="Times New Roman" w:cs="Times New Roman"/>
          <w:i/>
          <w:sz w:val="28"/>
          <w:szCs w:val="28"/>
        </w:rPr>
        <w:t>ADRB2</w:t>
      </w:r>
      <w:r>
        <w:rPr>
          <w:rFonts w:ascii="Times New Roman" w:hAnsi="Times New Roman" w:cs="Times New Roman"/>
          <w:sz w:val="28"/>
          <w:szCs w:val="28"/>
        </w:rPr>
        <w:t xml:space="preserve"> (2014) не показали клинически значимые различия в реакции липолиза на адреналин или субмаксимальные нагрузки</w:t>
      </w:r>
      <w:r w:rsidR="00096567">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{"citationItems":[{"id":"ITEM-1","itemData":{"DOI":"10.14814/phy2.12017","ISSN":"2051817X","abstract":"The β2-adrenergic system is an important regulator of human adipose tissue lipolysis. Polymorphisms that result in amino acid substitutions in the β2-adrenergic receptor have been reported to alter lipolysis. We hypothesized that variations in the amino acid at position 16 of the β2-adrenergic receptor would result in different lipolytic responses to intravenous epinephrine and exercise. 17 volunteers homozygous for glycine at position 16 (Gly/Gly, nine female) and 16 volunteers homozygous for arginine at position 16 (Arg/Arg, eight female) of the β2-adrenergic receptor participated in this study. On one study day participants received infusions of epinephrine at submaximal (5 ng kg-1 min-1) and maximal (40 ng kg-1 min-1) lipolytic doses. The other study day volunteers bicycled for 90 min at 50-60% of maximum oxygen consumption (VO2max). [9,10-3H] Palmitate was infused both days to measure free fatty acid-palmitate kinetics. Oxygen consumption was measured using indirect calorimetry. Palmitate release rates in response to epinephrine and exercise were not different in the Gly/Gly and Arg/Arg participants. The only statistically significant difference we observed was a lesser ΔVO2 in Arg/Arg volunteers in response to the submaximal epinephrine infusion. The polymorphisms resulting in Arg/Arg and Gly/Gly at position 16 of the β2-adrenergic receptor do not result in clinically meaningful differences in lipolysis responses to epinephrine or submaximal exercise.","author":[{"dropping-particle":"","family":"Du","given":"Shichun","non-dropping-particle":"","parse-names":false,"suffix":""},{"dropping-particle":"","family":"Joyner","given":"Michael J.","non-dropping-particle":"","parse-names":false,"suffix":""},{"dropping-particle":"","family":"Curry","given":"Timothy B.","non-dropping-particle":"","parse-names":false,"suffix":""},{"dropping-particle":"","family":"Eisenach","given":"John H.","non-dropping-particle":"","parse-names":false,"suffix":""},{"dropping-particle":"","family":"Johnson","given":"Christopher P.","non-dropping-particle":"","parse-names":false,"suffix":""},{"dropping-particle":"","family":"Schrage","given":"William G.","non-dropping-particle":"","parse-names":false,"suffix":""},{"dropping-particle":"","family":"Jensen","given":"Michael D.","non-dropping-particle":"","parse-names":false,"suffix":""}],"container-title":"Physiological Reports","id":"ITEM-1","issue":"5","issued":{"date-parts":[["2014","5"]]},"page":"e12017","title":"Effect of β 2 -adrenergic receptor polymorphisms on epinephrine and exercise-stimulated lipolysis in humans","type":"article-journal","volume":"2"},"uris":["http://www.mendeley.com/documents/?uuid=eb4dc2fc-2f76-4b55-8093-5b1a8e06876c"]}],"mendeley":{"formattedCitation":"[81]","plainTextFormattedCitation":"[81]","previouslyFormattedCitation":"[81]"},"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[81]</w:t>
      </w:r>
      <w:r w:rsidR="00EA0E64">
        <w:rPr>
          <w:rFonts w:ascii="Times New Roman" w:hAnsi="Times New Roman" w:cs="Times New Roman"/>
          <w:sz w:val="28"/>
          <w:szCs w:val="28"/>
        </w:rPr>
        <w:fldChar w:fldCharType="end"/>
      </w:r>
      <w:r w:rsidR="00285ED6">
        <w:rPr>
          <w:rFonts w:ascii="Times New Roman" w:hAnsi="Times New Roman" w:cs="Times New Roman"/>
          <w:sz w:val="28"/>
          <w:szCs w:val="28"/>
        </w:rPr>
        <w:t>.</w:t>
      </w:r>
    </w:p>
    <w:p w:rsidR="001E17CF" w:rsidRDefault="001E17CF" w:rsidP="001E17C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изучении </w:t>
      </w:r>
      <w:r w:rsidR="001C543A">
        <w:rPr>
          <w:rFonts w:ascii="Times New Roman" w:hAnsi="Times New Roman" w:cs="Times New Roman"/>
          <w:sz w:val="28"/>
          <w:szCs w:val="28"/>
        </w:rPr>
        <w:t>ассоциации</w:t>
      </w:r>
      <w:r>
        <w:rPr>
          <w:rFonts w:ascii="Times New Roman" w:hAnsi="Times New Roman" w:cs="Times New Roman"/>
          <w:sz w:val="28"/>
          <w:szCs w:val="28"/>
        </w:rPr>
        <w:t xml:space="preserve"> 5 полиморфизмов гена </w:t>
      </w:r>
      <w:r>
        <w:rPr>
          <w:rFonts w:ascii="Times New Roman" w:hAnsi="Times New Roman" w:cs="Times New Roman"/>
          <w:i/>
          <w:sz w:val="28"/>
          <w:szCs w:val="28"/>
        </w:rPr>
        <w:t>ADRB2</w:t>
      </w:r>
      <w:r>
        <w:rPr>
          <w:rFonts w:ascii="Times New Roman" w:hAnsi="Times New Roman" w:cs="Times New Roman"/>
          <w:sz w:val="28"/>
          <w:szCs w:val="28"/>
        </w:rPr>
        <w:t xml:space="preserve"> на АД и использование вазопрессоров во время операции было установлено (2016), что полиморфизм Gly16Arg больше связан с вазодилатацией и сердечным выбросом, чем </w:t>
      </w:r>
      <w:r w:rsidR="001C543A">
        <w:rPr>
          <w:rFonts w:ascii="Times New Roman" w:hAnsi="Times New Roman" w:cs="Times New Roman"/>
          <w:sz w:val="28"/>
          <w:szCs w:val="28"/>
        </w:rPr>
        <w:t>другие</w:t>
      </w:r>
      <w:r>
        <w:rPr>
          <w:rFonts w:ascii="Times New Roman" w:hAnsi="Times New Roman" w:cs="Times New Roman"/>
          <w:sz w:val="28"/>
          <w:szCs w:val="28"/>
        </w:rPr>
        <w:t xml:space="preserve"> полиморфизм</w:t>
      </w:r>
      <w:r w:rsidR="001C543A">
        <w:rPr>
          <w:rFonts w:ascii="Times New Roman" w:hAnsi="Times New Roman" w:cs="Times New Roman"/>
          <w:sz w:val="28"/>
          <w:szCs w:val="28"/>
        </w:rPr>
        <w:t>ы</w:t>
      </w:r>
      <w:r w:rsidR="00096567">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{"citationItems":[{"id":"ITEM-1","itemData":{"DOI":"10.1213/ANE.0000000000001167","ISBN":"0000000000","ISSN":"0003-2999","abstract":"Background: Arterial hypotension is frequent in patients undergoing anesthesia and may aggravate the outcome. Common genetic variations may influence the cardiovascular response to anesthesia. In this retrospective cohort study, we tested whether variation in the gene encoding the β2-adrenergic receptor (ADRB2) influences perioperative arterial blood pressure and consequently the use of vasopressors. Methods: Five hundred seventy-one Danish Caucasians undergoing neurosurgery were genotyped for 5 marker single-nucleotide polymorphisms (SNPs) within ADRB2 (Gly16Arg, Gln27Glu, Thr164Ile, Arg175Arg, and Gly351Gly). A pairwise tagging principle was used to identify ADRB2 haplotypes. Mean arterial blood pressure (MAP) was recorded in the supine awake state and, together with administration of vasopressors (ephedrine and/or phenylephrine), for 30 minutes after induction of general anesthesia (sevoflurane/remifentanil or propofol/remifentanil). Results: Four hundred thirteen (72%) patients received ephedrine and/or phenylephrine. Only baseline MAP (P &lt; 0.001) and the Arg175Arg SNP (P = 0.01) were associated with nadir perioperative MAP. The Gly16Arg SNP but no other SNPs showed a trend toward an association with the amount of vasopressors used during anesthesia with Arg16 homozygotes receiving less ephedrine equivalents. The Arg16-Gln27-Thr164-Arg175-Gly351 haplotype was associated with approximately 13% lower vasopressor requirements than the most common Gly16-Glu27-Thr164-Arg175-Gly351 haplotype (P = 0.01). Conclusions: Gly16 carriers received larger amounts of vasopressor compared with Arg16 homozygotes. This corresponds to previous studies demonstrating that the Gly16 allele in ADRB2 is associated with vasodilation and high cardiac output.","author":[{"dropping-particle":"","family":"Nielsen","given":"Morten","non-dropping-particle":"","parse-names":false,"suffix":""},{"dropping-particle":"","family":"Staalsoe","given":"Jonatan M.","non-dropping-particle":"","parse-names":false,"suffix":""},{"dropping-particle":"","family":"Ullum","given":"Henrik","non-dropping-particle":"","parse-names":false,"suffix":""},{"dropping-particle":"","family":"Secher","given":"Niels H.","non-dropping-particle":"","parse-names":false,"suffix":""},{"dropping-particle":"","family":"Nielsen","given":"Henning B.","non-dropping-particle":"","parse-names":false,"suffix":""},{"dropping-particle":"V.","family":"Olsen","given":"Niels","non-dropping-particle":"","parse-names":false,"suffix":""}],"container-title":"Anesthesia &amp; Analgesia","id":"ITEM-1","issue":"5","issued":{"date-parts":[["2016","5"]]},"page":"1385-1393","title":"The Gly16 Allele of the Gly16Arg Single-Nucleotide Polymorphism in the β2-Adrenergic Receptor Gene Augments Perioperative Use of Vasopressors","type":"article-journal","volume":"122"},"uris":["http://www.mendeley.com/documents/?uuid=809ef47a-4bff-4d05-a510-0381333bd4f3"]}],"mendeley":{"formattedCitation":"[82]","plainTextFormattedCitation":"[82]","previouslyFormattedCitation":"[82]"},"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[82]</w:t>
      </w:r>
      <w:r w:rsidR="00EA0E64">
        <w:rPr>
          <w:rFonts w:ascii="Times New Roman" w:hAnsi="Times New Roman" w:cs="Times New Roman"/>
          <w:sz w:val="28"/>
          <w:szCs w:val="28"/>
        </w:rPr>
        <w:fldChar w:fldCharType="end"/>
      </w:r>
      <w:r>
        <w:rPr>
          <w:rFonts w:ascii="Times New Roman" w:hAnsi="Times New Roman" w:cs="Times New Roman"/>
          <w:sz w:val="28"/>
          <w:szCs w:val="28"/>
        </w:rPr>
        <w:t>. Но сочетание Gly16 и Glu27 гаплотипов был связан с большими дозами вазопрессоров по сравнению с гаплотипом Arg16 и Gln27.</w:t>
      </w:r>
    </w:p>
    <w:p w:rsidR="00AB12B3" w:rsidRDefault="007F4D29"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оценке объединенного эффекта полиморфизмов rs9930501, rs9930506 и rs9932754 гена </w:t>
      </w:r>
      <w:r>
        <w:rPr>
          <w:rFonts w:ascii="Times New Roman" w:hAnsi="Times New Roman" w:cs="Times New Roman"/>
          <w:i/>
          <w:sz w:val="28"/>
          <w:szCs w:val="28"/>
        </w:rPr>
        <w:t>FTO</w:t>
      </w:r>
      <w:r>
        <w:rPr>
          <w:rFonts w:ascii="Times New Roman" w:hAnsi="Times New Roman" w:cs="Times New Roman"/>
          <w:sz w:val="28"/>
          <w:szCs w:val="28"/>
        </w:rPr>
        <w:t xml:space="preserve"> и полиморфизмов rs1042713 и rs1042714 гена </w:t>
      </w:r>
      <w:r>
        <w:rPr>
          <w:rFonts w:ascii="Times New Roman" w:hAnsi="Times New Roman" w:cs="Times New Roman"/>
          <w:i/>
          <w:sz w:val="28"/>
          <w:szCs w:val="28"/>
        </w:rPr>
        <w:t>ADRB2</w:t>
      </w:r>
      <w:r>
        <w:rPr>
          <w:rFonts w:ascii="Times New Roman" w:hAnsi="Times New Roman" w:cs="Times New Roman"/>
          <w:sz w:val="28"/>
          <w:szCs w:val="28"/>
        </w:rPr>
        <w:t xml:space="preserve"> на риск развития ожирения и кардиометаболических параметров </w:t>
      </w:r>
      <w:r w:rsidR="00AB12B3">
        <w:rPr>
          <w:rFonts w:ascii="Times New Roman" w:hAnsi="Times New Roman" w:cs="Times New Roman"/>
          <w:sz w:val="28"/>
          <w:szCs w:val="28"/>
        </w:rPr>
        <w:t>Tan P. (2020)</w:t>
      </w:r>
      <w:r>
        <w:rPr>
          <w:rFonts w:ascii="Times New Roman" w:hAnsi="Times New Roman" w:cs="Times New Roman"/>
          <w:sz w:val="28"/>
          <w:szCs w:val="28"/>
        </w:rPr>
        <w:t xml:space="preserve"> показал, что</w:t>
      </w:r>
      <w:r w:rsidR="00AB12B3">
        <w:rPr>
          <w:rFonts w:ascii="Times New Roman" w:hAnsi="Times New Roman" w:cs="Times New Roman"/>
          <w:sz w:val="28"/>
          <w:szCs w:val="28"/>
        </w:rPr>
        <w:t xml:space="preserve"> лица, </w:t>
      </w:r>
      <w:r w:rsidR="001C543A">
        <w:rPr>
          <w:rFonts w:ascii="Times New Roman" w:hAnsi="Times New Roman" w:cs="Times New Roman"/>
          <w:sz w:val="28"/>
          <w:szCs w:val="28"/>
        </w:rPr>
        <w:t>высокой частотой</w:t>
      </w:r>
      <w:r w:rsidR="00AB12B3">
        <w:rPr>
          <w:rFonts w:ascii="Times New Roman" w:hAnsi="Times New Roman" w:cs="Times New Roman"/>
          <w:sz w:val="28"/>
          <w:szCs w:val="28"/>
        </w:rPr>
        <w:t xml:space="preserve"> рисковых аллелей, чаще были подвер</w:t>
      </w:r>
      <w:r w:rsidR="001C543A">
        <w:rPr>
          <w:rFonts w:ascii="Times New Roman" w:hAnsi="Times New Roman" w:cs="Times New Roman"/>
          <w:sz w:val="28"/>
          <w:szCs w:val="28"/>
        </w:rPr>
        <w:t>ж</w:t>
      </w:r>
      <w:r w:rsidR="00AB12B3">
        <w:rPr>
          <w:rFonts w:ascii="Times New Roman" w:hAnsi="Times New Roman" w:cs="Times New Roman"/>
          <w:sz w:val="28"/>
          <w:szCs w:val="28"/>
        </w:rPr>
        <w:t>ены ожирению по сравнению с лицами, которые имели меньше рисковых аллелей</w:t>
      </w:r>
      <w:r w:rsidR="00096567">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{"citationItems":[{"id":"ITEM-1","itemData":{"DOI":"10.1159/000505662","ISSN":"2504-3161","abstract":"Background: Computing polygenic risk scores (PRS) to predict the degree of risk for obesity may contribute to weight management programs strategically. Objectives: To investigate the combined effect of FTO rs9930501, rs9930506, and rs9932754 and ADRB2 rs1042713 and rs1042714 using PRS on (1) the odds of obesity and (2) post-intervention differences in dietary, anthropometric, and cardiometabolic parameters in response to high-protein calorie-restricted, high-Vitamin E, high-fiber (Hipcref) diet intervention in Malaysian adults. Methods: Both a cross-sectional study (n = 178) and a randomized controlled trial (RCT) (n = 128) were conducted to test the aforementioned objectives. PRS was computed as the weighted sum of the risk alleles possessed by each individual participant. Participants were stratified into first (PRS 0-0.64), second (PRS 0.65-3.59), and third (PRS 3.60-8.18) tertiles. Results: The third tertile of PRS was associated with significantly higher odds of obesity: 2.29 (95% CI = 1.11-4.72, adjusted p = 0.025) compared to the first tertile. Indians (3.9 ± 0.3) had significantly higher PRS compared to Chinese (2.1 ± 0.4) (p = 0.010). In the RCT, a greater reduction in high-sensitivity C-reactive protein (hsCRP) levels was found in second and third tertiles after Hipcref diet intervention compared to the control diet (p interaction = 0.048). Conclusion: Higher PRS was significantly associated with increased odds of obesity. Individuals with higher PRS had a significantly greater reduction in hsCRP levels after Hipcref diet compared to the control diet.","author":[{"dropping-particle":"","family":"Tan","given":"Pui Yee","non-dropping-particle":"","parse-names":false,"suffix":""},{"dropping-particle":"","family":"Mitra","given":"Soma Roy","non-dropping-particle":"","parse-names":false,"suffix":""}],"container-title":"Lifestyle Genomics","id":"ITEM-1","issue":"2","issued":{"date-parts":[["2020"]]},"page":"84-98","title":"The Combined Effect of Polygenic Risk from FTO and ADRB2 Gene Variants, Odds of Obesity, and Post-Hipcref Diet Differences","type":"article-journal","volume":"13"},"uris":["http://www.mendeley.com/documents/?uuid=69f2dfa7-958a-42d7-bdf9-352fb5cf02bd"]}],"mendeley":{"formattedCitation":"[83]","plainTextFormattedCitation":"[83]","previouslyFormattedCitation":"[83]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[83]</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Поэтому не только один ген может </w:t>
      </w:r>
      <w:r w:rsidR="001C543A">
        <w:rPr>
          <w:rFonts w:ascii="Times New Roman" w:hAnsi="Times New Roman" w:cs="Times New Roman"/>
          <w:sz w:val="28"/>
          <w:szCs w:val="28"/>
        </w:rPr>
        <w:t>быть ассоциирован с</w:t>
      </w:r>
      <w:r w:rsidR="00AB12B3">
        <w:rPr>
          <w:rFonts w:ascii="Times New Roman" w:hAnsi="Times New Roman" w:cs="Times New Roman"/>
          <w:sz w:val="28"/>
          <w:szCs w:val="28"/>
        </w:rPr>
        <w:t xml:space="preserve"> фенотип</w:t>
      </w:r>
      <w:r w:rsidR="001C543A">
        <w:rPr>
          <w:rFonts w:ascii="Times New Roman" w:hAnsi="Times New Roman" w:cs="Times New Roman"/>
          <w:sz w:val="28"/>
          <w:szCs w:val="28"/>
        </w:rPr>
        <w:t>ом</w:t>
      </w:r>
      <w:r w:rsidR="00AB12B3">
        <w:rPr>
          <w:rFonts w:ascii="Times New Roman" w:hAnsi="Times New Roman" w:cs="Times New Roman"/>
          <w:sz w:val="28"/>
          <w:szCs w:val="28"/>
        </w:rPr>
        <w:t xml:space="preserve">, но имеет значение полигенное взаимодействие. </w:t>
      </w:r>
    </w:p>
    <w:p w:rsidR="00AB12B3" w:rsidRDefault="00AB12B3" w:rsidP="00AB12B3">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Ген, кодирующий ангиотензиноген AGT Thr174Met (rs4762)</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Ангиотензиноген является сывороточным глобулином</w:t>
      </w:r>
      <w:r w:rsidR="00D835B3">
        <w:rPr>
          <w:rFonts w:ascii="Century" w:hAnsi="Century" w:cs="Times New Roman"/>
          <w:sz w:val="28"/>
          <w:szCs w:val="28"/>
        </w:rPr>
        <w:t>,</w:t>
      </w:r>
      <w:r>
        <w:rPr>
          <w:rFonts w:ascii="Times New Roman" w:hAnsi="Times New Roman" w:cs="Times New Roman"/>
          <w:sz w:val="28"/>
          <w:szCs w:val="28"/>
        </w:rPr>
        <w:t xml:space="preserve"> который синтезируется в печени и является предшественником ангиотензина</w:t>
      </w:r>
      <w:r w:rsidR="00D835B3">
        <w:rPr>
          <w:rFonts w:ascii="Century" w:hAnsi="Century" w:cs="Times New Roman"/>
          <w:sz w:val="28"/>
          <w:szCs w:val="28"/>
        </w:rPr>
        <w:t>.</w:t>
      </w:r>
      <w:r>
        <w:rPr>
          <w:rFonts w:ascii="Times New Roman" w:hAnsi="Times New Roman" w:cs="Times New Roman"/>
          <w:sz w:val="28"/>
          <w:szCs w:val="28"/>
        </w:rPr>
        <w:t xml:space="preserve"> Промотор</w:t>
      </w:r>
      <w:r w:rsidR="003A3D74">
        <w:rPr>
          <w:rFonts w:ascii="Times New Roman" w:hAnsi="Times New Roman" w:cs="Times New Roman"/>
          <w:sz w:val="28"/>
          <w:szCs w:val="28"/>
          <w:lang w:val="kk-KZ"/>
        </w:rPr>
        <w:t>о</w:t>
      </w:r>
      <w:r>
        <w:rPr>
          <w:rFonts w:ascii="Times New Roman" w:hAnsi="Times New Roman" w:cs="Times New Roman"/>
          <w:sz w:val="28"/>
          <w:szCs w:val="28"/>
        </w:rPr>
        <w:t>м гена ангиотензиногена является эстроген</w:t>
      </w:r>
      <w:r w:rsidR="00D835B3">
        <w:rPr>
          <w:rFonts w:ascii="Century" w:hAnsi="Century" w:cs="Times New Roman"/>
          <w:sz w:val="28"/>
          <w:szCs w:val="28"/>
        </w:rPr>
        <w:t>.</w:t>
      </w:r>
      <w:r w:rsidR="00E54CAA">
        <w:rPr>
          <w:rFonts w:ascii="Times New Roman" w:hAnsi="Times New Roman" w:cs="Times New Roman"/>
          <w:sz w:val="28"/>
          <w:szCs w:val="28"/>
        </w:rPr>
        <w:t xml:space="preserve"> </w:t>
      </w:r>
      <w:r w:rsidR="00EC5F45">
        <w:rPr>
          <w:rFonts w:ascii="Times New Roman" w:hAnsi="Times New Roman" w:cs="Times New Roman"/>
          <w:sz w:val="28"/>
          <w:szCs w:val="28"/>
        </w:rPr>
        <w:t>Ангиотензиноген</w:t>
      </w:r>
      <w:r w:rsidR="00E54CAA">
        <w:rPr>
          <w:rFonts w:ascii="Times New Roman" w:hAnsi="Times New Roman" w:cs="Times New Roman"/>
          <w:sz w:val="28"/>
          <w:szCs w:val="28"/>
        </w:rPr>
        <w:t xml:space="preserve"> </w:t>
      </w:r>
      <w:r w:rsidR="00E75A37">
        <w:rPr>
          <w:rFonts w:ascii="Times New Roman" w:hAnsi="Times New Roman" w:cs="Times New Roman"/>
          <w:sz w:val="28"/>
          <w:szCs w:val="28"/>
        </w:rPr>
        <w:t>вовлечен</w:t>
      </w:r>
      <w:r w:rsidR="00EC5F45">
        <w:rPr>
          <w:rFonts w:ascii="Times New Roman" w:hAnsi="Times New Roman" w:cs="Times New Roman"/>
          <w:sz w:val="28"/>
          <w:szCs w:val="28"/>
        </w:rPr>
        <w:t xml:space="preserve"> в патогенезе МС и СД 2 типа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{"citationItems":[{"id":"ITEM-1","itemData":{"DOI":"10.3389/fendo.2014.00023","ISSN":"16642392","abstract":"The actions of angiotensin peptides are diverse and locally acting tissue rein-angiotensin systems (RAS) are present in almost all tissues of the body. An activated RAS strongly correlates to metabolic disease (e.g., diabetes) and its complications and blockers of RAS have been demonstrated to prevent diabetes in humans. Hyperglycemia, obesity, hypertension, and cortisol are well-known risk factors of metabolic disease and all stimulate tissue RAS whereas glucagon-like peptide-1, vitamin D, and aerobic exercise are inhibitors of tissue RAS and to some extent can prevent metabolic disease. Furthermore, an activated tissue RAS deteriorates the same risk factors creating a system with several positive feedback pathways. The primary effector hormone of the RAS, angiotensin II, stimulates reactive oxygen species, induces tissue damage, and can be associated to most diabetic complications. Based on these observations, we hypothesize that an activated tissue RAS is the principle cause of metabolic syndrome and type 2 diabetes, and additionally is mediating the majority of the metabolic complications. The involvement of positive feedback pathways may create a self-reinforcing state and explain why metabolic disease initiate and progress. The hypothesis plausibly unifies the major predictors of metabolic disease and places tissue RAS regulation in the center of metabolic control. © 2014 Skov, Persson, Frøkiær and Christiansen.","author":[{"dropping-particle":"","family":"Skov","given":"Jeppe","non-dropping-particle":"","parse-names":false,"suffix":""},{"dropping-particle":"","family":"Persson","given":"Frederik","non-dropping-particle":"","parse-names":false,"suffix":""},{"dropping-particle":"","family":"Frøkiær","given":"Jørgen","non-dropping-particle":"","parse-names":false,"suffix":""},{"dropping-particle":"","family":"Christiansen","given":"Jens Sandahl","non-dropping-particle":"","parse-names":false,"suffix":""}],"container-title":"Frontiers in Endocrinology","id":"ITEM-1","issue":"FEB","issued":{"date-parts":[["2014"]]},"page":"1-7","title":"Tissue renin-angiotensin systems: A unifying hypothesis of metabolic disease","type":"article-journal","volume":"5"},"uris":["http://www.mendeley.com/documents/?uuid=5d368c1c-8705-40ef-835e-d97d7b6a2b85","http://www.mendeley.com/documents/?uuid=de75f9f1-812e-46f8-90f2-9f2a47ddee22"]}],"mendeley":{"formattedCitation":"[84]","plainTextFormattedCitation":"[84]","previouslyFormattedCitation":"[84]"},"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[84]</w:t>
      </w:r>
      <w:r w:rsidR="00EA0E64">
        <w:rPr>
          <w:rFonts w:ascii="Times New Roman" w:hAnsi="Times New Roman" w:cs="Times New Roman"/>
          <w:sz w:val="28"/>
          <w:szCs w:val="28"/>
        </w:rPr>
        <w:fldChar w:fldCharType="end"/>
      </w:r>
      <w:r w:rsidR="00EC5F45">
        <w:rPr>
          <w:rFonts w:ascii="Times New Roman" w:hAnsi="Times New Roman" w:cs="Times New Roman"/>
          <w:sz w:val="28"/>
          <w:szCs w:val="28"/>
          <w:lang w:val="kk-KZ"/>
        </w:rPr>
        <w:t xml:space="preserve">. </w:t>
      </w:r>
      <w:r>
        <w:rPr>
          <w:rFonts w:ascii="Times New Roman" w:hAnsi="Times New Roman" w:cs="Times New Roman"/>
          <w:sz w:val="28"/>
          <w:szCs w:val="28"/>
        </w:rPr>
        <w:t xml:space="preserve">Как известно, гипертензия вызывается ангиотензином II через вазоконстрикцию и задержку натрия. </w:t>
      </w:r>
      <w:r w:rsidR="00973C39">
        <w:rPr>
          <w:rFonts w:ascii="Times New Roman" w:hAnsi="Times New Roman" w:cs="Times New Roman"/>
          <w:sz w:val="28"/>
          <w:szCs w:val="28"/>
        </w:rPr>
        <w:t>Однако, г</w:t>
      </w:r>
      <w:r>
        <w:rPr>
          <w:rFonts w:ascii="Times New Roman" w:hAnsi="Times New Roman" w:cs="Times New Roman"/>
          <w:sz w:val="28"/>
          <w:szCs w:val="28"/>
        </w:rPr>
        <w:t xml:space="preserve">ипертензия также активирует ткани </w:t>
      </w:r>
      <w:r w:rsidR="000F39D1">
        <w:rPr>
          <w:rFonts w:ascii="Times New Roman" w:hAnsi="Times New Roman" w:cs="Times New Roman"/>
          <w:sz w:val="28"/>
          <w:szCs w:val="28"/>
        </w:rPr>
        <w:t>ренин-ангиотензин-альдостероновой системы (</w:t>
      </w:r>
      <w:r>
        <w:rPr>
          <w:rFonts w:ascii="Times New Roman" w:hAnsi="Times New Roman" w:cs="Times New Roman"/>
          <w:sz w:val="28"/>
          <w:szCs w:val="28"/>
        </w:rPr>
        <w:t>РААС</w:t>
      </w:r>
      <w:r w:rsidR="000F39D1">
        <w:rPr>
          <w:rFonts w:ascii="Times New Roman" w:hAnsi="Times New Roman" w:cs="Times New Roman"/>
          <w:sz w:val="28"/>
          <w:szCs w:val="28"/>
        </w:rPr>
        <w:t>)</w:t>
      </w:r>
      <w:r>
        <w:rPr>
          <w:rFonts w:ascii="Times New Roman" w:hAnsi="Times New Roman" w:cs="Times New Roman"/>
          <w:sz w:val="28"/>
          <w:szCs w:val="28"/>
        </w:rPr>
        <w:t xml:space="preserve"> посредством механического растяжения. Johnston</w:t>
      </w:r>
      <w:r w:rsidR="004A4B12">
        <w:rPr>
          <w:rFonts w:ascii="Times New Roman" w:hAnsi="Times New Roman" w:cs="Times New Roman"/>
          <w:sz w:val="28"/>
          <w:szCs w:val="28"/>
        </w:rPr>
        <w:t xml:space="preserve"> </w:t>
      </w:r>
      <w:r w:rsidR="008C3ACF">
        <w:rPr>
          <w:rFonts w:ascii="Times New Roman" w:hAnsi="Times New Roman" w:cs="Times New Roman"/>
          <w:sz w:val="28"/>
          <w:szCs w:val="28"/>
        </w:rPr>
        <w:t xml:space="preserve">A. </w:t>
      </w:r>
      <w:r>
        <w:rPr>
          <w:rFonts w:ascii="Times New Roman" w:hAnsi="Times New Roman" w:cs="Times New Roman"/>
          <w:sz w:val="28"/>
          <w:szCs w:val="28"/>
        </w:rPr>
        <w:t>(201</w:t>
      </w:r>
      <w:r w:rsidR="00497DF9">
        <w:rPr>
          <w:rFonts w:ascii="Times New Roman" w:hAnsi="Times New Roman" w:cs="Times New Roman"/>
          <w:sz w:val="28"/>
          <w:szCs w:val="28"/>
        </w:rPr>
        <w:t>1</w:t>
      </w:r>
      <w:r>
        <w:rPr>
          <w:rFonts w:ascii="Times New Roman" w:hAnsi="Times New Roman" w:cs="Times New Roman"/>
          <w:sz w:val="28"/>
          <w:szCs w:val="28"/>
        </w:rPr>
        <w:t xml:space="preserve">) </w:t>
      </w:r>
      <w:r w:rsidR="00973C39">
        <w:rPr>
          <w:rFonts w:ascii="Times New Roman" w:hAnsi="Times New Roman" w:cs="Times New Roman"/>
          <w:sz w:val="28"/>
          <w:szCs w:val="28"/>
        </w:rPr>
        <w:t>утверждает</w:t>
      </w:r>
      <w:r>
        <w:rPr>
          <w:rFonts w:ascii="Times New Roman" w:hAnsi="Times New Roman" w:cs="Times New Roman"/>
          <w:sz w:val="28"/>
          <w:szCs w:val="28"/>
        </w:rPr>
        <w:t xml:space="preserve">, что </w:t>
      </w:r>
      <w:r w:rsidRPr="003A3D74">
        <w:rPr>
          <w:rFonts w:ascii="Times New Roman" w:hAnsi="Times New Roman" w:cs="Times New Roman"/>
          <w:i/>
          <w:sz w:val="28"/>
          <w:szCs w:val="28"/>
        </w:rPr>
        <w:t>in</w:t>
      </w:r>
      <w:r w:rsidR="003A3D74">
        <w:rPr>
          <w:rFonts w:ascii="Times New Roman" w:hAnsi="Times New Roman" w:cs="Times New Roman"/>
          <w:i/>
          <w:sz w:val="28"/>
          <w:szCs w:val="28"/>
          <w:lang w:val="kk-KZ"/>
        </w:rPr>
        <w:t xml:space="preserve"> </w:t>
      </w:r>
      <w:r w:rsidRPr="003A3D74">
        <w:rPr>
          <w:rFonts w:ascii="Times New Roman" w:hAnsi="Times New Roman" w:cs="Times New Roman"/>
          <w:i/>
          <w:sz w:val="28"/>
          <w:szCs w:val="28"/>
        </w:rPr>
        <w:t>vitro</w:t>
      </w:r>
      <w:r>
        <w:rPr>
          <w:rFonts w:ascii="Times New Roman" w:hAnsi="Times New Roman" w:cs="Times New Roman"/>
          <w:sz w:val="28"/>
          <w:szCs w:val="28"/>
        </w:rPr>
        <w:t xml:space="preserve"> и </w:t>
      </w:r>
      <w:r w:rsidRPr="003A3D74">
        <w:rPr>
          <w:rFonts w:ascii="Times New Roman" w:hAnsi="Times New Roman" w:cs="Times New Roman"/>
          <w:i/>
          <w:sz w:val="28"/>
          <w:szCs w:val="28"/>
        </w:rPr>
        <w:t>in</w:t>
      </w:r>
      <w:r w:rsidR="003A3D74">
        <w:rPr>
          <w:rFonts w:ascii="Times New Roman" w:hAnsi="Times New Roman" w:cs="Times New Roman"/>
          <w:i/>
          <w:sz w:val="28"/>
          <w:szCs w:val="28"/>
          <w:lang w:val="kk-KZ"/>
        </w:rPr>
        <w:t xml:space="preserve"> </w:t>
      </w:r>
      <w:r w:rsidRPr="003A3D74">
        <w:rPr>
          <w:rFonts w:ascii="Times New Roman" w:hAnsi="Times New Roman" w:cs="Times New Roman"/>
          <w:i/>
          <w:sz w:val="28"/>
          <w:szCs w:val="28"/>
        </w:rPr>
        <w:t>vivo</w:t>
      </w:r>
      <w:r>
        <w:rPr>
          <w:rFonts w:ascii="Times New Roman" w:hAnsi="Times New Roman" w:cs="Times New Roman"/>
          <w:sz w:val="28"/>
          <w:szCs w:val="28"/>
        </w:rPr>
        <w:t xml:space="preserve"> цельная скелетная мышца, первичные миобласты и C2C12-производные миобласты и миотрубки дифференциально экспрессируют продукты РААС, включая ангиотензиноген, АПФ, ангиотензин II</w:t>
      </w:r>
      <w:r w:rsidR="004A4B12">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{"citationItems":[{"id":"ITEM-1","itemData":{"DOI":"10.1177/1470320310381795","ISSN":"1470-3203","abstract":"A paucity of information exists regarding the presence of local renin-angiotensin systems (RASs) in skeletal muscle and associated muscle stem cells. Skeletal muscle and muscle stem cells were isolated from C57BL/6 mice and examined for the presence of a local RAS using quantitative reverse transcriptase polymerase chain reaction (qRT-PCR), immunohistochemistry (IHC), Western blotting and liquid chromatography-mass spectrometry (LC-MS). Furthermore, the effect of mechanical stimulation on RAS member gene expression was analysed. Whole skeletal muscle, primary myoblasts and C2C12 derived myoblasts and myotubes differentially expressed members of the RAS including angiotensinogen, angiotensin-converting enzyme (ACE), angiotensin II (Ang II) type 1 (AT(1)) and type 2 (AT(2)). Renin transcripts were never detected, however, mRNA for the 'renin-like' enzyme cathepsin D was observed and Ang I and Ang II were identified in cell culture supernatants from proliferating myoblasts. AT(1) appeared to co-localise with polymerised actin filaments in proliferating myoblasts and was primarily found in the nucleus of terminally differentiated myotubes. Furthermore, mechanical stretch of proliferating and differentiating C2C12 cells differentially induced mRNA expression of angiotensinogen, AT(1) and AT(2). Proliferating and differentiated muscle stem cells possess a local stress-responsive RAS in vitro. The precise function of a local RAS in myoblasts remains unknown. However, evidence presented here suggests that Ang II may be a regulator of skeletal muscle myoblasts.","author":[{"dropping-particle":"","family":"Johnston","given":"Adam P W","non-dropping-particle":"","parse-names":false,"suffix":""},{"dropping-particle":"","family":"Baker","given":"Jeff","non-dropping-particle":"","parse-names":false,"suffix":""},{"dropping-particle":"","family":"Lisio","given":"Michael","non-dropping-particle":"De","parse-names":false,"suffix":""},{"dropping-particle":"","family":"Parise","given":"Gianni","non-dropping-particle":"","parse-names":false,"suffix":""}],"container-title":"Journal of the Renin-Angiotensin-Aldosterone System","id":"ITEM-1","issue":"2","issued":{"date-parts":[["2011","6","4"]]},"page":"75-84","title":"Skeletal muscle myoblasts possess a stretch-responsive local angiotensin signalling system","type":"article-journal","volume":"12"},"uris":["http://www.mendeley.com/documents/?uuid=4ee46bdf-3779-4644-8a31-38de188fdd0f"]}],"mendeley":{"formattedCitation":"[85]","plainTextFormattedCitation":"[85]","previouslyFormattedCitation":"[85]"},"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[85]</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E32439"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Во </w:t>
      </w:r>
      <w:r>
        <w:rPr>
          <w:rFonts w:ascii="Times New Roman" w:hAnsi="Times New Roman" w:cs="Times New Roman"/>
          <w:sz w:val="28"/>
          <w:szCs w:val="28"/>
        </w:rPr>
        <w:t>мног</w:t>
      </w:r>
      <w:r>
        <w:rPr>
          <w:rFonts w:ascii="Times New Roman" w:hAnsi="Times New Roman" w:cs="Times New Roman"/>
          <w:sz w:val="28"/>
          <w:szCs w:val="28"/>
          <w:lang w:val="kk-KZ"/>
        </w:rPr>
        <w:t>их</w:t>
      </w:r>
      <w:r>
        <w:rPr>
          <w:rFonts w:ascii="Times New Roman" w:hAnsi="Times New Roman" w:cs="Times New Roman"/>
          <w:sz w:val="28"/>
          <w:szCs w:val="28"/>
        </w:rPr>
        <w:t xml:space="preserve"> исследованиях о</w:t>
      </w:r>
      <w:r w:rsidR="00AB12B3">
        <w:rPr>
          <w:rFonts w:ascii="Times New Roman" w:hAnsi="Times New Roman" w:cs="Times New Roman"/>
          <w:sz w:val="28"/>
          <w:szCs w:val="28"/>
        </w:rPr>
        <w:t>бнаружен</w:t>
      </w:r>
      <w:r>
        <w:rPr>
          <w:rFonts w:ascii="Times New Roman" w:hAnsi="Times New Roman" w:cs="Times New Roman"/>
          <w:sz w:val="28"/>
          <w:szCs w:val="28"/>
        </w:rPr>
        <w:t xml:space="preserve">а и описана </w:t>
      </w:r>
      <w:r w:rsidR="00AB12B3">
        <w:rPr>
          <w:rFonts w:ascii="Times New Roman" w:hAnsi="Times New Roman" w:cs="Times New Roman"/>
          <w:sz w:val="28"/>
          <w:szCs w:val="28"/>
        </w:rPr>
        <w:t>связь между АГ и генами РААС. Учитывая, что АГ является фактором риска МС</w:t>
      </w:r>
      <w:r w:rsidR="00D835B3">
        <w:rPr>
          <w:rFonts w:ascii="Century" w:hAnsi="Century" w:cs="Times New Roman"/>
          <w:sz w:val="28"/>
          <w:szCs w:val="28"/>
        </w:rPr>
        <w:t>,</w:t>
      </w:r>
      <w:r w:rsidR="00AB12B3">
        <w:rPr>
          <w:rFonts w:ascii="Times New Roman" w:hAnsi="Times New Roman" w:cs="Times New Roman"/>
          <w:sz w:val="28"/>
          <w:szCs w:val="28"/>
        </w:rPr>
        <w:t xml:space="preserve"> Procopciuc L. (2010) о</w:t>
      </w:r>
      <w:r w:rsidR="00BF16C6">
        <w:rPr>
          <w:rFonts w:ascii="Times New Roman" w:hAnsi="Times New Roman" w:cs="Times New Roman"/>
          <w:sz w:val="28"/>
          <w:szCs w:val="28"/>
          <w:lang w:val="kk-KZ"/>
        </w:rPr>
        <w:t>ценил</w:t>
      </w:r>
      <w:r w:rsidR="00AB12B3">
        <w:rPr>
          <w:rFonts w:ascii="Times New Roman" w:hAnsi="Times New Roman" w:cs="Times New Roman"/>
          <w:sz w:val="28"/>
          <w:szCs w:val="28"/>
        </w:rPr>
        <w:t xml:space="preserve"> частоту</w:t>
      </w:r>
      <w:r w:rsidR="00BF16C6">
        <w:rPr>
          <w:rFonts w:ascii="Times New Roman" w:hAnsi="Times New Roman" w:cs="Times New Roman"/>
          <w:sz w:val="28"/>
          <w:szCs w:val="28"/>
          <w:lang w:val="kk-KZ"/>
        </w:rPr>
        <w:t xml:space="preserve"> встречаемости</w:t>
      </w:r>
      <w:r w:rsidR="00AB12B3">
        <w:rPr>
          <w:rFonts w:ascii="Times New Roman" w:hAnsi="Times New Roman" w:cs="Times New Roman"/>
          <w:sz w:val="28"/>
          <w:szCs w:val="28"/>
        </w:rPr>
        <w:t xml:space="preserve"> полиморфизма M235T и T174M гена </w:t>
      </w:r>
      <w:r w:rsidR="00AB12B3">
        <w:rPr>
          <w:rFonts w:ascii="Times New Roman" w:hAnsi="Times New Roman" w:cs="Times New Roman"/>
          <w:i/>
          <w:sz w:val="28"/>
          <w:szCs w:val="28"/>
        </w:rPr>
        <w:t>AGT</w:t>
      </w:r>
      <w:r w:rsidR="00D835B3" w:rsidRPr="00D835B3">
        <w:rPr>
          <w:rFonts w:ascii="Century" w:hAnsi="Century" w:cs="Times New Roman"/>
          <w:iCs/>
          <w:sz w:val="28"/>
          <w:szCs w:val="28"/>
        </w:rPr>
        <w:t>,</w:t>
      </w:r>
      <w:r w:rsidR="00AB12B3">
        <w:rPr>
          <w:rFonts w:ascii="Times New Roman" w:hAnsi="Times New Roman" w:cs="Times New Roman"/>
          <w:sz w:val="28"/>
          <w:szCs w:val="28"/>
        </w:rPr>
        <w:t xml:space="preserve"> полиморфизма I/D гена </w:t>
      </w:r>
      <w:r w:rsidR="00AB12B3">
        <w:rPr>
          <w:rFonts w:ascii="Times New Roman" w:hAnsi="Times New Roman" w:cs="Times New Roman"/>
          <w:i/>
          <w:sz w:val="28"/>
          <w:szCs w:val="28"/>
        </w:rPr>
        <w:t>ACE</w:t>
      </w:r>
      <w:r w:rsidR="00AB12B3">
        <w:rPr>
          <w:rFonts w:ascii="Times New Roman" w:hAnsi="Times New Roman" w:cs="Times New Roman"/>
          <w:sz w:val="28"/>
          <w:szCs w:val="28"/>
        </w:rPr>
        <w:t xml:space="preserve"> и полиморфизм A1166C гена </w:t>
      </w:r>
      <w:r w:rsidR="00AB12B3">
        <w:rPr>
          <w:rFonts w:ascii="Times New Roman" w:hAnsi="Times New Roman" w:cs="Times New Roman"/>
          <w:i/>
          <w:sz w:val="28"/>
          <w:szCs w:val="28"/>
        </w:rPr>
        <w:t>AGTR1</w:t>
      </w:r>
      <w:r w:rsidR="00AB12B3">
        <w:rPr>
          <w:rFonts w:ascii="Times New Roman" w:hAnsi="Times New Roman" w:cs="Times New Roman"/>
          <w:sz w:val="28"/>
          <w:szCs w:val="28"/>
        </w:rPr>
        <w:t xml:space="preserve"> у пациентов с АГ</w:t>
      </w:r>
      <w:r w:rsidR="00D835B3">
        <w:rPr>
          <w:rFonts w:ascii="Century" w:hAnsi="Century" w:cs="Times New Roman"/>
          <w:sz w:val="28"/>
          <w:szCs w:val="28"/>
        </w:rPr>
        <w:t>,</w:t>
      </w:r>
      <w:r w:rsidR="00391718">
        <w:rPr>
          <w:rFonts w:ascii="Times New Roman" w:hAnsi="Times New Roman" w:cs="Times New Roman"/>
          <w:sz w:val="28"/>
          <w:szCs w:val="28"/>
        </w:rPr>
        <w:t xml:space="preserve"> с М</w:t>
      </w:r>
      <w:r w:rsidR="00AB12B3">
        <w:rPr>
          <w:rFonts w:ascii="Times New Roman" w:hAnsi="Times New Roman" w:cs="Times New Roman"/>
          <w:sz w:val="28"/>
          <w:szCs w:val="28"/>
        </w:rPr>
        <w:t xml:space="preserve">С и </w:t>
      </w:r>
      <w:r>
        <w:rPr>
          <w:rFonts w:ascii="Times New Roman" w:hAnsi="Times New Roman" w:cs="Times New Roman"/>
          <w:sz w:val="28"/>
          <w:szCs w:val="28"/>
        </w:rPr>
        <w:t xml:space="preserve">провел </w:t>
      </w:r>
      <w:r w:rsidR="00AB12B3">
        <w:rPr>
          <w:rFonts w:ascii="Times New Roman" w:hAnsi="Times New Roman" w:cs="Times New Roman"/>
          <w:sz w:val="28"/>
          <w:szCs w:val="28"/>
        </w:rPr>
        <w:t>оцен</w:t>
      </w:r>
      <w:r>
        <w:rPr>
          <w:rFonts w:ascii="Times New Roman" w:hAnsi="Times New Roman" w:cs="Times New Roman"/>
          <w:sz w:val="28"/>
          <w:szCs w:val="28"/>
        </w:rPr>
        <w:t>ку</w:t>
      </w:r>
      <w:r w:rsidR="00AB12B3">
        <w:rPr>
          <w:rFonts w:ascii="Times New Roman" w:hAnsi="Times New Roman" w:cs="Times New Roman"/>
          <w:sz w:val="28"/>
          <w:szCs w:val="28"/>
        </w:rPr>
        <w:t xml:space="preserve"> взаимосвяз</w:t>
      </w:r>
      <w:r>
        <w:rPr>
          <w:rFonts w:ascii="Times New Roman" w:hAnsi="Times New Roman" w:cs="Times New Roman"/>
          <w:sz w:val="28"/>
          <w:szCs w:val="28"/>
        </w:rPr>
        <w:t>и</w:t>
      </w:r>
      <w:r w:rsidR="00AB12B3">
        <w:rPr>
          <w:rFonts w:ascii="Times New Roman" w:hAnsi="Times New Roman" w:cs="Times New Roman"/>
          <w:sz w:val="28"/>
          <w:szCs w:val="28"/>
        </w:rPr>
        <w:t xml:space="preserve"> полиморфизмов </w:t>
      </w:r>
      <w:r>
        <w:rPr>
          <w:rFonts w:ascii="Times New Roman" w:hAnsi="Times New Roman" w:cs="Times New Roman"/>
          <w:sz w:val="28"/>
          <w:szCs w:val="28"/>
        </w:rPr>
        <w:t xml:space="preserve">генов ассоциированных с развитием </w:t>
      </w:r>
      <w:r w:rsidR="00AB12B3">
        <w:rPr>
          <w:rFonts w:ascii="Times New Roman" w:hAnsi="Times New Roman" w:cs="Times New Roman"/>
          <w:sz w:val="28"/>
          <w:szCs w:val="28"/>
        </w:rPr>
        <w:t>центрального ожирения и дислипидемии</w:t>
      </w:r>
      <w:r w:rsidR="00F62123">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{"citationItems":[{"id":"ITEM-1","itemData":{"DOI":"10.1016/j.ejim.2010.06.001","ISSN":"1879-0828","PMID":"20816596","abstract":"BACKGROUND: The genes associated with hypertension could be genetic risk factors for metabolic syndrome (MetS). AIM: To determine the frequency of M235T and T174M-AGT, I/D-ACE and A1166C-AGTR1 in hypertensive patients with MetS and to evaluate the relationship between these polymorphisms and central obesity and dyslipidemia, respectively. MATERIALS AND METHODS: We performed AGT, AGTR1 and ACE genotyping in 56 hypertensive women (24 with MetS) and 71 normotensive women using PCR-RFLP methods and PCR, respectively. RESULTS: Hypertensive patients carrying the mutated TT235, MM174 and DD genotypes had an 1.53 (p=0.56), 1.78 (p=0.52) and 1.28 (p=0.78)-fold increased risk to develop MetS. Hypertensive carriers of both mutated TT235 and MM174 or TT235 and D/D or TT235 and CC+AC genotypes had an 8.15 (p=0.04), 4.83 (p=0.04) and 10.53 (p=0.05)-fold increased risk to develop MetS. Hypertensive patients with MetS and TT, D/D or CC genotypes had higher body mass index compared to hypertensive patients without MetS (p&lt;/=0.05 for all the genotypes). Hypertensive patients with MetS and TT235, MM174, D/D or CC1166 genotypes had higher triglyceride levels, lower HDL-cholesterol levels and higher waist circumference compared to hypertensive patients without MetS (p&lt;/=0.05, except for the association between CC1166 and HDL-cholesterol level). CONCLUSIONS: The effect of the T174M, I/D and A1166C polymorphisms on MetS may depend on the M235T polymorphism. Among hypertensive subjects with MetS, the presence of TT235, MM174, DD and CC1166 genotypes could be a risk factor for central obesity and dyslipidemia.","author":[{"dropping-particle":"","family":"Procopciuc","given":"Lucia Maria","non-dropping-particle":"","parse-names":false,"suffix":""},{"dropping-particle":"","family":"Sitar-Tăut","given":"Adela","non-dropping-particle":"","parse-names":false,"suffix":""},{"dropping-particle":"","family":"Pop","given":"Dana","non-dropping-particle":"","parse-names":false,"suffix":""},{"dropping-particle":"","family":"Sitar-Tăut","given":"Dan-Andrei","non-dropping-particle":"","parse-names":false,"suffix":""},{"dropping-particle":"","family":"Olteanu","given":"Ileana","non-dropping-particle":"","parse-names":false,"suffix":""},{"dropping-particle":"","family":"Zdrenghea","given":"Dumitru","non-dropping-particle":"","parse-names":false,"suffix":""}],"container-title":"European journal of internal medicine","id":"ITEM-1","issue":"5","issued":{"date-parts":[["2010"]]},"page":"414-418","title":"Renin angiotensin system polymorphisms in patients with metabolic syndrome (MetS).","type":"article-journal","volume":"21"},"uris":["http://www.mendeley.com/documents/?uuid=d053f321-3ac0-40f6-b633-5ab8f07df517"]}],"mendeley":{"formattedCitation":"[86]","plainTextFormattedCitation":"[86]","previouslyFormattedCitation":"[86]"},"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[86]</w:t>
      </w:r>
      <w:r w:rsidR="00EA0E64">
        <w:rPr>
          <w:rFonts w:ascii="Times New Roman" w:hAnsi="Times New Roman" w:cs="Times New Roman"/>
          <w:sz w:val="28"/>
          <w:szCs w:val="28"/>
        </w:rPr>
        <w:fldChar w:fldCharType="end"/>
      </w:r>
      <w:r w:rsidR="00D835B3">
        <w:rPr>
          <w:rFonts w:ascii="Century" w:hAnsi="Century" w:cs="Times New Roman"/>
          <w:sz w:val="28"/>
          <w:szCs w:val="28"/>
        </w:rPr>
        <w:t>.</w:t>
      </w:r>
      <w:r w:rsidR="00AB12B3">
        <w:rPr>
          <w:rFonts w:ascii="Times New Roman" w:hAnsi="Times New Roman" w:cs="Times New Roman"/>
          <w:sz w:val="28"/>
          <w:szCs w:val="28"/>
        </w:rPr>
        <w:t xml:space="preserve"> По его результатам у пациентов с АГ, имеющих полиморфизм TT235 риск разв</w:t>
      </w:r>
      <w:r w:rsidR="00C53133">
        <w:rPr>
          <w:rFonts w:ascii="Times New Roman" w:hAnsi="Times New Roman" w:cs="Times New Roman"/>
          <w:sz w:val="28"/>
          <w:szCs w:val="28"/>
        </w:rPr>
        <w:t xml:space="preserve">ития МС повышается в 1,53 раза, а </w:t>
      </w:r>
      <w:r w:rsidR="00AB12B3">
        <w:rPr>
          <w:rFonts w:ascii="Times New Roman" w:hAnsi="Times New Roman" w:cs="Times New Roman"/>
          <w:sz w:val="28"/>
          <w:szCs w:val="28"/>
        </w:rPr>
        <w:t xml:space="preserve">у имеющих полиморфизм MM174 в </w:t>
      </w:r>
      <w:r w:rsidR="00AB12B3">
        <w:rPr>
          <w:rFonts w:ascii="Times New Roman" w:hAnsi="Times New Roman" w:cs="Times New Roman"/>
          <w:sz w:val="28"/>
          <w:szCs w:val="28"/>
        </w:rPr>
        <w:lastRenderedPageBreak/>
        <w:t>1,78 раз, и у имеющих полиморфизма D/D</w:t>
      </w:r>
      <w:r w:rsidR="00CE7638">
        <w:rPr>
          <w:rFonts w:ascii="Times New Roman" w:hAnsi="Times New Roman" w:cs="Times New Roman"/>
          <w:sz w:val="28"/>
          <w:szCs w:val="28"/>
        </w:rPr>
        <w:t xml:space="preserve"> </w:t>
      </w:r>
      <w:r w:rsidR="00AB12B3">
        <w:rPr>
          <w:rFonts w:ascii="Times New Roman" w:hAnsi="Times New Roman" w:cs="Times New Roman"/>
          <w:sz w:val="28"/>
          <w:szCs w:val="28"/>
        </w:rPr>
        <w:t>гена</w:t>
      </w:r>
      <w:r w:rsidR="00CE7638">
        <w:rPr>
          <w:rFonts w:ascii="Times New Roman" w:hAnsi="Times New Roman" w:cs="Times New Roman"/>
          <w:sz w:val="28"/>
          <w:szCs w:val="28"/>
        </w:rPr>
        <w:t xml:space="preserve"> </w:t>
      </w:r>
      <w:r w:rsidR="00AB12B3">
        <w:rPr>
          <w:rFonts w:ascii="Times New Roman" w:hAnsi="Times New Roman" w:cs="Times New Roman"/>
          <w:i/>
          <w:sz w:val="28"/>
          <w:szCs w:val="28"/>
        </w:rPr>
        <w:t>ACE</w:t>
      </w:r>
      <w:r w:rsidR="00AB12B3">
        <w:rPr>
          <w:rFonts w:ascii="Times New Roman" w:hAnsi="Times New Roman" w:cs="Times New Roman"/>
          <w:sz w:val="28"/>
          <w:szCs w:val="28"/>
        </w:rPr>
        <w:t xml:space="preserve"> в 1,28 раз. Автор также оценил совокупное влияние полиморфизмов генов РААС, и обнаружил, что при наличии генотипов TT235 и MM174 в 8,15 раз повышается риск развития MС, при наличии TT235 и D/D риск выше в 4,83 раза, и при генотипе TT235 и C/C + A/C риск выше в 10,53 раза. Пациенты с АГ и МС при наличии генотипов T/T, D/D или C/C имели более высокий ИМТ по сравнению с пациентами с АГ без MС. Также у пациентов с АГ и МС при наличии генотипов TT235, MM174, D/D или CC1166 были более высокие уровни ТГ, более низкие уровни ЛПВП и большая окружность талии в сравнении с пациентами с АГ без MС. Исследование показало, что влияние полиморфизмов T174M, I/D и A1166C на развитие MС может зависеть от полиморфизма M235T. Среди пациентов с АГ и MС присутствие генотипов TT235, MM174, D/D и CC1166 может быть фактором риска центрального ожирения и дислипидемии.</w:t>
      </w:r>
    </w:p>
    <w:p w:rsidR="00AB12B3" w:rsidRDefault="00AB12B3" w:rsidP="00AB12B3">
      <w:pPr>
        <w:spacing w:after="0" w:line="240" w:lineRule="auto"/>
        <w:ind w:firstLine="708"/>
        <w:jc w:val="both"/>
        <w:rPr>
          <w:rFonts w:ascii="Times New Roman" w:hAnsi="Times New Roman" w:cs="Times New Roman"/>
          <w:sz w:val="28"/>
          <w:szCs w:val="28"/>
          <w:highlight w:val="yellow"/>
        </w:rPr>
      </w:pPr>
      <w:r>
        <w:rPr>
          <w:rFonts w:ascii="Times New Roman" w:hAnsi="Times New Roman" w:cs="Times New Roman"/>
          <w:sz w:val="28"/>
          <w:szCs w:val="28"/>
        </w:rPr>
        <w:t xml:space="preserve">Yasue S. (2010) доказал, что полиморфизм гена </w:t>
      </w:r>
      <w:r>
        <w:rPr>
          <w:rFonts w:ascii="Times New Roman" w:hAnsi="Times New Roman" w:cs="Times New Roman"/>
          <w:i/>
          <w:sz w:val="28"/>
          <w:szCs w:val="28"/>
        </w:rPr>
        <w:t>AGT</w:t>
      </w:r>
      <w:r>
        <w:rPr>
          <w:rFonts w:ascii="Times New Roman" w:hAnsi="Times New Roman" w:cs="Times New Roman"/>
          <w:sz w:val="28"/>
          <w:szCs w:val="28"/>
        </w:rPr>
        <w:t xml:space="preserve"> влияет на избыточную экспрессию ангиотензиногена в адипоцитах, что способствует увеличению веса</w:t>
      </w:r>
      <w:r w:rsidR="006249B4">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{"citationItems":[{"id":"ITEM-1","itemData":{"DOI":"10.1038/ajh.2009.263","ISSN":"08957061","abstract":"Background: The adipose tissue renin-angiotensin system (RAS) has been implicated in the pathophysiology of obesity and dysfunction of adipose tissue. However, neither regulation of angiotensinogen (AGT) expression in adipose tissue nor secretion of adipose tissue-derived AGT has been fully elucidated in humans.MethodsHuman subcutaneous abdominal adipose tissue (SAT) biopsies were performed for 46 subjects with a wide range of body mass index (BMI). Considering the mRNA level of AGT and indices of body fat mass, the amount of adipose tissue-derived AGT secretion (A-AGT-S) was estimated. Using a mouse model of obesity and weight reduction, plasma AGT levels were measured with a newly developed enzyme-linked immunosorbent assay (ELISA), and the contribution of A-AGT-S to plasma AGT levels was assessed.ResultsA-AGT-S was substantially increased in obese humans and the value was correlated with the plasma AGT level in mice. A-AGT-S and plasma AGT were higher in obese mice, whereas lower in mice with weight reduction. However, the AGT mRNA levels in the liver, kidney, and aorta were not altered in the mouse models. In both humans and mice, the AGT mRNA levels in mature adipocytes (MAs) were comparable to those in stromal-vascular cells. Coulter Multisizer analyses revealed that AGT mRNA levels in the MAs were inversely correlated with the average size of mature adipocytes.ConclusionsThis study demonstrates that adipose tissue-derived AGT is substantially augmented in obese humans, which may contribute considerably to elevated levels of circulating AGT. Adipose tissue-specific regulation of AGT provides a novel insight into the clinical implications of adipose tissue RAS in human obesity. © 2010 American Journal of Hypertension, Ltd.","author":[{"dropping-particle":"","family":"Yasue","given":"Shintaro","non-dropping-particle":"","parse-names":false,"suffix":""},{"dropping-particle":"","family":"Masuzaki","given":"Hiroaki","non-dropping-particle":"","parse-names":false,"suffix":""},{"dropping-particle":"","family":"Okada","given":"Sadanori","non-dropping-particle":"","parse-names":false,"suffix":""},{"dropping-particle":"","family":"Ishii","given":"Takako","non-dropping-particle":"","parse-names":false,"suffix":""},{"dropping-particle":"","family":"Kozuka","given":"Chisayo","non-dropping-particle":"","parse-names":false,"suffix":""},{"dropping-particle":"","family":"Tanaka","given":"Tomohiro","non-dropping-particle":"","parse-names":false,"suffix":""},{"dropping-particle":"","family":"Fujikura","given":"Junji","non-dropping-particle":"","parse-names":false,"suffix":""},{"dropping-particle":"","family":"Ebihara","given":"Ken","non-dropping-particle":"","parse-names":false,"suffix":""},{"dropping-particle":"","family":"Hosoda","given":"Kiminori","non-dropping-particle":"","parse-names":false,"suffix":""},{"dropping-particle":"","family":"Katsurada","given":"Akemi","non-dropping-particle":"","parse-names":false,"suffix":""},{"dropping-particle":"","family":"Ohashi","given":"Naro","non-dropping-particle":"","parse-names":false,"suffix":""},{"dropping-particle":"","family":"Urushihara","given":"Maki","non-dropping-particle":"","parse-names":false,"suffix":""},{"dropping-particle":"","family":"Kobori","given":"Hiroyuki","non-dropping-particle":"","parse-names":false,"suffix":""},{"dropping-particle":"","family":"Morimoto","given":"Naoki","non-dropping-particle":"","parse-names":false,"suffix":""},{"dropping-particle":"","family":"Kawazoe","given":"Takeshi","non-dropping-particle":"","parse-names":false,"suffix":""},{"dropping-particle":"","family":"Naitoh","given":"Motoko","non-dropping-particle":"","parse-names":false,"suffix":""},{"dropping-particle":"","family":"Okada","given":"Mitsuru","non-dropping-particle":"","parse-names":false,"suffix":""},{"dropping-particle":"","family":"Sakaue","given":"Hiroshi","non-dropping-particle":"","parse-names":false,"suffix":""},{"dropping-particle":"","family":"Suzuki","given":"Shigehiko","non-dropping-particle":"","parse-names":false,"suffix":""},{"dropping-particle":"","family":"Nakao","given":"Kazuwa","non-dropping-particle":"","parse-names":false,"suffix":""}],"container-title":"American Journal of Hypertension","id":"ITEM-1","issue":"4","issued":{"date-parts":[["2010"]]},"page":"425-431","title":"Adipose tissue-specific regulation of angiotensinogen in obese humans and mice: Impact of nutritional status and adipocyte hypertrophy","type":"article-journal","volume":"23"},"uris":["http://www.mendeley.com/documents/?uuid=bc7e5903-acae-41dc-af68-4f3d6af5bea2","http://www.mendeley.com/documents/?uuid=3a605099-72d9-49e0-a704-3fdab62c7c14"]}],"mendeley":{"formattedCitation":"[87]","plainTextFormattedCitation":"[87]","previouslyFormattedCitation":"[87]"},"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[87]</w:t>
      </w:r>
      <w:r w:rsidR="00EA0E64">
        <w:rPr>
          <w:rFonts w:ascii="Times New Roman" w:hAnsi="Times New Roman" w:cs="Times New Roman"/>
          <w:sz w:val="28"/>
          <w:szCs w:val="28"/>
        </w:rPr>
        <w:fldChar w:fldCharType="end"/>
      </w:r>
      <w:r>
        <w:rPr>
          <w:rFonts w:ascii="Times New Roman" w:hAnsi="Times New Roman" w:cs="Times New Roman"/>
          <w:sz w:val="28"/>
          <w:szCs w:val="28"/>
        </w:rPr>
        <w:t>. Это</w:t>
      </w:r>
      <w:r w:rsidR="00C53133">
        <w:rPr>
          <w:rFonts w:ascii="Times New Roman" w:hAnsi="Times New Roman" w:cs="Times New Roman"/>
          <w:sz w:val="28"/>
          <w:szCs w:val="28"/>
        </w:rPr>
        <w:t>т</w:t>
      </w:r>
      <w:r w:rsidR="00A8695C">
        <w:rPr>
          <w:rFonts w:ascii="Times New Roman" w:hAnsi="Times New Roman" w:cs="Times New Roman"/>
          <w:sz w:val="28"/>
          <w:szCs w:val="28"/>
        </w:rPr>
        <w:t xml:space="preserve"> </w:t>
      </w:r>
      <w:r w:rsidR="00C53133">
        <w:rPr>
          <w:rFonts w:ascii="Times New Roman" w:hAnsi="Times New Roman" w:cs="Times New Roman"/>
          <w:sz w:val="28"/>
          <w:szCs w:val="28"/>
        </w:rPr>
        <w:t>результат</w:t>
      </w:r>
      <w:r>
        <w:rPr>
          <w:rFonts w:ascii="Times New Roman" w:hAnsi="Times New Roman" w:cs="Times New Roman"/>
          <w:sz w:val="28"/>
          <w:szCs w:val="28"/>
        </w:rPr>
        <w:t xml:space="preserve"> демонстрирует, что ангиотензиноген, </w:t>
      </w:r>
      <w:r w:rsidR="00E32439">
        <w:rPr>
          <w:rFonts w:ascii="Times New Roman" w:hAnsi="Times New Roman" w:cs="Times New Roman"/>
          <w:sz w:val="28"/>
          <w:szCs w:val="28"/>
        </w:rPr>
        <w:t>продуцируемый</w:t>
      </w:r>
      <w:r>
        <w:rPr>
          <w:rFonts w:ascii="Times New Roman" w:hAnsi="Times New Roman" w:cs="Times New Roman"/>
          <w:sz w:val="28"/>
          <w:szCs w:val="28"/>
        </w:rPr>
        <w:t xml:space="preserve"> жировой ткан</w:t>
      </w:r>
      <w:r w:rsidR="00E32439">
        <w:rPr>
          <w:rFonts w:ascii="Times New Roman" w:hAnsi="Times New Roman" w:cs="Times New Roman"/>
          <w:sz w:val="28"/>
          <w:szCs w:val="28"/>
        </w:rPr>
        <w:t>ью</w:t>
      </w:r>
      <w:r>
        <w:rPr>
          <w:rFonts w:ascii="Times New Roman" w:hAnsi="Times New Roman" w:cs="Times New Roman"/>
          <w:sz w:val="28"/>
          <w:szCs w:val="28"/>
        </w:rPr>
        <w:t xml:space="preserve">, существенно повышается у людей с ожирением, что может вносить значительный вклад в повышение </w:t>
      </w:r>
      <w:r w:rsidR="007C3CBA">
        <w:rPr>
          <w:rFonts w:ascii="Times New Roman" w:hAnsi="Times New Roman" w:cs="Times New Roman"/>
          <w:sz w:val="28"/>
          <w:szCs w:val="28"/>
        </w:rPr>
        <w:t>уровня</w:t>
      </w:r>
      <w:r>
        <w:rPr>
          <w:rFonts w:ascii="Times New Roman" w:hAnsi="Times New Roman" w:cs="Times New Roman"/>
          <w:sz w:val="28"/>
          <w:szCs w:val="28"/>
        </w:rPr>
        <w:t xml:space="preserve"> циркулирующего ангиотензиногена. Специфическая регуляция ангиотензиногена в жировой ткани позволяет по-новому взглянуть на клиническое значение РААС у </w:t>
      </w:r>
      <w:r w:rsidR="00E32439">
        <w:rPr>
          <w:rFonts w:ascii="Times New Roman" w:hAnsi="Times New Roman" w:cs="Times New Roman"/>
          <w:sz w:val="28"/>
          <w:szCs w:val="28"/>
        </w:rPr>
        <w:t>людей</w:t>
      </w:r>
      <w:r>
        <w:rPr>
          <w:rFonts w:ascii="Times New Roman" w:hAnsi="Times New Roman" w:cs="Times New Roman"/>
          <w:sz w:val="28"/>
          <w:szCs w:val="28"/>
        </w:rPr>
        <w:t xml:space="preserve"> с ожирением.</w:t>
      </w:r>
    </w:p>
    <w:p w:rsidR="00AB12B3" w:rsidRDefault="00683101"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Изучая распространенность МС и предполагаемые генетические предикторы у канадцев </w:t>
      </w:r>
      <w:r w:rsidR="00AB12B3">
        <w:rPr>
          <w:rFonts w:ascii="Times New Roman" w:hAnsi="Times New Roman" w:cs="Times New Roman"/>
          <w:sz w:val="28"/>
          <w:szCs w:val="28"/>
        </w:rPr>
        <w:t xml:space="preserve">Pollex R. </w:t>
      </w:r>
      <w:r>
        <w:rPr>
          <w:rFonts w:ascii="Times New Roman" w:hAnsi="Times New Roman" w:cs="Times New Roman"/>
          <w:sz w:val="28"/>
          <w:szCs w:val="28"/>
        </w:rPr>
        <w:t>о</w:t>
      </w:r>
      <w:r w:rsidR="00AB12B3">
        <w:rPr>
          <w:rFonts w:ascii="Times New Roman" w:hAnsi="Times New Roman" w:cs="Times New Roman"/>
          <w:sz w:val="28"/>
          <w:szCs w:val="28"/>
        </w:rPr>
        <w:t>бнаружил</w:t>
      </w:r>
      <w:r>
        <w:rPr>
          <w:rFonts w:ascii="Times New Roman" w:hAnsi="Times New Roman" w:cs="Times New Roman"/>
          <w:sz w:val="28"/>
          <w:szCs w:val="28"/>
        </w:rPr>
        <w:t xml:space="preserve"> (2006)</w:t>
      </w:r>
      <w:r w:rsidR="00AB12B3">
        <w:rPr>
          <w:rFonts w:ascii="Times New Roman" w:hAnsi="Times New Roman" w:cs="Times New Roman"/>
          <w:sz w:val="28"/>
          <w:szCs w:val="28"/>
        </w:rPr>
        <w:t xml:space="preserve">, что полиморфизмы гена </w:t>
      </w:r>
      <w:r w:rsidR="00AB12B3">
        <w:rPr>
          <w:rFonts w:ascii="Times New Roman" w:hAnsi="Times New Roman" w:cs="Times New Roman"/>
          <w:i/>
          <w:sz w:val="28"/>
          <w:szCs w:val="28"/>
        </w:rPr>
        <w:t>AGT</w:t>
      </w:r>
      <w:r w:rsidR="00AB12B3">
        <w:rPr>
          <w:rFonts w:ascii="Times New Roman" w:hAnsi="Times New Roman" w:cs="Times New Roman"/>
          <w:sz w:val="28"/>
          <w:szCs w:val="28"/>
        </w:rPr>
        <w:t xml:space="preserve"> </w:t>
      </w:r>
      <w:r w:rsidR="00E32439">
        <w:rPr>
          <w:rFonts w:ascii="Times New Roman" w:hAnsi="Times New Roman" w:cs="Times New Roman"/>
          <w:sz w:val="28"/>
          <w:szCs w:val="28"/>
        </w:rPr>
        <w:t xml:space="preserve">(T174M и M235T) </w:t>
      </w:r>
      <w:r w:rsidR="00AB12B3">
        <w:rPr>
          <w:rFonts w:ascii="Times New Roman" w:hAnsi="Times New Roman" w:cs="Times New Roman"/>
          <w:sz w:val="28"/>
          <w:szCs w:val="28"/>
        </w:rPr>
        <w:t xml:space="preserve">связаны с предрасположенностью к МС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{"citationItems":[{"id":"ITEM-1","itemData":{"DOI":"10.1016/j.atherosclerosis.2005.03.024","ISSN":"00219150","author":[{"dropping-particle":"","family":"Pollex","given":"Rebecca L.","non-dropping-particle":"","parse-names":false,"suffix":""},{"dropping-particle":"","family":"Hanley","given":"Anthony J.G.","non-dropping-particle":"","parse-names":false,"suffix":""},{"dropping-particle":"","family":"Zinman","given":"Bernard","non-dropping-particle":"","parse-names":false,"suffix":""},{"dropping-particle":"","family":"Harris","given":"Stewart B.","non-dropping-particle":"","parse-names":false,"suffix":""},{"dropping-particle":"","family":"Khan","given":"Hafiz M.R.","non-dropping-particle":"","parse-names":false,"suffix":""},{"dropping-particle":"","family":"Hegele","given":"Robert A.","non-dropping-particle":"","parse-names":false,"suffix":""}],"container-title":"Atherosclerosis","id":"ITEM-1","issue":"1","issued":{"date-parts":[["2006","1"]]},"page":"121-129","title":"Metabolic syndrome in aboriginal Canadians: Prevalence and genetic associations","type":"article-journal","volume":"184"},"uris":["http://www.mendeley.com/documents/?uuid=5ad0a5bd-f5b9-4266-9429-e388ef66caec","http://www.mendeley.com/documents/?uuid=34c1b6ef-c9d6-401c-b788-76c4b6e7373e"]}],"mendeley":{"formattedCitation":"[88]","plainTextFormattedCitation":"[88]","previouslyFormattedCitation":"[88]"},"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[88]</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Mehri S. (2010) выяв</w:t>
      </w:r>
      <w:r w:rsidR="00E35BCC">
        <w:rPr>
          <w:rFonts w:ascii="Times New Roman" w:hAnsi="Times New Roman" w:cs="Times New Roman"/>
          <w:sz w:val="28"/>
          <w:szCs w:val="28"/>
        </w:rPr>
        <w:t>и</w:t>
      </w:r>
      <w:r w:rsidR="00AB12B3">
        <w:rPr>
          <w:rFonts w:ascii="Times New Roman" w:hAnsi="Times New Roman" w:cs="Times New Roman"/>
          <w:sz w:val="28"/>
          <w:szCs w:val="28"/>
        </w:rPr>
        <w:t xml:space="preserve">л </w:t>
      </w:r>
      <w:r w:rsidR="00E32439">
        <w:rPr>
          <w:rFonts w:ascii="Times New Roman" w:hAnsi="Times New Roman" w:cs="Times New Roman"/>
          <w:sz w:val="28"/>
          <w:szCs w:val="28"/>
        </w:rPr>
        <w:t>ассоциацию</w:t>
      </w:r>
      <w:r w:rsidR="00AB12B3">
        <w:rPr>
          <w:rFonts w:ascii="Times New Roman" w:hAnsi="Times New Roman" w:cs="Times New Roman"/>
          <w:sz w:val="28"/>
          <w:szCs w:val="28"/>
        </w:rPr>
        <w:t xml:space="preserve"> полиморфизмов генов РААС, таких как </w:t>
      </w:r>
      <w:r w:rsidR="00AB12B3">
        <w:rPr>
          <w:rFonts w:ascii="Times New Roman" w:hAnsi="Times New Roman" w:cs="Times New Roman"/>
          <w:i/>
          <w:sz w:val="28"/>
          <w:szCs w:val="28"/>
        </w:rPr>
        <w:t xml:space="preserve">AGT </w:t>
      </w:r>
      <w:r w:rsidR="00D10894">
        <w:rPr>
          <w:rFonts w:ascii="Times New Roman" w:hAnsi="Times New Roman" w:cs="Times New Roman"/>
          <w:sz w:val="28"/>
          <w:szCs w:val="28"/>
        </w:rPr>
        <w:t>(</w:t>
      </w:r>
      <w:r w:rsidR="00AB12B3">
        <w:rPr>
          <w:rFonts w:ascii="Times New Roman" w:hAnsi="Times New Roman" w:cs="Times New Roman"/>
          <w:sz w:val="28"/>
          <w:szCs w:val="28"/>
        </w:rPr>
        <w:t>M235T</w:t>
      </w:r>
      <w:r w:rsidR="00D10894">
        <w:rPr>
          <w:rFonts w:ascii="Times New Roman" w:hAnsi="Times New Roman" w:cs="Times New Roman"/>
          <w:sz w:val="28"/>
          <w:szCs w:val="28"/>
        </w:rPr>
        <w:t>)</w:t>
      </w:r>
      <w:r w:rsidR="00AB12B3">
        <w:rPr>
          <w:rFonts w:ascii="Times New Roman" w:hAnsi="Times New Roman" w:cs="Times New Roman"/>
          <w:sz w:val="28"/>
          <w:szCs w:val="28"/>
        </w:rPr>
        <w:t xml:space="preserve">, </w:t>
      </w:r>
      <w:r w:rsidR="00AB12B3">
        <w:rPr>
          <w:rFonts w:ascii="Times New Roman" w:hAnsi="Times New Roman" w:cs="Times New Roman"/>
          <w:i/>
          <w:sz w:val="28"/>
          <w:szCs w:val="28"/>
        </w:rPr>
        <w:t xml:space="preserve">ACE </w:t>
      </w:r>
      <w:r w:rsidR="00D10894">
        <w:rPr>
          <w:rFonts w:ascii="Times New Roman" w:hAnsi="Times New Roman" w:cs="Times New Roman"/>
          <w:sz w:val="28"/>
          <w:szCs w:val="28"/>
        </w:rPr>
        <w:t>(</w:t>
      </w:r>
      <w:r w:rsidR="00AB12B3">
        <w:rPr>
          <w:rFonts w:ascii="Times New Roman" w:hAnsi="Times New Roman" w:cs="Times New Roman"/>
          <w:sz w:val="28"/>
          <w:szCs w:val="28"/>
        </w:rPr>
        <w:t>I/D</w:t>
      </w:r>
      <w:r w:rsidR="00D10894">
        <w:rPr>
          <w:rFonts w:ascii="Times New Roman" w:hAnsi="Times New Roman" w:cs="Times New Roman"/>
          <w:sz w:val="28"/>
          <w:szCs w:val="28"/>
        </w:rPr>
        <w:t>)</w:t>
      </w:r>
      <w:r w:rsidR="00AB12B3">
        <w:rPr>
          <w:rFonts w:ascii="Times New Roman" w:hAnsi="Times New Roman" w:cs="Times New Roman"/>
          <w:sz w:val="28"/>
          <w:szCs w:val="28"/>
        </w:rPr>
        <w:t>,</w:t>
      </w:r>
      <w:r w:rsidR="00AB12B3">
        <w:rPr>
          <w:rFonts w:ascii="Times New Roman" w:hAnsi="Times New Roman" w:cs="Times New Roman"/>
          <w:i/>
          <w:sz w:val="28"/>
          <w:szCs w:val="28"/>
        </w:rPr>
        <w:t xml:space="preserve"> AGTR1</w:t>
      </w:r>
      <w:r w:rsidR="00AB12B3">
        <w:rPr>
          <w:rFonts w:ascii="Times New Roman" w:hAnsi="Times New Roman" w:cs="Times New Roman"/>
          <w:sz w:val="28"/>
          <w:szCs w:val="28"/>
        </w:rPr>
        <w:t xml:space="preserve"> </w:t>
      </w:r>
      <w:r w:rsidR="00D10894">
        <w:rPr>
          <w:rFonts w:ascii="Times New Roman" w:hAnsi="Times New Roman" w:cs="Times New Roman"/>
          <w:sz w:val="28"/>
          <w:szCs w:val="28"/>
        </w:rPr>
        <w:t>(</w:t>
      </w:r>
      <w:r w:rsidR="00AB12B3">
        <w:rPr>
          <w:rFonts w:ascii="Times New Roman" w:hAnsi="Times New Roman" w:cs="Times New Roman"/>
          <w:sz w:val="28"/>
          <w:szCs w:val="28"/>
        </w:rPr>
        <w:t>A1166C</w:t>
      </w:r>
      <w:r w:rsidR="00D10894">
        <w:rPr>
          <w:rFonts w:ascii="Times New Roman" w:hAnsi="Times New Roman" w:cs="Times New Roman"/>
          <w:sz w:val="28"/>
          <w:szCs w:val="28"/>
        </w:rPr>
        <w:t>)</w:t>
      </w:r>
      <w:r w:rsidR="00AB12B3">
        <w:rPr>
          <w:rFonts w:ascii="Times New Roman" w:hAnsi="Times New Roman" w:cs="Times New Roman"/>
          <w:sz w:val="28"/>
          <w:szCs w:val="28"/>
        </w:rPr>
        <w:t xml:space="preserve"> с СД 2 типа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lfs.2010.05.010","ISSN":"00243205","author":[{"dropping-particle":"","family":"Mehri","given":"Sounira","non-dropping-particle":"","parse-names":false,"suffix":""},{"dropping-particle":"","family":"Koubaa","given":"Nadia","non-dropping-particle":"","parse-names":false,"suffix":""},{"dropping-particle":"","family":"Hammami","given":"Sonia","non-dropping-particle":"","parse-names":false,"suffix":""},{"dropping-particle":"","family":"Mahjoub","given":"Sinda","non-dropping-particle":"","parse-names":false,"suffix":""},{"dropping-particle":"","family":"Chaaba","given":"Raja","non-dropping-particle":"","parse-names":false,"suffix":""},{"dropping-particle":"","family":"Nakbi","given":"Amel","non-dropping-particle":"","parse-names":false,"suffix":""},{"dropping-particle":"","family":"Zouari","given":"Bechir","non-dropping-particle":"","parse-names":false,"suffix":""},{"dropping-particle":"","family":"Abid","given":"Mohamed","non-dropping-particle":"","parse-names":false,"suffix":""},{"dropping-particle":"Ben","family":"Arab","given":"Saida","non-dropping-particle":"","parse-names":false,"suffix":""},{"dropping-particle":"","family":"Baudin","given":"Bruno","non-dropping-particle":"","parse-names":false,"suffix":""},{"dropping-particle":"","family":"Hammami","given":"Mohamed","non-dropping-particle":"","parse-names":false,"suffix":""}],"container-title":"Life Sciences","id":"ITEM-1","issue":"1-2","issued":{"date-parts":[["2010","7"]]},"page":"49-54","title":"Genotypic interactions of renin–angiotensin system genes with diabetes type 2 in a Tunisian population","type":"article-journal","volume":"87"},"uris":["http://www.mendeley.com/documents/?uuid=252d8f29-d1a8-457f-93f7-cf6fd10fb9de","http://www.mendeley.com/documents/?uuid=90d9e56c-60ad-438e-affa-5c6243d75e33"]}],"mendeley":{"formattedCitation":"[89]","plainTextFormattedCitation":"[89]","previouslyFormattedCitation":"[89]"},"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[89]</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Watkins</w:t>
      </w:r>
      <w:r w:rsidR="006249B4">
        <w:rPr>
          <w:rFonts w:ascii="Times New Roman" w:hAnsi="Times New Roman" w:cs="Times New Roman"/>
          <w:sz w:val="28"/>
          <w:szCs w:val="28"/>
        </w:rPr>
        <w:t xml:space="preserve"> </w:t>
      </w:r>
      <w:r w:rsidR="007C3CBA">
        <w:rPr>
          <w:rFonts w:ascii="Times New Roman" w:hAnsi="Times New Roman" w:cs="Times New Roman"/>
          <w:sz w:val="28"/>
          <w:szCs w:val="28"/>
        </w:rPr>
        <w:t xml:space="preserve">W. </w:t>
      </w:r>
      <w:r>
        <w:rPr>
          <w:rFonts w:ascii="Times New Roman" w:hAnsi="Times New Roman" w:cs="Times New Roman"/>
          <w:sz w:val="28"/>
          <w:szCs w:val="28"/>
        </w:rPr>
        <w:t xml:space="preserve">и группа ученых (2010) протестировали взаимосвязь между полиморфизмами гена </w:t>
      </w:r>
      <w:r>
        <w:rPr>
          <w:rFonts w:ascii="Times New Roman" w:hAnsi="Times New Roman" w:cs="Times New Roman"/>
          <w:i/>
          <w:sz w:val="28"/>
          <w:szCs w:val="28"/>
        </w:rPr>
        <w:t>AGT</w:t>
      </w:r>
      <w:r>
        <w:rPr>
          <w:rFonts w:ascii="Times New Roman" w:hAnsi="Times New Roman" w:cs="Times New Roman"/>
          <w:sz w:val="28"/>
          <w:szCs w:val="28"/>
        </w:rPr>
        <w:t xml:space="preserve"> и АГ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{"citationItems":[{"id":"ITEM-1","itemData":{"DOI":"10.1097/HJH.0b013e328332031a","ISSN":"0263-6352","author":[{"dropping-particle":"","family":"Watkins","given":"W Scott","non-dropping-particle":"","parse-names":false,"suffix":""},{"dropping-particle":"","family":"Hunt","given":"Steven C","non-dropping-particle":"","parse-names":false,"suffix":""},{"dropping-particle":"","family":"Williams","given":"Gordon H","non-dropping-particle":"","parse-names":false,"suffix":""},{"dropping-particle":"","family":"Tolpinrud","given":"Whitney","non-dropping-particle":"","parse-names":false,"suffix":""},{"dropping-particle":"","family":"Jeunemaitre","given":"Xavier","non-dropping-particle":"","parse-names":false,"suffix":""},{"dropping-particle":"","family":"Lalouel","given":"Jean-marc","non-dropping-particle":"","parse-names":false,"suffix":""},{"dropping-particle":"","family":"Jorde","given":"Lynn B","non-dropping-particle":"","parse-names":false,"suffix":""}],"container-title":"Journal of Hypertension","id":"ITEM-1","issue":"1","issued":{"date-parts":[["2010","1"]]},"page":"65-75","title":"Genotype–phenotype analysis of angiotensinogen polymorphisms and essential hypertension: the importance of haplotypes","type":"article-journal","volume":"28"},"uris":["http://www.mendeley.com/documents/?uuid=c1711935-47b4-4ff6-8ff4-70000b62c0d3"]}],"mendeley":{"formattedCitation":"[90]","plainTextFormattedCitation":"[90]","previouslyFormattedCitation":"[90]"},"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[90]</w:t>
      </w:r>
      <w:r w:rsidR="00EA0E64">
        <w:rPr>
          <w:rFonts w:ascii="Times New Roman" w:hAnsi="Times New Roman" w:cs="Times New Roman"/>
          <w:sz w:val="28"/>
          <w:szCs w:val="28"/>
        </w:rPr>
        <w:fldChar w:fldCharType="end"/>
      </w:r>
      <w:r w:rsidR="003C31E0">
        <w:rPr>
          <w:rFonts w:ascii="Century" w:hAnsi="Century" w:cs="Times New Roman"/>
          <w:sz w:val="28"/>
          <w:szCs w:val="28"/>
        </w:rPr>
        <w:t>.</w:t>
      </w:r>
      <w:r w:rsidR="00E74A8F">
        <w:rPr>
          <w:rFonts w:ascii="Times New Roman" w:hAnsi="Times New Roman" w:cs="Times New Roman"/>
          <w:sz w:val="28"/>
          <w:szCs w:val="28"/>
        </w:rPr>
        <w:t xml:space="preserve"> По их </w:t>
      </w:r>
      <w:r>
        <w:rPr>
          <w:rFonts w:ascii="Times New Roman" w:hAnsi="Times New Roman" w:cs="Times New Roman"/>
          <w:sz w:val="28"/>
          <w:szCs w:val="28"/>
        </w:rPr>
        <w:t>результата</w:t>
      </w:r>
      <w:r w:rsidR="00E74A8F">
        <w:rPr>
          <w:rFonts w:ascii="Times New Roman" w:hAnsi="Times New Roman" w:cs="Times New Roman"/>
          <w:sz w:val="28"/>
          <w:szCs w:val="28"/>
        </w:rPr>
        <w:t>м</w:t>
      </w:r>
      <w:r w:rsidR="006249B4">
        <w:rPr>
          <w:rFonts w:ascii="Times New Roman" w:hAnsi="Times New Roman" w:cs="Times New Roman"/>
          <w:sz w:val="28"/>
          <w:szCs w:val="28"/>
        </w:rPr>
        <w:t xml:space="preserve"> </w:t>
      </w:r>
      <w:r w:rsidR="00E74A8F">
        <w:rPr>
          <w:rFonts w:ascii="Times New Roman" w:hAnsi="Times New Roman" w:cs="Times New Roman"/>
          <w:sz w:val="28"/>
          <w:szCs w:val="28"/>
        </w:rPr>
        <w:t xml:space="preserve">выявлены </w:t>
      </w:r>
      <w:r>
        <w:rPr>
          <w:rFonts w:ascii="Times New Roman" w:hAnsi="Times New Roman" w:cs="Times New Roman"/>
          <w:sz w:val="28"/>
          <w:szCs w:val="28"/>
        </w:rPr>
        <w:t xml:space="preserve">ассоциации между аллелями гена </w:t>
      </w:r>
      <w:r>
        <w:rPr>
          <w:rFonts w:ascii="Times New Roman" w:hAnsi="Times New Roman" w:cs="Times New Roman"/>
          <w:i/>
          <w:sz w:val="28"/>
          <w:szCs w:val="28"/>
        </w:rPr>
        <w:t>AGT</w:t>
      </w:r>
      <w:r w:rsidR="003C31E0">
        <w:rPr>
          <w:rFonts w:ascii="Century" w:hAnsi="Century" w:cs="Times New Roman"/>
          <w:iCs/>
          <w:sz w:val="28"/>
          <w:szCs w:val="28"/>
        </w:rPr>
        <w:t>,</w:t>
      </w:r>
      <w:r>
        <w:rPr>
          <w:rFonts w:ascii="Times New Roman" w:hAnsi="Times New Roman" w:cs="Times New Roman"/>
          <w:sz w:val="28"/>
          <w:szCs w:val="28"/>
        </w:rPr>
        <w:t xml:space="preserve"> уровнем ангиотензиногена в плазме и АГ в европейских популяциях</w:t>
      </w:r>
      <w:r w:rsidR="003C31E0">
        <w:rPr>
          <w:rFonts w:ascii="Century" w:hAnsi="Century" w:cs="Times New Roman"/>
          <w:sz w:val="28"/>
          <w:szCs w:val="28"/>
        </w:rPr>
        <w:t>.</w:t>
      </w:r>
      <w:r>
        <w:rPr>
          <w:rFonts w:ascii="Times New Roman" w:hAnsi="Times New Roman" w:cs="Times New Roman"/>
          <w:sz w:val="28"/>
          <w:szCs w:val="28"/>
        </w:rPr>
        <w:t xml:space="preserve"> Также они </w:t>
      </w:r>
      <w:r w:rsidR="009654A2">
        <w:rPr>
          <w:rFonts w:ascii="Times New Roman" w:hAnsi="Times New Roman" w:cs="Times New Roman"/>
          <w:sz w:val="28"/>
          <w:szCs w:val="28"/>
        </w:rPr>
        <w:t>выявили</w:t>
      </w:r>
      <w:r>
        <w:rPr>
          <w:rFonts w:ascii="Times New Roman" w:hAnsi="Times New Roman" w:cs="Times New Roman"/>
          <w:sz w:val="28"/>
          <w:szCs w:val="28"/>
        </w:rPr>
        <w:t xml:space="preserve"> связь генотипа </w:t>
      </w:r>
      <w:r>
        <w:rPr>
          <w:rFonts w:ascii="Times New Roman" w:hAnsi="Times New Roman" w:cs="Times New Roman"/>
          <w:i/>
          <w:sz w:val="28"/>
          <w:szCs w:val="28"/>
        </w:rPr>
        <w:t>AGT</w:t>
      </w:r>
      <w:r>
        <w:rPr>
          <w:rFonts w:ascii="Times New Roman" w:hAnsi="Times New Roman" w:cs="Times New Roman"/>
          <w:sz w:val="28"/>
          <w:szCs w:val="28"/>
        </w:rPr>
        <w:t xml:space="preserve"> и уровня ангиотензиногена в плазме с ионами натрия</w:t>
      </w:r>
      <w:r w:rsidR="003C31E0">
        <w:rPr>
          <w:rFonts w:ascii="Century" w:hAnsi="Century" w:cs="Times New Roman"/>
          <w:sz w:val="28"/>
          <w:szCs w:val="28"/>
        </w:rPr>
        <w:t>.</w:t>
      </w:r>
      <w:r>
        <w:rPr>
          <w:rFonts w:ascii="Times New Roman" w:hAnsi="Times New Roman" w:cs="Times New Roman"/>
          <w:sz w:val="28"/>
          <w:szCs w:val="28"/>
        </w:rPr>
        <w:t xml:space="preserve"> Так</w:t>
      </w:r>
      <w:r w:rsidR="003C31E0">
        <w:rPr>
          <w:rFonts w:ascii="Century" w:hAnsi="Century" w:cs="Times New Roman"/>
          <w:sz w:val="28"/>
          <w:szCs w:val="28"/>
        </w:rPr>
        <w:t>,</w:t>
      </w:r>
      <w:r>
        <w:rPr>
          <w:rFonts w:ascii="Times New Roman" w:hAnsi="Times New Roman" w:cs="Times New Roman"/>
          <w:sz w:val="28"/>
          <w:szCs w:val="28"/>
        </w:rPr>
        <w:t xml:space="preserve"> изменения в гене </w:t>
      </w:r>
      <w:r w:rsidRPr="002961BA">
        <w:rPr>
          <w:rFonts w:ascii="Times New Roman" w:hAnsi="Times New Roman" w:cs="Times New Roman"/>
          <w:i/>
          <w:sz w:val="28"/>
          <w:szCs w:val="28"/>
        </w:rPr>
        <w:t>AG</w:t>
      </w:r>
      <w:r w:rsidR="002961BA" w:rsidRPr="002961BA">
        <w:rPr>
          <w:rFonts w:ascii="Times New Roman" w:hAnsi="Times New Roman" w:cs="Times New Roman"/>
          <w:i/>
          <w:sz w:val="28"/>
          <w:szCs w:val="28"/>
        </w:rPr>
        <w:t>T</w:t>
      </w:r>
      <w:r w:rsidR="002961BA">
        <w:rPr>
          <w:rFonts w:ascii="Times New Roman" w:hAnsi="Times New Roman" w:cs="Times New Roman"/>
          <w:sz w:val="28"/>
          <w:szCs w:val="28"/>
        </w:rPr>
        <w:t xml:space="preserve"> в сочетании с </w:t>
      </w:r>
      <w:r>
        <w:rPr>
          <w:rFonts w:ascii="Times New Roman" w:hAnsi="Times New Roman" w:cs="Times New Roman"/>
          <w:sz w:val="28"/>
          <w:szCs w:val="28"/>
        </w:rPr>
        <w:t xml:space="preserve">повышенным уровнем ангиотензиногена чаще </w:t>
      </w:r>
      <w:r w:rsidR="00D20528">
        <w:rPr>
          <w:rFonts w:ascii="Times New Roman" w:hAnsi="Times New Roman" w:cs="Times New Roman"/>
          <w:sz w:val="28"/>
          <w:szCs w:val="28"/>
        </w:rPr>
        <w:t>сочет</w:t>
      </w:r>
      <w:r w:rsidR="00E74A8F">
        <w:rPr>
          <w:rFonts w:ascii="Times New Roman" w:hAnsi="Times New Roman" w:cs="Times New Roman"/>
          <w:sz w:val="28"/>
          <w:szCs w:val="28"/>
        </w:rPr>
        <w:t xml:space="preserve">ался </w:t>
      </w:r>
      <w:r>
        <w:rPr>
          <w:rFonts w:ascii="Times New Roman" w:hAnsi="Times New Roman" w:cs="Times New Roman"/>
          <w:sz w:val="28"/>
          <w:szCs w:val="28"/>
        </w:rPr>
        <w:t>с понижением уровня ионов натрия</w:t>
      </w:r>
      <w:r w:rsidR="00154419">
        <w:rPr>
          <w:rFonts w:ascii="Times New Roman" w:hAnsi="Times New Roman" w:cs="Times New Roman"/>
          <w:sz w:val="28"/>
          <w:szCs w:val="28"/>
        </w:rPr>
        <w:t xml:space="preserve"> </w:t>
      </w:r>
      <w:r w:rsidR="002961BA">
        <w:rPr>
          <w:rFonts w:ascii="Times New Roman" w:hAnsi="Times New Roman" w:cs="Times New Roman"/>
          <w:sz w:val="28"/>
          <w:szCs w:val="28"/>
        </w:rPr>
        <w:t>в плазме</w:t>
      </w:r>
      <w:r w:rsidR="003C31E0">
        <w:rPr>
          <w:rFonts w:ascii="Century" w:hAnsi="Century" w:cs="Times New Roman"/>
          <w:sz w:val="28"/>
          <w:szCs w:val="28"/>
        </w:rPr>
        <w:t>.</w:t>
      </w:r>
      <w:r>
        <w:rPr>
          <w:rFonts w:ascii="Times New Roman" w:hAnsi="Times New Roman" w:cs="Times New Roman"/>
          <w:sz w:val="28"/>
          <w:szCs w:val="28"/>
        </w:rPr>
        <w:t xml:space="preserve"> Этим феноменом авторы объясняли разность результатов предыдущих исследований</w:t>
      </w:r>
      <w:r w:rsidR="00D20528">
        <w:rPr>
          <w:rFonts w:ascii="Times New Roman" w:hAnsi="Times New Roman" w:cs="Times New Roman"/>
          <w:sz w:val="28"/>
          <w:szCs w:val="28"/>
        </w:rPr>
        <w:t>, также им</w:t>
      </w:r>
      <w:r w:rsidR="00593243">
        <w:rPr>
          <w:rFonts w:ascii="Times New Roman" w:hAnsi="Times New Roman" w:cs="Times New Roman"/>
          <w:sz w:val="28"/>
          <w:szCs w:val="28"/>
        </w:rPr>
        <w:t>и</w:t>
      </w:r>
      <w:r w:rsidR="00D20528">
        <w:rPr>
          <w:rFonts w:ascii="Times New Roman" w:hAnsi="Times New Roman" w:cs="Times New Roman"/>
          <w:sz w:val="28"/>
          <w:szCs w:val="28"/>
        </w:rPr>
        <w:t xml:space="preserve"> рекомендовано</w:t>
      </w:r>
      <w:r>
        <w:rPr>
          <w:rFonts w:ascii="Times New Roman" w:hAnsi="Times New Roman" w:cs="Times New Roman"/>
          <w:sz w:val="28"/>
          <w:szCs w:val="28"/>
        </w:rPr>
        <w:t xml:space="preserve"> в будущих исследованиях учитывать </w:t>
      </w:r>
      <w:r w:rsidR="00D20528">
        <w:rPr>
          <w:rFonts w:ascii="Times New Roman" w:hAnsi="Times New Roman" w:cs="Times New Roman"/>
          <w:sz w:val="28"/>
          <w:szCs w:val="28"/>
        </w:rPr>
        <w:t xml:space="preserve">вышеуказанный показатель </w:t>
      </w:r>
      <w:r w:rsidR="00EA0E64">
        <w:rPr>
          <w:rFonts w:ascii="Times New Roman" w:hAnsi="Times New Roman" w:cs="Times New Roman"/>
          <w:sz w:val="28"/>
          <w:szCs w:val="28"/>
        </w:rPr>
        <w:fldChar w:fldCharType="begin" w:fldLock="1"/>
      </w:r>
      <w:r w:rsidR="008E155C">
        <w:rPr>
          <w:rFonts w:ascii="Times New Roman" w:hAnsi="Times New Roman" w:cs="Times New Roman"/>
          <w:sz w:val="28"/>
          <w:szCs w:val="28"/>
        </w:rPr>
        <w:instrText>ADDIN CSL_CITATION {"citationItems":[{"id":"ITEM-1","itemData":{"DOI":"10.1097/HJH.0b013e328332031a","ISSN":"0263-6352","author":[{"dropping-particle":"","family":"Watkins","given":"W Scott","non-dropping-particle":"","parse-names":false,"suffix":""},{"dropping-particle":"","family":"Hunt","given":"Steven C","non-dropping-particle":"","parse-names":false,"suffix":""},{"dropping-particle":"","family":"Williams","given":"Gordon H","non-dropping-particle":"","parse-names":false,"suffix":""},{"dropping-particle":"","family":"Tolpinrud","given":"Whitney","non-dropping-particle":"","parse-names":false,"suffix":""},{"dropping-particle":"","family":"Jeunemaitre","given":"Xavier","non-dropping-particle":"","parse-names":false,"suffix":""},{"dropping-particle":"","family":"Lalouel","given":"Jean-marc","non-dropping-particle":"","parse-names":false,"suffix":""},{"dropping-particle":"","family":"Jorde","given":"Lynn B","non-dropping-particle":"","parse-names":false,"suffix":""}],"container-title":"Journal of Hypertension","id":"ITEM-1","issue":"1","issued":{"date-parts":[["2010","1"]]},"page":"65-75","title":"Genotype–phenotype analysis of angiotensinogen polymorphisms and essential hypertension: the importance of haplotypes","type":"article-journal","volume":"28"},"uris":["http://www.mendeley.com/documents/?uuid=c1711935-47b4-4ff6-8ff4-70000b62c0d3"]}],"mendeley":{"formattedCitation":"[90]","manualFormatting":"[90, р. 8]","plainTextFormattedCitation":"[90]","previouslyFormattedCitation":"[90]"},"properties":{"noteIndex":0},"schema":"https://github.com/citation-style-language/schema/raw/master/csl-citation.json"}</w:instrText>
      </w:r>
      <w:r w:rsidR="00EA0E64">
        <w:rPr>
          <w:rFonts w:ascii="Times New Roman" w:hAnsi="Times New Roman" w:cs="Times New Roman"/>
          <w:sz w:val="28"/>
          <w:szCs w:val="28"/>
        </w:rPr>
        <w:fldChar w:fldCharType="separate"/>
      </w:r>
      <w:r w:rsidR="008E155C" w:rsidRPr="008E155C">
        <w:rPr>
          <w:rFonts w:ascii="Times New Roman" w:hAnsi="Times New Roman" w:cs="Times New Roman"/>
          <w:noProof/>
          <w:sz w:val="28"/>
          <w:szCs w:val="28"/>
        </w:rPr>
        <w:t>[90</w:t>
      </w:r>
      <w:r w:rsidR="008E155C">
        <w:rPr>
          <w:rFonts w:ascii="Times New Roman" w:hAnsi="Times New Roman" w:cs="Times New Roman"/>
          <w:noProof/>
          <w:sz w:val="28"/>
          <w:szCs w:val="28"/>
        </w:rPr>
        <w:t>, р. 8</w:t>
      </w:r>
      <w:r w:rsidR="008E155C" w:rsidRPr="008E155C">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3C31E0">
        <w:rPr>
          <w:rFonts w:ascii="Century" w:hAnsi="Century" w:cs="Times New Roman"/>
          <w:sz w:val="28"/>
          <w:szCs w:val="28"/>
        </w:rPr>
        <w:t>.</w:t>
      </w:r>
    </w:p>
    <w:p w:rsidR="00AB12B3" w:rsidRDefault="00326BD4"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Оценивая в</w:t>
      </w:r>
      <w:r w:rsidR="00593243">
        <w:rPr>
          <w:rFonts w:ascii="Times New Roman" w:hAnsi="Times New Roman" w:cs="Times New Roman"/>
          <w:sz w:val="28"/>
          <w:szCs w:val="28"/>
        </w:rPr>
        <w:t>клад</w:t>
      </w:r>
      <w:r>
        <w:rPr>
          <w:rFonts w:ascii="Times New Roman" w:hAnsi="Times New Roman" w:cs="Times New Roman"/>
          <w:sz w:val="28"/>
          <w:szCs w:val="28"/>
        </w:rPr>
        <w:t xml:space="preserve"> генетическ</w:t>
      </w:r>
      <w:r w:rsidR="00593243">
        <w:rPr>
          <w:rFonts w:ascii="Times New Roman" w:hAnsi="Times New Roman" w:cs="Times New Roman"/>
          <w:sz w:val="28"/>
          <w:szCs w:val="28"/>
        </w:rPr>
        <w:t>ого компонента, а именно</w:t>
      </w:r>
      <w:r>
        <w:rPr>
          <w:rFonts w:ascii="Times New Roman" w:hAnsi="Times New Roman" w:cs="Times New Roman"/>
          <w:sz w:val="28"/>
          <w:szCs w:val="28"/>
        </w:rPr>
        <w:t xml:space="preserve"> РААС и калликреин – кининовой системы</w:t>
      </w:r>
      <w:r w:rsidR="00966D70">
        <w:rPr>
          <w:rFonts w:ascii="Century" w:hAnsi="Century" w:cs="Times New Roman"/>
          <w:sz w:val="28"/>
          <w:szCs w:val="28"/>
        </w:rPr>
        <w:t>,</w:t>
      </w:r>
      <w:r>
        <w:rPr>
          <w:rFonts w:ascii="Times New Roman" w:hAnsi="Times New Roman" w:cs="Times New Roman"/>
          <w:sz w:val="28"/>
          <w:szCs w:val="28"/>
        </w:rPr>
        <w:t xml:space="preserve"> в частности полиморфизма Met235Thr гена </w:t>
      </w:r>
      <w:r>
        <w:rPr>
          <w:rFonts w:ascii="Times New Roman" w:hAnsi="Times New Roman" w:cs="Times New Roman"/>
          <w:i/>
          <w:sz w:val="28"/>
          <w:szCs w:val="28"/>
        </w:rPr>
        <w:t>AGT</w:t>
      </w:r>
      <w:r>
        <w:rPr>
          <w:rFonts w:ascii="Times New Roman" w:hAnsi="Times New Roman" w:cs="Times New Roman"/>
          <w:sz w:val="28"/>
          <w:szCs w:val="28"/>
        </w:rPr>
        <w:t xml:space="preserve"> и полиморфизма Glu298Asp гена </w:t>
      </w:r>
      <w:r w:rsidRPr="00A279BD">
        <w:rPr>
          <w:rFonts w:ascii="Times New Roman" w:hAnsi="Times New Roman" w:cs="Times New Roman"/>
          <w:i/>
          <w:sz w:val="28"/>
          <w:szCs w:val="28"/>
        </w:rPr>
        <w:t>NOS3</w:t>
      </w:r>
      <w:r>
        <w:rPr>
          <w:rFonts w:ascii="Times New Roman" w:hAnsi="Times New Roman" w:cs="Times New Roman"/>
          <w:sz w:val="28"/>
          <w:szCs w:val="28"/>
        </w:rPr>
        <w:t xml:space="preserve"> на развитие АГ д</w:t>
      </w:r>
      <w:r w:rsidR="00A279BD">
        <w:rPr>
          <w:rFonts w:ascii="Times New Roman" w:hAnsi="Times New Roman" w:cs="Times New Roman"/>
          <w:sz w:val="28"/>
          <w:szCs w:val="28"/>
        </w:rPr>
        <w:t>ругие</w:t>
      </w:r>
      <w:r w:rsidR="006249B4">
        <w:rPr>
          <w:rFonts w:ascii="Times New Roman" w:hAnsi="Times New Roman" w:cs="Times New Roman"/>
          <w:sz w:val="28"/>
          <w:szCs w:val="28"/>
        </w:rPr>
        <w:t xml:space="preserve"> </w:t>
      </w:r>
      <w:r w:rsidR="00BF16C6">
        <w:rPr>
          <w:rFonts w:ascii="Times New Roman" w:hAnsi="Times New Roman" w:cs="Times New Roman"/>
          <w:sz w:val="28"/>
          <w:szCs w:val="28"/>
          <w:lang w:val="kk-KZ"/>
        </w:rPr>
        <w:t>ученые</w:t>
      </w:r>
      <w:r w:rsidR="00AB12B3">
        <w:rPr>
          <w:rFonts w:ascii="Times New Roman" w:hAnsi="Times New Roman" w:cs="Times New Roman"/>
          <w:sz w:val="28"/>
          <w:szCs w:val="28"/>
        </w:rPr>
        <w:t xml:space="preserve"> обнаружили</w:t>
      </w:r>
      <w:r>
        <w:rPr>
          <w:rFonts w:ascii="Times New Roman" w:hAnsi="Times New Roman" w:cs="Times New Roman"/>
          <w:sz w:val="28"/>
          <w:szCs w:val="28"/>
        </w:rPr>
        <w:t xml:space="preserve"> их</w:t>
      </w:r>
      <w:r w:rsidR="00AB12B3">
        <w:rPr>
          <w:rFonts w:ascii="Times New Roman" w:hAnsi="Times New Roman" w:cs="Times New Roman"/>
          <w:sz w:val="28"/>
          <w:szCs w:val="28"/>
        </w:rPr>
        <w:t xml:space="preserve"> ассоциацию </w:t>
      </w:r>
      <w:r>
        <w:rPr>
          <w:rFonts w:ascii="Times New Roman" w:hAnsi="Times New Roman" w:cs="Times New Roman"/>
          <w:sz w:val="28"/>
          <w:szCs w:val="28"/>
        </w:rPr>
        <w:t xml:space="preserve">с АГ </w:t>
      </w:r>
      <w:r w:rsidR="00AB12B3">
        <w:rPr>
          <w:rFonts w:ascii="Times New Roman" w:hAnsi="Times New Roman" w:cs="Times New Roman"/>
          <w:sz w:val="28"/>
          <w:szCs w:val="28"/>
        </w:rPr>
        <w:t>независимо друг от друга</w:t>
      </w:r>
      <w:r w:rsidR="00712C45">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{"citationItems":[{"id":"ITEM-1","itemData":{"DOI":"10.1177/1470320312452027","ISBN":"1752-8976","ISSN":"14703203","PMID":"22791701","abstract":"Renin-angiotensin and kallikrein-kinin systems are interconnected, regulating blood pressure homeostasis. We have demonstrated the interactions among polymorphisms of the angiotensinogen (AGT) and endothelial nitric oxide synthase (NOS3) genes and conventional risk factors affecting the hypertension occurrence. Individuals were recruited (n=192) and classified into hypertensive (HG; n=140) and normotensive (NG; n=52) groups. The genotypic distribution of the Met235Thr (AGT) and Glu298Asp (NOS3) polymorphisms demonstrated that both are independent risk factors of hypertension (p=0.02 and p=0.008, respectively). The concomitant presence of these polymorphisms in the HG group was significantly different (p=0.001) from the NG. Both gene polymorphisms presented an additive effect for the unfavourable alleles T and A, respectively, and 95% of the double mutant homozygotes were classified into the HG. Specific interactions among certain conventional factors and the presence of at least one unfavourable allele presented significant odds towards hypertension. Blood pressure homeostasis was affected by genetic polymorphisms conditioned by the T and A alleles of the AGT and NOS3 genes, respectively, which acted independently. However, their interaction with smoking, sedentariness, age and total cholesterol may have increased the predisposition to hypertension, which may explain most of the hypertension cases. ;","author":[{"dropping-particle":"","family":"Gatti","given":"Renata R.","non-dropping-particle":"","parse-names":false,"suffix":""},{"dropping-particle":"","family":"Santos","given":"Paula S.","non-dropping-particle":"","parse-names":false,"suffix":""},{"dropping-particle":"","family":"Sena","given":"Angela A S","non-dropping-particle":"","parse-names":false,"suffix":""},{"dropping-particle":"","family":"Marangoni","given":"Karina","non-dropping-particle":"","parse-names":false,"suffix":""},{"dropping-particle":"","family":"Araújo","given":"Messias A.","non-dropping-particle":"","parse-names":false,"suffix":""},{"dropping-particle":"","family":"Goulart","given":"Luiz R.","non-dropping-particle":"","parse-names":false,"suffix":""}],"container-title":"JRAAS - Journal of the Renin-Angiotensin-Aldosterone System","id":"ITEM-1","issue":"4","issued":{"date-parts":[["2013"]]},"page":"360-368","title":"The interaction of AGT and NOS3 gene polymorphisms with conventional risk factors increases predisposition to hypertension","type":"article-journal","volume":"14"},"uris":["http://www.mendeley.com/documents/?uuid=6aa4a5ab-3f60-45ab-b91d-583856fd66d5"]}],"mendeley":{"formattedCitation":"[91]","plainTextFormattedCitation":"[91]","previouslyFormattedCitation":"[91]"},"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[91]</w:t>
      </w:r>
      <w:r w:rsidR="00EA0E64">
        <w:rPr>
          <w:rFonts w:ascii="Times New Roman" w:hAnsi="Times New Roman" w:cs="Times New Roman"/>
          <w:sz w:val="28"/>
          <w:szCs w:val="28"/>
        </w:rPr>
        <w:fldChar w:fldCharType="end"/>
      </w:r>
      <w:r w:rsidR="00966D70">
        <w:rPr>
          <w:rFonts w:ascii="Century" w:hAnsi="Century" w:cs="Times New Roman"/>
          <w:sz w:val="28"/>
          <w:szCs w:val="28"/>
        </w:rPr>
        <w:t>.</w:t>
      </w:r>
      <w:r w:rsidR="00AB12B3">
        <w:rPr>
          <w:rFonts w:ascii="Times New Roman" w:hAnsi="Times New Roman" w:cs="Times New Roman"/>
          <w:sz w:val="28"/>
          <w:szCs w:val="28"/>
        </w:rPr>
        <w:t xml:space="preserve"> </w:t>
      </w:r>
      <w:r w:rsidR="006E2318">
        <w:rPr>
          <w:rFonts w:ascii="Times New Roman" w:hAnsi="Times New Roman" w:cs="Times New Roman"/>
          <w:sz w:val="28"/>
          <w:szCs w:val="28"/>
        </w:rPr>
        <w:t>Т</w:t>
      </w:r>
      <w:r w:rsidR="00BF16C6">
        <w:rPr>
          <w:rFonts w:ascii="Times New Roman" w:hAnsi="Times New Roman" w:cs="Times New Roman"/>
          <w:sz w:val="28"/>
          <w:szCs w:val="28"/>
          <w:lang w:val="kk-KZ"/>
        </w:rPr>
        <w:t>акже</w:t>
      </w:r>
      <w:r w:rsidR="00966D70">
        <w:rPr>
          <w:rFonts w:ascii="Century" w:hAnsi="Century" w:cs="Times New Roman"/>
          <w:sz w:val="28"/>
          <w:szCs w:val="28"/>
          <w:lang w:val="kk-KZ"/>
        </w:rPr>
        <w:t>,</w:t>
      </w:r>
      <w:r w:rsidR="006249B4">
        <w:rPr>
          <w:rFonts w:ascii="Times New Roman" w:hAnsi="Times New Roman" w:cs="Times New Roman"/>
          <w:sz w:val="28"/>
          <w:szCs w:val="28"/>
        </w:rPr>
        <w:t xml:space="preserve"> </w:t>
      </w:r>
      <w:r w:rsidR="00593243">
        <w:rPr>
          <w:rFonts w:ascii="Times New Roman" w:hAnsi="Times New Roman" w:cs="Times New Roman"/>
          <w:sz w:val="28"/>
          <w:szCs w:val="28"/>
        </w:rPr>
        <w:t>ими обнаружена</w:t>
      </w:r>
      <w:r w:rsidR="00AB12B3">
        <w:rPr>
          <w:rFonts w:ascii="Times New Roman" w:hAnsi="Times New Roman" w:cs="Times New Roman"/>
          <w:sz w:val="28"/>
          <w:szCs w:val="28"/>
        </w:rPr>
        <w:t xml:space="preserve"> </w:t>
      </w:r>
      <w:r w:rsidR="00593243">
        <w:rPr>
          <w:rFonts w:ascii="Times New Roman" w:hAnsi="Times New Roman" w:cs="Times New Roman"/>
          <w:sz w:val="28"/>
          <w:szCs w:val="28"/>
        </w:rPr>
        <w:t>связь</w:t>
      </w:r>
      <w:r w:rsidR="00AB12B3">
        <w:rPr>
          <w:rFonts w:ascii="Times New Roman" w:hAnsi="Times New Roman" w:cs="Times New Roman"/>
          <w:sz w:val="28"/>
          <w:szCs w:val="28"/>
        </w:rPr>
        <w:t xml:space="preserve"> этих генетических полиморфизмов с факторами риска</w:t>
      </w:r>
      <w:r w:rsidR="00966D70">
        <w:rPr>
          <w:rFonts w:ascii="Century" w:hAnsi="Century" w:cs="Times New Roman"/>
          <w:sz w:val="28"/>
          <w:szCs w:val="28"/>
        </w:rPr>
        <w:t>,</w:t>
      </w:r>
      <w:r w:rsidR="00AB12B3">
        <w:rPr>
          <w:rFonts w:ascii="Times New Roman" w:hAnsi="Times New Roman" w:cs="Times New Roman"/>
          <w:sz w:val="28"/>
          <w:szCs w:val="28"/>
        </w:rPr>
        <w:t xml:space="preserve"> как курение</w:t>
      </w:r>
      <w:r w:rsidR="00966D70">
        <w:rPr>
          <w:rFonts w:ascii="Century" w:hAnsi="Century" w:cs="Times New Roman"/>
          <w:sz w:val="28"/>
          <w:szCs w:val="28"/>
        </w:rPr>
        <w:t>,</w:t>
      </w:r>
      <w:r w:rsidR="00AB12B3">
        <w:rPr>
          <w:rFonts w:ascii="Times New Roman" w:hAnsi="Times New Roman" w:cs="Times New Roman"/>
          <w:sz w:val="28"/>
          <w:szCs w:val="28"/>
        </w:rPr>
        <w:t xml:space="preserve"> возраст</w:t>
      </w:r>
      <w:r w:rsidR="00966D70">
        <w:rPr>
          <w:rFonts w:ascii="Century" w:hAnsi="Century" w:cs="Times New Roman"/>
          <w:sz w:val="28"/>
          <w:szCs w:val="28"/>
        </w:rPr>
        <w:t>,</w:t>
      </w:r>
      <w:r w:rsidR="00AB12B3">
        <w:rPr>
          <w:rFonts w:ascii="Times New Roman" w:hAnsi="Times New Roman" w:cs="Times New Roman"/>
          <w:sz w:val="28"/>
          <w:szCs w:val="28"/>
        </w:rPr>
        <w:t xml:space="preserve"> сидячий образ жизни и повышение уровня ОХС</w:t>
      </w:r>
      <w:r w:rsidR="00966D70">
        <w:rPr>
          <w:rFonts w:ascii="Century" w:hAnsi="Century" w:cs="Times New Roman"/>
          <w:sz w:val="28"/>
          <w:szCs w:val="28"/>
        </w:rPr>
        <w:t>,</w:t>
      </w:r>
      <w:r w:rsidR="00AB12B3">
        <w:rPr>
          <w:rFonts w:ascii="Times New Roman" w:hAnsi="Times New Roman" w:cs="Times New Roman"/>
          <w:sz w:val="28"/>
          <w:szCs w:val="28"/>
        </w:rPr>
        <w:t xml:space="preserve"> которые увеличивали предрасположенность к АГ</w:t>
      </w:r>
      <w:r w:rsidR="00966D70">
        <w:rPr>
          <w:rFonts w:ascii="Century" w:hAnsi="Century" w:cs="Times New Roman"/>
          <w:sz w:val="28"/>
          <w:szCs w:val="28"/>
        </w:rPr>
        <w:t>.</w:t>
      </w:r>
      <w:r w:rsidR="00AB12B3">
        <w:rPr>
          <w:rFonts w:ascii="Times New Roman" w:hAnsi="Times New Roman" w:cs="Times New Roman"/>
          <w:sz w:val="28"/>
          <w:szCs w:val="28"/>
        </w:rPr>
        <w:t xml:space="preserve"> Так</w:t>
      </w:r>
      <w:r w:rsidR="00593243">
        <w:rPr>
          <w:rFonts w:ascii="Times New Roman" w:hAnsi="Times New Roman" w:cs="Times New Roman"/>
          <w:sz w:val="28"/>
          <w:szCs w:val="28"/>
        </w:rPr>
        <w:t xml:space="preserve">ую </w:t>
      </w:r>
      <w:r w:rsidR="00AB12B3">
        <w:rPr>
          <w:rFonts w:ascii="Times New Roman" w:hAnsi="Times New Roman" w:cs="Times New Roman"/>
          <w:sz w:val="28"/>
          <w:szCs w:val="28"/>
        </w:rPr>
        <w:t xml:space="preserve">же </w:t>
      </w:r>
      <w:r w:rsidR="00593243">
        <w:rPr>
          <w:rFonts w:ascii="Times New Roman" w:hAnsi="Times New Roman" w:cs="Times New Roman"/>
          <w:sz w:val="28"/>
          <w:szCs w:val="28"/>
        </w:rPr>
        <w:lastRenderedPageBreak/>
        <w:t xml:space="preserve">связь между полиморфизмами -M235T и T174M- гена </w:t>
      </w:r>
      <w:r w:rsidR="00593243">
        <w:rPr>
          <w:rFonts w:ascii="Times New Roman" w:hAnsi="Times New Roman" w:cs="Times New Roman"/>
          <w:i/>
          <w:sz w:val="28"/>
          <w:szCs w:val="28"/>
        </w:rPr>
        <w:t>AGT</w:t>
      </w:r>
      <w:r w:rsidR="00593243">
        <w:rPr>
          <w:rFonts w:ascii="Times New Roman" w:hAnsi="Times New Roman" w:cs="Times New Roman"/>
          <w:sz w:val="28"/>
          <w:szCs w:val="28"/>
        </w:rPr>
        <w:t xml:space="preserve"> и АГ</w:t>
      </w:r>
      <w:r w:rsidR="00593243" w:rsidRPr="001769A5">
        <w:rPr>
          <w:rFonts w:ascii="Times New Roman" w:hAnsi="Times New Roman" w:cs="Times New Roman"/>
          <w:sz w:val="28"/>
          <w:szCs w:val="28"/>
        </w:rPr>
        <w:t xml:space="preserve"> </w:t>
      </w:r>
      <w:r w:rsidR="00593243">
        <w:rPr>
          <w:rFonts w:ascii="Times New Roman" w:hAnsi="Times New Roman" w:cs="Times New Roman"/>
          <w:sz w:val="28"/>
          <w:szCs w:val="28"/>
          <w:lang w:val="kk-KZ"/>
        </w:rPr>
        <w:t>обнаружили</w:t>
      </w:r>
      <w:r w:rsidR="00593243" w:rsidRPr="001769A5">
        <w:rPr>
          <w:rFonts w:ascii="Times New Roman" w:hAnsi="Times New Roman" w:cs="Times New Roman"/>
          <w:sz w:val="28"/>
          <w:szCs w:val="28"/>
        </w:rPr>
        <w:t xml:space="preserve"> </w:t>
      </w:r>
      <w:r w:rsidR="00AB12B3" w:rsidRPr="001769A5">
        <w:rPr>
          <w:rFonts w:ascii="Times New Roman" w:hAnsi="Times New Roman" w:cs="Times New Roman"/>
          <w:sz w:val="28"/>
          <w:szCs w:val="28"/>
        </w:rPr>
        <w:t>Mohana</w:t>
      </w:r>
      <w:r w:rsidR="003A42C2">
        <w:rPr>
          <w:rFonts w:ascii="Times New Roman" w:hAnsi="Times New Roman" w:cs="Times New Roman"/>
          <w:sz w:val="28"/>
          <w:szCs w:val="28"/>
        </w:rPr>
        <w:t xml:space="preserve"> </w:t>
      </w:r>
      <w:r w:rsidR="009D36FB">
        <w:rPr>
          <w:rFonts w:ascii="Times New Roman" w:hAnsi="Times New Roman" w:cs="Times New Roman"/>
          <w:sz w:val="28"/>
          <w:szCs w:val="28"/>
        </w:rPr>
        <w:t>V</w:t>
      </w:r>
      <w:r w:rsidR="003A42C2">
        <w:rPr>
          <w:rFonts w:ascii="Century" w:hAnsi="Century" w:cs="Times New Roman"/>
          <w:sz w:val="28"/>
          <w:szCs w:val="28"/>
        </w:rPr>
        <w:t>.</w:t>
      </w:r>
      <w:r w:rsidR="009D36FB">
        <w:rPr>
          <w:rFonts w:ascii="Times New Roman" w:hAnsi="Times New Roman" w:cs="Times New Roman"/>
          <w:sz w:val="28"/>
          <w:szCs w:val="28"/>
        </w:rPr>
        <w:t xml:space="preserve"> </w:t>
      </w:r>
      <w:r w:rsidR="00AB12B3">
        <w:rPr>
          <w:rFonts w:ascii="Times New Roman" w:hAnsi="Times New Roman" w:cs="Times New Roman"/>
          <w:sz w:val="28"/>
          <w:szCs w:val="28"/>
        </w:rPr>
        <w:t xml:space="preserve">и </w:t>
      </w:r>
      <w:r w:rsidR="00593243">
        <w:rPr>
          <w:rFonts w:ascii="Times New Roman" w:hAnsi="Times New Roman" w:cs="Times New Roman"/>
          <w:sz w:val="28"/>
          <w:szCs w:val="28"/>
        </w:rPr>
        <w:t>его соавторы</w:t>
      </w:r>
      <w:r w:rsidR="00AB12B3">
        <w:rPr>
          <w:rFonts w:ascii="Times New Roman" w:hAnsi="Times New Roman" w:cs="Times New Roman"/>
          <w:sz w:val="28"/>
          <w:szCs w:val="28"/>
        </w:rPr>
        <w:t xml:space="preserve"> (2012)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{"citationItems":[{"id":"ITEM-1","itemData":{"DOI":"10.3109/10641963.2011.618207","ISBN":"1525-6006 (Electronic)\\r1064-1963 (Linking)","ISSN":"10641963","PMID":"22148914","abstract":"INTRODUCTION: The human angiotensinogen (AGT) is a promising candidate gene for evaluating susceptibility to essential hypertension (EH). We aimed to assess the association of the variants of AGT gene and the extent of risk involved in developing EH. METHODS: A case-control study was designed to compare 279 hypertensive patients with 200 normotensive subjects. The frequency distribution of M235T and T174M polymorphisms of AGT gene was assessed by polymerase chain reaction (PCR)-restriction fragment length polymorphism (RFLP) method. A haplotype analysis was done to determine the risk conferred by the combination of alleles of the two polymorphisms for EH. RESULTS: The genotype distribution of the T174M variant differed significantly between hypertensives and normotensives, whereas genotypes of M235T variant did not show such difference. For M235T, MM genotype conferred an increase in risk for hypertension in women (odds ratios (OR) = 2.82; 95% confidence interval (CI) = 1.22-6.49). For the variant T174M, the TM genotype frequency was elevated in hypertensive females (36.5%) as compared to controls (18.8 %; P = .034). The 174M allele was more prevalent among female hypertensives than among female controls (0.20 vs. 0.12; P = .059). The haplotype analysis showed a significant association for the haplotypes of paired markers (M235 and 174M) with a chi(2) value of 8.037 (P = .045). CONCLUSION: Our findings suggest that the polymorphic variants of AGT gene-M235T and T174M-show association with hypertension.","author":[{"dropping-particle":"","family":"Mohana","given":"Vamsi U.","non-dropping-particle":"","parse-names":false,"suffix":""},{"dropping-particle":"","family":"Swapna","given":"N.","non-dropping-particle":"","parse-names":false,"suffix":""},{"dropping-particle":"","family":"Surender","given":"Reddy S.","non-dropping-particle":"","parse-names":false,"suffix":""},{"dropping-particle":"","family":"Vishnupriya","given":"S.","non-dropping-particle":"","parse-names":false,"suffix":""},{"dropping-particle":"","family":"Padma","given":"Tirunilai","non-dropping-particle":"","parse-names":false,"suffix":""}],"container-title":"Clinical and Experimental Hypertension","id":"ITEM-1","issue":"1","issued":{"date-parts":[["2012"]]},"page":"38-44","title":"Gender-related association of AGT gene variants (M235T and T174M) with essential hypertension-A case-control study","type":"article-journal","volume":"34"},"uris":["http://www.mendeley.com/documents/?uuid=b9ece12c-3580-4855-a31f-c26e02e98bb5"]}],"mendeley":{"formattedCitation":"[92]","plainTextFormattedCitation":"[92]","previouslyFormattedCitation":"[92]"},"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[92]</w:t>
      </w:r>
      <w:r w:rsidR="00EA0E64">
        <w:rPr>
          <w:rFonts w:ascii="Times New Roman" w:hAnsi="Times New Roman" w:cs="Times New Roman"/>
          <w:sz w:val="28"/>
          <w:szCs w:val="28"/>
        </w:rPr>
        <w:fldChar w:fldCharType="end"/>
      </w:r>
      <w:r w:rsidR="003A42C2">
        <w:rPr>
          <w:rFonts w:ascii="Century" w:hAnsi="Century" w:cs="Times New Roman"/>
          <w:sz w:val="28"/>
          <w:szCs w:val="28"/>
        </w:rPr>
        <w:t>.</w:t>
      </w:r>
      <w:r w:rsidR="00AB12B3">
        <w:rPr>
          <w:rFonts w:ascii="Times New Roman" w:hAnsi="Times New Roman" w:cs="Times New Roman"/>
          <w:sz w:val="28"/>
          <w:szCs w:val="28"/>
        </w:rPr>
        <w:t xml:space="preserve">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Некоторые авторы</w:t>
      </w:r>
      <w:r w:rsidR="003A42C2">
        <w:rPr>
          <w:rFonts w:ascii="Century" w:hAnsi="Century" w:cs="Times New Roman"/>
          <w:sz w:val="28"/>
          <w:szCs w:val="28"/>
        </w:rPr>
        <w:t>,</w:t>
      </w:r>
      <w:r>
        <w:rPr>
          <w:rFonts w:ascii="Times New Roman" w:hAnsi="Times New Roman" w:cs="Times New Roman"/>
          <w:sz w:val="28"/>
          <w:szCs w:val="28"/>
        </w:rPr>
        <w:t xml:space="preserve"> наоборот</w:t>
      </w:r>
      <w:r w:rsidR="003A42C2">
        <w:rPr>
          <w:rFonts w:ascii="Century" w:hAnsi="Century" w:cs="Times New Roman"/>
          <w:sz w:val="28"/>
          <w:szCs w:val="28"/>
        </w:rPr>
        <w:t>,</w:t>
      </w:r>
      <w:r>
        <w:rPr>
          <w:rFonts w:ascii="Times New Roman" w:hAnsi="Times New Roman" w:cs="Times New Roman"/>
          <w:sz w:val="28"/>
          <w:szCs w:val="28"/>
        </w:rPr>
        <w:t xml:space="preserve"> получили отрицательные результа</w:t>
      </w:r>
      <w:r w:rsidR="0050494C">
        <w:rPr>
          <w:rFonts w:ascii="Times New Roman" w:hAnsi="Times New Roman" w:cs="Times New Roman"/>
          <w:sz w:val="28"/>
          <w:szCs w:val="28"/>
        </w:rPr>
        <w:t>ты</w:t>
      </w:r>
      <w:r w:rsidR="003A42C2">
        <w:rPr>
          <w:rFonts w:ascii="Century" w:hAnsi="Century" w:cs="Times New Roman"/>
          <w:sz w:val="28"/>
          <w:szCs w:val="28"/>
        </w:rPr>
        <w:t>.</w:t>
      </w:r>
      <w:r w:rsidR="0050494C">
        <w:rPr>
          <w:rFonts w:ascii="Times New Roman" w:hAnsi="Times New Roman" w:cs="Times New Roman"/>
          <w:sz w:val="28"/>
          <w:szCs w:val="28"/>
        </w:rPr>
        <w:t xml:space="preserve"> </w:t>
      </w:r>
      <w:r w:rsidR="009502B9">
        <w:rPr>
          <w:rFonts w:ascii="Times New Roman" w:hAnsi="Times New Roman" w:cs="Times New Roman"/>
          <w:sz w:val="28"/>
          <w:szCs w:val="28"/>
        </w:rPr>
        <w:t>Как</w:t>
      </w:r>
      <w:r w:rsidR="003A42C2">
        <w:rPr>
          <w:rFonts w:ascii="Century" w:hAnsi="Century" w:cs="Times New Roman"/>
          <w:sz w:val="28"/>
          <w:szCs w:val="28"/>
        </w:rPr>
        <w:t>,</w:t>
      </w:r>
      <w:r>
        <w:rPr>
          <w:rFonts w:ascii="Times New Roman" w:hAnsi="Times New Roman" w:cs="Times New Roman"/>
          <w:sz w:val="28"/>
          <w:szCs w:val="28"/>
        </w:rPr>
        <w:t xml:space="preserve"> например</w:t>
      </w:r>
      <w:r w:rsidR="003A42C2">
        <w:rPr>
          <w:rFonts w:ascii="Century" w:hAnsi="Century" w:cs="Times New Roman"/>
          <w:sz w:val="28"/>
          <w:szCs w:val="28"/>
        </w:rPr>
        <w:t>,</w:t>
      </w:r>
      <w:r>
        <w:rPr>
          <w:rFonts w:ascii="Times New Roman" w:hAnsi="Times New Roman" w:cs="Times New Roman"/>
          <w:sz w:val="28"/>
          <w:szCs w:val="28"/>
        </w:rPr>
        <w:t xml:space="preserve"> </w:t>
      </w:r>
      <w:r w:rsidR="00417027">
        <w:rPr>
          <w:rFonts w:ascii="Times New Roman" w:hAnsi="Times New Roman" w:cs="Times New Roman"/>
          <w:sz w:val="28"/>
          <w:szCs w:val="28"/>
        </w:rPr>
        <w:t>при и</w:t>
      </w:r>
      <w:r w:rsidR="007719FE">
        <w:rPr>
          <w:rFonts w:ascii="Times New Roman" w:hAnsi="Times New Roman" w:cs="Times New Roman"/>
          <w:sz w:val="28"/>
          <w:szCs w:val="28"/>
          <w:lang w:val="kk-KZ"/>
        </w:rPr>
        <w:t>сследовании</w:t>
      </w:r>
      <w:r w:rsidR="00417027">
        <w:rPr>
          <w:rFonts w:ascii="Times New Roman" w:hAnsi="Times New Roman" w:cs="Times New Roman"/>
          <w:sz w:val="28"/>
          <w:szCs w:val="28"/>
        </w:rPr>
        <w:t xml:space="preserve"> ассоциации между полиморфизмами гена </w:t>
      </w:r>
      <w:r w:rsidR="00417027">
        <w:rPr>
          <w:rFonts w:ascii="Times New Roman" w:hAnsi="Times New Roman" w:cs="Times New Roman"/>
          <w:i/>
          <w:sz w:val="28"/>
          <w:szCs w:val="28"/>
        </w:rPr>
        <w:t>AGT</w:t>
      </w:r>
      <w:r w:rsidR="00417027">
        <w:rPr>
          <w:rFonts w:ascii="Times New Roman" w:hAnsi="Times New Roman" w:cs="Times New Roman"/>
          <w:sz w:val="28"/>
          <w:szCs w:val="28"/>
        </w:rPr>
        <w:t xml:space="preserve"> и АГ в китайской популяции </w:t>
      </w:r>
      <w:r>
        <w:rPr>
          <w:rFonts w:ascii="Times New Roman" w:hAnsi="Times New Roman" w:cs="Times New Roman"/>
          <w:sz w:val="28"/>
          <w:szCs w:val="28"/>
        </w:rPr>
        <w:t>Li</w:t>
      </w:r>
      <w:r w:rsidR="003A42C2">
        <w:rPr>
          <w:rFonts w:ascii="Times New Roman" w:hAnsi="Times New Roman" w:cs="Times New Roman"/>
          <w:sz w:val="28"/>
          <w:szCs w:val="28"/>
        </w:rPr>
        <w:t xml:space="preserve"> </w:t>
      </w:r>
      <w:r w:rsidR="009D36FB">
        <w:rPr>
          <w:rFonts w:ascii="Times New Roman" w:hAnsi="Times New Roman" w:cs="Times New Roman"/>
          <w:sz w:val="28"/>
          <w:szCs w:val="28"/>
        </w:rPr>
        <w:t>H</w:t>
      </w:r>
      <w:r w:rsidR="003A42C2">
        <w:rPr>
          <w:rFonts w:ascii="Century" w:hAnsi="Century" w:cs="Times New Roman"/>
          <w:sz w:val="28"/>
          <w:szCs w:val="28"/>
        </w:rPr>
        <w:t>.</w:t>
      </w:r>
      <w:r w:rsidR="009D36FB">
        <w:rPr>
          <w:rFonts w:ascii="Times New Roman" w:hAnsi="Times New Roman" w:cs="Times New Roman"/>
          <w:sz w:val="28"/>
          <w:szCs w:val="28"/>
        </w:rPr>
        <w:t xml:space="preserve"> </w:t>
      </w:r>
      <w:r w:rsidR="007719FE">
        <w:rPr>
          <w:rFonts w:ascii="Times New Roman" w:hAnsi="Times New Roman" w:cs="Times New Roman"/>
          <w:sz w:val="28"/>
          <w:szCs w:val="28"/>
          <w:lang w:val="kk-KZ"/>
        </w:rPr>
        <w:t>выявил</w:t>
      </w:r>
      <w:r w:rsidR="00417027">
        <w:rPr>
          <w:rFonts w:ascii="Times New Roman" w:hAnsi="Times New Roman" w:cs="Times New Roman"/>
          <w:sz w:val="28"/>
          <w:szCs w:val="28"/>
        </w:rPr>
        <w:t xml:space="preserve"> (2014)</w:t>
      </w:r>
      <w:r w:rsidR="003A42C2">
        <w:rPr>
          <w:rFonts w:ascii="Century" w:hAnsi="Century" w:cs="Times New Roman"/>
          <w:sz w:val="28"/>
          <w:szCs w:val="28"/>
        </w:rPr>
        <w:t>,</w:t>
      </w:r>
      <w:r w:rsidR="00417027">
        <w:rPr>
          <w:rFonts w:ascii="Times New Roman" w:hAnsi="Times New Roman" w:cs="Times New Roman"/>
          <w:sz w:val="28"/>
          <w:szCs w:val="28"/>
        </w:rPr>
        <w:t xml:space="preserve"> что</w:t>
      </w:r>
      <w:r w:rsidR="003A42C2">
        <w:rPr>
          <w:rFonts w:ascii="Times New Roman" w:hAnsi="Times New Roman" w:cs="Times New Roman"/>
          <w:sz w:val="28"/>
          <w:szCs w:val="28"/>
        </w:rPr>
        <w:t xml:space="preserve"> </w:t>
      </w:r>
      <w:r w:rsidR="00417027">
        <w:rPr>
          <w:rFonts w:ascii="Times New Roman" w:hAnsi="Times New Roman" w:cs="Times New Roman"/>
          <w:sz w:val="28"/>
          <w:szCs w:val="28"/>
        </w:rPr>
        <w:t xml:space="preserve">есть </w:t>
      </w:r>
      <w:r>
        <w:rPr>
          <w:rFonts w:ascii="Times New Roman" w:hAnsi="Times New Roman" w:cs="Times New Roman"/>
          <w:sz w:val="28"/>
          <w:szCs w:val="28"/>
        </w:rPr>
        <w:t>только различи</w:t>
      </w:r>
      <w:r w:rsidR="00593243">
        <w:rPr>
          <w:rFonts w:ascii="Times New Roman" w:hAnsi="Times New Roman" w:cs="Times New Roman"/>
          <w:sz w:val="28"/>
          <w:szCs w:val="28"/>
        </w:rPr>
        <w:t>я</w:t>
      </w:r>
      <w:r>
        <w:rPr>
          <w:rFonts w:ascii="Times New Roman" w:hAnsi="Times New Roman" w:cs="Times New Roman"/>
          <w:sz w:val="28"/>
          <w:szCs w:val="28"/>
        </w:rPr>
        <w:t xml:space="preserve"> в распределении генотипов этого гена, но связь с АГ не была обнаружена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{"citationItems":[{"id":"ITEM-1","itemData":{"DOI":"10.1177/0003319713491309","ISSN":"19401574","PMID":"23716723","abstract":"Gene polymorphisms of the renin-angiotensin system are involved in the pathophysiology of hypertension. We genotyped 4 polymorphisms of angiotensinogen (AGT) gene A-20C (rs5050), A-6G (rs5051), C3889T (rs4762), and C4072T (rs699) by polymerase chain reaction-restriction fragment length polymorphism in 652 patients and 780 controls to examine the association of AGT and hypertension in a Northern Han Chinese population. There were significant differences in the distribution of genotypes and allele frequencies at C4072T between the patients and the controls (both P &lt; .01); patients with CC genotype had a higher risk of hypertension (odds ratio = 1.7, 95% confidence interval 1.4-2.1). The distribution of genotypes at A-6G was significantly different between patients and controls (P &lt; .05). No other significant differences in genotypes or frequencies were observed. No association was observed between the haplotypes of AGT and hypertension. The AGT-6A and 4072C alleles are associated with susceptibility to hypertension in this population.","author":[{"dropping-particle":"","family":"Li","given":"Hongmei","non-dropping-particle":"","parse-names":false,"suffix":""},{"dropping-particle":"","family":"Du","given":"Zhirong","non-dropping-particle":"","parse-names":false,"suffix":""},{"dropping-particle":"","family":"Zhang","given":"Lin","non-dropping-particle":"","parse-names":false,"suffix":""},{"dropping-particle":"","family":"Wu","given":"Tong","non-dropping-particle":"","parse-names":false,"suffix":""},{"dropping-particle":"","family":"Deng","given":"Zhihui","non-dropping-particle":"","parse-names":false,"suffix":""},{"dropping-particle":"","family":"Li","given":"Jingping","non-dropping-particle":"","parse-names":false,"suffix":""},{"dropping-particle":"","family":"Cong","given":"Mingyu","non-dropping-particle":"","parse-names":false,"suffix":""},{"dropping-particle":"","family":"Liu","given":"Jicheng","non-dropping-particle":"","parse-names":false,"suffix":""},{"dropping-particle":"","family":"Qiu","given":"Changchun","non-dropping-particle":"","parse-names":false,"suffix":""}],"container-title":"Angiology","id":"ITEM-1","issue":"7","issued":{"date-parts":[["2014"]]},"page":"614-619","title":"The relationship between angiotensinogen gene polymorphisms and essential hypertension in a Northern Han Chinese population","type":"article-journal","volume":"65"},"uris":["http://www.mendeley.com/documents/?uuid=00a52496-49c3-4cb0-b9f2-786e30c6df65"]}],"mendeley":{"formattedCitation":"[93]","plainTextFormattedCitation":"[93]","previouslyFormattedCitation":"[93]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[93]</w:t>
      </w:r>
      <w:r w:rsidR="00EA0E64">
        <w:rPr>
          <w:rFonts w:ascii="Times New Roman" w:hAnsi="Times New Roman" w:cs="Times New Roman"/>
          <w:sz w:val="28"/>
          <w:szCs w:val="28"/>
        </w:rPr>
        <w:fldChar w:fldCharType="end"/>
      </w:r>
      <w:r w:rsidR="003A42C2">
        <w:rPr>
          <w:rFonts w:ascii="Century" w:hAnsi="Century" w:cs="Times New Roman"/>
          <w:sz w:val="28"/>
          <w:szCs w:val="28"/>
        </w:rPr>
        <w:t>.</w:t>
      </w:r>
      <w:r>
        <w:rPr>
          <w:rFonts w:ascii="Times New Roman" w:hAnsi="Times New Roman" w:cs="Times New Roman"/>
          <w:sz w:val="28"/>
          <w:szCs w:val="28"/>
        </w:rPr>
        <w:t xml:space="preserve"> При </w:t>
      </w:r>
      <w:r w:rsidR="007719FE">
        <w:rPr>
          <w:rFonts w:ascii="Times New Roman" w:hAnsi="Times New Roman" w:cs="Times New Roman"/>
          <w:sz w:val="28"/>
          <w:szCs w:val="28"/>
          <w:lang w:val="kk-KZ"/>
        </w:rPr>
        <w:t>изучении</w:t>
      </w:r>
      <w:r>
        <w:rPr>
          <w:rFonts w:ascii="Times New Roman" w:hAnsi="Times New Roman" w:cs="Times New Roman"/>
          <w:sz w:val="28"/>
          <w:szCs w:val="28"/>
        </w:rPr>
        <w:t xml:space="preserve"> </w:t>
      </w:r>
      <w:r w:rsidR="00593243">
        <w:rPr>
          <w:rFonts w:ascii="Times New Roman" w:hAnsi="Times New Roman" w:cs="Times New Roman"/>
          <w:sz w:val="28"/>
          <w:szCs w:val="28"/>
        </w:rPr>
        <w:t xml:space="preserve">ассоциации </w:t>
      </w:r>
      <w:r w:rsidR="00417027">
        <w:rPr>
          <w:rFonts w:ascii="Times New Roman" w:hAnsi="Times New Roman" w:cs="Times New Roman"/>
          <w:sz w:val="28"/>
          <w:szCs w:val="28"/>
        </w:rPr>
        <w:t xml:space="preserve">между </w:t>
      </w:r>
      <w:r>
        <w:rPr>
          <w:rFonts w:ascii="Times New Roman" w:hAnsi="Times New Roman" w:cs="Times New Roman"/>
          <w:sz w:val="28"/>
          <w:szCs w:val="28"/>
        </w:rPr>
        <w:t>полимо</w:t>
      </w:r>
      <w:r w:rsidR="007719FE">
        <w:rPr>
          <w:rFonts w:ascii="Times New Roman" w:hAnsi="Times New Roman" w:cs="Times New Roman"/>
          <w:sz w:val="28"/>
          <w:szCs w:val="28"/>
        </w:rPr>
        <w:t>рфизм</w:t>
      </w:r>
      <w:r w:rsidR="00593243">
        <w:rPr>
          <w:rFonts w:ascii="Times New Roman" w:hAnsi="Times New Roman" w:cs="Times New Roman"/>
          <w:sz w:val="28"/>
          <w:szCs w:val="28"/>
        </w:rPr>
        <w:t>ами</w:t>
      </w:r>
      <w:r w:rsidR="007719FE">
        <w:rPr>
          <w:rFonts w:ascii="Times New Roman" w:hAnsi="Times New Roman" w:cs="Times New Roman"/>
          <w:sz w:val="28"/>
          <w:szCs w:val="28"/>
        </w:rPr>
        <w:t xml:space="preserve"> генов РААС и АГ (2015) </w:t>
      </w:r>
      <w:r w:rsidR="007719FE">
        <w:rPr>
          <w:rFonts w:ascii="Times New Roman" w:hAnsi="Times New Roman" w:cs="Times New Roman"/>
          <w:sz w:val="28"/>
          <w:szCs w:val="28"/>
          <w:lang w:val="kk-KZ"/>
        </w:rPr>
        <w:t>обнаружен</w:t>
      </w:r>
      <w:r>
        <w:rPr>
          <w:rFonts w:ascii="Times New Roman" w:hAnsi="Times New Roman" w:cs="Times New Roman"/>
          <w:sz w:val="28"/>
          <w:szCs w:val="28"/>
        </w:rPr>
        <w:t xml:space="preserve">а </w:t>
      </w:r>
      <w:r w:rsidR="00417027">
        <w:rPr>
          <w:rFonts w:ascii="Times New Roman" w:hAnsi="Times New Roman" w:cs="Times New Roman"/>
          <w:sz w:val="28"/>
          <w:szCs w:val="28"/>
        </w:rPr>
        <w:t>взаимосвязь</w:t>
      </w:r>
      <w:r>
        <w:rPr>
          <w:rFonts w:ascii="Times New Roman" w:hAnsi="Times New Roman" w:cs="Times New Roman"/>
          <w:sz w:val="28"/>
          <w:szCs w:val="28"/>
        </w:rPr>
        <w:t xml:space="preserve"> между полиморфизмом M253T (rs699) гена </w:t>
      </w:r>
      <w:r>
        <w:rPr>
          <w:rFonts w:ascii="Times New Roman" w:hAnsi="Times New Roman" w:cs="Times New Roman"/>
          <w:i/>
          <w:sz w:val="28"/>
          <w:szCs w:val="28"/>
        </w:rPr>
        <w:t>AGT</w:t>
      </w:r>
      <w:r w:rsidR="007719FE">
        <w:rPr>
          <w:rFonts w:ascii="Times New Roman" w:hAnsi="Times New Roman" w:cs="Times New Roman"/>
          <w:sz w:val="28"/>
          <w:szCs w:val="28"/>
        </w:rPr>
        <w:t xml:space="preserve"> и АГ</w:t>
      </w:r>
      <w:r w:rsidR="00890DBA">
        <w:rPr>
          <w:rFonts w:ascii="Century" w:hAnsi="Century" w:cs="Times New Roman"/>
          <w:sz w:val="28"/>
          <w:szCs w:val="28"/>
        </w:rPr>
        <w:t>,</w:t>
      </w:r>
      <w:r w:rsidR="007719FE">
        <w:rPr>
          <w:rFonts w:ascii="Times New Roman" w:hAnsi="Times New Roman" w:cs="Times New Roman"/>
          <w:sz w:val="28"/>
          <w:szCs w:val="28"/>
        </w:rPr>
        <w:t xml:space="preserve"> </w:t>
      </w:r>
      <w:r w:rsidR="007719FE">
        <w:rPr>
          <w:rFonts w:ascii="Times New Roman" w:hAnsi="Times New Roman" w:cs="Times New Roman"/>
          <w:sz w:val="28"/>
          <w:szCs w:val="28"/>
          <w:lang w:val="kk-KZ"/>
        </w:rPr>
        <w:t>тогда как,</w:t>
      </w:r>
      <w:r>
        <w:rPr>
          <w:rFonts w:ascii="Times New Roman" w:hAnsi="Times New Roman" w:cs="Times New Roman"/>
          <w:sz w:val="28"/>
          <w:szCs w:val="28"/>
        </w:rPr>
        <w:t xml:space="preserve"> между полиморфизмами T174M (rs4762) гена </w:t>
      </w:r>
      <w:r>
        <w:rPr>
          <w:rFonts w:ascii="Times New Roman" w:hAnsi="Times New Roman" w:cs="Times New Roman"/>
          <w:i/>
          <w:sz w:val="28"/>
          <w:szCs w:val="28"/>
        </w:rPr>
        <w:t>AGT</w:t>
      </w:r>
      <w:r>
        <w:rPr>
          <w:rFonts w:ascii="Times New Roman" w:hAnsi="Times New Roman" w:cs="Times New Roman"/>
          <w:sz w:val="28"/>
          <w:szCs w:val="28"/>
        </w:rPr>
        <w:t xml:space="preserve"> и I/D (rs1799752) гена </w:t>
      </w:r>
      <w:r>
        <w:rPr>
          <w:rFonts w:ascii="Times New Roman" w:hAnsi="Times New Roman" w:cs="Times New Roman"/>
          <w:i/>
          <w:sz w:val="28"/>
          <w:szCs w:val="28"/>
        </w:rPr>
        <w:t>ACE</w:t>
      </w:r>
      <w:r>
        <w:rPr>
          <w:rFonts w:ascii="Times New Roman" w:hAnsi="Times New Roman" w:cs="Times New Roman"/>
          <w:sz w:val="28"/>
          <w:szCs w:val="28"/>
        </w:rPr>
        <w:t xml:space="preserve"> – нет</w:t>
      </w:r>
      <w:r w:rsidR="006249B4">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{"citationItems":[{"id":"ITEM-1","itemData":{"ISSN":"18741924","abstract":"Background: Hypertension, one of the most important risk factors for premature cardiovascular disease, is a major worldwide public health problem. Angiotensin-1-converting enzyme (ACE) and angiotensinogen (AGT) gene polymorphisms are thought to be associated with primary hypertension. In the present study, we examined the frequency of these gene polymorphisms in an adult population with and without essential hypertension. Furthermore, we evaluated the effect of ACE and AGT gene polymorphisms on ramipril treatment efficacy in the hypertensive patients. Methods: A total of 166 adults (83 hypertensives and 83 normotensives) were involved in the study and genotyped for AGTM235T (rs699), AGTT174M (rs4762) and ACEI/D (rs1799752) gene polymorphisms. Results: The genotype and allele distribution of the AGTM235T variant significantly differed between hypertensives and normotensives [odds ratio (OR) = 1.57% (T vs M allele), 95% confidence intervals (CIs): 1.01 -2.44; p=0.045 for hypertensives]. However, none of the 3 studied Simple Nucleotide Polymorphisms were associated with the blood pressure-lowering response to ramipril. Conclusion: These results suggest that AGTM235T gene polymorphism is associated with essential hypertension. However, none of the AGTM235T, AGTT174M and ACEI/D gene polymorphisms influenced ramipril effectiveness.","author":[{"dropping-particle":"","family":"Kolovou","given":"Vana","non-dropping-particle":"","parse-names":false,"suffix":""},{"dropping-particle":"","family":"Lagou","given":"Evangelia","non-dropping-particle":"","parse-names":false,"suffix":""},{"dropping-particle":"","family":"Mihas","given":"Constantinos","non-dropping-particle":"","parse-names":false,"suffix":""},{"dropping-particle":"","family":"Vasiliki","given":"Giannakopoulou","non-dropping-particle":"","parse-names":false,"suffix":""},{"dropping-particle":"","family":"Katsiki","given":"Niki","non-dropping-particle":"","parse-names":false,"suffix":""},{"dropping-particle":"","family":"Kollia","given":"Aikaterini","non-dropping-particle":"","parse-names":false,"suffix":""},{"dropping-particle":"","family":"Triposkiadis","given":"Filippos","non-dropping-particle":"","parse-names":false,"suffix":""},{"dropping-particle":"","family":"Degiannis","given":"Dimitris","non-dropping-particle":"","parse-names":false,"suffix":""},{"dropping-particle":"","family":"Mavrogeni","given":"Sophie","non-dropping-particle":"","parse-names":false,"suffix":""},{"dropping-particle":"","family":"Kolovou","given":"Genovefa","non-dropping-particle":"","parse-names":false,"suffix":""}],"container-title":"The Open Cardiovascular Medicine Journal","id":"ITEM-1","issued":{"date-parts":[["2015"]]},"page":"118-126","title":"Angiotensinogen (AGT) M235T, AGT T174M and Angiotensin-1- Converting Enzyme (ACE) I/D Gene Polymorphisms in Essential Hypertension: Effects on Ramipril Efficacy","type":"article-journal","volume":"9"},"uris":["http://www.mendeley.com/documents/?uuid=a657ba96-e1a6-456e-800d-2a2d004d4313"]}],"mendeley":{"formattedCitation":"[94]","plainTextFormattedCitation":"[94]","previouslyFormattedCitation":"[94]"},"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[94]</w:t>
      </w:r>
      <w:r w:rsidR="00EA0E64">
        <w:rPr>
          <w:rFonts w:ascii="Times New Roman" w:hAnsi="Times New Roman" w:cs="Times New Roman"/>
          <w:sz w:val="28"/>
          <w:szCs w:val="28"/>
        </w:rPr>
        <w:fldChar w:fldCharType="end"/>
      </w:r>
      <w:r w:rsidR="00890DBA">
        <w:rPr>
          <w:rFonts w:ascii="Century" w:hAnsi="Century" w:cs="Times New Roman"/>
          <w:sz w:val="28"/>
          <w:szCs w:val="28"/>
        </w:rPr>
        <w:t>.</w:t>
      </w:r>
      <w:r>
        <w:rPr>
          <w:rFonts w:ascii="Times New Roman" w:hAnsi="Times New Roman" w:cs="Times New Roman"/>
          <w:sz w:val="28"/>
          <w:szCs w:val="28"/>
        </w:rPr>
        <w:t xml:space="preserve"> Isordia-Salas I. и соавторы (2019) изучали вклад полиморфизмов генов РААС на риск развития ишемического инсульта у молодых мексиканцев и обнаружили, что полиморфизмы M235T и T174M гена </w:t>
      </w:r>
      <w:r>
        <w:rPr>
          <w:rFonts w:ascii="Times New Roman" w:hAnsi="Times New Roman" w:cs="Times New Roman"/>
          <w:i/>
          <w:sz w:val="28"/>
          <w:szCs w:val="28"/>
        </w:rPr>
        <w:t>AGT</w:t>
      </w:r>
      <w:r>
        <w:rPr>
          <w:rFonts w:ascii="Times New Roman" w:hAnsi="Times New Roman" w:cs="Times New Roman"/>
          <w:sz w:val="28"/>
          <w:szCs w:val="28"/>
        </w:rPr>
        <w:t xml:space="preserve"> повышали риск развития ишемического инсульта независимо от уровня ангиотензиногена</w:t>
      </w:r>
      <w:r w:rsidR="00593243">
        <w:rPr>
          <w:rFonts w:ascii="Times New Roman" w:hAnsi="Times New Roman" w:cs="Times New Roman"/>
          <w:sz w:val="28"/>
          <w:szCs w:val="28"/>
        </w:rPr>
        <w:t xml:space="preserve"> крови</w:t>
      </w:r>
      <w:r w:rsidR="006249B4">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gene.2018.11.080","ISSN":"03781119","author":[{"dropping-particle":"","family":"Isordia-Salas","given":"Irma","non-dropping-particle":"","parse-names":false,"suffix":""},{"dropping-particle":"","family":"Santiago-Germán","given":"David","non-dropping-particle":"","parse-names":false,"suffix":""},{"dropping-particle":"","family":"Cerda-Mancillas","given":"Megan Carolina","non-dropping-particle":"","parse-names":false,"suffix":""},{"dropping-particle":"","family":"Hernández-Juárez","given":"Jesús","non-dropping-particle":"","parse-names":false,"suffix":""},{"dropping-particle":"","family":"Bernabe-García","given":"Mariela","non-dropping-particle":"","parse-names":false,"suffix":""},{"dropping-particle":"","family":"Leaños-Miranda","given":"Alfredo","non-dropping-particle":"","parse-names":false,"suffix":""},{"dropping-particle":"","family":"Alvarado-Moreno","given":"José Antonio","non-dropping-particle":"","parse-names":false,"suffix":""},{"dropping-particle":"","family":"Majluf-Cruz","given":"Abraham","non-dropping-particle":"","parse-names":false,"suffix":""}],"container-title":"Gene","id":"ITEM-1","issued":{"date-parts":[["2019","3"]]},"page":"163-170","title":"Gene polymorphisms of angiotensin-converting enzyme and angiotensinogen and risk of idiopathic ischemic stroke","type":"article-journal","volume":"688"},"uris":["http://www.mendeley.com/documents/?uuid=0731147e-7066-4373-8edf-5f80c64929f7"]}],"mendeley":{"formattedCitation":"[95]","plainTextFormattedCitation":"[95]","previouslyFormattedCitation":"[95]"},"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[95]</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Muñoz A.M. и соавторы (2017) </w:t>
      </w:r>
      <w:r w:rsidR="00576FF0">
        <w:rPr>
          <w:rFonts w:ascii="Times New Roman" w:hAnsi="Times New Roman" w:cs="Times New Roman"/>
          <w:sz w:val="28"/>
          <w:szCs w:val="28"/>
        </w:rPr>
        <w:t>оценивали связь полиморфизмов 10 генов с МС, избыточным весом и склонностью к ожирению, также оценивали влияние, которое социально-экономические и перинатальные факторы могут оказать на эти ассоциации в группе молодых людей</w:t>
      </w:r>
      <w:r w:rsidR="002E32A9">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{"citationItems":[{"id":"ITEM-1","itemData":{"DOI":"10.1186/s12263-017-0567-1","ISBN":"9781493932832","ISSN":"18653499","PMID":"28690685","abstract":"BACKGROUND A polymorphism in a gene may exert its effects on multiple phenotypes. The aim of this study is to explore the association of 10 metabolic syndrome candidate genes with excess weight and adiposity and evaluate the effect of perinatal and socioeconomic factors on these associations. METHODS The anthropometry, socioeconomic and perinatal conditions and 10 polymorphisms were evaluated in 1081 young people between 10 and 18 years old. Genotypic associations were calculated using logistic and linear models adjusted by age, gender, and pubertal maturation, and a genetic risk score (GRS) was calculated by summing the number of effect alleles. RESULTS We found that AGT-rs699 and the IRS2-rs1805097 variants were significantly associated with excess weight, OR = 1.25 (CI 95% 1.01-1.54; p = 0.034); OR = 0.77 (CI 95% 0.62-0.96; p = 0.022), respectively. AGT-rs699 and FTO-rs17817449 variants were significantly and directly associated with body mass index (BMI) (p = 0.036 and p = 0.031), while IRS2-rs1805097 and UCP3-rs1800849 were significantly and negatively associated with BMI and waist circumference, correspondingly. Each additional effect allele in GRS was associated with an increase of 0.020 log(BMI) (p = 0.004). No effects from the socioeconomic and perinatal factors evaluated on the association of the candidate genes with the phenotypes were detected. CONCLUSIONS Our observation suggests that AGT-rs699 and FTO-rs17817449 variants may contribute to the risk development of excess weight and an increase in the BMI, while IRS2-rs1805097 showed a protector effect; in addition, UCP3- rs1800849 showed a decreasing waist circumference. Socioeconomic and perinatal factors had no effect on the associations of the candidate gene.","author":[{"dropping-particle":"","family":"Muñoz","given":"Angélica María","non-dropping-particle":"","parse-names":false,"suffix":""},{"dropping-particle":"","family":"Velásquez","given":"Claudia María","non-dropping-particle":"","parse-names":false,"suffix":""},{"dropping-particle":"","family":"Agudelo","given":"Gloria María","non-dropping-particle":"","parse-names":false,"suffix":""},{"dropping-particle":"","family":"Uscátegui","given":"Rosa Magdalena","non-dropping-particle":"","parse-names":false,"suffix":""},{"dropping-particle":"","family":"Estrada","given":"Alejandro","non-dropping-particle":"","parse-names":false,"suffix":""},{"dropping-particle":"","family":"Patiño","given":"Fredy Alonso","non-dropping-particle":"","parse-names":false,"suffix":""},{"dropping-particle":"","family":"Parra","given":"Beatriz Elena","non-dropping-particle":"","parse-names":false,"suffix":""},{"dropping-particle":"","family":"Parra","given":"María Victoria","non-dropping-particle":"","parse-names":false,"suffix":""},{"dropping-particle":"","family":"Bedoya","given":"Gabriel","non-dropping-particle":"","parse-names":false,"suffix":""}],"container-title":"Genes and Nutrition","id":"ITEM-1","issue":"1","issued":{"date-parts":[["2017"]]},"page":"1-11","publisher":"Genes &amp; Nutrition","title":"Examining for an association between candidate gene polymorphisms in the metabolic syndrome components on excess weight and adiposity measures in youth: A cross-sectional study","type":"article-journal","volume":"12"},"uris":["http://www.mendeley.com/documents/?uuid=11ec0d7f-789e-4ab2-89b3-6bc21fc34cee"]}],"mendeley":{"formattedCitation":"[96]","plainTextFormattedCitation":"[96]","previouslyFormattedCitation":"[96]"},"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[96]</w:t>
      </w:r>
      <w:r w:rsidR="00EA0E64">
        <w:rPr>
          <w:rFonts w:ascii="Times New Roman" w:hAnsi="Times New Roman" w:cs="Times New Roman"/>
          <w:sz w:val="28"/>
          <w:szCs w:val="28"/>
        </w:rPr>
        <w:fldChar w:fldCharType="end"/>
      </w:r>
      <w:r w:rsidR="00576FF0">
        <w:rPr>
          <w:rFonts w:ascii="Times New Roman" w:hAnsi="Times New Roman" w:cs="Times New Roman"/>
          <w:sz w:val="28"/>
          <w:szCs w:val="28"/>
        </w:rPr>
        <w:t xml:space="preserve">. Они </w:t>
      </w:r>
      <w:r>
        <w:rPr>
          <w:rFonts w:ascii="Times New Roman" w:hAnsi="Times New Roman" w:cs="Times New Roman"/>
          <w:sz w:val="28"/>
          <w:szCs w:val="28"/>
        </w:rPr>
        <w:t xml:space="preserve">отмечают, что результаты эпидемиологических исследований часто показывали различия по этническому признаку и значительные вариации в зависимости от социальных условий и условий окружающей среды. Из 10 оцененных вариантов </w:t>
      </w:r>
      <w:r w:rsidR="00576FF0">
        <w:rPr>
          <w:rFonts w:ascii="Times New Roman" w:hAnsi="Times New Roman" w:cs="Times New Roman"/>
          <w:sz w:val="28"/>
          <w:szCs w:val="28"/>
        </w:rPr>
        <w:t xml:space="preserve">ассоциации с избыточным весом или его количественные изменения </w:t>
      </w:r>
      <w:r>
        <w:rPr>
          <w:rFonts w:ascii="Times New Roman" w:hAnsi="Times New Roman" w:cs="Times New Roman"/>
          <w:sz w:val="28"/>
          <w:szCs w:val="28"/>
        </w:rPr>
        <w:t xml:space="preserve">были обнаружены </w:t>
      </w:r>
      <w:r w:rsidR="00576FF0">
        <w:rPr>
          <w:rFonts w:ascii="Times New Roman" w:hAnsi="Times New Roman" w:cs="Times New Roman"/>
          <w:sz w:val="28"/>
          <w:szCs w:val="28"/>
        </w:rPr>
        <w:t xml:space="preserve">с этими </w:t>
      </w:r>
      <w:r>
        <w:rPr>
          <w:rFonts w:ascii="Times New Roman" w:hAnsi="Times New Roman" w:cs="Times New Roman"/>
          <w:sz w:val="28"/>
          <w:szCs w:val="28"/>
        </w:rPr>
        <w:t>полиморфизм</w:t>
      </w:r>
      <w:r w:rsidR="00576FF0">
        <w:rPr>
          <w:rFonts w:ascii="Times New Roman" w:hAnsi="Times New Roman" w:cs="Times New Roman"/>
          <w:sz w:val="28"/>
          <w:szCs w:val="28"/>
        </w:rPr>
        <w:t>ами.</w:t>
      </w:r>
      <w:r w:rsidR="002E32A9">
        <w:rPr>
          <w:rFonts w:ascii="Times New Roman" w:hAnsi="Times New Roman" w:cs="Times New Roman"/>
          <w:sz w:val="28"/>
          <w:szCs w:val="28"/>
        </w:rPr>
        <w:t xml:space="preserve"> </w:t>
      </w:r>
      <w:r>
        <w:rPr>
          <w:rFonts w:ascii="Times New Roman" w:hAnsi="Times New Roman" w:cs="Times New Roman"/>
          <w:i/>
          <w:sz w:val="28"/>
          <w:szCs w:val="28"/>
        </w:rPr>
        <w:t>AGT</w:t>
      </w:r>
      <w:r>
        <w:rPr>
          <w:rFonts w:ascii="Times New Roman" w:hAnsi="Times New Roman" w:cs="Times New Roman"/>
          <w:sz w:val="28"/>
          <w:szCs w:val="28"/>
        </w:rPr>
        <w:t xml:space="preserve"> и </w:t>
      </w:r>
      <w:r>
        <w:rPr>
          <w:rFonts w:ascii="Times New Roman" w:hAnsi="Times New Roman" w:cs="Times New Roman"/>
          <w:i/>
          <w:sz w:val="28"/>
          <w:szCs w:val="28"/>
        </w:rPr>
        <w:t>IRS2</w:t>
      </w:r>
      <w:r>
        <w:rPr>
          <w:rFonts w:ascii="Times New Roman" w:hAnsi="Times New Roman" w:cs="Times New Roman"/>
          <w:sz w:val="28"/>
          <w:szCs w:val="28"/>
        </w:rPr>
        <w:t xml:space="preserve"> показали значительную связь с избыточной массой тела и с увеличением ИМТ,</w:t>
      </w:r>
      <w:r w:rsidR="00D12C3E">
        <w:rPr>
          <w:rFonts w:ascii="Times New Roman" w:hAnsi="Times New Roman" w:cs="Times New Roman"/>
          <w:sz w:val="28"/>
          <w:szCs w:val="28"/>
        </w:rPr>
        <w:t xml:space="preserve"> в</w:t>
      </w:r>
      <w:r>
        <w:rPr>
          <w:rFonts w:ascii="Times New Roman" w:hAnsi="Times New Roman" w:cs="Times New Roman"/>
          <w:sz w:val="28"/>
          <w:szCs w:val="28"/>
        </w:rPr>
        <w:t xml:space="preserve"> то время, как </w:t>
      </w:r>
      <w:r>
        <w:rPr>
          <w:rFonts w:ascii="Times New Roman" w:hAnsi="Times New Roman" w:cs="Times New Roman"/>
          <w:i/>
          <w:sz w:val="28"/>
          <w:szCs w:val="28"/>
        </w:rPr>
        <w:t>UCP3</w:t>
      </w:r>
      <w:r>
        <w:rPr>
          <w:rFonts w:ascii="Times New Roman" w:hAnsi="Times New Roman" w:cs="Times New Roman"/>
          <w:sz w:val="28"/>
          <w:szCs w:val="28"/>
        </w:rPr>
        <w:t xml:space="preserve"> показал уменьшение окружности талии. Авторы обнаружили, что уровень образования родителей, семейный анамнез по ожирению, гипертензии, дислипидемии и небольшая продолжительность грудного вскармливания способствуют избыточному весу; однако никакого влияния этих социально-экономических и перинатальных факторов на ассоциаци</w:t>
      </w:r>
      <w:r w:rsidR="00D12C3E">
        <w:rPr>
          <w:rFonts w:ascii="Times New Roman" w:hAnsi="Times New Roman" w:cs="Times New Roman"/>
          <w:sz w:val="28"/>
          <w:szCs w:val="28"/>
        </w:rPr>
        <w:t>ю</w:t>
      </w:r>
      <w:r>
        <w:rPr>
          <w:rFonts w:ascii="Times New Roman" w:hAnsi="Times New Roman" w:cs="Times New Roman"/>
          <w:sz w:val="28"/>
          <w:szCs w:val="28"/>
        </w:rPr>
        <w:t xml:space="preserve"> полиморфизмов генов, которые способствуют </w:t>
      </w:r>
      <w:r w:rsidR="00D12C3E">
        <w:rPr>
          <w:rFonts w:ascii="Times New Roman" w:hAnsi="Times New Roman" w:cs="Times New Roman"/>
          <w:sz w:val="28"/>
          <w:szCs w:val="28"/>
        </w:rPr>
        <w:t xml:space="preserve">риска </w:t>
      </w:r>
      <w:r>
        <w:rPr>
          <w:rFonts w:ascii="Times New Roman" w:hAnsi="Times New Roman" w:cs="Times New Roman"/>
          <w:sz w:val="28"/>
          <w:szCs w:val="28"/>
        </w:rPr>
        <w:t>развити</w:t>
      </w:r>
      <w:r w:rsidR="00D12C3E">
        <w:rPr>
          <w:rFonts w:ascii="Times New Roman" w:hAnsi="Times New Roman" w:cs="Times New Roman"/>
          <w:sz w:val="28"/>
          <w:szCs w:val="28"/>
        </w:rPr>
        <w:t>я</w:t>
      </w:r>
      <w:r>
        <w:rPr>
          <w:rFonts w:ascii="Times New Roman" w:hAnsi="Times New Roman" w:cs="Times New Roman"/>
          <w:sz w:val="28"/>
          <w:szCs w:val="28"/>
        </w:rPr>
        <w:t xml:space="preserve"> избыточного веса</w:t>
      </w:r>
      <w:r w:rsidR="00231038">
        <w:rPr>
          <w:rFonts w:ascii="Times New Roman" w:hAnsi="Times New Roman" w:cs="Times New Roman"/>
          <w:sz w:val="28"/>
          <w:szCs w:val="28"/>
        </w:rPr>
        <w:t xml:space="preserve"> и ожирении, обнаружено не было.</w:t>
      </w:r>
      <w:r w:rsidR="002E32A9">
        <w:rPr>
          <w:rFonts w:ascii="Times New Roman" w:hAnsi="Times New Roman" w:cs="Times New Roman"/>
          <w:sz w:val="28"/>
          <w:szCs w:val="28"/>
        </w:rPr>
        <w:t xml:space="preserve"> </w:t>
      </w:r>
      <w:r w:rsidR="00231038">
        <w:rPr>
          <w:rFonts w:ascii="Times New Roman" w:hAnsi="Times New Roman" w:cs="Times New Roman"/>
          <w:sz w:val="28"/>
          <w:szCs w:val="28"/>
        </w:rPr>
        <w:t xml:space="preserve">В </w:t>
      </w:r>
      <w:r>
        <w:rPr>
          <w:rFonts w:ascii="Times New Roman" w:hAnsi="Times New Roman" w:cs="Times New Roman"/>
          <w:sz w:val="28"/>
          <w:szCs w:val="28"/>
        </w:rPr>
        <w:t>перспективе авторы предполагают изучить на большем размере выборки взаимодействие других факторов окружающей среды, таких как образ жизни и диета, в дополнение к большему количеству полиморфизмов в каждом гене. Это может помочь объяснить взаимосвязь между генотипом и фенотипом, что может иметь значение в клинике при разработке методов лечения или прогнозировании результатов.</w:t>
      </w:r>
    </w:p>
    <w:p w:rsidR="001928F8" w:rsidRDefault="001928F8" w:rsidP="00AB12B3">
      <w:pPr>
        <w:spacing w:after="0" w:line="240" w:lineRule="auto"/>
        <w:ind w:firstLine="708"/>
        <w:jc w:val="both"/>
        <w:rPr>
          <w:rFonts w:ascii="Times New Roman" w:hAnsi="Times New Roman" w:cs="Times New Roman"/>
          <w:i/>
          <w:sz w:val="28"/>
          <w:szCs w:val="28"/>
          <w:lang w:val="kk-KZ"/>
        </w:rPr>
      </w:pPr>
    </w:p>
    <w:p w:rsidR="00BE6662" w:rsidRDefault="00AB12B3" w:rsidP="00AB12B3">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Ген рецептора ангиотензина II типа I AGTR1 A1166C (rs5186)</w:t>
      </w:r>
    </w:p>
    <w:p w:rsidR="00AB12B3" w:rsidRDefault="00285F68"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Обще</w:t>
      </w:r>
      <w:r w:rsidR="00AB12B3">
        <w:rPr>
          <w:rFonts w:ascii="Times New Roman" w:hAnsi="Times New Roman" w:cs="Times New Roman"/>
          <w:sz w:val="28"/>
          <w:szCs w:val="28"/>
        </w:rPr>
        <w:t>известно</w:t>
      </w:r>
      <w:r w:rsidR="00890DBA">
        <w:rPr>
          <w:rFonts w:ascii="Century" w:hAnsi="Century" w:cs="Times New Roman"/>
          <w:sz w:val="28"/>
          <w:szCs w:val="28"/>
        </w:rPr>
        <w:t>,</w:t>
      </w:r>
      <w:r>
        <w:rPr>
          <w:rFonts w:ascii="Times New Roman" w:hAnsi="Times New Roman" w:cs="Times New Roman"/>
          <w:sz w:val="28"/>
          <w:szCs w:val="28"/>
        </w:rPr>
        <w:t xml:space="preserve"> что</w:t>
      </w:r>
      <w:r w:rsidR="00AB12B3">
        <w:rPr>
          <w:rFonts w:ascii="Times New Roman" w:hAnsi="Times New Roman" w:cs="Times New Roman"/>
          <w:sz w:val="28"/>
          <w:szCs w:val="28"/>
        </w:rPr>
        <w:t xml:space="preserve"> рецептор І типа ангиотензина ІІ под действием ангиотензина ІІ суживает стенки сосудов, тем самым повышает </w:t>
      </w:r>
      <w:r w:rsidR="007A5258">
        <w:rPr>
          <w:rFonts w:ascii="Times New Roman" w:hAnsi="Times New Roman" w:cs="Times New Roman"/>
          <w:sz w:val="28"/>
          <w:szCs w:val="28"/>
        </w:rPr>
        <w:t>АД</w:t>
      </w:r>
      <w:r w:rsidR="00890DBA">
        <w:rPr>
          <w:rFonts w:ascii="Century" w:hAnsi="Century" w:cs="Times New Roman"/>
          <w:sz w:val="28"/>
          <w:szCs w:val="28"/>
        </w:rPr>
        <w:t>.</w:t>
      </w:r>
      <w:r w:rsidR="00AB12B3">
        <w:rPr>
          <w:rFonts w:ascii="Times New Roman" w:hAnsi="Times New Roman" w:cs="Times New Roman"/>
          <w:sz w:val="28"/>
          <w:szCs w:val="28"/>
        </w:rPr>
        <w:t xml:space="preserve"> Тогда как</w:t>
      </w:r>
      <w:r w:rsidR="00890DBA">
        <w:rPr>
          <w:rFonts w:ascii="Century" w:hAnsi="Century" w:cs="Times New Roman"/>
          <w:sz w:val="28"/>
          <w:szCs w:val="28"/>
        </w:rPr>
        <w:t>,</w:t>
      </w:r>
      <w:r w:rsidR="00AB12B3">
        <w:rPr>
          <w:rFonts w:ascii="Times New Roman" w:hAnsi="Times New Roman" w:cs="Times New Roman"/>
          <w:sz w:val="28"/>
          <w:szCs w:val="28"/>
        </w:rPr>
        <w:t xml:space="preserve"> рецептор ІІ типа ангиотензина ІІ наоборот</w:t>
      </w:r>
      <w:r w:rsidR="00890DBA">
        <w:rPr>
          <w:rFonts w:ascii="Century" w:hAnsi="Century" w:cs="Times New Roman"/>
          <w:sz w:val="28"/>
          <w:szCs w:val="28"/>
        </w:rPr>
        <w:t>,</w:t>
      </w:r>
      <w:r w:rsidR="00AB12B3">
        <w:rPr>
          <w:rFonts w:ascii="Times New Roman" w:hAnsi="Times New Roman" w:cs="Times New Roman"/>
          <w:sz w:val="28"/>
          <w:szCs w:val="28"/>
        </w:rPr>
        <w:t xml:space="preserve"> расширяет сосуды и снижает </w:t>
      </w:r>
      <w:r w:rsidR="00C57064">
        <w:rPr>
          <w:rFonts w:ascii="Times New Roman" w:hAnsi="Times New Roman" w:cs="Times New Roman"/>
          <w:sz w:val="28"/>
          <w:szCs w:val="28"/>
        </w:rPr>
        <w:t>АД</w:t>
      </w:r>
      <w:r w:rsidR="00890DBA">
        <w:rPr>
          <w:rFonts w:ascii="Century" w:hAnsi="Century" w:cs="Times New Roman"/>
          <w:sz w:val="28"/>
          <w:szCs w:val="28"/>
        </w:rPr>
        <w:t>.</w:t>
      </w:r>
      <w:r w:rsidR="00AB12B3">
        <w:rPr>
          <w:rFonts w:ascii="Times New Roman" w:hAnsi="Times New Roman" w:cs="Times New Roman"/>
          <w:sz w:val="28"/>
          <w:szCs w:val="28"/>
        </w:rPr>
        <w:t xml:space="preserve"> Стимуляция рецептора ангиотензина II типа I также активирует мембраносвязанную H оксидазу, что приводит к повышенному образованию </w:t>
      </w:r>
      <w:r w:rsidR="00AB12B3">
        <w:rPr>
          <w:rFonts w:ascii="Times New Roman" w:hAnsi="Times New Roman" w:cs="Times New Roman"/>
          <w:sz w:val="28"/>
          <w:szCs w:val="28"/>
        </w:rPr>
        <w:lastRenderedPageBreak/>
        <w:t xml:space="preserve">реактивных форм кислорода. Ряд авторов описывает, что почти во всех системах органов активация РААС связана с дегенерацией, ремоделированием и дисфункцией тканей, которые, вероятно, вторичны по отношению к образованию реактивных видов кислорода. </w:t>
      </w:r>
      <w:r w:rsidR="004A720D">
        <w:rPr>
          <w:rFonts w:ascii="Times New Roman" w:hAnsi="Times New Roman" w:cs="Times New Roman"/>
          <w:sz w:val="28"/>
          <w:szCs w:val="28"/>
        </w:rPr>
        <w:t>При хронической активации в</w:t>
      </w:r>
      <w:r w:rsidR="00AB12B3">
        <w:rPr>
          <w:rFonts w:ascii="Times New Roman" w:hAnsi="Times New Roman" w:cs="Times New Roman"/>
          <w:sz w:val="28"/>
          <w:szCs w:val="28"/>
        </w:rPr>
        <w:t>с</w:t>
      </w:r>
      <w:r w:rsidR="004A720D">
        <w:rPr>
          <w:rFonts w:ascii="Times New Roman" w:hAnsi="Times New Roman" w:cs="Times New Roman"/>
          <w:sz w:val="28"/>
          <w:szCs w:val="28"/>
        </w:rPr>
        <w:t>ё</w:t>
      </w:r>
      <w:r w:rsidR="00AB12B3">
        <w:rPr>
          <w:rFonts w:ascii="Times New Roman" w:hAnsi="Times New Roman" w:cs="Times New Roman"/>
          <w:sz w:val="28"/>
          <w:szCs w:val="28"/>
        </w:rPr>
        <w:t xml:space="preserve"> это </w:t>
      </w:r>
      <w:r w:rsidR="004A720D">
        <w:rPr>
          <w:rFonts w:ascii="Times New Roman" w:hAnsi="Times New Roman" w:cs="Times New Roman"/>
          <w:sz w:val="28"/>
          <w:szCs w:val="28"/>
        </w:rPr>
        <w:t>может</w:t>
      </w:r>
      <w:r w:rsidR="00AB12B3">
        <w:rPr>
          <w:rFonts w:ascii="Times New Roman" w:hAnsi="Times New Roman" w:cs="Times New Roman"/>
          <w:sz w:val="28"/>
          <w:szCs w:val="28"/>
        </w:rPr>
        <w:t xml:space="preserve"> способствовать воспалению, атеросклерозу, тромбозу и фиброгенезу в сосудах</w:t>
      </w:r>
      <w:r w:rsidR="00F843CA">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8E155C">
        <w:rPr>
          <w:rFonts w:ascii="Times New Roman" w:hAnsi="Times New Roman" w:cs="Times New Roman"/>
          <w:sz w:val="28"/>
          <w:szCs w:val="28"/>
        </w:rPr>
        <w:instrText>ADDIN CSL_CITATION {"citationItems":[{"id":"ITEM-1","itemData":{"DOI":"10.1152/ajpcell.00287.2006","ISSN":"0363-6143","abstract":"The renin-angiotensin system is a central component of the physiological and pathological responses of cardiovascular system. Its primary effector hormone, angiotensin II (ANG II), not only mediates immediate physiological effects of vasoconstriction and blood pressure regulation, but is also implicated in inflammation, endothelial dysfunction, atherosclerosis, hypertension, and congestive heart failure. The myriad effects of ANG II depend on time (acute vs. chronic) and on the cells/tissues upon which it acts. In addition to inducing G protein- and non-G protein-related signaling pathways, ANG II, via AT(1) receptors, carries out its functions via MAP kinases (ERK 1/2, JNK, p38MAPK), receptor tyrosine kinases [PDGF, EGFR, insulin receptor], and nonreceptor tyrosine kinases [Src, JAK/STAT, focal adhesion kinase (FAK)]. AT(1)R-mediated NAD(P)H oxidase activation leads to generation of reactive oxygen species, widely implicated in vascular inflammation and fibrosis. ANG II also promotes the association of scaffolding proteins, such as paxillin, talin, and p130Cas, leading to focal adhesion and extracellular matrix formation. These signaling cascades lead to contraction, smooth muscle cell growth, hypertrophy, and cell migration, events that contribute to normal vascular function, and to disease progression. This review focuses on the structure and function of AT(1) receptors and the major signaling mechanisms by which angiotensin influences cardiovascular physiology and pathology.","author":[{"dropping-particle":"","family":"Mehta","given":"Puja K.","non-dropping-particle":"","parse-names":false,"suffix":""},{"dropping-particle":"","family":"Griendling","given":"Kathy K.","non-dropping-particle":"","parse-names":false,"suffix":""}],"container-title":"American Journal of Physiology-Cell Physiology","id":"ITEM-1","issue":"1","issued":{"date-parts":[["2007","1"]]},"page":"C82-C97","title":"Angiotensin II cell signaling: physiological and pathological effects in the cardiovascular system","type":"article-journal","volume":"292"},"uris":["http://www.mendeley.com/documents/?uuid=bcbadab3-c769-4d7b-8724-fe31febddf11","http://www.mendeley.com/documents/?uuid=e0104a03-1a60-45d8-ba9c-fe0306ab5cc5"]},{"id":"ITEM-2","itemData":{"DOI":"10.1016/j.cardiores.2007.07.014","ISSN":"00086363","abstract":"Peptide hormone Angiotensin II (Ang II) activates NAD(P)H oxidase, via AT1 receptors leading to increased generation of reactive oxygen species (ROS), such as the superoxide anion (O2-). As an important intracellular second messenger, ROS can activate many downstream signaling molecules, including mitogen-activated protein kinases (MAPK), protein tyrosine phosphatases, protein tyrosine kinases, and transcriptional factors. Activation of these signaling cascades is highly related to risk for cardiovascular diseases. Accumulating evidence reveals that membrane-bound NAD(P)H oxidase is the main source responsible for Ang II-induced ROS generation. However, recent novel findings suggest that Ang II stimulation induces opening of mitochondrial KATP channels, depolarizes mitochondrial potential (ΔΨM), and further amplifies ROS generation from mitochondria, resulting in redox-sensitive activation of MAPK. In this review, we discuss the possible mechanisms of Ang II-induced cardiac pharmacological preconditioning (PC), and focus on the role of mitochondrial KATP channels, mitochondrial ROS production, and MAPK activation in response to Ang II stimulation. © 2007 European Society of Cardiology.","author":[{"dropping-particle":"","family":"Zhang","given":"G","non-dropping-particle":"","parse-names":false,"suffix":""},{"dropping-particle":"","family":"Lu","given":"X","non-dropping-particle":"","parse-names":false,"suffix":""},{"dropping-particle":"","family":"Kimura","given":"S","non-dropping-particle":"","parse-names":false,"suffix":""},{"dropping-particle":"","family":"Nishiyama","given":"A","non-dropping-particle":"","parse-names":false,"suffix":""}],"container-title":"Cardiovascular Research","id":"ITEM-2","issue":"2","issued":{"date-parts":[["2007","11","1"]]},"page":"204-212","title":"Role of mitochondria in angiotensin II-induced reactive oxygen species and mitogen-activated protein kinase activation","type":"article-journal","volume":"76"},"suppress-author":1,"uris":["http://www.mendeley.com/documents/?uuid=0dfc76eb-266b-4241-a332-5ff26c9e33b9","http://www.mendeley.com/documents/?uuid=86367a1a-107e-427c-9b34-dc440ca8a089"]}],"mendeley":{"formattedCitation":"[97,98]","plainTextFormattedCitation":"[97,98]","previouslyFormattedCitation":"[97,98]"},"properties":{"noteIndex":0},"schema":"https://github.com/citation-style-language/schema/raw/master/csl-citation.json"}</w:instrText>
      </w:r>
      <w:r w:rsidR="00EA0E64">
        <w:rPr>
          <w:rFonts w:ascii="Times New Roman" w:hAnsi="Times New Roman" w:cs="Times New Roman"/>
          <w:sz w:val="28"/>
          <w:szCs w:val="28"/>
        </w:rPr>
        <w:fldChar w:fldCharType="separate"/>
      </w:r>
      <w:r w:rsidR="008E155C" w:rsidRPr="008E155C">
        <w:rPr>
          <w:rFonts w:ascii="Times New Roman" w:hAnsi="Times New Roman" w:cs="Times New Roman"/>
          <w:noProof/>
          <w:sz w:val="28"/>
          <w:szCs w:val="28"/>
        </w:rPr>
        <w:t>[97,</w:t>
      </w:r>
      <w:r w:rsidR="00B53051">
        <w:rPr>
          <w:rFonts w:ascii="Times New Roman" w:hAnsi="Times New Roman" w:cs="Times New Roman"/>
          <w:noProof/>
          <w:sz w:val="28"/>
          <w:szCs w:val="28"/>
        </w:rPr>
        <w:t xml:space="preserve"> </w:t>
      </w:r>
      <w:r w:rsidR="008E155C" w:rsidRPr="008E155C">
        <w:rPr>
          <w:rFonts w:ascii="Times New Roman" w:hAnsi="Times New Roman" w:cs="Times New Roman"/>
          <w:noProof/>
          <w:sz w:val="28"/>
          <w:szCs w:val="28"/>
        </w:rPr>
        <w:t>98]</w:t>
      </w:r>
      <w:r w:rsidR="00EA0E64">
        <w:rPr>
          <w:rFonts w:ascii="Times New Roman" w:hAnsi="Times New Roman" w:cs="Times New Roman"/>
          <w:sz w:val="28"/>
          <w:szCs w:val="28"/>
        </w:rPr>
        <w:fldChar w:fldCharType="end"/>
      </w:r>
      <w:r w:rsidR="00890DBA">
        <w:rPr>
          <w:rFonts w:ascii="Century" w:hAnsi="Century"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Эффект ангиотензина ІІ в основном проявляется через действия на рецептор І типа</w:t>
      </w:r>
      <w:r w:rsidR="00890DBA">
        <w:rPr>
          <w:rFonts w:ascii="Century" w:hAnsi="Century" w:cs="Times New Roman"/>
          <w:sz w:val="28"/>
          <w:szCs w:val="28"/>
        </w:rPr>
        <w:t>.</w:t>
      </w:r>
      <w:r>
        <w:rPr>
          <w:rFonts w:ascii="Times New Roman" w:hAnsi="Times New Roman" w:cs="Times New Roman"/>
          <w:sz w:val="28"/>
          <w:szCs w:val="28"/>
        </w:rPr>
        <w:t xml:space="preserve"> Поэтому количество этого рецептора определяет биологическую эффективность ангиотензина ІІ</w:t>
      </w:r>
      <w:r w:rsidR="00890DBA">
        <w:rPr>
          <w:rFonts w:ascii="Century" w:hAnsi="Century" w:cs="Times New Roman"/>
          <w:sz w:val="28"/>
          <w:szCs w:val="28"/>
        </w:rPr>
        <w:t>.</w:t>
      </w:r>
      <w:r>
        <w:rPr>
          <w:rFonts w:ascii="Times New Roman" w:hAnsi="Times New Roman" w:cs="Times New Roman"/>
          <w:sz w:val="28"/>
          <w:szCs w:val="28"/>
        </w:rPr>
        <w:t xml:space="preserve"> Существуют </w:t>
      </w:r>
      <w:r w:rsidR="00580DB2">
        <w:rPr>
          <w:rFonts w:ascii="Times New Roman" w:hAnsi="Times New Roman" w:cs="Times New Roman"/>
          <w:sz w:val="28"/>
          <w:szCs w:val="28"/>
        </w:rPr>
        <w:t>четыре</w:t>
      </w:r>
      <w:r>
        <w:rPr>
          <w:rFonts w:ascii="Times New Roman" w:hAnsi="Times New Roman" w:cs="Times New Roman"/>
          <w:sz w:val="28"/>
          <w:szCs w:val="28"/>
        </w:rPr>
        <w:t xml:space="preserve"> разных аспекта регуляции рецептора І типа ангиотензина ІІ</w:t>
      </w:r>
      <w:r w:rsidR="00890DBA">
        <w:rPr>
          <w:rFonts w:ascii="Century" w:hAnsi="Century" w:cs="Times New Roman"/>
          <w:sz w:val="28"/>
          <w:szCs w:val="28"/>
        </w:rPr>
        <w:t>.</w:t>
      </w:r>
      <w:r>
        <w:rPr>
          <w:rFonts w:ascii="Times New Roman" w:hAnsi="Times New Roman" w:cs="Times New Roman"/>
          <w:sz w:val="28"/>
          <w:szCs w:val="28"/>
        </w:rPr>
        <w:t xml:space="preserve"> Во-первых</w:t>
      </w:r>
      <w:r w:rsidR="00890DBA">
        <w:rPr>
          <w:rFonts w:ascii="Century" w:hAnsi="Century" w:cs="Times New Roman"/>
          <w:sz w:val="28"/>
          <w:szCs w:val="28"/>
        </w:rPr>
        <w:t>,</w:t>
      </w:r>
      <w:r>
        <w:rPr>
          <w:rFonts w:ascii="Times New Roman" w:hAnsi="Times New Roman" w:cs="Times New Roman"/>
          <w:sz w:val="28"/>
          <w:szCs w:val="28"/>
        </w:rPr>
        <w:t xml:space="preserve"> активация рецептора І типа ангиотензином ІІ уменьшает количество рецептора в клетке</w:t>
      </w:r>
      <w:r w:rsidR="00890DBA">
        <w:rPr>
          <w:rFonts w:ascii="Century" w:hAnsi="Century" w:cs="Times New Roman"/>
          <w:sz w:val="28"/>
          <w:szCs w:val="28"/>
        </w:rPr>
        <w:t>.</w:t>
      </w:r>
      <w:r>
        <w:rPr>
          <w:rFonts w:ascii="Times New Roman" w:hAnsi="Times New Roman" w:cs="Times New Roman"/>
          <w:sz w:val="28"/>
          <w:szCs w:val="28"/>
        </w:rPr>
        <w:t xml:space="preserve"> Во-вторых</w:t>
      </w:r>
      <w:r w:rsidR="00890DBA">
        <w:rPr>
          <w:rFonts w:ascii="Century" w:hAnsi="Century" w:cs="Times New Roman"/>
          <w:sz w:val="28"/>
          <w:szCs w:val="28"/>
        </w:rPr>
        <w:t>,</w:t>
      </w:r>
      <w:r>
        <w:rPr>
          <w:rFonts w:ascii="Times New Roman" w:hAnsi="Times New Roman" w:cs="Times New Roman"/>
          <w:sz w:val="28"/>
          <w:szCs w:val="28"/>
        </w:rPr>
        <w:t xml:space="preserve"> длительная стимуляция ангиотензином ІІ вызывает уменьшение продукции ангиотензина ІІ через протеинкиназы</w:t>
      </w:r>
      <w:r w:rsidR="00890DBA">
        <w:rPr>
          <w:rFonts w:ascii="Century" w:hAnsi="Century" w:cs="Times New Roman"/>
          <w:sz w:val="28"/>
          <w:szCs w:val="28"/>
        </w:rPr>
        <w:t>.</w:t>
      </w:r>
      <w:r>
        <w:rPr>
          <w:rFonts w:ascii="Times New Roman" w:hAnsi="Times New Roman" w:cs="Times New Roman"/>
          <w:sz w:val="28"/>
          <w:szCs w:val="28"/>
        </w:rPr>
        <w:t xml:space="preserve"> В-третьих</w:t>
      </w:r>
      <w:r w:rsidR="00890DBA">
        <w:rPr>
          <w:rFonts w:ascii="Century" w:hAnsi="Century" w:cs="Times New Roman"/>
          <w:sz w:val="28"/>
          <w:szCs w:val="28"/>
        </w:rPr>
        <w:t>,</w:t>
      </w:r>
      <w:r>
        <w:rPr>
          <w:rFonts w:ascii="Times New Roman" w:hAnsi="Times New Roman" w:cs="Times New Roman"/>
          <w:sz w:val="28"/>
          <w:szCs w:val="28"/>
        </w:rPr>
        <w:t xml:space="preserve"> альтернативное сплайсирование пре-мРНК рецептора І типа может изменить трансляцию белка рецептора І типа ангиотензина ІІ</w:t>
      </w:r>
      <w:r w:rsidR="00890DBA">
        <w:rPr>
          <w:rFonts w:ascii="Century" w:hAnsi="Century" w:cs="Times New Roman"/>
          <w:sz w:val="28"/>
          <w:szCs w:val="28"/>
        </w:rPr>
        <w:t>.</w:t>
      </w:r>
      <w:r>
        <w:rPr>
          <w:rFonts w:ascii="Times New Roman" w:hAnsi="Times New Roman" w:cs="Times New Roman"/>
          <w:sz w:val="28"/>
          <w:szCs w:val="28"/>
        </w:rPr>
        <w:t xml:space="preserve"> В-четвертых</w:t>
      </w:r>
      <w:r w:rsidR="00890DBA">
        <w:rPr>
          <w:rFonts w:ascii="Century" w:hAnsi="Century" w:cs="Times New Roman"/>
          <w:sz w:val="28"/>
          <w:szCs w:val="28"/>
        </w:rPr>
        <w:t>,</w:t>
      </w:r>
      <w:r>
        <w:rPr>
          <w:rFonts w:ascii="Times New Roman" w:hAnsi="Times New Roman" w:cs="Times New Roman"/>
          <w:sz w:val="28"/>
          <w:szCs w:val="28"/>
        </w:rPr>
        <w:t xml:space="preserve"> модуляция экспрессии гена </w:t>
      </w:r>
      <w:r>
        <w:rPr>
          <w:rFonts w:ascii="Times New Roman" w:hAnsi="Times New Roman" w:cs="Times New Roman"/>
          <w:i/>
          <w:sz w:val="28"/>
          <w:szCs w:val="28"/>
        </w:rPr>
        <w:t>AGTR1</w:t>
      </w:r>
      <w:r w:rsidR="00F843CA">
        <w:rPr>
          <w:rFonts w:ascii="Times New Roman" w:hAnsi="Times New Roman" w:cs="Times New Roman"/>
          <w:i/>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{"citationItems":[{"id":"ITEM-1","itemData":{"DOI":"10.1161/01.CIR.0000019581.22812.B2","PMID":"10051310","abstract":"Dquestions concerning the etiology of atherosclerosis espite intense investigation in the last decade, many remain unanswered. Hypercholesterolemia and hypertension are clearly risk factors for the development of vascular lesions, although the precise molecular steps between elevated lipid or blood pressure levels and the development of atherosclerotic lesions are not completely defined.1,2 Hypertension is frequently associated with additional risk factors such as hypercholesterolemia, estrogen deficiency, or hyperinsulinemia. This clustering of risk factors greatly enhances the probability to develop atherosclerosis.3 Nevertheless, the cellular events responsible for the mutual appearance of several risk factors are poorly understood. A series of recent studies have addressed the hypothesis that enhanced AT1 receptor activation could explain the association of various hormonal and metabolic disorders with hypertension, and ultimately, with accelerated progression of vascular lesions.","author":[{"dropping-particle":"","family":"Nickenig G. ; Harrison D.G.","given":"","non-dropping-particle":"","parse-names":false,"suffix":""}],"container-title":"Circulation","id":"ITEM-1","issued":{"date-parts":[["2002"]]},"page":"530-536","title":"The AT1-Type Angiotensin Receptor in Oxidative Stress and Atherogenesis Part II: AT1 Receptor Regulation","type":"article-journal","volume":"105"},"uris":["http://www.mendeley.com/documents/?uuid=5b170b31-98c3-412c-8feb-dd112cf3e921"]}],"mendeley":{"formattedCitation":"[99]","plainTextFormattedCitation":"[99]","previouslyFormattedCitation":"[99]"},"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[99]</w:t>
      </w:r>
      <w:r w:rsidR="00EA0E64">
        <w:rPr>
          <w:rFonts w:ascii="Times New Roman" w:hAnsi="Times New Roman" w:cs="Times New Roman"/>
          <w:sz w:val="28"/>
          <w:szCs w:val="28"/>
        </w:rPr>
        <w:fldChar w:fldCharType="end"/>
      </w:r>
      <w:r w:rsidR="00890DBA">
        <w:rPr>
          <w:rFonts w:ascii="Century" w:hAnsi="Century"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Согласно данным Behravan J</w:t>
      </w:r>
      <w:r w:rsidR="00890DBA">
        <w:rPr>
          <w:rFonts w:ascii="Century" w:hAnsi="Century" w:cs="Times New Roman"/>
          <w:sz w:val="28"/>
          <w:szCs w:val="28"/>
        </w:rPr>
        <w:t>.</w:t>
      </w:r>
      <w:r>
        <w:rPr>
          <w:rFonts w:ascii="Times New Roman" w:hAnsi="Times New Roman" w:cs="Times New Roman"/>
          <w:sz w:val="28"/>
          <w:szCs w:val="28"/>
        </w:rPr>
        <w:t xml:space="preserve"> (2006)</w:t>
      </w:r>
      <w:r w:rsidR="00890DBA">
        <w:rPr>
          <w:rFonts w:ascii="Century" w:hAnsi="Century" w:cs="Times New Roman"/>
          <w:sz w:val="28"/>
          <w:szCs w:val="28"/>
        </w:rPr>
        <w:t>,</w:t>
      </w:r>
      <w:r w:rsidR="00D53E48">
        <w:rPr>
          <w:rFonts w:ascii="Times New Roman" w:hAnsi="Times New Roman" w:cs="Times New Roman"/>
          <w:sz w:val="28"/>
          <w:szCs w:val="28"/>
        </w:rPr>
        <w:t xml:space="preserve"> </w:t>
      </w:r>
      <w:r>
        <w:rPr>
          <w:rFonts w:ascii="Times New Roman" w:hAnsi="Times New Roman" w:cs="Times New Roman"/>
          <w:sz w:val="28"/>
          <w:szCs w:val="28"/>
        </w:rPr>
        <w:t xml:space="preserve">частота аллеля С гена </w:t>
      </w:r>
      <w:r>
        <w:rPr>
          <w:rFonts w:ascii="Times New Roman" w:hAnsi="Times New Roman" w:cs="Times New Roman"/>
          <w:i/>
          <w:sz w:val="28"/>
          <w:szCs w:val="28"/>
        </w:rPr>
        <w:t>AGTR1</w:t>
      </w:r>
      <w:r>
        <w:rPr>
          <w:rFonts w:ascii="Times New Roman" w:hAnsi="Times New Roman" w:cs="Times New Roman"/>
          <w:sz w:val="28"/>
          <w:szCs w:val="28"/>
        </w:rPr>
        <w:t xml:space="preserve"> была выше у женщин с АГ</w:t>
      </w:r>
      <w:r w:rsidR="00890DBA">
        <w:rPr>
          <w:rFonts w:ascii="Century" w:hAnsi="Century" w:cs="Times New Roman"/>
          <w:sz w:val="28"/>
          <w:szCs w:val="28"/>
        </w:rPr>
        <w:t>,</w:t>
      </w:r>
      <w:r>
        <w:rPr>
          <w:rFonts w:ascii="Times New Roman" w:hAnsi="Times New Roman" w:cs="Times New Roman"/>
          <w:sz w:val="28"/>
          <w:szCs w:val="28"/>
        </w:rPr>
        <w:t xml:space="preserve"> чем у женщин без АГ</w:t>
      </w:r>
      <w:r w:rsidR="00890DBA">
        <w:rPr>
          <w:rFonts w:ascii="Century" w:hAnsi="Century" w:cs="Times New Roman"/>
          <w:sz w:val="28"/>
          <w:szCs w:val="28"/>
        </w:rPr>
        <w:t>,</w:t>
      </w:r>
      <w:r>
        <w:rPr>
          <w:rFonts w:ascii="Times New Roman" w:hAnsi="Times New Roman" w:cs="Times New Roman"/>
          <w:sz w:val="28"/>
          <w:szCs w:val="28"/>
        </w:rPr>
        <w:t xml:space="preserve"> а у мужчин такая частота не наблюдалось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author":[{"dropping-particle":"","family":"Behravan","given":"Javad","non-dropping-particle":"","parse-names":false,"suffix":""},{"dropping-particle":"","family":"Naghibi","given":"Masih","non-dropping-particle":"","parse-names":false,"suffix":""},{"dropping-particle":"","family":"Mazloomi","given":"Mohammad Ali","non-dropping-particle":"","parse-names":false,"suffix":""}],"container-title":"DARU","id":"ITEM-1","issue":"2","issued":{"date-parts":[["2006"]]},"page":"82-86","title":"Polymorphism of angiotensin II type 1receptor gene in Essential Hypertension in Iranian population","type":"article-journal","volume":"14"},"uris":["http://www.mendeley.com/documents/?uuid=0e76bcd0-aa0d-4c23-be77-77b67827c58c"]}],"mendeley":{"formattedCitation":"[100]","plainTextFormattedCitation":"[100]","previouslyFormattedCitation":"[100]"},"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[100]</w:t>
      </w:r>
      <w:r w:rsidR="00EA0E64">
        <w:rPr>
          <w:rFonts w:ascii="Times New Roman" w:hAnsi="Times New Roman" w:cs="Times New Roman"/>
          <w:sz w:val="28"/>
          <w:szCs w:val="28"/>
        </w:rPr>
        <w:fldChar w:fldCharType="end"/>
      </w:r>
      <w:r w:rsidR="00890DBA">
        <w:rPr>
          <w:rFonts w:ascii="Century" w:hAnsi="Century" w:cs="Times New Roman"/>
          <w:sz w:val="28"/>
          <w:szCs w:val="28"/>
        </w:rPr>
        <w:t>.</w:t>
      </w:r>
      <w:r>
        <w:rPr>
          <w:rFonts w:ascii="Times New Roman" w:hAnsi="Times New Roman" w:cs="Times New Roman"/>
          <w:sz w:val="28"/>
          <w:szCs w:val="28"/>
        </w:rPr>
        <w:t xml:space="preserve"> </w:t>
      </w:r>
      <w:r w:rsidR="007719FE">
        <w:rPr>
          <w:rFonts w:ascii="Times New Roman" w:hAnsi="Times New Roman" w:cs="Times New Roman"/>
          <w:sz w:val="28"/>
          <w:szCs w:val="28"/>
        </w:rPr>
        <w:t>С</w:t>
      </w:r>
      <w:r w:rsidR="006D1A10">
        <w:rPr>
          <w:rFonts w:ascii="Times New Roman" w:hAnsi="Times New Roman" w:cs="Times New Roman"/>
          <w:sz w:val="28"/>
          <w:szCs w:val="28"/>
        </w:rPr>
        <w:t xml:space="preserve"> </w:t>
      </w:r>
      <w:r w:rsidR="007719FE">
        <w:rPr>
          <w:rFonts w:ascii="Times New Roman" w:hAnsi="Times New Roman" w:cs="Times New Roman"/>
          <w:sz w:val="28"/>
          <w:szCs w:val="28"/>
        </w:rPr>
        <w:t>более высокими цифрами АД</w:t>
      </w:r>
      <w:r w:rsidR="006D1A10">
        <w:rPr>
          <w:rFonts w:ascii="Times New Roman" w:hAnsi="Times New Roman" w:cs="Times New Roman"/>
          <w:sz w:val="28"/>
          <w:szCs w:val="28"/>
        </w:rPr>
        <w:t xml:space="preserve"> </w:t>
      </w:r>
      <w:r w:rsidR="007719FE">
        <w:rPr>
          <w:rFonts w:ascii="Times New Roman" w:hAnsi="Times New Roman" w:cs="Times New Roman"/>
          <w:sz w:val="28"/>
          <w:szCs w:val="28"/>
        </w:rPr>
        <w:t>у женщин</w:t>
      </w:r>
      <w:r w:rsidR="000F33A6">
        <w:rPr>
          <w:rFonts w:ascii="Times New Roman" w:hAnsi="Times New Roman" w:cs="Times New Roman"/>
          <w:sz w:val="28"/>
          <w:szCs w:val="28"/>
        </w:rPr>
        <w:t xml:space="preserve"> </w:t>
      </w:r>
      <w:r w:rsidR="007719FE">
        <w:rPr>
          <w:rFonts w:ascii="Times New Roman" w:hAnsi="Times New Roman" w:cs="Times New Roman"/>
          <w:sz w:val="28"/>
          <w:szCs w:val="28"/>
        </w:rPr>
        <w:t>были ассоциированы</w:t>
      </w:r>
      <w:r w:rsidR="000F33A6">
        <w:rPr>
          <w:rFonts w:ascii="Times New Roman" w:hAnsi="Times New Roman" w:cs="Times New Roman"/>
          <w:sz w:val="28"/>
          <w:szCs w:val="28"/>
        </w:rPr>
        <w:t xml:space="preserve"> </w:t>
      </w:r>
      <w:r w:rsidR="007719FE">
        <w:rPr>
          <w:rFonts w:ascii="Times New Roman" w:hAnsi="Times New Roman" w:cs="Times New Roman"/>
          <w:sz w:val="28"/>
          <w:szCs w:val="28"/>
          <w:lang w:val="kk-KZ"/>
        </w:rPr>
        <w:t>г</w:t>
      </w:r>
      <w:r>
        <w:rPr>
          <w:rFonts w:ascii="Times New Roman" w:hAnsi="Times New Roman" w:cs="Times New Roman"/>
          <w:sz w:val="28"/>
          <w:szCs w:val="28"/>
        </w:rPr>
        <w:t>енотипы А/С и С/С</w:t>
      </w:r>
      <w:r w:rsidR="006D1A10">
        <w:rPr>
          <w:rFonts w:ascii="Century" w:hAnsi="Century" w:cs="Times New Roman"/>
          <w:sz w:val="28"/>
          <w:szCs w:val="28"/>
        </w:rPr>
        <w:t>,</w:t>
      </w:r>
      <w:r>
        <w:rPr>
          <w:rFonts w:ascii="Times New Roman" w:hAnsi="Times New Roman" w:cs="Times New Roman"/>
          <w:sz w:val="28"/>
          <w:szCs w:val="28"/>
        </w:rPr>
        <w:t xml:space="preserve"> чем генотип А/А</w:t>
      </w:r>
      <w:r w:rsidR="006D1A10">
        <w:rPr>
          <w:rFonts w:ascii="Century" w:hAnsi="Century" w:cs="Times New Roman"/>
          <w:sz w:val="28"/>
          <w:szCs w:val="28"/>
        </w:rPr>
        <w:t>.</w:t>
      </w:r>
      <w:r>
        <w:rPr>
          <w:rFonts w:ascii="Times New Roman" w:hAnsi="Times New Roman" w:cs="Times New Roman"/>
          <w:sz w:val="28"/>
          <w:szCs w:val="28"/>
        </w:rPr>
        <w:t xml:space="preserve"> Авторы объясняют такой </w:t>
      </w:r>
      <w:r w:rsidR="007719FE">
        <w:rPr>
          <w:rFonts w:ascii="Times New Roman" w:hAnsi="Times New Roman" w:cs="Times New Roman"/>
          <w:sz w:val="28"/>
          <w:szCs w:val="28"/>
          <w:lang w:val="kk-KZ"/>
        </w:rPr>
        <w:t>исход</w:t>
      </w:r>
      <w:r>
        <w:rPr>
          <w:rFonts w:ascii="Times New Roman" w:hAnsi="Times New Roman" w:cs="Times New Roman"/>
          <w:sz w:val="28"/>
          <w:szCs w:val="28"/>
        </w:rPr>
        <w:t xml:space="preserve"> тем</w:t>
      </w:r>
      <w:r w:rsidR="006D1A10">
        <w:rPr>
          <w:rFonts w:ascii="Century" w:hAnsi="Century" w:cs="Times New Roman"/>
          <w:sz w:val="28"/>
          <w:szCs w:val="28"/>
        </w:rPr>
        <w:t>,</w:t>
      </w:r>
      <w:r>
        <w:rPr>
          <w:rFonts w:ascii="Times New Roman" w:hAnsi="Times New Roman" w:cs="Times New Roman"/>
          <w:sz w:val="28"/>
          <w:szCs w:val="28"/>
        </w:rPr>
        <w:t xml:space="preserve"> что некоторые компоненты РААС у женщин регулируются эстрогенами</w:t>
      </w:r>
      <w:r w:rsidR="006D1A10">
        <w:rPr>
          <w:rFonts w:ascii="Century" w:hAnsi="Century" w:cs="Times New Roman"/>
          <w:sz w:val="28"/>
          <w:szCs w:val="28"/>
        </w:rPr>
        <w:t>,</w:t>
      </w:r>
      <w:r>
        <w:rPr>
          <w:rFonts w:ascii="Times New Roman" w:hAnsi="Times New Roman" w:cs="Times New Roman"/>
          <w:sz w:val="28"/>
          <w:szCs w:val="28"/>
        </w:rPr>
        <w:t xml:space="preserve"> так как эстроген является промотором гена ангиотензиногена</w:t>
      </w:r>
      <w:r w:rsidR="006D1A10">
        <w:rPr>
          <w:rFonts w:ascii="Century" w:hAnsi="Century" w:cs="Times New Roman"/>
          <w:sz w:val="28"/>
          <w:szCs w:val="28"/>
        </w:rPr>
        <w:t>.</w:t>
      </w:r>
      <w:r>
        <w:rPr>
          <w:rFonts w:ascii="Times New Roman" w:hAnsi="Times New Roman" w:cs="Times New Roman"/>
          <w:sz w:val="28"/>
          <w:szCs w:val="28"/>
        </w:rPr>
        <w:t xml:space="preserve"> Nickenig</w:t>
      </w:r>
      <w:r w:rsidR="00F843CA">
        <w:rPr>
          <w:rFonts w:ascii="Times New Roman" w:hAnsi="Times New Roman" w:cs="Times New Roman"/>
          <w:sz w:val="28"/>
          <w:szCs w:val="28"/>
        </w:rPr>
        <w:t xml:space="preserve"> </w:t>
      </w:r>
      <w:r w:rsidR="006B29FC">
        <w:rPr>
          <w:rFonts w:ascii="Times New Roman" w:hAnsi="Times New Roman" w:cs="Times New Roman"/>
          <w:sz w:val="28"/>
          <w:szCs w:val="28"/>
        </w:rPr>
        <w:t>G</w:t>
      </w:r>
      <w:r w:rsidR="006D1A10">
        <w:rPr>
          <w:rFonts w:ascii="Century" w:hAnsi="Century" w:cs="Times New Roman"/>
          <w:sz w:val="28"/>
          <w:szCs w:val="28"/>
        </w:rPr>
        <w:t>.</w:t>
      </w:r>
      <w:r w:rsidR="006B29FC">
        <w:rPr>
          <w:rFonts w:ascii="Times New Roman" w:hAnsi="Times New Roman" w:cs="Times New Roman"/>
          <w:sz w:val="28"/>
          <w:szCs w:val="28"/>
        </w:rPr>
        <w:t xml:space="preserve"> </w:t>
      </w:r>
      <w:r>
        <w:rPr>
          <w:rFonts w:ascii="Times New Roman" w:hAnsi="Times New Roman" w:cs="Times New Roman"/>
          <w:sz w:val="28"/>
          <w:szCs w:val="28"/>
        </w:rPr>
        <w:t>и Harrison</w:t>
      </w:r>
      <w:r w:rsidR="00F843CA">
        <w:rPr>
          <w:rFonts w:ascii="Times New Roman" w:hAnsi="Times New Roman" w:cs="Times New Roman"/>
          <w:sz w:val="28"/>
          <w:szCs w:val="28"/>
        </w:rPr>
        <w:t xml:space="preserve"> </w:t>
      </w:r>
      <w:r w:rsidR="006B29FC">
        <w:rPr>
          <w:rFonts w:ascii="Times New Roman" w:hAnsi="Times New Roman" w:cs="Times New Roman"/>
          <w:sz w:val="28"/>
          <w:szCs w:val="28"/>
        </w:rPr>
        <w:t>D</w:t>
      </w:r>
      <w:r w:rsidR="006D1A10">
        <w:rPr>
          <w:rFonts w:ascii="Century" w:hAnsi="Century" w:cs="Times New Roman"/>
          <w:sz w:val="28"/>
          <w:szCs w:val="28"/>
        </w:rPr>
        <w:t>.</w:t>
      </w:r>
      <w:r w:rsidR="006B29FC">
        <w:rPr>
          <w:rFonts w:ascii="Times New Roman" w:hAnsi="Times New Roman" w:cs="Times New Roman"/>
          <w:sz w:val="28"/>
          <w:szCs w:val="28"/>
        </w:rPr>
        <w:t>G</w:t>
      </w:r>
      <w:r w:rsidR="006D1A10">
        <w:rPr>
          <w:rFonts w:ascii="Century" w:hAnsi="Century" w:cs="Times New Roman"/>
          <w:sz w:val="28"/>
          <w:szCs w:val="28"/>
        </w:rPr>
        <w:t>.</w:t>
      </w:r>
      <w:r w:rsidR="006B29FC">
        <w:rPr>
          <w:rFonts w:ascii="Times New Roman" w:hAnsi="Times New Roman" w:cs="Times New Roman"/>
          <w:sz w:val="28"/>
          <w:szCs w:val="28"/>
        </w:rPr>
        <w:t xml:space="preserve"> </w:t>
      </w:r>
      <w:r w:rsidR="007719FE">
        <w:rPr>
          <w:rFonts w:ascii="Times New Roman" w:hAnsi="Times New Roman" w:cs="Times New Roman"/>
          <w:sz w:val="28"/>
          <w:szCs w:val="28"/>
        </w:rPr>
        <w:t xml:space="preserve">(2002) </w:t>
      </w:r>
      <w:r w:rsidR="007719FE">
        <w:rPr>
          <w:rFonts w:ascii="Times New Roman" w:hAnsi="Times New Roman" w:cs="Times New Roman"/>
          <w:sz w:val="28"/>
          <w:szCs w:val="28"/>
          <w:lang w:val="kk-KZ"/>
        </w:rPr>
        <w:t>в свою очередь</w:t>
      </w:r>
      <w:r>
        <w:rPr>
          <w:rFonts w:ascii="Times New Roman" w:hAnsi="Times New Roman" w:cs="Times New Roman"/>
          <w:sz w:val="28"/>
          <w:szCs w:val="28"/>
        </w:rPr>
        <w:t xml:space="preserve"> указали</w:t>
      </w:r>
      <w:r w:rsidR="006D1A10">
        <w:rPr>
          <w:rFonts w:ascii="Century" w:hAnsi="Century" w:cs="Times New Roman"/>
          <w:sz w:val="28"/>
          <w:szCs w:val="28"/>
        </w:rPr>
        <w:t>,</w:t>
      </w:r>
      <w:r w:rsidR="00D27E69">
        <w:rPr>
          <w:rFonts w:ascii="Times New Roman" w:hAnsi="Times New Roman" w:cs="Times New Roman"/>
          <w:sz w:val="28"/>
          <w:szCs w:val="28"/>
        </w:rPr>
        <w:t xml:space="preserve"> что</w:t>
      </w:r>
      <w:r w:rsidR="006D1A10">
        <w:rPr>
          <w:rFonts w:ascii="Times New Roman" w:hAnsi="Times New Roman" w:cs="Times New Roman"/>
          <w:sz w:val="28"/>
          <w:szCs w:val="28"/>
        </w:rPr>
        <w:t xml:space="preserve"> </w:t>
      </w:r>
      <w:r w:rsidR="007719FE">
        <w:rPr>
          <w:rFonts w:ascii="Times New Roman" w:hAnsi="Times New Roman" w:cs="Times New Roman"/>
          <w:sz w:val="28"/>
          <w:szCs w:val="28"/>
        </w:rPr>
        <w:t>в регуляции этого рецептора участвуют</w:t>
      </w:r>
      <w:r w:rsidR="008E7998">
        <w:rPr>
          <w:rFonts w:ascii="Times New Roman" w:hAnsi="Times New Roman" w:cs="Times New Roman"/>
          <w:sz w:val="28"/>
          <w:szCs w:val="28"/>
        </w:rPr>
        <w:t xml:space="preserve"> </w:t>
      </w:r>
      <w:r w:rsidR="00D27E69">
        <w:rPr>
          <w:rFonts w:ascii="Times New Roman" w:hAnsi="Times New Roman" w:cs="Times New Roman"/>
          <w:sz w:val="28"/>
          <w:szCs w:val="28"/>
        </w:rPr>
        <w:t xml:space="preserve">эстрогены </w:t>
      </w:r>
      <w:r w:rsidR="00EA0E64">
        <w:rPr>
          <w:rFonts w:ascii="Times New Roman" w:hAnsi="Times New Roman" w:cs="Times New Roman"/>
          <w:sz w:val="28"/>
          <w:szCs w:val="28"/>
        </w:rPr>
        <w:fldChar w:fldCharType="begin" w:fldLock="1"/>
      </w:r>
      <w:r w:rsidR="008E155C">
        <w:rPr>
          <w:rFonts w:ascii="Times New Roman" w:hAnsi="Times New Roman" w:cs="Times New Roman"/>
          <w:sz w:val="28"/>
          <w:szCs w:val="28"/>
        </w:rPr>
        <w:instrText>ADDIN CSL_CITATION {"citationItems":[{"id":"ITEM-1","itemData":{"DOI":"10.1161/01.CIR.0000019581.22812.B2","PMID":"10051310","abstract":"Dquestions concerning the etiology of atherosclerosis espite intense investigation in the last decade, many remain unanswered. Hypercholesterolemia and hypertension are clearly risk factors for the development of vascular lesions, although the precise molecular steps between elevated lipid or blood pressure levels and the development of atherosclerotic lesions are not completely defined.1,2 Hypertension is frequently associated with additional risk factors such as hypercholesterolemia, estrogen deficiency, or hyperinsulinemia. This clustering of risk factors greatly enhances the probability to develop atherosclerosis.3 Nevertheless, the cellular events responsible for the mutual appearance of several risk factors are poorly understood. A series of recent studies have addressed the hypothesis that enhanced AT1 receptor activation could explain the association of various hormonal and metabolic disorders with hypertension, and ultimately, with accelerated progression of vascular lesions.","author":[{"dropping-particle":"","family":"Nickenig G. ; Harrison D.G.","given":"","non-dropping-particle":"","parse-names":false,"suffix":""}],"container-title":"Circulation","id":"ITEM-1","issued":{"date-parts":[["2002"]]},"page":"530-536","title":"The AT1-Type Angiotensin Receptor in Oxidative Stress and Atherogenesis Part II: AT1 Receptor Regulation","type":"article-journal","volume":"105"},"uris":["http://www.mendeley.com/documents/?uuid=5b170b31-98c3-412c-8feb-dd112cf3e921"]}],"mendeley":{"formattedCitation":"[99]","manualFormatting":"[99, р. 532]","plainTextFormattedCitation":"[99]","previouslyFormattedCitation":"[99]"},"properties":{"noteIndex":0},"schema":"https://github.com/citation-style-language/schema/raw/master/csl-citation.json"}</w:instrText>
      </w:r>
      <w:r w:rsidR="00EA0E64">
        <w:rPr>
          <w:rFonts w:ascii="Times New Roman" w:hAnsi="Times New Roman" w:cs="Times New Roman"/>
          <w:sz w:val="28"/>
          <w:szCs w:val="28"/>
        </w:rPr>
        <w:fldChar w:fldCharType="separate"/>
      </w:r>
      <w:r w:rsidR="008E155C" w:rsidRPr="008E155C">
        <w:rPr>
          <w:rFonts w:ascii="Times New Roman" w:hAnsi="Times New Roman" w:cs="Times New Roman"/>
          <w:noProof/>
          <w:sz w:val="28"/>
          <w:szCs w:val="28"/>
        </w:rPr>
        <w:t>[99</w:t>
      </w:r>
      <w:r w:rsidR="008E155C">
        <w:rPr>
          <w:rFonts w:ascii="Times New Roman" w:hAnsi="Times New Roman" w:cs="Times New Roman"/>
          <w:noProof/>
          <w:sz w:val="28"/>
          <w:szCs w:val="28"/>
        </w:rPr>
        <w:t>, р. 532</w:t>
      </w:r>
      <w:r w:rsidR="008E155C" w:rsidRPr="008E155C">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6D1A10">
        <w:rPr>
          <w:rFonts w:ascii="Century" w:hAnsi="Century" w:cs="Times New Roman"/>
          <w:sz w:val="28"/>
          <w:szCs w:val="28"/>
        </w:rPr>
        <w:t>.</w:t>
      </w:r>
      <w:r>
        <w:rPr>
          <w:rFonts w:ascii="Times New Roman" w:hAnsi="Times New Roman" w:cs="Times New Roman"/>
          <w:sz w:val="28"/>
          <w:szCs w:val="28"/>
        </w:rPr>
        <w:t xml:space="preserve"> Как известно</w:t>
      </w:r>
      <w:r w:rsidR="006D1A10">
        <w:rPr>
          <w:rFonts w:ascii="Century" w:hAnsi="Century" w:cs="Times New Roman"/>
          <w:sz w:val="28"/>
          <w:szCs w:val="28"/>
        </w:rPr>
        <w:t>,</w:t>
      </w:r>
      <w:r>
        <w:rPr>
          <w:rFonts w:ascii="Times New Roman" w:hAnsi="Times New Roman" w:cs="Times New Roman"/>
          <w:sz w:val="28"/>
          <w:szCs w:val="28"/>
        </w:rPr>
        <w:t xml:space="preserve"> женщины в пременопаузе менее подвержены </w:t>
      </w:r>
      <w:r w:rsidR="00686EAD">
        <w:rPr>
          <w:rFonts w:ascii="Times New Roman" w:hAnsi="Times New Roman" w:cs="Times New Roman"/>
          <w:sz w:val="28"/>
          <w:szCs w:val="28"/>
        </w:rPr>
        <w:t>ССЗ</w:t>
      </w:r>
      <w:r w:rsidR="006D1A10">
        <w:rPr>
          <w:rFonts w:ascii="Century" w:hAnsi="Century" w:cs="Times New Roman"/>
          <w:sz w:val="28"/>
          <w:szCs w:val="28"/>
        </w:rPr>
        <w:t>,</w:t>
      </w:r>
      <w:r>
        <w:rPr>
          <w:rFonts w:ascii="Times New Roman" w:hAnsi="Times New Roman" w:cs="Times New Roman"/>
          <w:sz w:val="28"/>
          <w:szCs w:val="28"/>
        </w:rPr>
        <w:t xml:space="preserve"> а в период постменопаузы заболеваемость женщин </w:t>
      </w:r>
      <w:r w:rsidR="00686EAD">
        <w:rPr>
          <w:rFonts w:ascii="Times New Roman" w:hAnsi="Times New Roman" w:cs="Times New Roman"/>
          <w:sz w:val="28"/>
          <w:szCs w:val="28"/>
        </w:rPr>
        <w:t>ССЗ</w:t>
      </w:r>
      <w:r>
        <w:rPr>
          <w:rFonts w:ascii="Times New Roman" w:hAnsi="Times New Roman" w:cs="Times New Roman"/>
          <w:sz w:val="28"/>
          <w:szCs w:val="28"/>
        </w:rPr>
        <w:t xml:space="preserve"> резко возрастает</w:t>
      </w:r>
      <w:r w:rsidR="006D1A10">
        <w:rPr>
          <w:rFonts w:ascii="Century" w:hAnsi="Century" w:cs="Times New Roman"/>
          <w:sz w:val="28"/>
          <w:szCs w:val="28"/>
        </w:rPr>
        <w:t>.</w:t>
      </w:r>
      <w:r>
        <w:rPr>
          <w:rFonts w:ascii="Times New Roman" w:hAnsi="Times New Roman" w:cs="Times New Roman"/>
          <w:sz w:val="28"/>
          <w:szCs w:val="28"/>
        </w:rPr>
        <w:t xml:space="preserve"> Эффект эстрогенов на </w:t>
      </w:r>
      <w:r w:rsidR="00686EAD">
        <w:rPr>
          <w:rFonts w:ascii="Times New Roman" w:hAnsi="Times New Roman" w:cs="Times New Roman"/>
          <w:sz w:val="28"/>
          <w:szCs w:val="28"/>
        </w:rPr>
        <w:t>ССЗ</w:t>
      </w:r>
      <w:r>
        <w:rPr>
          <w:rFonts w:ascii="Times New Roman" w:hAnsi="Times New Roman" w:cs="Times New Roman"/>
          <w:sz w:val="28"/>
          <w:szCs w:val="28"/>
        </w:rPr>
        <w:t xml:space="preserve"> связан с их влиянием на липидный гомеостаз и снижением экспрессии гена </w:t>
      </w:r>
      <w:r w:rsidRPr="00E70EF7">
        <w:rPr>
          <w:rFonts w:ascii="Times New Roman" w:hAnsi="Times New Roman" w:cs="Times New Roman"/>
          <w:i/>
          <w:sz w:val="28"/>
          <w:szCs w:val="28"/>
        </w:rPr>
        <w:t>AGTR1</w:t>
      </w:r>
      <w:r w:rsidR="006D1A10">
        <w:rPr>
          <w:rFonts w:ascii="Century" w:hAnsi="Century" w:cs="Times New Roman"/>
          <w:i/>
          <w:sz w:val="28"/>
          <w:szCs w:val="28"/>
        </w:rPr>
        <w:t>.</w:t>
      </w:r>
      <w:r>
        <w:rPr>
          <w:rFonts w:ascii="Times New Roman" w:hAnsi="Times New Roman" w:cs="Times New Roman"/>
          <w:sz w:val="28"/>
          <w:szCs w:val="28"/>
        </w:rPr>
        <w:t xml:space="preserve">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Fabris B</w:t>
      </w:r>
      <w:r w:rsidR="006D1A10">
        <w:rPr>
          <w:rFonts w:ascii="Century" w:hAnsi="Century" w:cs="Times New Roman"/>
          <w:sz w:val="28"/>
          <w:szCs w:val="28"/>
        </w:rPr>
        <w:t>.</w:t>
      </w:r>
      <w:r>
        <w:rPr>
          <w:rFonts w:ascii="Times New Roman" w:hAnsi="Times New Roman" w:cs="Times New Roman"/>
          <w:sz w:val="28"/>
          <w:szCs w:val="28"/>
        </w:rPr>
        <w:t xml:space="preserve"> и группа ученых (2005) оценивали связь между </w:t>
      </w:r>
      <w:r w:rsidR="00580DB2">
        <w:rPr>
          <w:rFonts w:ascii="Times New Roman" w:hAnsi="Times New Roman" w:cs="Times New Roman"/>
          <w:sz w:val="28"/>
          <w:szCs w:val="28"/>
        </w:rPr>
        <w:t>четырьмя</w:t>
      </w:r>
      <w:r>
        <w:rPr>
          <w:rFonts w:ascii="Times New Roman" w:hAnsi="Times New Roman" w:cs="Times New Roman"/>
          <w:sz w:val="28"/>
          <w:szCs w:val="28"/>
        </w:rPr>
        <w:t xml:space="preserve"> генетическими полиморфизмами РААС и почечной недостаточностью у пациентов с АГ у италянцев</w:t>
      </w:r>
      <w:r w:rsidR="004B759F">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{"citationItems":[{"id":"ITEM-1","itemData":{"DOI":"10.1016/j.pestbp.2011.02.012.Investigations","ISBN":"8585348585","ISSN":"15378276","PMID":"1000000221","abstract":"OBJECTIVE: The renin-angiotensin-aldosterone system (RAAS) plays an important role in the control of renal function both in physiological and pathological conditions. The aim of the present study was to evaluate the relation between four genetic polymorphisms of the RAAS and renal insufficiency in a population of patients with essential hypertension living in north-east Italy. DESIGN AND METHODS: Eighty-six hypertensive patients with renal insufficiency and 172 hypertensive patients without renal damage matched for age and hypertension duration to within 2 years were evaluated. Genotyping for insertion/deletion of angiotensin-converting enzyme (ACE I/D), angiotensinogen (AGT) M235T, angiotensin II type 1 receptor (AT1R) A1166C and aldosterone synthase (CYP11B2) -344C/T polymorphisms were performed using polymerase chain reaction, with further restriction analysis when required. RESULTS: Each of the genetic polymorphisms of the RAAS genes was associated with renal failure; the adjusted odds ratios were 1.47 and 1.89 for ACE D allele, assuming a co dominant and a recessive mode of inheritance, respectively; 1.51 for AGT T235 allele assuming a co dominant, and 1.98 assuming a recessive, pattern of inheritance; 1.79 for AT1R C1166 allele considering a dominant pattern; and 3.89 for CYP11B2 -344C allele as a recessive effect. However, CYP11B2 genotypes were not in Hardy-Weinberg equilibrium among controls. The associations AGT TT-AT1R AC and CYP11B2 CC-ACE DD showed a possible positive interaction in the development of renal insufficiency among hypertensive subjects. The association AGT MM-AT1R AA and AGT MM-AT1R AA-CYP11B2 TT or TC combinations were associated with a reduced risk for renal failure. CONCLUSIONS: Our findings suggest that in patients with essential hypertension an unfavorable genetic pattern of RAAS may contribute to the increased risk for the development of renal failure.","author":[{"dropping-particle":"","family":"Fabris B, Bortoletto M, Candido R, Barbone F, Cattin MR, Calci M, Scanferla F, Tizzoni L, Giacca M","given":"Carretta R.","non-dropping-particle":"","parse-names":false,"suffix":""}],"container-title":"J Hypertens","id":"ITEM-1","issued":{"date-parts":[["2005"]]},"page":"309-16","title":"Genetic polymorphisms of the renin-angiotensin-aldosterone system and renal insufficiency in essential hypertension","type":"article-journal","volume":"23(2)"},"uris":["http://www.mendeley.com/documents/?uuid=6370212f-9308-42d9-9c25-e00d3b4dcb63"]}],"mendeley":{"formattedCitation":"[101]","plainTextFormattedCitation":"[101]","previouslyFormattedCitation":"[101]"},"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[101]</w:t>
      </w:r>
      <w:r w:rsidR="00EA0E64">
        <w:rPr>
          <w:rFonts w:ascii="Times New Roman" w:hAnsi="Times New Roman" w:cs="Times New Roman"/>
          <w:sz w:val="28"/>
          <w:szCs w:val="28"/>
        </w:rPr>
        <w:fldChar w:fldCharType="end"/>
      </w:r>
      <w:r w:rsidR="006D1A10">
        <w:rPr>
          <w:rFonts w:ascii="Century" w:hAnsi="Century" w:cs="Times New Roman"/>
          <w:sz w:val="28"/>
          <w:szCs w:val="28"/>
        </w:rPr>
        <w:t>.</w:t>
      </w:r>
      <w:r w:rsidRPr="00BA67AC">
        <w:rPr>
          <w:rFonts w:ascii="Times New Roman" w:hAnsi="Times New Roman" w:cs="Times New Roman"/>
          <w:sz w:val="28"/>
          <w:szCs w:val="28"/>
        </w:rPr>
        <w:t xml:space="preserve"> </w:t>
      </w:r>
      <w:r w:rsidR="00DB455B">
        <w:rPr>
          <w:rFonts w:ascii="Times New Roman" w:hAnsi="Times New Roman" w:cs="Times New Roman"/>
          <w:sz w:val="28"/>
          <w:szCs w:val="28"/>
        </w:rPr>
        <w:t>Их р</w:t>
      </w:r>
      <w:r>
        <w:rPr>
          <w:rFonts w:ascii="Times New Roman" w:hAnsi="Times New Roman" w:cs="Times New Roman"/>
          <w:sz w:val="28"/>
          <w:szCs w:val="28"/>
        </w:rPr>
        <w:t xml:space="preserve">езультаты </w:t>
      </w:r>
      <w:r w:rsidR="00192647">
        <w:rPr>
          <w:rFonts w:ascii="Times New Roman" w:hAnsi="Times New Roman" w:cs="Times New Roman"/>
          <w:sz w:val="28"/>
          <w:szCs w:val="28"/>
          <w:lang w:val="kk-KZ"/>
        </w:rPr>
        <w:t xml:space="preserve">исследования </w:t>
      </w:r>
      <w:r>
        <w:rPr>
          <w:rFonts w:ascii="Times New Roman" w:hAnsi="Times New Roman" w:cs="Times New Roman"/>
          <w:sz w:val="28"/>
          <w:szCs w:val="28"/>
        </w:rPr>
        <w:t>показал</w:t>
      </w:r>
      <w:r w:rsidR="00DB455B">
        <w:rPr>
          <w:rFonts w:ascii="Times New Roman" w:hAnsi="Times New Roman" w:cs="Times New Roman"/>
          <w:sz w:val="28"/>
          <w:szCs w:val="28"/>
        </w:rPr>
        <w:t>и</w:t>
      </w:r>
      <w:r w:rsidR="006D1A10">
        <w:rPr>
          <w:rFonts w:ascii="Century" w:hAnsi="Century" w:cs="Times New Roman"/>
          <w:sz w:val="28"/>
          <w:szCs w:val="28"/>
        </w:rPr>
        <w:t>,</w:t>
      </w:r>
      <w:r>
        <w:rPr>
          <w:rFonts w:ascii="Times New Roman" w:hAnsi="Times New Roman" w:cs="Times New Roman"/>
          <w:sz w:val="28"/>
          <w:szCs w:val="28"/>
        </w:rPr>
        <w:t xml:space="preserve"> что каждый генетический полиморфизм был связан с почечной недостаточностью и наличие этих полиморфизмов генов у пациентов с АГ способствовала к увеличению риска развития почечной недостаточности</w:t>
      </w:r>
      <w:r w:rsidR="006D1A10">
        <w:rPr>
          <w:rFonts w:ascii="Century" w:hAnsi="Century" w:cs="Times New Roman"/>
          <w:sz w:val="28"/>
          <w:szCs w:val="28"/>
        </w:rPr>
        <w:t>.</w:t>
      </w:r>
      <w:r>
        <w:rPr>
          <w:rFonts w:ascii="Times New Roman" w:hAnsi="Times New Roman" w:cs="Times New Roman"/>
          <w:sz w:val="28"/>
          <w:szCs w:val="28"/>
        </w:rPr>
        <w:t xml:space="preserve"> </w:t>
      </w:r>
    </w:p>
    <w:p w:rsidR="00AB12B3" w:rsidRDefault="00BB30B7"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Изучая связь между генами – кандидатами РААС и атеросклерозными заболеваниями</w:t>
      </w:r>
      <w:r w:rsidR="006D1A10">
        <w:rPr>
          <w:rFonts w:ascii="Century" w:hAnsi="Century" w:cs="Times New Roman"/>
          <w:sz w:val="28"/>
          <w:szCs w:val="28"/>
        </w:rPr>
        <w:t>,</w:t>
      </w:r>
      <w:r>
        <w:rPr>
          <w:rFonts w:ascii="Times New Roman" w:hAnsi="Times New Roman" w:cs="Times New Roman"/>
          <w:sz w:val="28"/>
          <w:szCs w:val="28"/>
        </w:rPr>
        <w:t xml:space="preserve"> такими как ИБС и цереброваскулярное заболевание</w:t>
      </w:r>
      <w:r w:rsidR="006D1A10">
        <w:rPr>
          <w:rFonts w:ascii="Century" w:hAnsi="Century" w:cs="Times New Roman"/>
          <w:sz w:val="28"/>
          <w:szCs w:val="28"/>
        </w:rPr>
        <w:t>,</w:t>
      </w:r>
      <w:r w:rsidR="004B759F">
        <w:rPr>
          <w:rFonts w:ascii="Times New Roman" w:hAnsi="Times New Roman" w:cs="Times New Roman"/>
          <w:sz w:val="28"/>
          <w:szCs w:val="28"/>
        </w:rPr>
        <w:t xml:space="preserve"> </w:t>
      </w:r>
      <w:r w:rsidR="00192647">
        <w:rPr>
          <w:rFonts w:ascii="Times New Roman" w:hAnsi="Times New Roman" w:cs="Times New Roman"/>
          <w:sz w:val="28"/>
          <w:szCs w:val="28"/>
        </w:rPr>
        <w:t>Fatini C</w:t>
      </w:r>
      <w:r w:rsidR="006D1A10">
        <w:rPr>
          <w:rFonts w:ascii="Century" w:hAnsi="Century" w:cs="Times New Roman"/>
          <w:sz w:val="28"/>
          <w:szCs w:val="28"/>
        </w:rPr>
        <w:t>.</w:t>
      </w:r>
      <w:r w:rsidR="00192647">
        <w:rPr>
          <w:rFonts w:ascii="Times New Roman" w:hAnsi="Times New Roman" w:cs="Times New Roman"/>
          <w:sz w:val="28"/>
          <w:szCs w:val="28"/>
        </w:rPr>
        <w:t xml:space="preserve"> с </w:t>
      </w:r>
      <w:r w:rsidR="00192647">
        <w:rPr>
          <w:rFonts w:ascii="Times New Roman" w:hAnsi="Times New Roman" w:cs="Times New Roman"/>
          <w:sz w:val="28"/>
          <w:szCs w:val="28"/>
          <w:lang w:val="kk-KZ"/>
        </w:rPr>
        <w:t>единомышлен</w:t>
      </w:r>
      <w:r w:rsidR="00AB12B3">
        <w:rPr>
          <w:rFonts w:ascii="Times New Roman" w:hAnsi="Times New Roman" w:cs="Times New Roman"/>
          <w:sz w:val="28"/>
          <w:szCs w:val="28"/>
        </w:rPr>
        <w:t>и</w:t>
      </w:r>
      <w:r w:rsidR="00192647">
        <w:rPr>
          <w:rFonts w:ascii="Times New Roman" w:hAnsi="Times New Roman" w:cs="Times New Roman"/>
          <w:sz w:val="28"/>
          <w:szCs w:val="28"/>
          <w:lang w:val="kk-KZ"/>
        </w:rPr>
        <w:t>ками</w:t>
      </w:r>
      <w:r w:rsidR="00AB12B3">
        <w:rPr>
          <w:rFonts w:ascii="Times New Roman" w:hAnsi="Times New Roman" w:cs="Times New Roman"/>
          <w:sz w:val="28"/>
          <w:szCs w:val="28"/>
        </w:rPr>
        <w:t xml:space="preserve"> (2009) </w:t>
      </w:r>
      <w:r>
        <w:rPr>
          <w:rFonts w:ascii="Times New Roman" w:hAnsi="Times New Roman" w:cs="Times New Roman"/>
          <w:sz w:val="28"/>
          <w:szCs w:val="28"/>
        </w:rPr>
        <w:t>обнаружили</w:t>
      </w:r>
      <w:r w:rsidR="006D1A10">
        <w:rPr>
          <w:rFonts w:ascii="Century" w:hAnsi="Century" w:cs="Times New Roman"/>
          <w:sz w:val="28"/>
          <w:szCs w:val="28"/>
        </w:rPr>
        <w:t>,</w:t>
      </w:r>
      <w:r>
        <w:rPr>
          <w:rFonts w:ascii="Times New Roman" w:hAnsi="Times New Roman" w:cs="Times New Roman"/>
          <w:sz w:val="28"/>
          <w:szCs w:val="28"/>
        </w:rPr>
        <w:t xml:space="preserve"> что из </w:t>
      </w:r>
      <w:r w:rsidR="00580DB2">
        <w:rPr>
          <w:rFonts w:ascii="Times New Roman" w:hAnsi="Times New Roman" w:cs="Times New Roman"/>
          <w:sz w:val="28"/>
          <w:szCs w:val="28"/>
        </w:rPr>
        <w:t>четырех</w:t>
      </w:r>
      <w:r>
        <w:rPr>
          <w:rFonts w:ascii="Times New Roman" w:hAnsi="Times New Roman" w:cs="Times New Roman"/>
          <w:sz w:val="28"/>
          <w:szCs w:val="28"/>
        </w:rPr>
        <w:t xml:space="preserve"> генов – кандидатов РААС только один только ген </w:t>
      </w:r>
      <w:r>
        <w:rPr>
          <w:rFonts w:ascii="Times New Roman" w:hAnsi="Times New Roman" w:cs="Times New Roman"/>
          <w:i/>
          <w:sz w:val="28"/>
          <w:szCs w:val="28"/>
        </w:rPr>
        <w:t>ACE</w:t>
      </w:r>
      <w:r>
        <w:rPr>
          <w:rFonts w:ascii="Times New Roman" w:hAnsi="Times New Roman" w:cs="Times New Roman"/>
          <w:sz w:val="28"/>
          <w:szCs w:val="28"/>
        </w:rPr>
        <w:t xml:space="preserve"> являлся предраспологающим фактором развития этих заболеваний</w:t>
      </w:r>
      <w:r w:rsidR="004B759F">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{"citationItems":[{"id":"ITEM-1","itemData":{"DOI":"10.1016/j.jvs.2009.07.075","ISBN":"0741-5214","ISSN":"07415214","PMID":"19782519","abstract":"Objective: Peripheral arterial disease (PAD) is a common manifestation of systemic atherosclerosis. Apart from traditional cardiovascular risk factors, several novel biologic mediators and genetic predisposing factors appear relevant in determining the atherogenetic process leading to PAD. Genes encoding for renin angiotensin system (RAS) components have been proposed as candidate in atherosclerosis. This study investigated four polymorphisms in angiotensinogen (AGT), angiotensin converting enzyme (ACE), and angiotensin II receptor type 1 (AGTR1), genes of RAS, in both predicting PAD and modulating the severity of the disease. Methods: The ACE I/D and -240A&gt;T, AGT M235T, and AGTR1 1166A&gt;C polymorphisms were analyzed in 281 PAD patients and in 485 controls comparable for age and sex. Results: The ACE D and -240T alleles both significantly influenced the predisposition to PAD. The ACE D, but not -240 T, allele remained associated with PAD after Bonferroni correction (P = .004) and adjustment for cardiovascular risk factors (P = .03). The ACE D allele influenced PAD predisposition with a dose-dependent effect (odds ratio for ACE ID vs II genotype, 1.77; P = .006; ACE DD vs II genotype, 2.15; P = .001). The haplotype reconstruction analysis for the ACE gene showed that the D/-240T haplotype significantly and independently influenced the predisposition to PAD (P = .02). In 190 PAD patients with no additional atherosclerotic localizations (isolated PAD), a significant association between ACE D and -240T alleles and PAD was observed. Only the ACE D allele remained associated with isolated PAD after Bonferroni correction (P = .02) and after adjustment for cardiovascular risk factors (P = .02). The haplotype reconstruction analysis for the ACE gene showed that the D/-240T, but not the D/-240A haplotype significantly influenced the predisposition to PAD (P = .0003). No influence of the polymorphisms analyzed on the severity of the disease, according to Rutherford categories, was found. Conclusions: The present study contributes data to highlight the role of the ACED/-240T haplotype in predisposing to PAD, also in the absence of other atherosclerotic comorbidities. © 2009 Society for Vascular Surgery.","author":[{"dropping-particle":"","family":"Fatini","given":"Cinzia","non-dropping-particle":"","parse-names":false,"suffix":""},{"dropping-particle":"","family":"Sticchi","given":"Elena","non-dropping-particle":"","parse-names":false,"suffix":""},{"dropping-particle":"","family":"Sofi","given":"Francesco","non-dropping-particle":"","parse-names":false,"suffix":""},{"dropping-particle":"","family":"Said","given":"Abdihakim Abdullahi","non-dropping-particle":"","parse-names":false,"suffix":""},{"dropping-particle":"","family":"Pratesi","given":"Giovanni","non-dropping-particle":"","parse-names":false,"suffix":""},{"dropping-particle":"","family":"Pulli","given":"Raffaele","non-dropping-particle":"","parse-names":false,"suffix":""},{"dropping-particle":"","family":"Pratesi","given":"Carlo","non-dropping-particle":"","parse-names":false,"suffix":""},{"dropping-particle":"","family":"Abbate","given":"Rosanna","non-dropping-particle":"","parse-names":false,"suffix":""}],"container-title":"Journal of Vascular Surgery","id":"ITEM-1","issue":"6","issued":{"date-parts":[["2009"]]},"page":"1399-1404","publisher":"Elsevier Inc.","title":"Multilocus analysis in candidate genes ACE, AGT, and AGTR1 and predisposition to peripheral arterial disease: Role of ACE D/-240T haplotype","type":"article-journal","volume":"50"},"uris":["http://www.mendeley.com/documents/?uuid=71bb1c01-584d-444e-a105-c394eace5ab8"]}],"mendeley":{"formattedCitation":"[102]","plainTextFormattedCitation":"[102]","previouslyFormattedCitation":"[102]"},"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[102]</w:t>
      </w:r>
      <w:r w:rsidR="00EA0E64">
        <w:rPr>
          <w:rFonts w:ascii="Times New Roman" w:hAnsi="Times New Roman" w:cs="Times New Roman"/>
          <w:sz w:val="28"/>
          <w:szCs w:val="28"/>
        </w:rPr>
        <w:fldChar w:fldCharType="end"/>
      </w:r>
      <w:r w:rsidR="006D1A10">
        <w:rPr>
          <w:rFonts w:ascii="Century" w:hAnsi="Century" w:cs="Times New Roman"/>
          <w:sz w:val="28"/>
          <w:szCs w:val="28"/>
        </w:rPr>
        <w:t>.</w:t>
      </w:r>
      <w:r w:rsidR="00AB12B3">
        <w:rPr>
          <w:rFonts w:ascii="Times New Roman" w:hAnsi="Times New Roman" w:cs="Times New Roman"/>
          <w:sz w:val="28"/>
          <w:szCs w:val="28"/>
        </w:rPr>
        <w:t xml:space="preserve">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Campbell C</w:t>
      </w:r>
      <w:r w:rsidR="006D1A10">
        <w:rPr>
          <w:rFonts w:ascii="Century" w:hAnsi="Century" w:cs="Times New Roman"/>
          <w:sz w:val="28"/>
          <w:szCs w:val="28"/>
        </w:rPr>
        <w:t>.</w:t>
      </w:r>
      <w:r>
        <w:rPr>
          <w:rFonts w:ascii="Times New Roman" w:hAnsi="Times New Roman" w:cs="Times New Roman"/>
          <w:sz w:val="28"/>
          <w:szCs w:val="28"/>
        </w:rPr>
        <w:t xml:space="preserve"> и группа соавторов (2010) </w:t>
      </w:r>
      <w:r w:rsidR="00192647">
        <w:rPr>
          <w:rFonts w:ascii="Times New Roman" w:hAnsi="Times New Roman" w:cs="Times New Roman"/>
          <w:sz w:val="28"/>
          <w:szCs w:val="28"/>
          <w:lang w:val="kk-KZ"/>
        </w:rPr>
        <w:t>оценивали</w:t>
      </w:r>
      <w:r>
        <w:rPr>
          <w:rFonts w:ascii="Times New Roman" w:hAnsi="Times New Roman" w:cs="Times New Roman"/>
          <w:sz w:val="28"/>
          <w:szCs w:val="28"/>
        </w:rPr>
        <w:t xml:space="preserve"> ассоциацию между четырьмя полиморфизмами генов </w:t>
      </w:r>
      <w:r w:rsidR="00797CD6">
        <w:rPr>
          <w:rFonts w:ascii="Times New Roman" w:hAnsi="Times New Roman" w:cs="Times New Roman"/>
          <w:sz w:val="28"/>
          <w:szCs w:val="28"/>
        </w:rPr>
        <w:t>РААС</w:t>
      </w:r>
      <w:r>
        <w:rPr>
          <w:rFonts w:ascii="Times New Roman" w:hAnsi="Times New Roman" w:cs="Times New Roman"/>
          <w:sz w:val="28"/>
          <w:szCs w:val="28"/>
        </w:rPr>
        <w:t xml:space="preserve"> и почечной функции при АГ</w:t>
      </w:r>
      <w:r w:rsidR="00C634DB">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{"citationItems":[{"id":"ITEM-1","itemData":{"DOI":"10.1159/000315866","ISBN":"1421-9670 (Electronic)\\n0250-8095 (Linking)","ISSN":"02508095","PMID":"20606419","abstract":"Some studies suggest that polymorphisms in angiotensin-converting enzyme (ACE), angiotensinogen (AGT), angiotensin II type I receptor (AGTR1) and angiotensin II type II receptor (AGTR2) genes may contribute to renal function variation.","author":[{"dropping-particle":"","family":"Campbell","given":"Catherine Y.","non-dropping-particle":"","parse-names":false,"suffix":""},{"dropping-particle":"","family":"Fang","given":"Belle F.","non-dropping-particle":"","parse-names":false,"suffix":""},{"dropping-particle":"","family":"Guo","given":"Xiuqing","non-dropping-particle":"","parse-names":false,"suffix":""},{"dropping-particle":"","family":"Peralta","given":"Carmen A.","non-dropping-particle":"","parse-names":false,"suffix":""},{"dropping-particle":"","family":"Psaty","given":"Bruce M.","non-dropping-particle":"","parse-names":false,"suffix":""},{"dropping-particle":"","family":"Rich","given":"Stephen S.","non-dropping-particle":"","parse-names":false,"suffix":""},{"dropping-particle":"","family":"Young","given":"J. Hunter","non-dropping-particle":"","parse-names":false,"suffix":""},{"dropping-particle":"","family":"Coresh","given":"Josef","non-dropping-particle":"","parse-names":false,"suffix":""},{"dropping-particle":"","family":"Kramer","given":"Holly J.","non-dropping-particle":"","parse-names":false,"suffix":""},{"dropping-particle":"","family":"Rotter","given":"Jerome I.","non-dropping-particle":"","parse-names":false,"suffix":""},{"dropping-particle":"","family":"Post","given":"Wendy S.","non-dropping-particle":"","parse-names":false,"suffix":""}],"container-title":"American Journal of Nephrology","id":"ITEM-1","issue":"2","issued":{"date-parts":[["2010"]]},"page":"156-162","title":"Associations between Genetic Variants in the ACE, AGT, AGTR1 and AGTR2 Genes and Renal Function in the Multi-Ethnic Study of Atherosclerosis","type":"article-journal","volume":"32"},"uris":["http://www.mendeley.com/documents/?uuid=319fb1b6-bbd5-4e7f-94a9-81f063d5bc80"]}],"mendeley":{"formattedCitation":"[103]","plainTextFormattedCitation":"[103]","previouslyFormattedCitation":"[103]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[103]</w:t>
      </w:r>
      <w:r w:rsidR="00EA0E64">
        <w:rPr>
          <w:rFonts w:ascii="Times New Roman" w:hAnsi="Times New Roman" w:cs="Times New Roman"/>
          <w:sz w:val="28"/>
          <w:szCs w:val="28"/>
        </w:rPr>
        <w:fldChar w:fldCharType="end"/>
      </w:r>
      <w:r w:rsidR="006D1A10">
        <w:rPr>
          <w:rFonts w:ascii="Century" w:hAnsi="Century" w:cs="Times New Roman"/>
          <w:sz w:val="28"/>
          <w:szCs w:val="28"/>
        </w:rPr>
        <w:t>.</w:t>
      </w:r>
      <w:r>
        <w:rPr>
          <w:rFonts w:ascii="Times New Roman" w:hAnsi="Times New Roman" w:cs="Times New Roman"/>
          <w:sz w:val="28"/>
          <w:szCs w:val="28"/>
        </w:rPr>
        <w:t xml:space="preserve"> В </w:t>
      </w:r>
      <w:r w:rsidR="00192647">
        <w:rPr>
          <w:rFonts w:ascii="Times New Roman" w:hAnsi="Times New Roman" w:cs="Times New Roman"/>
          <w:sz w:val="28"/>
          <w:szCs w:val="28"/>
          <w:lang w:val="kk-KZ"/>
        </w:rPr>
        <w:t xml:space="preserve">данном </w:t>
      </w:r>
      <w:r>
        <w:rPr>
          <w:rFonts w:ascii="Times New Roman" w:hAnsi="Times New Roman" w:cs="Times New Roman"/>
          <w:sz w:val="28"/>
          <w:szCs w:val="28"/>
        </w:rPr>
        <w:t xml:space="preserve">исследовании участвовали более 2800 человек из </w:t>
      </w:r>
      <w:r w:rsidR="00580DB2">
        <w:rPr>
          <w:rFonts w:ascii="Times New Roman" w:hAnsi="Times New Roman" w:cs="Times New Roman"/>
          <w:sz w:val="28"/>
          <w:szCs w:val="28"/>
        </w:rPr>
        <w:t>четырех</w:t>
      </w:r>
      <w:r>
        <w:rPr>
          <w:rFonts w:ascii="Times New Roman" w:hAnsi="Times New Roman" w:cs="Times New Roman"/>
          <w:sz w:val="28"/>
          <w:szCs w:val="28"/>
        </w:rPr>
        <w:t xml:space="preserve"> этнических групп (латиноамериканцы</w:t>
      </w:r>
      <w:r w:rsidR="006D1A10">
        <w:rPr>
          <w:rFonts w:ascii="Century" w:hAnsi="Century" w:cs="Times New Roman"/>
          <w:sz w:val="28"/>
          <w:szCs w:val="28"/>
        </w:rPr>
        <w:t>,</w:t>
      </w:r>
      <w:r>
        <w:rPr>
          <w:rFonts w:ascii="Times New Roman" w:hAnsi="Times New Roman" w:cs="Times New Roman"/>
          <w:sz w:val="28"/>
          <w:szCs w:val="28"/>
        </w:rPr>
        <w:t xml:space="preserve"> афроамериканцы</w:t>
      </w:r>
      <w:r w:rsidR="006D1A10">
        <w:rPr>
          <w:rFonts w:ascii="Century" w:hAnsi="Century" w:cs="Times New Roman"/>
          <w:sz w:val="28"/>
          <w:szCs w:val="28"/>
        </w:rPr>
        <w:t>,</w:t>
      </w:r>
      <w:r>
        <w:rPr>
          <w:rFonts w:ascii="Times New Roman" w:hAnsi="Times New Roman" w:cs="Times New Roman"/>
          <w:sz w:val="28"/>
          <w:szCs w:val="28"/>
        </w:rPr>
        <w:t xml:space="preserve"> белые американцы </w:t>
      </w:r>
      <w:r>
        <w:rPr>
          <w:rFonts w:ascii="Times New Roman" w:hAnsi="Times New Roman" w:cs="Times New Roman"/>
          <w:sz w:val="28"/>
          <w:szCs w:val="28"/>
        </w:rPr>
        <w:lastRenderedPageBreak/>
        <w:t>и китайцы)</w:t>
      </w:r>
      <w:r w:rsidR="006D1A10">
        <w:rPr>
          <w:rFonts w:ascii="Century" w:hAnsi="Century" w:cs="Times New Roman"/>
          <w:sz w:val="28"/>
          <w:szCs w:val="28"/>
        </w:rPr>
        <w:t>.</w:t>
      </w:r>
      <w:r>
        <w:rPr>
          <w:rFonts w:ascii="Times New Roman" w:hAnsi="Times New Roman" w:cs="Times New Roman"/>
          <w:sz w:val="28"/>
          <w:szCs w:val="28"/>
        </w:rPr>
        <w:t xml:space="preserve"> Была </w:t>
      </w:r>
      <w:r w:rsidR="00192647">
        <w:rPr>
          <w:rFonts w:ascii="Times New Roman" w:hAnsi="Times New Roman" w:cs="Times New Roman"/>
          <w:sz w:val="28"/>
          <w:szCs w:val="28"/>
          <w:lang w:val="kk-KZ"/>
        </w:rPr>
        <w:t>выявлена</w:t>
      </w:r>
      <w:r>
        <w:rPr>
          <w:rFonts w:ascii="Times New Roman" w:hAnsi="Times New Roman" w:cs="Times New Roman"/>
          <w:sz w:val="28"/>
          <w:szCs w:val="28"/>
        </w:rPr>
        <w:t xml:space="preserve"> связь между полиморфизмом гена </w:t>
      </w:r>
      <w:r>
        <w:rPr>
          <w:rFonts w:ascii="Times New Roman" w:hAnsi="Times New Roman" w:cs="Times New Roman"/>
          <w:i/>
          <w:sz w:val="28"/>
          <w:szCs w:val="28"/>
        </w:rPr>
        <w:t>AGTR1</w:t>
      </w:r>
      <w:r>
        <w:rPr>
          <w:rFonts w:ascii="Times New Roman" w:hAnsi="Times New Roman" w:cs="Times New Roman"/>
          <w:sz w:val="28"/>
          <w:szCs w:val="28"/>
        </w:rPr>
        <w:t xml:space="preserve"> и почечной недостаточности у афроамериканцов</w:t>
      </w:r>
      <w:r w:rsidR="00681CD5">
        <w:rPr>
          <w:rFonts w:ascii="Century" w:hAnsi="Century" w:cs="Times New Roman"/>
          <w:sz w:val="28"/>
          <w:szCs w:val="28"/>
        </w:rPr>
        <w:t>,</w:t>
      </w:r>
      <w:r>
        <w:rPr>
          <w:rFonts w:ascii="Times New Roman" w:hAnsi="Times New Roman" w:cs="Times New Roman"/>
          <w:sz w:val="28"/>
          <w:szCs w:val="28"/>
        </w:rPr>
        <w:t xml:space="preserve"> латиноамериканцов и китайцев</w:t>
      </w:r>
      <w:r w:rsidR="00681CD5">
        <w:rPr>
          <w:rFonts w:ascii="Century" w:hAnsi="Century" w:cs="Times New Roman"/>
          <w:sz w:val="28"/>
          <w:szCs w:val="28"/>
        </w:rPr>
        <w:t>.</w:t>
      </w:r>
      <w:r>
        <w:rPr>
          <w:rFonts w:ascii="Times New Roman" w:hAnsi="Times New Roman" w:cs="Times New Roman"/>
          <w:sz w:val="28"/>
          <w:szCs w:val="28"/>
        </w:rPr>
        <w:t xml:space="preserve"> Также они </w:t>
      </w:r>
      <w:r w:rsidR="00192647">
        <w:rPr>
          <w:rFonts w:ascii="Times New Roman" w:hAnsi="Times New Roman" w:cs="Times New Roman"/>
          <w:sz w:val="28"/>
          <w:szCs w:val="28"/>
          <w:lang w:val="kk-KZ"/>
        </w:rPr>
        <w:t>обнаружили</w:t>
      </w:r>
      <w:r w:rsidR="00681CD5">
        <w:rPr>
          <w:rFonts w:ascii="Century" w:hAnsi="Century" w:cs="Times New Roman"/>
          <w:sz w:val="28"/>
          <w:szCs w:val="28"/>
          <w:lang w:val="kk-KZ"/>
        </w:rPr>
        <w:t>,</w:t>
      </w:r>
      <w:r w:rsidR="003474A5">
        <w:rPr>
          <w:rFonts w:ascii="Times New Roman" w:hAnsi="Times New Roman" w:cs="Times New Roman"/>
          <w:sz w:val="28"/>
          <w:szCs w:val="28"/>
        </w:rPr>
        <w:t xml:space="preserve"> что</w:t>
      </w:r>
      <w:r>
        <w:rPr>
          <w:rFonts w:ascii="Times New Roman" w:hAnsi="Times New Roman" w:cs="Times New Roman"/>
          <w:sz w:val="28"/>
          <w:szCs w:val="28"/>
        </w:rPr>
        <w:t xml:space="preserve"> это ассоциация сильно различалось по этническим группам</w:t>
      </w:r>
      <w:r w:rsidR="00681CD5">
        <w:rPr>
          <w:rFonts w:ascii="Century" w:hAnsi="Century" w:cs="Times New Roman"/>
          <w:sz w:val="28"/>
          <w:szCs w:val="28"/>
        </w:rPr>
        <w:t>.</w:t>
      </w:r>
      <w:r>
        <w:rPr>
          <w:rFonts w:ascii="Times New Roman" w:hAnsi="Times New Roman" w:cs="Times New Roman"/>
          <w:sz w:val="28"/>
          <w:szCs w:val="28"/>
        </w:rPr>
        <w:t xml:space="preserve"> Полиморфизмы гена </w:t>
      </w:r>
      <w:r>
        <w:rPr>
          <w:rFonts w:ascii="Times New Roman" w:hAnsi="Times New Roman" w:cs="Times New Roman"/>
          <w:i/>
          <w:sz w:val="28"/>
          <w:szCs w:val="28"/>
        </w:rPr>
        <w:t>AGT</w:t>
      </w:r>
      <w:r>
        <w:rPr>
          <w:rFonts w:ascii="Times New Roman" w:hAnsi="Times New Roman" w:cs="Times New Roman"/>
          <w:sz w:val="28"/>
          <w:szCs w:val="28"/>
        </w:rPr>
        <w:t xml:space="preserve"> M235T имел фенотипические проявления в функции почек у афроамериканцев и китайцев </w:t>
      </w:r>
      <w:r w:rsidR="00EA0E64">
        <w:rPr>
          <w:rFonts w:ascii="Times New Roman" w:hAnsi="Times New Roman" w:cs="Times New Roman"/>
          <w:sz w:val="28"/>
          <w:szCs w:val="28"/>
        </w:rPr>
        <w:fldChar w:fldCharType="begin" w:fldLock="1"/>
      </w:r>
      <w:r w:rsidR="008E155C">
        <w:rPr>
          <w:rFonts w:ascii="Times New Roman" w:hAnsi="Times New Roman" w:cs="Times New Roman"/>
          <w:sz w:val="28"/>
          <w:szCs w:val="28"/>
        </w:rPr>
        <w:instrText>ADDIN CSL_CITATION {"citationItems":[{"id":"ITEM-1","itemData":{"DOI":"10.1159/000315866","ISBN":"1421-9670 (Electronic)\\n0250-8095 (Linking)","ISSN":"02508095","PMID":"20606419","abstract":"Some studies suggest that polymorphisms in angiotensin-converting enzyme (ACE), angiotensinogen (AGT), angiotensin II type I receptor (AGTR1) and angiotensin II type II receptor (AGTR2) genes may contribute to renal function variation.","author":[{"dropping-particle":"","family":"Campbell","given":"Catherine Y.","non-dropping-particle":"","parse-names":false,"suffix":""},{"dropping-particle":"","family":"Fang","given":"Belle F.","non-dropping-particle":"","parse-names":false,"suffix":""},{"dropping-particle":"","family":"Guo","given":"Xiuqing","non-dropping-particle":"","parse-names":false,"suffix":""},{"dropping-particle":"","family":"Peralta","given":"Carmen A.","non-dropping-particle":"","parse-names":false,"suffix":""},{"dropping-particle":"","family":"Psaty","given":"Bruce M.","non-dropping-particle":"","parse-names":false,"suffix":""},{"dropping-particle":"","family":"Rich","given":"Stephen S.","non-dropping-particle":"","parse-names":false,"suffix":""},{"dropping-particle":"","family":"Young","given":"J. Hunter","non-dropping-particle":"","parse-names":false,"suffix":""},{"dropping-particle":"","family":"Coresh","given":"Josef","non-dropping-particle":"","parse-names":false,"suffix":""},{"dropping-particle":"","family":"Kramer","given":"Holly J.","non-dropping-particle":"","parse-names":false,"suffix":""},{"dropping-particle":"","family":"Rotter","given":"Jerome I.","non-dropping-particle":"","parse-names":false,"suffix":""},{"dropping-particle":"","family":"Post","given":"Wendy S.","non-dropping-particle":"","parse-names":false,"suffix":""}],"container-title":"American Journal of Nephrology","id":"ITEM-1","issue":"2","issued":{"date-parts":[["2010"]]},"page":"156-162","title":"Associations between Genetic Variants in the ACE, AGT, AGTR1 and AGTR2 Genes and Renal Function in the Multi-Ethnic Study of Atherosclerosis","type":"article-journal","volume":"32"},"uris":["http://www.mendeley.com/documents/?uuid=319fb1b6-bbd5-4e7f-94a9-81f063d5bc80"]}],"mendeley":{"formattedCitation":"[103]","manualFormatting":"[103, р. 159]","plainTextFormattedCitation":"[103]","previouslyFormattedCitation":"[103]"},"properties":{"noteIndex":0},"schema":"https://github.com/citation-style-language/schema/raw/master/csl-citation.json"}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[103</w:t>
      </w:r>
      <w:r w:rsidR="008E155C">
        <w:rPr>
          <w:rFonts w:ascii="Times New Roman" w:hAnsi="Times New Roman" w:cs="Times New Roman"/>
          <w:noProof/>
          <w:sz w:val="28"/>
          <w:szCs w:val="28"/>
        </w:rPr>
        <w:t>, р. 159</w:t>
      </w:r>
      <w:r w:rsidR="00224447" w:rsidRPr="00224447">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681CD5">
        <w:rPr>
          <w:rFonts w:ascii="Century" w:hAnsi="Century" w:cs="Times New Roman"/>
          <w:sz w:val="28"/>
          <w:szCs w:val="28"/>
        </w:rPr>
        <w:t>.</w:t>
      </w:r>
      <w:r>
        <w:rPr>
          <w:rFonts w:ascii="Times New Roman" w:hAnsi="Times New Roman" w:cs="Times New Roman"/>
          <w:sz w:val="28"/>
          <w:szCs w:val="28"/>
        </w:rPr>
        <w:t xml:space="preserve"> Ряд исследователей описывают</w:t>
      </w:r>
      <w:r w:rsidR="00681CD5">
        <w:rPr>
          <w:rFonts w:ascii="Century" w:hAnsi="Century" w:cs="Times New Roman"/>
          <w:sz w:val="28"/>
          <w:szCs w:val="28"/>
        </w:rPr>
        <w:t>,</w:t>
      </w:r>
      <w:r>
        <w:rPr>
          <w:rFonts w:ascii="Times New Roman" w:hAnsi="Times New Roman" w:cs="Times New Roman"/>
          <w:sz w:val="28"/>
          <w:szCs w:val="28"/>
        </w:rPr>
        <w:t xml:space="preserve"> что полиморфизмы генов РААС</w:t>
      </w:r>
      <w:r w:rsidR="00681CD5">
        <w:rPr>
          <w:rFonts w:ascii="Century" w:hAnsi="Century" w:cs="Times New Roman"/>
          <w:sz w:val="28"/>
          <w:szCs w:val="28"/>
        </w:rPr>
        <w:t>,</w:t>
      </w:r>
      <w:r>
        <w:rPr>
          <w:rFonts w:ascii="Times New Roman" w:hAnsi="Times New Roman" w:cs="Times New Roman"/>
          <w:sz w:val="28"/>
          <w:szCs w:val="28"/>
        </w:rPr>
        <w:t xml:space="preserve"> то есть </w:t>
      </w:r>
      <w:r>
        <w:rPr>
          <w:rFonts w:ascii="Times New Roman" w:hAnsi="Times New Roman" w:cs="Times New Roman"/>
          <w:i/>
          <w:sz w:val="28"/>
          <w:szCs w:val="28"/>
        </w:rPr>
        <w:t>AGT</w:t>
      </w:r>
      <w:r>
        <w:rPr>
          <w:rFonts w:ascii="Times New Roman" w:hAnsi="Times New Roman" w:cs="Times New Roman"/>
          <w:sz w:val="28"/>
          <w:szCs w:val="28"/>
        </w:rPr>
        <w:t xml:space="preserve"> (</w:t>
      </w:r>
      <w:r>
        <w:rPr>
          <w:rFonts w:ascii="Times New Roman" w:hAnsi="Times New Roman" w:cs="Times New Roman"/>
          <w:i/>
          <w:sz w:val="28"/>
          <w:szCs w:val="28"/>
        </w:rPr>
        <w:t>M235T</w:t>
      </w:r>
      <w:r>
        <w:rPr>
          <w:rFonts w:ascii="Times New Roman" w:hAnsi="Times New Roman" w:cs="Times New Roman"/>
          <w:sz w:val="28"/>
          <w:szCs w:val="28"/>
        </w:rPr>
        <w:t>)</w:t>
      </w:r>
      <w:r w:rsidR="00681CD5">
        <w:rPr>
          <w:rFonts w:ascii="Century" w:hAnsi="Century" w:cs="Times New Roman"/>
          <w:sz w:val="28"/>
          <w:szCs w:val="28"/>
        </w:rPr>
        <w:t>,</w:t>
      </w:r>
      <w:r>
        <w:rPr>
          <w:rFonts w:ascii="Times New Roman" w:hAnsi="Times New Roman" w:cs="Times New Roman"/>
          <w:sz w:val="28"/>
          <w:szCs w:val="28"/>
        </w:rPr>
        <w:t xml:space="preserve"> </w:t>
      </w:r>
      <w:r>
        <w:rPr>
          <w:rFonts w:ascii="Times New Roman" w:hAnsi="Times New Roman" w:cs="Times New Roman"/>
          <w:i/>
          <w:sz w:val="28"/>
          <w:szCs w:val="28"/>
        </w:rPr>
        <w:t xml:space="preserve">ACE </w:t>
      </w:r>
      <w:r>
        <w:rPr>
          <w:rFonts w:ascii="Times New Roman" w:hAnsi="Times New Roman" w:cs="Times New Roman"/>
          <w:sz w:val="28"/>
          <w:szCs w:val="28"/>
        </w:rPr>
        <w:t>(I/D)</w:t>
      </w:r>
      <w:r w:rsidR="00681CD5">
        <w:rPr>
          <w:rFonts w:ascii="Century" w:hAnsi="Century" w:cs="Times New Roman"/>
          <w:sz w:val="28"/>
          <w:szCs w:val="28"/>
        </w:rPr>
        <w:t>,</w:t>
      </w:r>
      <w:r>
        <w:rPr>
          <w:rFonts w:ascii="Times New Roman" w:hAnsi="Times New Roman" w:cs="Times New Roman"/>
          <w:i/>
          <w:sz w:val="28"/>
          <w:szCs w:val="28"/>
        </w:rPr>
        <w:t xml:space="preserve"> AGTR1 </w:t>
      </w:r>
      <w:r w:rsidRPr="003474A5">
        <w:rPr>
          <w:rFonts w:ascii="Times New Roman" w:hAnsi="Times New Roman" w:cs="Times New Roman"/>
          <w:sz w:val="28"/>
          <w:szCs w:val="28"/>
        </w:rPr>
        <w:t xml:space="preserve">(A1166C) </w:t>
      </w:r>
      <w:r>
        <w:rPr>
          <w:rFonts w:ascii="Times New Roman" w:hAnsi="Times New Roman" w:cs="Times New Roman"/>
          <w:sz w:val="28"/>
          <w:szCs w:val="28"/>
        </w:rPr>
        <w:t xml:space="preserve">были связаны с АГ в тунисской популяции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{"citationItems":[{"id":"ITEM-1","itemData":{"DOI":"10.1007/s11033-011-1187-2","ISBN":"1573-4978 (Electronic)\\r0301-4851 (Linking)","ISSN":"03014851","PMID":"21779803","abstract":"Essential hypertension (HTA) is the clinical expression of a disordered interaction between the genetic, physiological, and biochemical systems that under usual conditions maintain cardiovascular homeostasis. We studied the effects of the angiotensinogen M235T, angiotensin converting enzyme insertion/deletion (ACE I/D), and angiotensin II receptor 1 (AT1R) A1166C gene polymorphisms on the risk of HTA and to evaluate the relationship between these polymorphisms and obesity. We performed AGT, ACE and AGTR genotyping in 142 hypertensive patients and 191 control subjects using PCR-RFLP methods and PCR, respectively. The three polymorphisms were significantly associated with HTA. Individuals carrying the mutated TT of AGT, DD of ACE and CC of AT1R genotypes had an 1.67 (P = 0.032), 3.09 (P &lt; 0.001) and 3.45 (P &lt; 0.001)-fold increased risk of HTA. After adjustment for sex, smoking, diabetes, dyslipidemia, BMI, triglycerides and DD, TT and CC genotypes, BMI was independent risk factor of HTA (OR = 3.14; P &lt; 0.001). An association of BMI with ACE gene polymorphism (P = 0.035), whereas no association with AGT and AT1R gene polymorphisms was obtained. The proportion of hypertensives is as high as 21.8 and 13.4% in the overweight and the obese DD group. The present study implies that the genotyping for the variants of RAS gene could in the future become an important part of the clinical process of risk identification for HTA.","author":[{"dropping-particle":"","family":"Mehri","given":"Sounira","non-dropping-particle":"","parse-names":false,"suffix":""},{"dropping-particle":"","family":"Mahjoub","given":"Sinda","non-dropping-particle":"","parse-names":false,"suffix":""},{"dropping-particle":"","family":"Hammami","given":"Sonia","non-dropping-particle":"","parse-names":false,"suffix":""},{"dropping-particle":"","family":"Zaroui","given":"Amira","non-dropping-particle":"","parse-names":false,"suffix":""},{"dropping-particle":"","family":"Frih","given":"Ameur","non-dropping-particle":"","parse-names":false,"suffix":""},{"dropping-particle":"","family":"Betbout","given":"Fathi","non-dropping-particle":"","parse-names":false,"suffix":""},{"dropping-particle":"","family":"Mechmeche","given":"Rachid","non-dropping-particle":"","parse-names":false,"suffix":""},{"dropping-particle":"","family":"Hammami","given":"Mohamed","non-dropping-particle":"","parse-names":false,"suffix":""}],"container-title":"Molecular Biology Reports","id":"ITEM-1","issue":"4","issued":{"date-parts":[["2012"]]},"page":"4059-4065","title":"Renin-Angiotensin system polymorphisms in relation to hypertension status and obesity in a Tunisian population","type":"article-journal","volume":"39"},"uris":["http://www.mendeley.com/documents/?uuid=d8f87c06-2f7c-443b-9ebb-a8235e0d545a"]}],"mendeley":{"formattedCitation":"[104]","plainTextFormattedCitation":"[104]","previouslyFormattedCitation":"[104]"},"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[104]</w:t>
      </w:r>
      <w:r w:rsidR="00EA0E64">
        <w:rPr>
          <w:rFonts w:ascii="Times New Roman" w:hAnsi="Times New Roman" w:cs="Times New Roman"/>
          <w:sz w:val="28"/>
          <w:szCs w:val="28"/>
        </w:rPr>
        <w:fldChar w:fldCharType="end"/>
      </w:r>
      <w:r w:rsidR="00681CD5">
        <w:rPr>
          <w:rFonts w:ascii="Century" w:hAnsi="Century" w:cs="Times New Roman"/>
          <w:sz w:val="28"/>
          <w:szCs w:val="28"/>
        </w:rPr>
        <w:t>,</w:t>
      </w:r>
      <w:r w:rsidR="003474A5">
        <w:rPr>
          <w:rFonts w:ascii="Times New Roman" w:hAnsi="Times New Roman" w:cs="Times New Roman"/>
          <w:sz w:val="28"/>
          <w:szCs w:val="28"/>
        </w:rPr>
        <w:t xml:space="preserve"> однако</w:t>
      </w:r>
      <w:r>
        <w:rPr>
          <w:rFonts w:ascii="Times New Roman" w:hAnsi="Times New Roman" w:cs="Times New Roman"/>
          <w:sz w:val="28"/>
          <w:szCs w:val="28"/>
        </w:rPr>
        <w:t xml:space="preserve"> ожирение было ассоциировано только с полиморфизмов гена </w:t>
      </w:r>
      <w:r>
        <w:rPr>
          <w:rFonts w:ascii="Times New Roman" w:hAnsi="Times New Roman" w:cs="Times New Roman"/>
          <w:i/>
          <w:sz w:val="28"/>
          <w:szCs w:val="28"/>
        </w:rPr>
        <w:t>АСЕ</w:t>
      </w:r>
      <w:r w:rsidR="00681CD5">
        <w:rPr>
          <w:rFonts w:ascii="Century" w:hAnsi="Century" w:cs="Times New Roman"/>
          <w:i/>
          <w:sz w:val="28"/>
          <w:szCs w:val="28"/>
        </w:rPr>
        <w:t>.</w:t>
      </w:r>
    </w:p>
    <w:p w:rsidR="00AB12B3" w:rsidRDefault="001E6E30"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Опис</w:t>
      </w:r>
      <w:r>
        <w:rPr>
          <w:rFonts w:ascii="Times New Roman" w:hAnsi="Times New Roman" w:cs="Times New Roman"/>
          <w:sz w:val="28"/>
          <w:szCs w:val="28"/>
          <w:lang w:val="kk-KZ"/>
        </w:rPr>
        <w:t xml:space="preserve">ывая </w:t>
      </w:r>
      <w:r>
        <w:rPr>
          <w:rFonts w:ascii="Times New Roman" w:hAnsi="Times New Roman" w:cs="Times New Roman"/>
          <w:sz w:val="28"/>
          <w:szCs w:val="28"/>
        </w:rPr>
        <w:t xml:space="preserve">новый подход к количественной оценке транскрипционных гаплотипов гена </w:t>
      </w:r>
      <w:r>
        <w:rPr>
          <w:rFonts w:ascii="Times New Roman" w:hAnsi="Times New Roman" w:cs="Times New Roman"/>
          <w:i/>
          <w:sz w:val="28"/>
          <w:szCs w:val="28"/>
        </w:rPr>
        <w:t>AGTR1</w:t>
      </w:r>
      <w:r w:rsidR="00C634DB">
        <w:rPr>
          <w:rFonts w:ascii="Times New Roman" w:hAnsi="Times New Roman" w:cs="Times New Roman"/>
          <w:i/>
          <w:sz w:val="28"/>
          <w:szCs w:val="28"/>
        </w:rPr>
        <w:t xml:space="preserve"> </w:t>
      </w:r>
      <w:r w:rsidR="00AB12B3">
        <w:rPr>
          <w:rFonts w:ascii="Times New Roman" w:hAnsi="Times New Roman" w:cs="Times New Roman"/>
          <w:sz w:val="28"/>
          <w:szCs w:val="28"/>
        </w:rPr>
        <w:t>Abdollahi M</w:t>
      </w:r>
      <w:r w:rsidR="00B227E6">
        <w:rPr>
          <w:rFonts w:ascii="Century" w:hAnsi="Century" w:cs="Times New Roman"/>
          <w:sz w:val="28"/>
          <w:szCs w:val="28"/>
        </w:rPr>
        <w:t>.</w:t>
      </w:r>
      <w:r w:rsidR="00AB12B3">
        <w:rPr>
          <w:rFonts w:ascii="Times New Roman" w:hAnsi="Times New Roman" w:cs="Times New Roman"/>
          <w:sz w:val="28"/>
          <w:szCs w:val="28"/>
        </w:rPr>
        <w:t xml:space="preserve"> (2007) изучил их связь с компонентами МС</w:t>
      </w:r>
      <w:r w:rsidR="00B227E6">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{"citationItems":[{"id":"ITEM-1","itemData":{"DOI":"10.1002/humu.20454","ISBN":"1531-8249 (Electronic)\\r0364-5134 (Linking)","ISSN":"10597794","PMID":"17211857","abstract":"The angiotensin II type 1 receptor (AGTR1) is the main target through which angiotensin II influences cardiovascular tone, cell growth, and fluid and electrolyte balance. AGTR1 polymorphism has been reported to associate with hypertension, myocardial infarction (MI), and metabolic traits. Here we describe a novel approach to quantitation of transcript haplotypes (QTH) of AGTR1. To determine relative allelic expression from haplotypes, within-individual-between-allele ratiometric analyses in placental cDNA were developed for the transcribed SNPs rs5182:C&gt;T (encoding p.L191) and rs5186:A&gt;C (3'-noncoding \"A1166C\"). Additionally, between-individual comparisons were made using TaqMan assays applied to both homozygous and heterozygous genotypes and haplotypes. In conjunction, linkage disequilibrium (LD) and genomic haplotype associations with metabolic syndrome were examined. There was no significant difference of mRNA level for alleles of rs5182:C&gt;T, but allele and mRNA haplotypes carrying 1166C exhibited reduced abundance. The effect was much greater in CC homozygotes than in heterozygotes. The promoter region was confirmed to be in a separate haplotype block from the AGTR1 3' region containing rs5182:C&gt;T and rs5186:A&gt;C. Metabolic syndrome trait associations were strongest for the 3' block generally and for the C allele of rs5186:A&gt;C specifically. All effects were much more prominent in homozygotes, possibly reflecting interallelic interaction through feedback loops of mRNA regulation. Differential abundance of AGTR1 mRNA haplotypes may mediate clinical phenotypic observations of the AGTR1 genotype.","author":[{"dropping-particle":"","family":"Abdollahi","given":"Mohammad R.","non-dropping-particle":"","parse-names":false,"suffix":""},{"dropping-particle":"","family":"Lewis","given":"Rohan M.","non-dropping-particle":"","parse-names":false,"suffix":""},{"dropping-particle":"","family":"Gaunt","given":"Tom R.","non-dropping-particle":"","parse-names":false,"suffix":""},{"dropping-particle":"","family":"Cumming","given":"Debbie V.E.","non-dropping-particle":"","parse-names":false,"suffix":""},{"dropping-particle":"","family":"Rodriguez","given":"Santiago","non-dropping-particle":"","parse-names":false,"suffix":""},{"dropping-particle":"","family":"Rose-Zerilli","given":"Matthew","non-dropping-particle":"","parse-names":false,"suffix":""},{"dropping-particle":"","family":"Collins","given":"Andrew R.","non-dropping-particle":"","parse-names":false,"suffix":""},{"dropping-particle":"","family":"Syddall","given":"Holly E.","non-dropping-particle":"","parse-names":false,"suffix":""},{"dropping-particle":"","family":"Howell","given":"William M.","non-dropping-particle":"","parse-names":false,"suffix":""},{"dropping-particle":"","family":"Cooper","given":"Cyrus","non-dropping-particle":"","parse-names":false,"suffix":""},{"dropping-particle":"","family":"Godfrey","given":"Keith M.","non-dropping-particle":"","parse-names":false,"suffix":""},{"dropping-particle":"","family":"Cameron","given":"Iain T.","non-dropping-particle":"","parse-names":false,"suffix":""},{"dropping-particle":"","family":"Day","given":"Ian N.M.","non-dropping-particle":"","parse-names":false,"suffix":""}],"container-title":"Human Mutation","id":"ITEM-1","issue":"4","issued":{"date-parts":[["2007"]]},"page":"365-373","title":"Quantitated transcript haplotypes (QTH) of AGTR1, reduced abundance of mRNA haplotypes containing 1166C (rs5186:A&gt;C), and relevance to metabolic syndrome traits","type":"article-journal","volume":"28"},"uris":["http://www.mendeley.com/documents/?uuid=0f915b21-5e70-4d1a-bd7c-cdaa4fc1eea5"]}],"mendeley":{"formattedCitation":"[105]","plainTextFormattedCitation":"[105]","previouslyFormattedCitation":"[105]"},"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[105]</w:t>
      </w:r>
      <w:r w:rsidR="00EA0E64">
        <w:rPr>
          <w:rFonts w:ascii="Times New Roman" w:hAnsi="Times New Roman" w:cs="Times New Roman"/>
          <w:sz w:val="28"/>
          <w:szCs w:val="28"/>
        </w:rPr>
        <w:fldChar w:fldCharType="end"/>
      </w:r>
      <w:r w:rsidR="00B227E6">
        <w:rPr>
          <w:rFonts w:ascii="Century" w:hAnsi="Century" w:cs="Times New Roman"/>
          <w:sz w:val="28"/>
          <w:szCs w:val="28"/>
        </w:rPr>
        <w:t>.</w:t>
      </w:r>
      <w:r w:rsidR="00AB12B3">
        <w:rPr>
          <w:rFonts w:ascii="Times New Roman" w:hAnsi="Times New Roman" w:cs="Times New Roman"/>
          <w:sz w:val="28"/>
          <w:szCs w:val="28"/>
        </w:rPr>
        <w:t xml:space="preserve"> По его </w:t>
      </w:r>
      <w:r w:rsidR="00355419">
        <w:rPr>
          <w:rFonts w:ascii="Times New Roman" w:hAnsi="Times New Roman" w:cs="Times New Roman"/>
          <w:sz w:val="28"/>
          <w:szCs w:val="28"/>
          <w:lang w:val="kk-KZ"/>
        </w:rPr>
        <w:t>данным</w:t>
      </w:r>
      <w:r w:rsidR="00AB12B3">
        <w:rPr>
          <w:rFonts w:ascii="Times New Roman" w:hAnsi="Times New Roman" w:cs="Times New Roman"/>
          <w:sz w:val="28"/>
          <w:szCs w:val="28"/>
        </w:rPr>
        <w:t xml:space="preserve">, не было значительных различий в уровне мРНК для аллелей rs5182: </w:t>
      </w:r>
      <w:r w:rsidR="0063200B">
        <w:rPr>
          <w:rFonts w:ascii="Times New Roman" w:hAnsi="Times New Roman" w:cs="Times New Roman"/>
          <w:sz w:val="28"/>
          <w:szCs w:val="28"/>
        </w:rPr>
        <w:t>C&gt; T</w:t>
      </w:r>
      <w:r w:rsidR="00AB12B3">
        <w:rPr>
          <w:rFonts w:ascii="Times New Roman" w:hAnsi="Times New Roman" w:cs="Times New Roman"/>
          <w:sz w:val="28"/>
          <w:szCs w:val="28"/>
        </w:rPr>
        <w:t xml:space="preserve">, но гаплотипы аллелей и мРНК, несущие А1166C, демонстрировали пониженную распространенность. Эффект был намного больше у гомозиготного генотипа С/С, чем у гетерозиготного генотипа. Также было подтверждено, что промоторная область находится в отдельном блоке гаплотипа от 3'-области </w:t>
      </w:r>
      <w:r w:rsidR="00AB12B3">
        <w:rPr>
          <w:rFonts w:ascii="Times New Roman" w:hAnsi="Times New Roman" w:cs="Times New Roman"/>
          <w:i/>
          <w:sz w:val="28"/>
          <w:szCs w:val="28"/>
        </w:rPr>
        <w:t>AGTR1</w:t>
      </w:r>
      <w:r w:rsidR="00AB12B3">
        <w:rPr>
          <w:rFonts w:ascii="Times New Roman" w:hAnsi="Times New Roman" w:cs="Times New Roman"/>
          <w:sz w:val="28"/>
          <w:szCs w:val="28"/>
        </w:rPr>
        <w:t xml:space="preserve">, содержащей rs5182: </w:t>
      </w:r>
      <w:r w:rsidR="00BE7DF0">
        <w:rPr>
          <w:rFonts w:ascii="Times New Roman" w:hAnsi="Times New Roman" w:cs="Times New Roman"/>
          <w:sz w:val="28"/>
          <w:szCs w:val="28"/>
        </w:rPr>
        <w:t>C&gt; T</w:t>
      </w:r>
      <w:r w:rsidR="00AB12B3">
        <w:rPr>
          <w:rFonts w:ascii="Times New Roman" w:hAnsi="Times New Roman" w:cs="Times New Roman"/>
          <w:sz w:val="28"/>
          <w:szCs w:val="28"/>
        </w:rPr>
        <w:t xml:space="preserve"> и rs5186: A&gt;</w:t>
      </w:r>
      <w:r w:rsidR="004E5109">
        <w:rPr>
          <w:rFonts w:ascii="Times New Roman" w:hAnsi="Times New Roman" w:cs="Times New Roman"/>
          <w:sz w:val="28"/>
          <w:szCs w:val="28"/>
        </w:rPr>
        <w:t xml:space="preserve"> </w:t>
      </w:r>
      <w:r w:rsidR="00AB12B3">
        <w:rPr>
          <w:rFonts w:ascii="Times New Roman" w:hAnsi="Times New Roman" w:cs="Times New Roman"/>
          <w:sz w:val="28"/>
          <w:szCs w:val="28"/>
        </w:rPr>
        <w:t xml:space="preserve">C. Ассоциации с признаками МС были наиболее </w:t>
      </w:r>
      <w:r w:rsidR="00D12C3E">
        <w:rPr>
          <w:rFonts w:ascii="Times New Roman" w:hAnsi="Times New Roman" w:cs="Times New Roman"/>
          <w:sz w:val="28"/>
          <w:szCs w:val="28"/>
        </w:rPr>
        <w:t>выражены</w:t>
      </w:r>
      <w:r w:rsidR="00AB12B3">
        <w:rPr>
          <w:rFonts w:ascii="Times New Roman" w:hAnsi="Times New Roman" w:cs="Times New Roman"/>
          <w:sz w:val="28"/>
          <w:szCs w:val="28"/>
        </w:rPr>
        <w:t xml:space="preserve"> для 3'-блока в целом и для аллеля C rs5186: A&gt;C конкретно. Все эффекты были гораздо более выраженными у гомозиготных генотипов, возможно, отражая взаимное взаимодействие через петли обратной связи регуляции мРНК. Miyanaga K. (2009) </w:t>
      </w:r>
      <w:r w:rsidR="00825017">
        <w:rPr>
          <w:rFonts w:ascii="Times New Roman" w:hAnsi="Times New Roman" w:cs="Times New Roman"/>
          <w:sz w:val="28"/>
          <w:szCs w:val="28"/>
        </w:rPr>
        <w:t>нашел</w:t>
      </w:r>
      <w:r w:rsidR="00AB12B3">
        <w:rPr>
          <w:rFonts w:ascii="Times New Roman" w:hAnsi="Times New Roman" w:cs="Times New Roman"/>
          <w:sz w:val="28"/>
          <w:szCs w:val="28"/>
        </w:rPr>
        <w:t xml:space="preserve"> связь между полиморфизмом A1166C гена </w:t>
      </w:r>
      <w:r w:rsidR="00AB12B3">
        <w:rPr>
          <w:rFonts w:ascii="Times New Roman" w:hAnsi="Times New Roman" w:cs="Times New Roman"/>
          <w:i/>
          <w:sz w:val="28"/>
          <w:szCs w:val="28"/>
        </w:rPr>
        <w:t>AGTR1</w:t>
      </w:r>
      <w:r w:rsidR="00AB12B3">
        <w:rPr>
          <w:rFonts w:ascii="Times New Roman" w:hAnsi="Times New Roman" w:cs="Times New Roman"/>
          <w:sz w:val="28"/>
          <w:szCs w:val="28"/>
        </w:rPr>
        <w:t xml:space="preserve"> и концентрацией адипонектина в плазме, описал корреляцию между потреблением жира и концентрациями адипонектина в плазме</w:t>
      </w:r>
      <w:r w:rsidR="0025087F">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{"citationItems":[{"id":"ITEM-1","itemData":{"DOI":"10.1038/hr.2009.111","ISSN":"0916-9636","abstract":"Angiotensin II and its type 1 receptor (AT1R) are both expressed in the adipose tissue and involved in the genesis of atherosclerosis as well as hypertension. However, the influence of the AT1R gene A1166C polymorphism on atherosclerosis risk factors and on the development of early atherosclerosis is not clear. We evaluated 416 healthy young women to investigate the effects of this genotype on atherosclerosis risk factors and on carotid intima-media thickness as a validated marker of early atherosclerosis. After adjusting for confounding factors including body mass index, homeostasis model assessment of insulin resistance and plasma high-density lipoprotein (HDL)-cholesterol levels, plasma adiponectin concentrations were significantly lower in carriers of the C allele compared with non-carriers. Moreover, multiple logistic regression analysis showed that the C allele was the strongest and most independent determinant of lower plasma adiponectin concentrations. It is noted that the participants with the lowest quartile of plasma adiponectin concentrations had thicker levels of carotid intima-media thickness, lower plasma HDL-cholesterol and lipoprotein lipase levels, as well as higher trunk fat mass compared with the highest quartile. In addition, a weak but significant positive correlation was observed between percentages of fat in the diet and plasma adiponectin concentrations in non-carriers of the C allele. In conclusion, AT1R A1166C was associated with plasma adiponectin concentrations and influenced the correlations between dietary fat intake and plasma concentrations of adiponectin. These findings may help to identify vulnerable populations that are susceptible to the development of atherosclerosis and require early dietary recommendations for young women.","author":[{"dropping-particle":"","family":"Miyanaga","given":"Katsuko","non-dropping-particle":"","parse-names":false,"suffix":""},{"dropping-particle":"","family":"Fukuo","given":"Keisuke","non-dropping-particle":"","parse-names":false,"suffix":""},{"dropping-particle":"","family":"Akasaka","given":"Hiroshi","non-dropping-particle":"","parse-names":false,"suffix":""},{"dropping-particle":"","family":"Katsuya","given":"Tomohiro","non-dropping-particle":"","parse-names":false,"suffix":""},{"dropping-particle":"","family":"Fukada","given":"Rumi","non-dropping-particle":"","parse-names":false,"suffix":""},{"dropping-particle":"","family":"Rakugi","given":"Hiromi","non-dropping-particle":"","parse-names":false,"suffix":""},{"dropping-particle":"","family":"Kazumi","given":"Tsutomu","non-dropping-particle":"","parse-names":false,"suffix":""}],"container-title":"Hypertension Research","id":"ITEM-1","issue":"10","issued":{"date-parts":[["2009","10","21"]]},"page":"901-905","publisher":"Nature Publishing Group","title":"C allele of angiotensin II type 1 receptor gene A1166C polymorphism affects plasma adiponectin concentrations in healthy young Japanese women","type":"article-journal","volume":"32"},"uris":["http://www.mendeley.com/documents/?uuid=d79f2b14-beaa-4a30-a1c9-1dfcd0d93137","http://www.mendeley.com/documents/?uuid=1ddbc3e2-97e2-44a0-97f7-6b1867bea3ff"]}],"mendeley":{"formattedCitation":"[106]","plainTextFormattedCitation":"[106]","previouslyFormattedCitation":"[106]"},"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[106]</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w:t>
      </w:r>
    </w:p>
    <w:p w:rsidR="00AB12B3" w:rsidRDefault="00C26FB4"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изучении </w:t>
      </w:r>
      <w:r w:rsidR="00903A53">
        <w:rPr>
          <w:rFonts w:ascii="Times New Roman" w:hAnsi="Times New Roman" w:cs="Times New Roman"/>
          <w:sz w:val="28"/>
          <w:szCs w:val="28"/>
        </w:rPr>
        <w:t>ассоциации</w:t>
      </w:r>
      <w:r>
        <w:rPr>
          <w:rFonts w:ascii="Times New Roman" w:hAnsi="Times New Roman" w:cs="Times New Roman"/>
          <w:sz w:val="28"/>
          <w:szCs w:val="28"/>
        </w:rPr>
        <w:t xml:space="preserve"> полиморфизма гена </w:t>
      </w:r>
      <w:r>
        <w:rPr>
          <w:rFonts w:ascii="Times New Roman" w:hAnsi="Times New Roman" w:cs="Times New Roman"/>
          <w:i/>
          <w:sz w:val="28"/>
          <w:szCs w:val="28"/>
        </w:rPr>
        <w:t xml:space="preserve">AGTR1 </w:t>
      </w:r>
      <w:r>
        <w:rPr>
          <w:rFonts w:ascii="Times New Roman" w:hAnsi="Times New Roman" w:cs="Times New Roman"/>
          <w:sz w:val="28"/>
          <w:szCs w:val="28"/>
        </w:rPr>
        <w:t xml:space="preserve">(А1166C) на частоту </w:t>
      </w:r>
      <w:r w:rsidR="00903A53">
        <w:rPr>
          <w:rFonts w:ascii="Times New Roman" w:hAnsi="Times New Roman" w:cs="Times New Roman"/>
          <w:sz w:val="28"/>
          <w:szCs w:val="28"/>
        </w:rPr>
        <w:t xml:space="preserve">развития </w:t>
      </w:r>
      <w:r>
        <w:rPr>
          <w:rFonts w:ascii="Times New Roman" w:hAnsi="Times New Roman" w:cs="Times New Roman"/>
          <w:sz w:val="28"/>
          <w:szCs w:val="28"/>
        </w:rPr>
        <w:t xml:space="preserve">гипертензии и МС у молодых пациентов с АГ </w:t>
      </w:r>
      <w:r w:rsidR="00AB12B3">
        <w:rPr>
          <w:rFonts w:ascii="Times New Roman" w:hAnsi="Times New Roman" w:cs="Times New Roman"/>
          <w:sz w:val="28"/>
          <w:szCs w:val="28"/>
        </w:rPr>
        <w:t>Palatini</w:t>
      </w:r>
      <w:r w:rsidR="00432771">
        <w:rPr>
          <w:rFonts w:ascii="Times New Roman" w:hAnsi="Times New Roman" w:cs="Times New Roman"/>
          <w:sz w:val="28"/>
          <w:szCs w:val="28"/>
        </w:rPr>
        <w:t xml:space="preserve"> </w:t>
      </w:r>
      <w:r w:rsidR="006B29FC">
        <w:rPr>
          <w:rFonts w:ascii="Times New Roman" w:hAnsi="Times New Roman" w:cs="Times New Roman"/>
          <w:sz w:val="28"/>
          <w:szCs w:val="28"/>
        </w:rPr>
        <w:t xml:space="preserve">P. </w:t>
      </w:r>
      <w:r w:rsidR="00AB12B3">
        <w:rPr>
          <w:rFonts w:ascii="Times New Roman" w:hAnsi="Times New Roman" w:cs="Times New Roman"/>
          <w:sz w:val="28"/>
          <w:szCs w:val="28"/>
        </w:rPr>
        <w:t xml:space="preserve">и соавторы </w:t>
      </w:r>
      <w:r>
        <w:rPr>
          <w:rFonts w:ascii="Times New Roman" w:hAnsi="Times New Roman" w:cs="Times New Roman"/>
          <w:sz w:val="28"/>
          <w:szCs w:val="28"/>
        </w:rPr>
        <w:t xml:space="preserve">обнаружили </w:t>
      </w:r>
      <w:r w:rsidR="00AB12B3">
        <w:rPr>
          <w:rFonts w:ascii="Times New Roman" w:hAnsi="Times New Roman" w:cs="Times New Roman"/>
          <w:sz w:val="28"/>
          <w:szCs w:val="28"/>
        </w:rPr>
        <w:t>(2009), что этот полиморфизм является предиктором гипертензии и МС в европейской популяции</w:t>
      </w:r>
      <w:r w:rsidR="00432771">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{"citationItems":[{"id":"ITEM-1","itemData":{"DOI":"10.1038/ajh.2008.319","ISSN":"08957061","PMID":"19023273","abstract":"The aim of the study was to investigate the effect of polymorphism A1166C for AGTR1 and -1332G/A for AGTR2 on the incidence of sustained hypertension (HT) and metabolic syndrome in a cohort of young patients screened for stage 1 HT.","author":[{"dropping-particle":"","family":"Palatini","given":"Paolo","non-dropping-particle":"","parse-names":false,"suffix":""},{"dropping-particle":"","family":"Ceolotto","given":"Giulio","non-dropping-particle":"","parse-names":false,"suffix":""},{"dropping-particle":"","family":"Dorigatti","given":"Francesca","non-dropping-particle":"","parse-names":false,"suffix":""},{"dropping-particle":"","family":"Mos","given":"Lucio","non-dropping-particle":"","parse-names":false,"suffix":""},{"dropping-particle":"","family":"Santonastaso","given":"Massimo","non-dropping-particle":"","parse-names":false,"suffix":""},{"dropping-particle":"","family":"Bratti","given":"Paolo","non-dropping-particle":"","parse-names":false,"suffix":""},{"dropping-particle":"","family":"Papparella","given":"Italia","non-dropping-particle":"","parse-names":false,"suffix":""},{"dropping-particle":"","family":"Pessina","given":"Achille C.","non-dropping-particle":"","parse-names":false,"suffix":""},{"dropping-particle":"","family":"Semplicini","given":"Andrea","non-dropping-particle":"","parse-names":false,"suffix":""}],"container-title":"American Journal of Hypertension","id":"ITEM-1","issue":"2","issued":{"date-parts":[["2009"]]},"page":"208-214","title":"Angiotensin II type 1 receptor gene polymorphism predicts development of hypertension and metabolic syndrome","type":"article-journal","volume":"22"},"uris":["http://www.mendeley.com/documents/?uuid=4e3e5126-19bf-4d98-9d2c-54d07993898b"]}],"mendeley":{"formattedCitation":"[107]","plainTextFormattedCitation":"[107]","previouslyFormattedCitation":"[107]"},"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[107]</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w:t>
      </w:r>
      <w:r w:rsidR="00903A53">
        <w:rPr>
          <w:rFonts w:ascii="Times New Roman" w:hAnsi="Times New Roman" w:cs="Times New Roman"/>
          <w:sz w:val="28"/>
          <w:szCs w:val="28"/>
          <w:lang w:val="kk-KZ"/>
        </w:rPr>
        <w:t>Высокой</w:t>
      </w:r>
      <w:r w:rsidR="00B227E6">
        <w:rPr>
          <w:rFonts w:ascii="Times New Roman" w:hAnsi="Times New Roman" w:cs="Times New Roman"/>
          <w:sz w:val="28"/>
          <w:szCs w:val="28"/>
          <w:lang w:val="kk-KZ"/>
        </w:rPr>
        <w:t xml:space="preserve"> </w:t>
      </w:r>
      <w:r w:rsidR="00355419">
        <w:rPr>
          <w:rFonts w:ascii="Times New Roman" w:hAnsi="Times New Roman" w:cs="Times New Roman"/>
          <w:sz w:val="28"/>
          <w:szCs w:val="28"/>
        </w:rPr>
        <w:t>вероятность</w:t>
      </w:r>
      <w:r w:rsidR="00903A53">
        <w:rPr>
          <w:rFonts w:ascii="Times New Roman" w:hAnsi="Times New Roman" w:cs="Times New Roman"/>
          <w:sz w:val="28"/>
          <w:szCs w:val="28"/>
        </w:rPr>
        <w:t>ю</w:t>
      </w:r>
      <w:r w:rsidR="00355419">
        <w:rPr>
          <w:rFonts w:ascii="Times New Roman" w:hAnsi="Times New Roman" w:cs="Times New Roman"/>
          <w:sz w:val="28"/>
          <w:szCs w:val="28"/>
        </w:rPr>
        <w:t xml:space="preserve"> развития стойкой гипертензии</w:t>
      </w:r>
      <w:r w:rsidR="00432771">
        <w:rPr>
          <w:rFonts w:ascii="Times New Roman" w:hAnsi="Times New Roman" w:cs="Times New Roman"/>
          <w:sz w:val="28"/>
          <w:szCs w:val="28"/>
        </w:rPr>
        <w:t xml:space="preserve"> </w:t>
      </w:r>
      <w:r w:rsidR="00903A53">
        <w:rPr>
          <w:rFonts w:ascii="Times New Roman" w:hAnsi="Times New Roman" w:cs="Times New Roman"/>
          <w:sz w:val="28"/>
          <w:szCs w:val="28"/>
        </w:rPr>
        <w:t>характеризовались</w:t>
      </w:r>
      <w:r w:rsidR="00355419">
        <w:rPr>
          <w:rFonts w:ascii="Times New Roman" w:hAnsi="Times New Roman" w:cs="Times New Roman"/>
          <w:sz w:val="28"/>
          <w:szCs w:val="28"/>
          <w:lang w:val="kk-KZ"/>
        </w:rPr>
        <w:t xml:space="preserve"> н</w:t>
      </w:r>
      <w:r w:rsidR="00AB12B3">
        <w:rPr>
          <w:rFonts w:ascii="Times New Roman" w:hAnsi="Times New Roman" w:cs="Times New Roman"/>
          <w:sz w:val="28"/>
          <w:szCs w:val="28"/>
        </w:rPr>
        <w:t>осители аллеля С</w:t>
      </w:r>
      <w:r w:rsidR="00B227E6">
        <w:rPr>
          <w:rFonts w:ascii="Century" w:hAnsi="Century" w:cs="Times New Roman"/>
          <w:sz w:val="28"/>
          <w:szCs w:val="28"/>
        </w:rPr>
        <w:t>,</w:t>
      </w:r>
      <w:r w:rsidR="00AB12B3">
        <w:rPr>
          <w:rFonts w:ascii="Times New Roman" w:hAnsi="Times New Roman" w:cs="Times New Roman"/>
          <w:sz w:val="28"/>
          <w:szCs w:val="28"/>
        </w:rPr>
        <w:t xml:space="preserve"> а пациенты с генотипом С/С имели на 60% повышенный риск по сравнению с пациентами с генотипом А/А</w:t>
      </w:r>
      <w:r w:rsidR="00B227E6">
        <w:rPr>
          <w:rFonts w:ascii="Century" w:hAnsi="Century" w:cs="Times New Roman"/>
          <w:sz w:val="28"/>
          <w:szCs w:val="28"/>
        </w:rPr>
        <w:t>.</w:t>
      </w:r>
      <w:r w:rsidR="00AB12B3">
        <w:rPr>
          <w:rFonts w:ascii="Times New Roman" w:hAnsi="Times New Roman" w:cs="Times New Roman"/>
          <w:sz w:val="28"/>
          <w:szCs w:val="28"/>
        </w:rPr>
        <w:t xml:space="preserve"> Также носители аллеля C имели повышенный риск МС</w:t>
      </w:r>
      <w:r w:rsidR="00B227E6">
        <w:rPr>
          <w:rFonts w:ascii="Century" w:hAnsi="Century" w:cs="Times New Roman"/>
          <w:sz w:val="28"/>
          <w:szCs w:val="28"/>
        </w:rPr>
        <w:t>,</w:t>
      </w:r>
      <w:r w:rsidR="00AB12B3">
        <w:rPr>
          <w:rFonts w:ascii="Times New Roman" w:hAnsi="Times New Roman" w:cs="Times New Roman"/>
          <w:sz w:val="28"/>
          <w:szCs w:val="28"/>
        </w:rPr>
        <w:t xml:space="preserve"> по крайней мере</w:t>
      </w:r>
      <w:r w:rsidR="00B227E6">
        <w:rPr>
          <w:rFonts w:ascii="Century" w:hAnsi="Century" w:cs="Times New Roman"/>
          <w:sz w:val="28"/>
          <w:szCs w:val="28"/>
        </w:rPr>
        <w:t>,</w:t>
      </w:r>
      <w:r w:rsidR="00AB12B3">
        <w:rPr>
          <w:rFonts w:ascii="Times New Roman" w:hAnsi="Times New Roman" w:cs="Times New Roman"/>
          <w:sz w:val="28"/>
          <w:szCs w:val="28"/>
        </w:rPr>
        <w:t xml:space="preserve"> частично объясняемый склонностью к увеличению веса, но возникновение гипертензии было связано не только с развитием МС. Авторы отмечают, что у пациентов с генотипом С/С в начале исследования было обнаружено более высокое содержание глюкозы натощак, значительный подъем уровня ТГ, избыточный вес и другие клинические признаки ИР и МС. Предположительно, активация РААС в жировой ткани может являться связующим звеном между ожирением, АГ и МС </w:t>
      </w:r>
      <w:r w:rsidR="00EA0E64">
        <w:rPr>
          <w:rFonts w:ascii="Times New Roman" w:hAnsi="Times New Roman" w:cs="Times New Roman"/>
          <w:sz w:val="28"/>
          <w:szCs w:val="28"/>
        </w:rPr>
        <w:fldChar w:fldCharType="begin" w:fldLock="1"/>
      </w:r>
      <w:r w:rsidR="008E155C">
        <w:rPr>
          <w:rFonts w:ascii="Times New Roman" w:hAnsi="Times New Roman" w:cs="Times New Roman"/>
          <w:sz w:val="28"/>
          <w:szCs w:val="28"/>
        </w:rPr>
        <w:instrText>ADDIN CSL_CITATION {"citationItems":[{"id":"ITEM-1","itemData":{"DOI":"10.1038/ajh.2008.319","ISSN":"08957061","PMID":"19023273","abstract":"The aim of the study was to investigate the effect of polymorphism A1166C for AGTR1 and -1332G/A for AGTR2 on the incidence of sustained hypertension (HT) and metabolic syndrome in a cohort of young patients screened for stage 1 HT.","author":[{"dropping-particle":"","family":"Palatini","given":"Paolo","non-dropping-particle":"","parse-names":false,"suffix":""},{"dropping-particle":"","family":"Ceolotto","given":"Giulio","non-dropping-particle":"","parse-names":false,"suffix":""},{"dropping-particle":"","family":"Dorigatti","given":"Francesca","non-dropping-particle":"","parse-names":false,"suffix":""},{"dropping-particle":"","family":"Mos","given":"Lucio","non-dropping-particle":"","parse-names":false,"suffix":""},{"dropping-particle":"","family":"Santonastaso","given":"Massimo","non-dropping-particle":"","parse-names":false,"suffix":""},{"dropping-particle":"","family":"Bratti","given":"Paolo","non-dropping-particle":"","parse-names":false,"suffix":""},{"dropping-particle":"","family":"Papparella","given":"Italia","non-dropping-particle":"","parse-names":false,"suffix":""},{"dropping-particle":"","family":"Pessina","given":"Achille C.","non-dropping-particle":"","parse-names":false,"suffix":""},{"dropping-particle":"","family":"Semplicini","given":"Andrea","non-dropping-particle":"","parse-names":false,"suffix":""}],"container-title":"American Journal of Hypertension","id":"ITEM-1","issue":"2","issued":{"date-parts":[["2009"]]},"page":"208-214","title":"Angiotensin II type 1 receptor gene polymorphism predicts development of hypertension and metabolic syndrome","type":"article-journal","volume":"22"},"uris":["http://www.mendeley.com/documents/?uuid=4e3e5126-19bf-4d98-9d2c-54d07993898b"]}],"mendeley":{"formattedCitation":"[107]","manualFormatting":"[107, р. 213]","plainTextFormattedCitation":"[107]","previouslyFormattedCitation":"[107]"},"properties":{"noteIndex":0},"schema":"https://github.com/citation-style-language/schema/raw/master/csl-citation.json"}</w:instrText>
      </w:r>
      <w:r w:rsidR="00EA0E64">
        <w:rPr>
          <w:rFonts w:ascii="Times New Roman" w:hAnsi="Times New Roman" w:cs="Times New Roman"/>
          <w:sz w:val="28"/>
          <w:szCs w:val="28"/>
        </w:rPr>
        <w:fldChar w:fldCharType="separate"/>
      </w:r>
      <w:r w:rsidR="008E155C" w:rsidRPr="008E155C">
        <w:rPr>
          <w:rFonts w:ascii="Times New Roman" w:hAnsi="Times New Roman" w:cs="Times New Roman"/>
          <w:noProof/>
          <w:sz w:val="28"/>
          <w:szCs w:val="28"/>
        </w:rPr>
        <w:t>[107</w:t>
      </w:r>
      <w:r w:rsidR="008E155C">
        <w:rPr>
          <w:rFonts w:ascii="Times New Roman" w:hAnsi="Times New Roman" w:cs="Times New Roman"/>
          <w:noProof/>
          <w:sz w:val="28"/>
          <w:szCs w:val="28"/>
        </w:rPr>
        <w:t>, р. 213</w:t>
      </w:r>
      <w:r w:rsidR="008E155C" w:rsidRPr="008E155C">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Авторы предлагают рассматривать полиморфизм гена </w:t>
      </w:r>
      <w:r w:rsidR="00AB12B3">
        <w:rPr>
          <w:rFonts w:ascii="Times New Roman" w:hAnsi="Times New Roman" w:cs="Times New Roman"/>
          <w:i/>
          <w:sz w:val="28"/>
          <w:szCs w:val="28"/>
        </w:rPr>
        <w:t>AGTR1</w:t>
      </w:r>
      <w:r w:rsidR="00AB12B3">
        <w:rPr>
          <w:rFonts w:ascii="Times New Roman" w:hAnsi="Times New Roman" w:cs="Times New Roman"/>
          <w:sz w:val="28"/>
          <w:szCs w:val="28"/>
        </w:rPr>
        <w:t xml:space="preserve"> (A1166C) как возможный </w:t>
      </w:r>
      <w:r w:rsidR="0055678B">
        <w:rPr>
          <w:rFonts w:ascii="Times New Roman" w:hAnsi="Times New Roman" w:cs="Times New Roman"/>
          <w:sz w:val="28"/>
          <w:szCs w:val="28"/>
        </w:rPr>
        <w:t xml:space="preserve">генетический </w:t>
      </w:r>
      <w:r w:rsidR="00AB12B3">
        <w:rPr>
          <w:rFonts w:ascii="Times New Roman" w:hAnsi="Times New Roman" w:cs="Times New Roman"/>
          <w:sz w:val="28"/>
          <w:szCs w:val="28"/>
        </w:rPr>
        <w:t>маркер тяжести и развития АГ.</w:t>
      </w:r>
    </w:p>
    <w:p w:rsidR="00AB12B3" w:rsidRDefault="008C6E59"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Изуча</w:t>
      </w:r>
      <w:r w:rsidR="00112EB4">
        <w:rPr>
          <w:rFonts w:ascii="Times New Roman" w:hAnsi="Times New Roman" w:cs="Times New Roman"/>
          <w:sz w:val="28"/>
          <w:szCs w:val="28"/>
        </w:rPr>
        <w:t>я</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связь между полиморфизмами генов РААС и дислипидемией у пациентов с СД 2 типа </w:t>
      </w:r>
      <w:r w:rsidR="00AB12B3">
        <w:rPr>
          <w:rFonts w:ascii="Times New Roman" w:hAnsi="Times New Roman" w:cs="Times New Roman"/>
          <w:sz w:val="28"/>
          <w:szCs w:val="28"/>
        </w:rPr>
        <w:t xml:space="preserve">Xu Y. и соавторы (2012)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{"citationItems":[{"id":"ITEM-1","itemData":{"DOI":"10.3275/7797","ISSN":"1720-8386","PMID":"21670585","abstract":"OBJECTIVE To investigate whether the genetic polymorphisms in the angiotensin I converting enzyme (ACE) (insertion/ deletion, or I/D), angiotensin II type 1 receptor (AT1R) (rs5186), and ACE2 (rs2285666) could be associated with dyslipidemia in Type 2 diabetic (T2D) patients of Chinese Han origin. DESIGN AND METHODS The above 3 polymorphisms were genotyped in a total of 282 patients with T2D and dyslipidemia (Group A), 182 patients with T2D but without dyslipidemia (Group B), and 324 healthy controls. The association between a certain polymorphism and each group was assessed by an odds ratio (OR). RESULTS The D allele of the ACE (I/D) was significantly associated with the risk of T2D accompanying dyslipidemia between group A and controls [OR=1.37, 95% confidence interval (CI)=1.08-1.74; p=0.010], and significant association of the D allele with dyslipidemia was also observed in diabetic patients (OR=1.88, 95% CI=1.40-2.54; p&lt;0.001). Furthermore, the ID genotype had a decreased risk of developing T2D without dyslipidemia as compared with controls (OR=0.52, 95% CI=0.32-0.82; p=0.0060). The distributions of the AT1R (rs5186) and ACE2 (rs2285666) genotypes and alleles did not differ between T2D patients with or without dyslipidemia and the controls. CONCLUSIONS This study demonstrates that the ACE (I/D) polymorphism is associated with T2D, regardless of the absence or presence of dyslipidemia. The polymorphisms in the AT1R (rs5186) and ACE2 (rs2285666) seem to play lesser roles in the development of T2D.","author":[{"dropping-particle":"","family":"Xu","given":"Y.","non-dropping-particle":"","parse-names":false,"suffix":""},{"dropping-particle":"","family":"Bao","given":"Q.","non-dropping-particle":"","parse-names":false,"suffix":""},{"dropping-particle":"","family":"He","given":"B.","non-dropping-particle":"","parse-names":false,"suffix":""},{"dropping-particle":"","family":"Pan","given":"Y.","non-dropping-particle":"","parse-names":false,"suffix":""},{"dropping-particle":"","family":"Zhang","given":"R.","non-dropping-particle":"","parse-names":false,"suffix":""},{"dropping-particle":"","family":"Mao","given":"X.","non-dropping-particle":"","parse-names":false,"suffix":""},{"dropping-particle":"","family":"Tang","given":"Z.","non-dropping-particle":"","parse-names":false,"suffix":""},{"dropping-particle":"","family":"Qu","given":"L.","non-dropping-particle":"","parse-names":false,"suffix":""},{"dropping-particle":"","family":"Zhu","given":"C.","non-dropping-particle":"","parse-names":false,"suffix":""},{"dropping-particle":"","family":"Tian","given":"F.","non-dropping-particle":"","parse-names":false,"suffix":""},{"dropping-particle":"","family":"Wang","given":"S.","non-dropping-particle":"","parse-names":false,"suffix":""}],"container-title":"Doi.Org","id":"ITEM-1","issue":"4","issued":{"date-parts":[["2012"]]},"page":"378-83","title":"Association of angiotensin I converting enzyme, angiotensin II type 1 receptor and angiotensin I converting enzyme 2 gene polymorphisms with the dyslipidemia in Type 2 diabetic patients of Chinese Han origin","type":"article-journal","volume":"35"},"uris":["http://www.mendeley.com/documents/?uuid=68b93fe6-20dd-450d-af6c-9c4c70e46bb4"]}],"mendeley":{"formattedCitation":"[108]","plainTextFormattedCitation":"[108]","previouslyFormattedCitation":"[108]"},"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[108]</w:t>
      </w:r>
      <w:r w:rsidR="00EA0E64">
        <w:rPr>
          <w:rFonts w:ascii="Times New Roman" w:hAnsi="Times New Roman" w:cs="Times New Roman"/>
          <w:sz w:val="28"/>
          <w:szCs w:val="28"/>
        </w:rPr>
        <w:fldChar w:fldCharType="end"/>
      </w:r>
      <w:r>
        <w:rPr>
          <w:rFonts w:ascii="Times New Roman" w:hAnsi="Times New Roman" w:cs="Times New Roman"/>
          <w:sz w:val="28"/>
          <w:szCs w:val="28"/>
          <w:lang w:val="kk-KZ"/>
        </w:rPr>
        <w:t xml:space="preserve"> пришли к выводу, что</w:t>
      </w:r>
      <w:r w:rsidR="00AB12B3">
        <w:rPr>
          <w:rFonts w:ascii="Times New Roman" w:hAnsi="Times New Roman" w:cs="Times New Roman"/>
          <w:sz w:val="28"/>
          <w:szCs w:val="28"/>
        </w:rPr>
        <w:t xml:space="preserve"> полиморфизм гена </w:t>
      </w:r>
      <w:r w:rsidR="00AB12B3">
        <w:rPr>
          <w:rFonts w:ascii="Times New Roman" w:hAnsi="Times New Roman" w:cs="Times New Roman"/>
          <w:i/>
          <w:sz w:val="28"/>
          <w:szCs w:val="28"/>
        </w:rPr>
        <w:t xml:space="preserve">ACE </w:t>
      </w:r>
      <w:r w:rsidR="00AB12B3">
        <w:rPr>
          <w:rFonts w:ascii="Times New Roman" w:hAnsi="Times New Roman" w:cs="Times New Roman"/>
          <w:sz w:val="28"/>
          <w:szCs w:val="28"/>
        </w:rPr>
        <w:t xml:space="preserve">(I/D) был связан с СД 2 типа, тогда как </w:t>
      </w:r>
      <w:r w:rsidR="00AB12B3">
        <w:rPr>
          <w:rFonts w:ascii="Times New Roman" w:hAnsi="Times New Roman" w:cs="Times New Roman"/>
          <w:sz w:val="28"/>
          <w:szCs w:val="28"/>
        </w:rPr>
        <w:lastRenderedPageBreak/>
        <w:t xml:space="preserve">полиморфизмы генов </w:t>
      </w:r>
      <w:r w:rsidR="00AB12B3">
        <w:rPr>
          <w:rFonts w:ascii="Times New Roman" w:hAnsi="Times New Roman" w:cs="Times New Roman"/>
          <w:i/>
          <w:sz w:val="28"/>
          <w:szCs w:val="28"/>
        </w:rPr>
        <w:t xml:space="preserve">AGTR1 </w:t>
      </w:r>
      <w:r w:rsidR="00AB12B3">
        <w:rPr>
          <w:rFonts w:ascii="Times New Roman" w:hAnsi="Times New Roman" w:cs="Times New Roman"/>
          <w:sz w:val="28"/>
          <w:szCs w:val="28"/>
        </w:rPr>
        <w:t>(A1166C) и</w:t>
      </w:r>
      <w:r w:rsidR="00AB12B3">
        <w:rPr>
          <w:rFonts w:ascii="Times New Roman" w:hAnsi="Times New Roman" w:cs="Times New Roman"/>
          <w:i/>
          <w:sz w:val="28"/>
          <w:szCs w:val="28"/>
        </w:rPr>
        <w:t xml:space="preserve"> ACE2 </w:t>
      </w:r>
      <w:r w:rsidR="00AB12B3">
        <w:rPr>
          <w:rFonts w:ascii="Times New Roman" w:hAnsi="Times New Roman" w:cs="Times New Roman"/>
          <w:sz w:val="28"/>
          <w:szCs w:val="28"/>
        </w:rPr>
        <w:t>(rs2285666) играли меньшую роль в развитии С</w:t>
      </w:r>
      <w:r w:rsidR="003C5E64">
        <w:rPr>
          <w:rFonts w:ascii="Times New Roman" w:hAnsi="Times New Roman" w:cs="Times New Roman"/>
          <w:sz w:val="28"/>
          <w:szCs w:val="28"/>
        </w:rPr>
        <w:t xml:space="preserve">Д 2 типа. Pacholczyk М. (2013), оценивая </w:t>
      </w:r>
      <w:r w:rsidR="00AB12B3">
        <w:rPr>
          <w:rFonts w:ascii="Times New Roman" w:hAnsi="Times New Roman" w:cs="Times New Roman"/>
          <w:sz w:val="28"/>
          <w:szCs w:val="28"/>
        </w:rPr>
        <w:t xml:space="preserve">ассоциации полиморфизмов гена </w:t>
      </w:r>
      <w:r w:rsidR="00AB12B3">
        <w:rPr>
          <w:rFonts w:ascii="Times New Roman" w:hAnsi="Times New Roman" w:cs="Times New Roman"/>
          <w:i/>
          <w:sz w:val="28"/>
          <w:szCs w:val="28"/>
        </w:rPr>
        <w:t xml:space="preserve">ACE </w:t>
      </w:r>
      <w:r w:rsidR="00AB12B3">
        <w:rPr>
          <w:rFonts w:ascii="Times New Roman" w:hAnsi="Times New Roman" w:cs="Times New Roman"/>
          <w:sz w:val="28"/>
          <w:szCs w:val="28"/>
        </w:rPr>
        <w:t xml:space="preserve">(I/D), гена рецептора ангиотензина II типа I </w:t>
      </w:r>
      <w:r w:rsidR="00AB12B3">
        <w:rPr>
          <w:rFonts w:ascii="Times New Roman" w:hAnsi="Times New Roman" w:cs="Times New Roman"/>
          <w:i/>
          <w:sz w:val="28"/>
          <w:szCs w:val="28"/>
        </w:rPr>
        <w:t xml:space="preserve">AGTR1 </w:t>
      </w:r>
      <w:r w:rsidR="00AB12B3">
        <w:rPr>
          <w:rFonts w:ascii="Times New Roman" w:hAnsi="Times New Roman" w:cs="Times New Roman"/>
          <w:sz w:val="28"/>
          <w:szCs w:val="28"/>
        </w:rPr>
        <w:t xml:space="preserve">(A1166C) и экстремального ожирения наряду с ожирением при СД 2 типа, а также исследуя комбинированное воздействие генов у пациентов с экстремальным ожирением, обнаружил, что гомозиготный генотип I/I у гена </w:t>
      </w:r>
      <w:r w:rsidR="00AB12B3">
        <w:rPr>
          <w:rFonts w:ascii="Times New Roman" w:hAnsi="Times New Roman" w:cs="Times New Roman"/>
          <w:i/>
          <w:sz w:val="28"/>
          <w:szCs w:val="28"/>
        </w:rPr>
        <w:t>ACE</w:t>
      </w:r>
      <w:r w:rsidR="00AB12B3">
        <w:rPr>
          <w:rFonts w:ascii="Times New Roman" w:hAnsi="Times New Roman" w:cs="Times New Roman"/>
          <w:sz w:val="28"/>
          <w:szCs w:val="28"/>
        </w:rPr>
        <w:t xml:space="preserve"> может быть важным предиктором ожирения и СД 2 типа. Автор также установил, что взаимодействие между генами </w:t>
      </w:r>
      <w:r w:rsidR="00AB12B3">
        <w:rPr>
          <w:rFonts w:ascii="Times New Roman" w:hAnsi="Times New Roman" w:cs="Times New Roman"/>
          <w:i/>
          <w:sz w:val="28"/>
          <w:szCs w:val="28"/>
        </w:rPr>
        <w:t>ACE</w:t>
      </w:r>
      <w:r w:rsidR="00AB12B3">
        <w:rPr>
          <w:rFonts w:ascii="Times New Roman" w:hAnsi="Times New Roman" w:cs="Times New Roman"/>
          <w:sz w:val="28"/>
          <w:szCs w:val="28"/>
        </w:rPr>
        <w:t xml:space="preserve"> и </w:t>
      </w:r>
      <w:r w:rsidR="00AB12B3">
        <w:rPr>
          <w:rFonts w:ascii="Times New Roman" w:hAnsi="Times New Roman" w:cs="Times New Roman"/>
          <w:i/>
          <w:sz w:val="28"/>
          <w:szCs w:val="28"/>
        </w:rPr>
        <w:t>AGTR1</w:t>
      </w:r>
      <w:r w:rsidR="00AB12B3">
        <w:rPr>
          <w:rFonts w:ascii="Times New Roman" w:hAnsi="Times New Roman" w:cs="Times New Roman"/>
          <w:sz w:val="28"/>
          <w:szCs w:val="28"/>
        </w:rPr>
        <w:t xml:space="preserve"> может считаться предрасполагающим фактором для развития абдоминального ожирения и ожирения при СД 2 типа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{"citationItems":[{"id":"ITEM-1","itemData":{"DOI":"10.1089/dna.2013.2014","ISBN":"1557-7430 (Electronic)\\r1044-5498 (Linking)","ISSN":"1557-7430","PMID":"23745680","abstract":"There is strong evidence for the presence of a functional renin-angiotensin system in human adipose tissue. The aim of our study was to investigate the association of polymorphic variants of angiotensin-converting enzyme gene (ACE I/D) and angiotensin II type I receptor gene (AGTR1 A1166C) with extreme obesity and obesity-associated type 2 diabetes mellitus (T2DM) and to examine their combined effect on extremely obese patients. Overall, no significant associations were detected between ACE and AGTR1 gene polymorphisms and extreme obesity. However, extremely obese patients with T2DM showed an increased frequency of ACE II genotype compared with controls (p&lt;0.05) and with non-diabetic extremely obese patients (p&lt;0.01). The results suggest that II genotype of ACE was a significant contributor to extreme obesity in AA homozygotes of AGTR1 gene, regardless of the presence of T2DM. Moreover, the analysis of genetic polymorphisms demonstrated that ACE II and AGTR1 AC genotypes were most frequently observed in patients with extreme obesity and T2DM. On the basis of our results, we suggest that ACE II homozygosity may be a significant predictor of extreme obesity and T2DM and that the interaction between ACE and AGTR1 genes may be considered a predisposing factor for extreme obesity and extreme obesity-associated T2DM development.","author":[{"dropping-particle":"","family":"Pacholczyk","given":"Marta","non-dropping-particle":"","parse-names":false,"suffix":""},{"dropping-particle":"","family":"Ferenc","given":"Tomasz","non-dropping-particle":"","parse-names":false,"suffix":""},{"dropping-particle":"","family":"Kowalski","given":"Jan","non-dropping-particle":"","parse-names":false,"suffix":""},{"dropping-particle":"","family":"Adamczyk","given":"Przemysław","non-dropping-particle":"","parse-names":false,"suffix":""},{"dropping-particle":"","family":"Chojnowski","given":"Jacek","non-dropping-particle":"","parse-names":false,"suffix":""},{"dropping-particle":"","family":"Ponikowska","given":"Irena","non-dropping-particle":"","parse-names":false,"suffix":""}],"container-title":"DNA and cell biology","id":"ITEM-1","issue":"8","issued":{"date-parts":[["2013"]]},"page":"435-442","title":"Association of angiotensin-converting enzyme and angiotensin II type I receptor gene polymorphisms with extreme obesity in Polish individuals.","type":"article-journal","volume":"32"},"uris":["http://www.mendeley.com/documents/?uuid=d46bee6c-f8c5-4e36-ba55-fe85c2614ea7"]}],"mendeley":{"formattedCitation":"[109]","plainTextFormattedCitation":"[109]","previouslyFormattedCitation":"[109]"},"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[109]</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а наличие генотипа I/I у гена </w:t>
      </w:r>
      <w:r w:rsidR="00AB12B3">
        <w:rPr>
          <w:rFonts w:ascii="Times New Roman" w:hAnsi="Times New Roman" w:cs="Times New Roman"/>
          <w:i/>
          <w:sz w:val="28"/>
          <w:szCs w:val="28"/>
        </w:rPr>
        <w:t>ACE</w:t>
      </w:r>
      <w:r w:rsidR="00AB12B3">
        <w:rPr>
          <w:rFonts w:ascii="Times New Roman" w:hAnsi="Times New Roman" w:cs="Times New Roman"/>
          <w:sz w:val="28"/>
          <w:szCs w:val="28"/>
        </w:rPr>
        <w:t xml:space="preserve"> вносит значительный вклад в ожирение у гомозиготного генотипа А/А гена </w:t>
      </w:r>
      <w:r w:rsidR="00AB12B3">
        <w:rPr>
          <w:rFonts w:ascii="Times New Roman" w:hAnsi="Times New Roman" w:cs="Times New Roman"/>
          <w:i/>
          <w:sz w:val="28"/>
          <w:szCs w:val="28"/>
        </w:rPr>
        <w:t>AGTR1</w:t>
      </w:r>
      <w:r w:rsidR="00AB12B3">
        <w:rPr>
          <w:rFonts w:ascii="Times New Roman" w:hAnsi="Times New Roman" w:cs="Times New Roman"/>
          <w:sz w:val="28"/>
          <w:szCs w:val="28"/>
        </w:rPr>
        <w:t xml:space="preserve"> независимо от наличия СД 2 типа.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Учитывая, что рецептор І типа ангиотензина ІІ участвует в патогенезе атеросклероза и находится во всех сосудах тела</w:t>
      </w:r>
      <w:r w:rsidR="00B227E6">
        <w:rPr>
          <w:rFonts w:ascii="Century" w:hAnsi="Century" w:cs="Times New Roman"/>
          <w:sz w:val="28"/>
          <w:szCs w:val="28"/>
        </w:rPr>
        <w:t>,</w:t>
      </w:r>
      <w:r>
        <w:rPr>
          <w:rFonts w:ascii="Times New Roman" w:hAnsi="Times New Roman" w:cs="Times New Roman"/>
          <w:sz w:val="28"/>
          <w:szCs w:val="28"/>
        </w:rPr>
        <w:t xml:space="preserve"> а также в коронарных сосудах</w:t>
      </w:r>
      <w:r w:rsidR="00B227E6">
        <w:rPr>
          <w:rFonts w:ascii="Century" w:hAnsi="Century" w:cs="Times New Roman"/>
          <w:sz w:val="28"/>
          <w:szCs w:val="28"/>
        </w:rPr>
        <w:t>,</w:t>
      </w:r>
      <w:r>
        <w:rPr>
          <w:rFonts w:ascii="Times New Roman" w:hAnsi="Times New Roman" w:cs="Times New Roman"/>
          <w:sz w:val="28"/>
          <w:szCs w:val="28"/>
        </w:rPr>
        <w:t xml:space="preserve"> Mehri</w:t>
      </w:r>
      <w:r w:rsidR="00432771">
        <w:rPr>
          <w:rFonts w:ascii="Times New Roman" w:hAnsi="Times New Roman" w:cs="Times New Roman"/>
          <w:sz w:val="28"/>
          <w:szCs w:val="28"/>
        </w:rPr>
        <w:t xml:space="preserve"> </w:t>
      </w:r>
      <w:r w:rsidR="0035300D">
        <w:rPr>
          <w:rFonts w:ascii="Times New Roman" w:hAnsi="Times New Roman" w:cs="Times New Roman"/>
          <w:sz w:val="28"/>
          <w:szCs w:val="28"/>
        </w:rPr>
        <w:t>S</w:t>
      </w:r>
      <w:r w:rsidR="00B227E6">
        <w:rPr>
          <w:rFonts w:ascii="Century" w:hAnsi="Century" w:cs="Times New Roman"/>
          <w:sz w:val="28"/>
          <w:szCs w:val="28"/>
        </w:rPr>
        <w:t>.</w:t>
      </w:r>
      <w:r w:rsidR="0035300D">
        <w:rPr>
          <w:rFonts w:ascii="Times New Roman" w:hAnsi="Times New Roman" w:cs="Times New Roman"/>
          <w:sz w:val="28"/>
          <w:szCs w:val="28"/>
        </w:rPr>
        <w:t xml:space="preserve"> </w:t>
      </w:r>
      <w:r>
        <w:rPr>
          <w:rFonts w:ascii="Times New Roman" w:hAnsi="Times New Roman" w:cs="Times New Roman"/>
          <w:sz w:val="28"/>
          <w:szCs w:val="28"/>
        </w:rPr>
        <w:t xml:space="preserve">и соавторы (2011) </w:t>
      </w:r>
      <w:r w:rsidR="005B0263">
        <w:rPr>
          <w:rFonts w:ascii="Times New Roman" w:hAnsi="Times New Roman" w:cs="Times New Roman"/>
          <w:sz w:val="28"/>
          <w:szCs w:val="28"/>
        </w:rPr>
        <w:t xml:space="preserve">рассматривали </w:t>
      </w:r>
      <w:r>
        <w:rPr>
          <w:rFonts w:ascii="Times New Roman" w:hAnsi="Times New Roman" w:cs="Times New Roman"/>
          <w:sz w:val="28"/>
          <w:szCs w:val="28"/>
        </w:rPr>
        <w:t xml:space="preserve">связь полиморфизмов генов </w:t>
      </w:r>
      <w:r>
        <w:rPr>
          <w:rFonts w:ascii="Times New Roman" w:hAnsi="Times New Roman" w:cs="Times New Roman"/>
          <w:i/>
          <w:sz w:val="28"/>
          <w:szCs w:val="28"/>
        </w:rPr>
        <w:t>AGTR1</w:t>
      </w:r>
      <w:r>
        <w:rPr>
          <w:rFonts w:ascii="Times New Roman" w:hAnsi="Times New Roman" w:cs="Times New Roman"/>
          <w:sz w:val="28"/>
          <w:szCs w:val="28"/>
        </w:rPr>
        <w:t xml:space="preserve"> и </w:t>
      </w:r>
      <w:r>
        <w:rPr>
          <w:rFonts w:ascii="Times New Roman" w:hAnsi="Times New Roman" w:cs="Times New Roman"/>
          <w:i/>
          <w:sz w:val="28"/>
          <w:szCs w:val="28"/>
        </w:rPr>
        <w:t>АСЕ</w:t>
      </w:r>
      <w:r>
        <w:rPr>
          <w:rFonts w:ascii="Times New Roman" w:hAnsi="Times New Roman" w:cs="Times New Roman"/>
          <w:sz w:val="28"/>
          <w:szCs w:val="28"/>
        </w:rPr>
        <w:t xml:space="preserve"> с риском развития острого ИМ</w:t>
      </w:r>
      <w:r w:rsidR="00B227E6">
        <w:rPr>
          <w:rFonts w:ascii="Century" w:hAnsi="Century" w:cs="Times New Roman"/>
          <w:sz w:val="28"/>
          <w:szCs w:val="28"/>
        </w:rPr>
        <w:t>.</w:t>
      </w:r>
      <w:r>
        <w:rPr>
          <w:rFonts w:ascii="Times New Roman" w:hAnsi="Times New Roman" w:cs="Times New Roman"/>
          <w:sz w:val="28"/>
          <w:szCs w:val="28"/>
        </w:rPr>
        <w:t xml:space="preserve"> Это исследование показало</w:t>
      </w:r>
      <w:r w:rsidR="00B227E6">
        <w:rPr>
          <w:rFonts w:ascii="Century" w:hAnsi="Century" w:cs="Times New Roman"/>
          <w:sz w:val="28"/>
          <w:szCs w:val="28"/>
        </w:rPr>
        <w:t>,</w:t>
      </w:r>
      <w:r>
        <w:rPr>
          <w:rFonts w:ascii="Times New Roman" w:hAnsi="Times New Roman" w:cs="Times New Roman"/>
          <w:sz w:val="28"/>
          <w:szCs w:val="28"/>
        </w:rPr>
        <w:t xml:space="preserve"> что полиморфизм A1166C гена </w:t>
      </w:r>
      <w:r>
        <w:rPr>
          <w:rFonts w:ascii="Times New Roman" w:hAnsi="Times New Roman" w:cs="Times New Roman"/>
          <w:i/>
          <w:sz w:val="28"/>
          <w:szCs w:val="28"/>
        </w:rPr>
        <w:t>AGTR1</w:t>
      </w:r>
      <w:r>
        <w:rPr>
          <w:rFonts w:ascii="Times New Roman" w:hAnsi="Times New Roman" w:cs="Times New Roman"/>
          <w:sz w:val="28"/>
          <w:szCs w:val="28"/>
        </w:rPr>
        <w:t xml:space="preserve"> является генетическим фактором риска развития острого ИМ</w:t>
      </w:r>
      <w:r w:rsidR="00B227E6">
        <w:rPr>
          <w:rFonts w:ascii="Century" w:hAnsi="Century" w:cs="Times New Roman"/>
          <w:sz w:val="28"/>
          <w:szCs w:val="28"/>
        </w:rPr>
        <w:t>,</w:t>
      </w:r>
      <w:r>
        <w:rPr>
          <w:rFonts w:ascii="Times New Roman" w:hAnsi="Times New Roman" w:cs="Times New Roman"/>
          <w:sz w:val="28"/>
          <w:szCs w:val="28"/>
        </w:rPr>
        <w:t xml:space="preserve"> а именно носители генотипа С/С имели высокий риск развития острого ИМ</w:t>
      </w:r>
      <w:r w:rsidR="00740435">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{"citationItems":[{"id":"ITEM-1","itemData":{"DOI":"10.1177/1470320310391833","ISBN":"1470320310391","abstract":"Acute myocardial infarction (AMI) is a multifactorial disease influenced by environmental and genetic factors. The aim of this study was to assess the association of angiotensin II type 1 receptor (ATR1) gene polymorphisms with AMI as well as to evaluate the role of serum angiotensin-converting enzyme (ACE) activity and that of cardiac troponin I (cTnI) in Tunisian AMI patients. One hundred and eighteen AMI patients were compared to 150 healthy controls. ATR1 genotypes were determined by polymerase chain reaction restriction fragment length polymorphism (PCR-RFLP). The ATR1 A1166C polymorphism was significantly associated with AMI (p = 0.024). CC genotype and C allele frequencies were associated with increased AMI risk [CC vs. AC and AA: OR = 2.06; p = 0.045; 95 % CI (1.02–4.18); C vs. A: OR = 1.68; p = 0.004; 95 % CI (1.17–2.41)]. By multivariate logistic regression analysis, CC genotype, hypertension, diabetes, serum ACE activity and peak-cTnI were significant independent predictors of AMI. Increased serum ACE activity and cTnI peak levels were associated with the CC genotype in AMI patients. In conclusion, the ATR1 A1166C polymorphism is associated with AMI and the CC genotype associated with increased ACE activity and cTnI levels appear to predispose for AMI risk. Keywords","author":[{"dropping-particle":"","family":"Mehri","given":"Sounira","non-dropping-particle":"","parse-names":false,"suffix":""},{"dropping-particle":"","family":"Mahjoub","given":"Sinda","non-dropping-particle":"","parse-names":false,"suffix":""},{"dropping-particle":"","family":"Finsterer","given":"Josef","non-dropping-particle":"","parse-names":false,"suffix":""},{"dropping-particle":"","family":"Zaroui","given":"Amira","non-dropping-particle":"","parse-names":false,"suffix":""},{"dropping-particle":"","family":"Mechmeche","given":"Rachid","non-dropping-particle":"","parse-names":false,"suffix":""},{"dropping-particle":"","family":"Baudin","given":"Bruno","non-dropping-particle":"","parse-names":false,"suffix":""},{"dropping-particle":"","family":"Hammami","given":"Mohamed","non-dropping-particle":"","parse-names":false,"suffix":""}],"container-title":"Journal of the Renin-Angiotensin- Aldosterone System","id":"ITEM-1","issued":{"date-parts":[["2011"]]},"page":"595-600","title":"The CC genotype of the angiotensin II type I receptor gene independently associates with acute myocardial infarction in a Tunisian population","type":"article-journal","volume":"12 (4)"},"uris":["http://www.mendeley.com/documents/?uuid=d6c5ee59-2410-47a8-8e52-93344711986c"]}],"mendeley":{"formattedCitation":"[110]","plainTextFormattedCitation":"[110]","previouslyFormattedCitation":"[110]"},"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[110]</w:t>
      </w:r>
      <w:r w:rsidR="00EA0E64">
        <w:rPr>
          <w:rFonts w:ascii="Times New Roman" w:hAnsi="Times New Roman" w:cs="Times New Roman"/>
          <w:sz w:val="28"/>
          <w:szCs w:val="28"/>
        </w:rPr>
        <w:fldChar w:fldCharType="end"/>
      </w:r>
      <w:r w:rsidR="00B227E6">
        <w:rPr>
          <w:rFonts w:ascii="Century" w:hAnsi="Century" w:cs="Times New Roman"/>
          <w:sz w:val="28"/>
          <w:szCs w:val="28"/>
        </w:rPr>
        <w:t>.</w:t>
      </w:r>
    </w:p>
    <w:p w:rsidR="00AB12B3" w:rsidRPr="00BD1793" w:rsidRDefault="00AB12B3" w:rsidP="00AB12B3">
      <w:pPr>
        <w:spacing w:after="0" w:line="240" w:lineRule="auto"/>
        <w:ind w:firstLine="708"/>
        <w:jc w:val="both"/>
        <w:rPr>
          <w:rFonts w:ascii="Century" w:hAnsi="Century" w:cs="Times New Roman"/>
          <w:sz w:val="28"/>
          <w:szCs w:val="28"/>
        </w:rPr>
      </w:pPr>
      <w:r>
        <w:rPr>
          <w:rFonts w:ascii="Times New Roman" w:hAnsi="Times New Roman" w:cs="Times New Roman"/>
          <w:sz w:val="28"/>
          <w:szCs w:val="28"/>
        </w:rPr>
        <w:t>Abdollahi M</w:t>
      </w:r>
      <w:r w:rsidR="00B227E6">
        <w:rPr>
          <w:rFonts w:ascii="Century" w:hAnsi="Century" w:cs="Times New Roman"/>
          <w:sz w:val="28"/>
          <w:szCs w:val="28"/>
        </w:rPr>
        <w:t>.</w:t>
      </w:r>
      <w:r>
        <w:rPr>
          <w:rFonts w:ascii="Times New Roman" w:hAnsi="Times New Roman" w:cs="Times New Roman"/>
          <w:sz w:val="28"/>
          <w:szCs w:val="28"/>
        </w:rPr>
        <w:t xml:space="preserve"> и группа ученых провели новый подход к количественному определению гаплотипов</w:t>
      </w:r>
      <w:r w:rsidR="00B227E6">
        <w:rPr>
          <w:rFonts w:ascii="Times New Roman" w:hAnsi="Times New Roman" w:cs="Times New Roman"/>
          <w:sz w:val="28"/>
          <w:szCs w:val="28"/>
        </w:rPr>
        <w:t xml:space="preserve"> </w:t>
      </w:r>
      <w:r>
        <w:rPr>
          <w:rFonts w:ascii="Times New Roman" w:hAnsi="Times New Roman" w:cs="Times New Roman"/>
          <w:sz w:val="28"/>
          <w:szCs w:val="28"/>
        </w:rPr>
        <w:t xml:space="preserve">транскрипта гена </w:t>
      </w:r>
      <w:r>
        <w:rPr>
          <w:rFonts w:ascii="Times New Roman" w:hAnsi="Times New Roman" w:cs="Times New Roman"/>
          <w:i/>
          <w:sz w:val="28"/>
          <w:szCs w:val="28"/>
        </w:rPr>
        <w:t>AGTR1</w:t>
      </w:r>
      <w:r w:rsidR="00740435">
        <w:rPr>
          <w:rFonts w:ascii="Times New Roman" w:hAnsi="Times New Roman" w:cs="Times New Roman"/>
          <w:i/>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{"citationItems":[{"id":"ITEM-1","itemData":{"DOI":"10.1002/humu.20454","ISBN":"1531-8249 (Electronic)\\r0364-5134 (Linking)","ISSN":"10597794","PMID":"17211857","abstract":"The angiotensin II type 1 receptor (AGTR1) is the main target through which angiotensin II influences cardiovascular tone, cell growth, and fluid and electrolyte balance. AGTR1 polymorphism has been reported to associate with hypertension, myocardial infarction (MI), and metabolic traits. Here we describe a novel approach to quantitation of transcript haplotypes (QTH) of AGTR1. To determine relative allelic expression from haplotypes, within-individual-between-allele ratiometric analyses in placental cDNA were developed for the transcribed SNPs rs5182:C&gt;T (encoding p.L191) and rs5186:A&gt;C (3'-noncoding \"A1166C\"). Additionally, between-individual comparisons were made using TaqMan assays applied to both homozygous and heterozygous genotypes and haplotypes. In conjunction, linkage disequilibrium (LD) and genomic haplotype associations with metabolic syndrome were examined. There was no significant difference of mRNA level for alleles of rs5182:C&gt;T, but allele and mRNA haplotypes carrying 1166C exhibited reduced abundance. The effect was much greater in CC homozygotes than in heterozygotes. The promoter region was confirmed to be in a separate haplotype block from the AGTR1 3' region containing rs5182:C&gt;T and rs5186:A&gt;C. Metabolic syndrome trait associations were strongest for the 3' block generally and for the C allele of rs5186:A&gt;C specifically. All effects were much more prominent in homozygotes, possibly reflecting interallelic interaction through feedback loops of mRNA regulation. Differential abundance of AGTR1 mRNA haplotypes may mediate clinical phenotypic observations of the AGTR1 genotype.","author":[{"dropping-particle":"","family":"Abdollahi","given":"Mohammad R.","non-dropping-particle":"","parse-names":false,"suffix":""},{"dropping-particle":"","family":"Lewis","given":"Rohan M.","non-dropping-particle":"","parse-names":false,"suffix":""},{"dropping-particle":"","family":"Gaunt","given":"Tom R.","non-dropping-particle":"","parse-names":false,"suffix":""},{"dropping-particle":"","family":"Cumming","given":"Debbie V.E.","non-dropping-particle":"","parse-names":false,"suffix":""},{"dropping-particle":"","family":"Rodriguez","given":"Santiago","non-dropping-particle":"","parse-names":false,"suffix":""},{"dropping-particle":"","family":"Rose-Zerilli","given":"Matthew","non-dropping-particle":"","parse-names":false,"suffix":""},{"dropping-particle":"","family":"Collins","given":"Andrew R.","non-dropping-particle":"","parse-names":false,"suffix":""},{"dropping-particle":"","family":"Syddall","given":"Holly E.","non-dropping-particle":"","parse-names":false,"suffix":""},{"dropping-particle":"","family":"Howell","given":"William M.","non-dropping-particle":"","parse-names":false,"suffix":""},{"dropping-particle":"","family":"Cooper","given":"Cyrus","non-dropping-particle":"","parse-names":false,"suffix":""},{"dropping-particle":"","family":"Godfrey","given":"Keith M.","non-dropping-particle":"","parse-names":false,"suffix":""},{"dropping-particle":"","family":"Cameron","given":"Iain T.","non-dropping-particle":"","parse-names":false,"suffix":""},{"dropping-particle":"","family":"Day","given":"Ian N.M.","non-dropping-particle":"","parse-names":false,"suffix":""}],"container-title":"Human Mutation","id":"ITEM-1","issue":"4","issued":{"date-parts":[["2007","4"]]},"page":"365-373","title":"Quantitated transcript haplotypes (QTH) of AGTR1 , reduced abundance of mRNA haplotypes containing 1166C (rs5186:A&gt;C), and relevance to metabolic syndrome traits","type":"article-journal","volume":"28"},"uris":["http://www.mendeley.com/documents/?uuid=88ae84e9-72f8-4ee5-91f0-284cb0cf62fc"]}],"mendeley":{"formattedCitation":"[111]","plainTextFormattedCitation":"[111]","previouslyFormattedCitation":"[111]"},"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[111]</w:t>
      </w:r>
      <w:r w:rsidR="00EA0E64">
        <w:rPr>
          <w:rFonts w:ascii="Times New Roman" w:hAnsi="Times New Roman" w:cs="Times New Roman"/>
          <w:sz w:val="28"/>
          <w:szCs w:val="28"/>
        </w:rPr>
        <w:fldChar w:fldCharType="end"/>
      </w:r>
      <w:r w:rsidR="00BD1793">
        <w:rPr>
          <w:rFonts w:ascii="Century" w:hAnsi="Century" w:cs="Times New Roman"/>
          <w:sz w:val="28"/>
          <w:szCs w:val="28"/>
        </w:rPr>
        <w:t>.</w:t>
      </w:r>
      <w:r>
        <w:rPr>
          <w:rFonts w:ascii="Times New Roman" w:hAnsi="Times New Roman" w:cs="Times New Roman"/>
          <w:sz w:val="28"/>
          <w:szCs w:val="28"/>
        </w:rPr>
        <w:t xml:space="preserve"> Они </w:t>
      </w:r>
      <w:r w:rsidR="005B0263">
        <w:rPr>
          <w:rFonts w:ascii="Times New Roman" w:hAnsi="Times New Roman" w:cs="Times New Roman"/>
          <w:sz w:val="28"/>
          <w:szCs w:val="28"/>
          <w:lang w:val="kk-KZ"/>
        </w:rPr>
        <w:t>оценили</w:t>
      </w:r>
      <w:r w:rsidR="00740435">
        <w:rPr>
          <w:rFonts w:ascii="Times New Roman" w:hAnsi="Times New Roman" w:cs="Times New Roman"/>
          <w:sz w:val="28"/>
          <w:szCs w:val="28"/>
          <w:lang w:val="kk-KZ"/>
        </w:rPr>
        <w:t xml:space="preserve"> </w:t>
      </w:r>
      <w:r>
        <w:rPr>
          <w:rFonts w:ascii="Times New Roman" w:hAnsi="Times New Roman" w:cs="Times New Roman"/>
          <w:sz w:val="28"/>
          <w:szCs w:val="28"/>
        </w:rPr>
        <w:t>связь гомозиготных и гетерозиготных гаплотипов с МС</w:t>
      </w:r>
      <w:r w:rsidR="00BD1793">
        <w:rPr>
          <w:rFonts w:ascii="Century" w:hAnsi="Century" w:cs="Times New Roman"/>
          <w:sz w:val="28"/>
          <w:szCs w:val="28"/>
        </w:rPr>
        <w:t>.</w:t>
      </w:r>
      <w:r>
        <w:rPr>
          <w:rFonts w:ascii="Times New Roman" w:hAnsi="Times New Roman" w:cs="Times New Roman"/>
          <w:sz w:val="28"/>
          <w:szCs w:val="28"/>
        </w:rPr>
        <w:t xml:space="preserve"> По их результатам МС был сильно связан с аллелем C rs5186 гена </w:t>
      </w:r>
      <w:r>
        <w:rPr>
          <w:rFonts w:ascii="Times New Roman" w:hAnsi="Times New Roman" w:cs="Times New Roman"/>
          <w:i/>
          <w:sz w:val="28"/>
          <w:szCs w:val="28"/>
        </w:rPr>
        <w:t>AGTR1</w:t>
      </w:r>
      <w:r w:rsidR="00BD1793">
        <w:rPr>
          <w:rFonts w:ascii="Century" w:hAnsi="Century" w:cs="Times New Roman"/>
          <w:iCs/>
          <w:sz w:val="28"/>
          <w:szCs w:val="28"/>
        </w:rPr>
        <w:t>,</w:t>
      </w:r>
      <w:r>
        <w:rPr>
          <w:rFonts w:ascii="Times New Roman" w:hAnsi="Times New Roman" w:cs="Times New Roman"/>
          <w:sz w:val="28"/>
          <w:szCs w:val="28"/>
        </w:rPr>
        <w:t xml:space="preserve"> это связь особенно сильно проявлялась при гомозиготных гаплотипах</w:t>
      </w:r>
      <w:r w:rsidR="00BD1793">
        <w:rPr>
          <w:rFonts w:ascii="Century" w:hAnsi="Century" w:cs="Times New Roman"/>
          <w:sz w:val="28"/>
          <w:szCs w:val="28"/>
        </w:rPr>
        <w:t>.</w:t>
      </w:r>
      <w:r>
        <w:rPr>
          <w:rFonts w:ascii="Times New Roman" w:hAnsi="Times New Roman" w:cs="Times New Roman"/>
          <w:sz w:val="28"/>
          <w:szCs w:val="28"/>
        </w:rPr>
        <w:t xml:space="preserve"> </w:t>
      </w:r>
      <w:r w:rsidR="00AA676F">
        <w:rPr>
          <w:rFonts w:ascii="Times New Roman" w:hAnsi="Times New Roman" w:cs="Times New Roman"/>
          <w:sz w:val="28"/>
          <w:szCs w:val="28"/>
          <w:lang w:val="kk-KZ"/>
        </w:rPr>
        <w:t xml:space="preserve">По данным </w:t>
      </w:r>
      <w:r>
        <w:rPr>
          <w:rFonts w:ascii="Times New Roman" w:hAnsi="Times New Roman" w:cs="Times New Roman"/>
          <w:sz w:val="28"/>
          <w:szCs w:val="28"/>
        </w:rPr>
        <w:t>Herrera</w:t>
      </w:r>
      <w:r w:rsidR="00740435">
        <w:rPr>
          <w:rFonts w:ascii="Times New Roman" w:hAnsi="Times New Roman" w:cs="Times New Roman"/>
          <w:sz w:val="28"/>
          <w:szCs w:val="28"/>
        </w:rPr>
        <w:t xml:space="preserve"> </w:t>
      </w:r>
      <w:r w:rsidR="0035300D">
        <w:rPr>
          <w:rFonts w:ascii="Times New Roman" w:hAnsi="Times New Roman" w:cs="Times New Roman"/>
          <w:sz w:val="28"/>
          <w:szCs w:val="28"/>
        </w:rPr>
        <w:t>Ch</w:t>
      </w:r>
      <w:r w:rsidR="00BD1793">
        <w:rPr>
          <w:rFonts w:ascii="Century" w:hAnsi="Century" w:cs="Times New Roman"/>
          <w:sz w:val="28"/>
          <w:szCs w:val="28"/>
        </w:rPr>
        <w:t>.</w:t>
      </w:r>
      <w:r w:rsidR="0035300D">
        <w:rPr>
          <w:rFonts w:ascii="Times New Roman" w:hAnsi="Times New Roman" w:cs="Times New Roman"/>
          <w:sz w:val="28"/>
          <w:szCs w:val="28"/>
        </w:rPr>
        <w:t>L</w:t>
      </w:r>
      <w:r w:rsidR="00BD1793">
        <w:rPr>
          <w:rFonts w:ascii="Century" w:hAnsi="Century" w:cs="Times New Roman"/>
          <w:sz w:val="28"/>
          <w:szCs w:val="28"/>
        </w:rPr>
        <w:t>.</w:t>
      </w:r>
      <w:r w:rsidR="0035300D">
        <w:rPr>
          <w:rFonts w:ascii="Times New Roman" w:hAnsi="Times New Roman" w:cs="Times New Roman"/>
          <w:sz w:val="28"/>
          <w:szCs w:val="28"/>
        </w:rPr>
        <w:t xml:space="preserve"> </w:t>
      </w:r>
      <w:r>
        <w:rPr>
          <w:rFonts w:ascii="Times New Roman" w:hAnsi="Times New Roman" w:cs="Times New Roman"/>
          <w:sz w:val="28"/>
          <w:szCs w:val="28"/>
        </w:rPr>
        <w:t xml:space="preserve">(2016) в чилийской популяции генотип А/А варианта rs5186 гена </w:t>
      </w:r>
      <w:r>
        <w:rPr>
          <w:rFonts w:ascii="Times New Roman" w:hAnsi="Times New Roman" w:cs="Times New Roman"/>
          <w:i/>
          <w:sz w:val="28"/>
          <w:szCs w:val="28"/>
        </w:rPr>
        <w:t>AGTR1</w:t>
      </w:r>
      <w:r>
        <w:rPr>
          <w:rFonts w:ascii="Times New Roman" w:hAnsi="Times New Roman" w:cs="Times New Roman"/>
          <w:sz w:val="28"/>
          <w:szCs w:val="28"/>
        </w:rPr>
        <w:t xml:space="preserve"> ассоциирован с повышенным риском развития МС у мужчин по сравнению с женщинами и может быть предиктором кардиометаболических нарушений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{"citationItems":[{"id":"ITEM-1","itemData":{"DOI":"10.1590/2359-3997000000134","ISBN":"2359-4292 (Electronic)\\r2359-3997 (Linking)","ISSN":"2359-3997","PMID":"26910623","abstract":"OBJECTIVE: Metabolic syndrome (MetS) is associated with hypertension, obesity and dyslipidemia. Thus, genetic variants related with these conditions may modulate its development. We evaluated the effect of polymorphisms in the renin-angiotensin system (RAS) on metabolic syndrome risk in a cohort of Chilean subjects. SUBJECTS AND METHODS: A total of 152 subjects, 83 with MetS (51.2 +/- 9.6 years) and 69 without MetS (49.5 +/- 9.3 years) of both genders were included, according to the ATP III update criteria. The rs4340 Insertion/Deletion (I/D), rs699 (T&gt;C) and rs5186 (A&gt;C) of the ACE, AGT and AGTR1 genes, respectively, were genotyped. RESULTS: After adjusting for age and gender, we observed the DD genotype of rs4340 associated with MetS (p = 0.02). Specifically, the DD genotype was associated with MetS risk in women (OR = 4.62, 95%CI, 1.41 - 15.04; p &lt; 0.01). In males, the AA genotype for rs5186 variant was associated with an increased risk for developing MetS when compared with women carrying the same genotype (OR = 3.2; 95%CI, 1.03 - 9.89; p = 0.04). In subjects without MetS, DD genotype was associated with increased waist circumference (p = 0.023) while subjects with MetS carrying the rs5186 TT genotype showed higher levels of HDL-cholesterol (p = 0.031). CONCLUSION: The present study contributes data highlighting the role for RAS polymorphisms in predisposing to metabolic syndrome in Chilean subjects.","author":[{"dropping-particle":"","family":"Herrera","given":"Christian L","non-dropping-particle":"","parse-names":false,"suffix":""},{"dropping-particle":"","family":"Castillo","given":"Wilma","non-dropping-particle":"","parse-names":false,"suffix":""},{"dropping-particle":"","family":"Estrada","given":"Patricia","non-dropping-particle":"","parse-names":false,"suffix":""},{"dropping-particle":"","family":"Mancilla","given":"Bárbara","non-dropping-particle":"","parse-names":false,"suffix":""},{"dropping-particle":"","family":"Reyes","given":"Gerardo","non-dropping-particle":"","parse-names":false,"suffix":""},{"dropping-particle":"","family":"Saavedra","given":"Nicolás","non-dropping-particle":"","parse-names":false,"suffix":""},{"dropping-particle":"","family":"Guzmán","given":"Neftalí","non-dropping-particle":"","parse-names":false,"suffix":""},{"dropping-particle":"","family":"Serón","given":"Pamela","non-dropping-particle":"","parse-names":false,"suffix":""},{"dropping-particle":"","family":"Lanas","given":"Fernando","non-dropping-particle":"","parse-names":false,"suffix":""},{"dropping-particle":"","family":"Salazar","given":"Luis A","non-dropping-particle":"","parse-names":false,"suffix":""}],"container-title":"Archives of Endocrinology and Metabolism","id":"ITEM-1","issue":"3","issued":{"date-parts":[["2016","6"]]},"page":"190-198","title":"Association of polymorphisms within the Renin-Angiotensin System with metabolic syndrome in a cohort of Chilean subjects","type":"article-journal","volume":"60"},"uris":["http://www.mendeley.com/documents/?uuid=cb05fc2e-3525-4a95-ba22-e14e1f6003a9"]}],"mendeley":{"formattedCitation":"[112]","plainTextFormattedCitation":"[112]","previouslyFormattedCitation":"[112]"},"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[112]</w:t>
      </w:r>
      <w:r w:rsidR="00EA0E64">
        <w:rPr>
          <w:rFonts w:ascii="Times New Roman" w:hAnsi="Times New Roman" w:cs="Times New Roman"/>
          <w:sz w:val="28"/>
          <w:szCs w:val="28"/>
        </w:rPr>
        <w:fldChar w:fldCharType="end"/>
      </w:r>
      <w:r w:rsidR="00BD1793">
        <w:rPr>
          <w:rFonts w:ascii="Century" w:hAnsi="Century" w:cs="Times New Roman"/>
          <w:sz w:val="28"/>
          <w:szCs w:val="28"/>
        </w:rPr>
        <w:t>.</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По результатам исследования Sugimoto</w:t>
      </w:r>
      <w:r w:rsidR="0007544B">
        <w:rPr>
          <w:rFonts w:ascii="Times New Roman" w:hAnsi="Times New Roman" w:cs="Times New Roman"/>
          <w:sz w:val="28"/>
          <w:szCs w:val="28"/>
        </w:rPr>
        <w:t xml:space="preserve"> </w:t>
      </w:r>
      <w:r w:rsidR="006B29FC">
        <w:rPr>
          <w:rFonts w:ascii="Times New Roman" w:hAnsi="Times New Roman" w:cs="Times New Roman"/>
          <w:sz w:val="28"/>
          <w:szCs w:val="28"/>
        </w:rPr>
        <w:t>K</w:t>
      </w:r>
      <w:r w:rsidR="00BD1793">
        <w:rPr>
          <w:rFonts w:ascii="Century" w:hAnsi="Century" w:cs="Times New Roman"/>
          <w:sz w:val="28"/>
          <w:szCs w:val="28"/>
        </w:rPr>
        <w:t>.</w:t>
      </w:r>
      <w:r w:rsidR="006B29FC">
        <w:rPr>
          <w:rFonts w:ascii="Times New Roman" w:hAnsi="Times New Roman" w:cs="Times New Roman"/>
          <w:sz w:val="28"/>
          <w:szCs w:val="28"/>
        </w:rPr>
        <w:t xml:space="preserve"> </w:t>
      </w:r>
      <w:r>
        <w:rPr>
          <w:rFonts w:ascii="Times New Roman" w:hAnsi="Times New Roman" w:cs="Times New Roman"/>
          <w:sz w:val="28"/>
          <w:szCs w:val="28"/>
        </w:rPr>
        <w:t xml:space="preserve">с группой ученых (2004) </w:t>
      </w:r>
      <w:r w:rsidR="003C5E64">
        <w:rPr>
          <w:rFonts w:ascii="Times New Roman" w:hAnsi="Times New Roman" w:cs="Times New Roman"/>
          <w:sz w:val="28"/>
          <w:szCs w:val="28"/>
        </w:rPr>
        <w:t xml:space="preserve">полиморфизм A1166C гена </w:t>
      </w:r>
      <w:r w:rsidR="003C5E64">
        <w:rPr>
          <w:rFonts w:ascii="Times New Roman" w:hAnsi="Times New Roman" w:cs="Times New Roman"/>
          <w:i/>
          <w:sz w:val="28"/>
          <w:szCs w:val="28"/>
        </w:rPr>
        <w:t>AGTR1</w:t>
      </w:r>
      <w:r w:rsidR="003C5E64">
        <w:rPr>
          <w:rFonts w:ascii="Times New Roman" w:hAnsi="Times New Roman" w:cs="Times New Roman"/>
          <w:sz w:val="28"/>
          <w:szCs w:val="28"/>
        </w:rPr>
        <w:t xml:space="preserve"> не является генетически</w:t>
      </w:r>
      <w:r w:rsidR="002D6D08">
        <w:rPr>
          <w:rFonts w:ascii="Times New Roman" w:hAnsi="Times New Roman" w:cs="Times New Roman"/>
          <w:sz w:val="28"/>
          <w:szCs w:val="28"/>
        </w:rPr>
        <w:t>м</w:t>
      </w:r>
      <w:r w:rsidR="003C5E64">
        <w:rPr>
          <w:rFonts w:ascii="Times New Roman" w:hAnsi="Times New Roman" w:cs="Times New Roman"/>
          <w:sz w:val="28"/>
          <w:szCs w:val="28"/>
        </w:rPr>
        <w:t xml:space="preserve"> предрасполагающим фактором в</w:t>
      </w:r>
      <w:r>
        <w:rPr>
          <w:rFonts w:ascii="Times New Roman" w:hAnsi="Times New Roman" w:cs="Times New Roman"/>
          <w:sz w:val="28"/>
          <w:szCs w:val="28"/>
        </w:rPr>
        <w:t xml:space="preserve"> японской популяции</w:t>
      </w:r>
      <w:r w:rsidR="0007544B">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{"citationItems":[{"id":"ITEM-1","itemData":{"DOI":"10.1291/hypres.27.551","ISSN":"0916-9636","PMID":"15492474","abstract":"Gene targeting approaches have suggested that the angiotensin II type 1 receptor (AT1R) is involved in blood pressure (BP) regulation and modulation of the effect of angiotensin II. The A1166C polymorphism of the AT1 receptor gene (AT1R/A1166C) is associated with hypertension in Caucasians, but not in Japanese. The goal of this study, the Ohasama Study, was to examine the association between AT1R/A1166C and hypertension, especially home BP, in the Japanese general population. The Ohasama Study was a cohort study based on Japanese rural residents of Ohasama Town in the northern part of Japan. Subjects who gave informed consent to the study protocol and genetic analysis were recruited. Home BP was measured twice in the morning within 1 h of waking up and in the evening just before going to bed. The TaqMan polimerase chain reaction (PCR) method clearly determined AT1R/A1166C genotypes (n =1,207). The genotype distribution of AT1R/A1166C was as follows: AA 84%; AC 15%; CC 1%. There was almost no difference in baseline characteristics among the AT1R genotypes (AA, AC, CC). In the subjects not receiving antihypertensive medication (n =817), both casual BP and home BP were not different among the AT1R genotypes after adjusting for confounding factors (age, sex, body mass index, current smoking habit and current alcohol consumption). The frequency of hypertension showed no difference among AT1R genotypes after adjusting for confounding factors, though the AC and CC genotypes were more frequent in hypertensives than in normotensives. Our data suggested that the AT1R/A1166C polymorphism is not a major genetic predisposing factor for hypertension in Japanese.","author":[{"dropping-particle":"","family":"Sugimoto","given":"Ken","non-dropping-particle":"","parse-names":false,"suffix":""},{"dropping-particle":"","family":"Katsuya","given":"Tomohiro","non-dropping-particle":"","parse-names":false,"suffix":""},{"dropping-particle":"","family":"Ohkubo","given":"Takayoshi","non-dropping-particle":"","parse-names":false,"suffix":""},{"dropping-particle":"","family":"Hozawa","given":"Atsushi","non-dropping-particle":"","parse-names":false,"suffix":""},{"dropping-particle":"","family":"Yamamoto","given":"Koichi","non-dropping-particle":"","parse-names":false,"suffix":""},{"dropping-particle":"","family":"Matsuo","given":"Akiko","non-dropping-particle":"","parse-names":false,"suffix":""},{"dropping-particle":"","family":"Rakugi","given":"Hiromi","non-dropping-particle":"","parse-names":false,"suffix":""},{"dropping-particle":"","family":"Tsuji","given":"Ichiro","non-dropping-particle":"","parse-names":false,"suffix":""},{"dropping-particle":"","family":"Imai","given":"Yutaka","non-dropping-particle":"","parse-names":false,"suffix":""},{"dropping-particle":"","family":"Ogihara","given":"Toshio","non-dropping-particle":"","parse-names":false,"suffix":""}],"container-title":"Hypertension research : official journal of the Japanese Society of Hypertension","id":"ITEM-1","issue":"8","issued":{"date-parts":[["2004"]]},"page":"551-6","title":"Association between angiotensin II type 1 receptor gene polymorphism and essential hypertension: the Ohasama Study.","type":"article-journal","volume":"27"},"uris":["http://www.mendeley.com/documents/?uuid=3288daa8-8f3e-4a23-9514-bac6fff20dad"]}],"mendeley":{"formattedCitation":"[113]","plainTextFormattedCitation":"[113]","previouslyFormattedCitation":"[113]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[113]</w:t>
      </w:r>
      <w:r w:rsidR="00EA0E64">
        <w:rPr>
          <w:rFonts w:ascii="Times New Roman" w:hAnsi="Times New Roman" w:cs="Times New Roman"/>
          <w:sz w:val="28"/>
          <w:szCs w:val="28"/>
        </w:rPr>
        <w:fldChar w:fldCharType="end"/>
      </w:r>
      <w:r w:rsidR="00BD1793">
        <w:rPr>
          <w:rFonts w:ascii="Century" w:hAnsi="Century" w:cs="Times New Roman"/>
          <w:sz w:val="28"/>
          <w:szCs w:val="28"/>
        </w:rPr>
        <w:t>.</w:t>
      </w:r>
      <w:r>
        <w:rPr>
          <w:rFonts w:ascii="Times New Roman" w:hAnsi="Times New Roman" w:cs="Times New Roman"/>
          <w:sz w:val="28"/>
          <w:szCs w:val="28"/>
        </w:rPr>
        <w:t xml:space="preserve"> Свои выводы они объясняют тем</w:t>
      </w:r>
      <w:r w:rsidR="00BD1793">
        <w:rPr>
          <w:rFonts w:ascii="Century" w:hAnsi="Century" w:cs="Times New Roman"/>
          <w:sz w:val="28"/>
          <w:szCs w:val="28"/>
        </w:rPr>
        <w:t>,</w:t>
      </w:r>
      <w:r>
        <w:rPr>
          <w:rFonts w:ascii="Times New Roman" w:hAnsi="Times New Roman" w:cs="Times New Roman"/>
          <w:sz w:val="28"/>
          <w:szCs w:val="28"/>
        </w:rPr>
        <w:t xml:space="preserve"> что С аллель полиморфизма A1166C встречается реже у азиатов по сравнению с кавказцами</w:t>
      </w:r>
      <w:r w:rsidR="00BD1793">
        <w:rPr>
          <w:rFonts w:ascii="Century" w:hAnsi="Century" w:cs="Times New Roman"/>
          <w:sz w:val="28"/>
          <w:szCs w:val="28"/>
        </w:rPr>
        <w:t>.</w:t>
      </w:r>
      <w:r>
        <w:rPr>
          <w:rFonts w:ascii="Times New Roman" w:hAnsi="Times New Roman" w:cs="Times New Roman"/>
          <w:sz w:val="28"/>
          <w:szCs w:val="28"/>
        </w:rPr>
        <w:t xml:space="preserve"> Tamaki</w:t>
      </w:r>
      <w:r w:rsidR="0007544B">
        <w:rPr>
          <w:rFonts w:ascii="Times New Roman" w:hAnsi="Times New Roman" w:cs="Times New Roman"/>
          <w:sz w:val="28"/>
          <w:szCs w:val="28"/>
        </w:rPr>
        <w:t xml:space="preserve"> </w:t>
      </w:r>
      <w:r w:rsidR="00BB636A" w:rsidRPr="00BB636A">
        <w:rPr>
          <w:rFonts w:ascii="Times New Roman" w:hAnsi="Times New Roman" w:cs="Times New Roman"/>
          <w:noProof/>
          <w:sz w:val="28"/>
          <w:szCs w:val="24"/>
        </w:rPr>
        <w:t>S</w:t>
      </w:r>
      <w:r w:rsidR="00BD1793">
        <w:rPr>
          <w:rFonts w:ascii="Century" w:hAnsi="Century" w:cs="Times New Roman"/>
          <w:noProof/>
          <w:sz w:val="28"/>
          <w:szCs w:val="24"/>
        </w:rPr>
        <w:t>.</w:t>
      </w:r>
      <w:r w:rsidR="00BB636A" w:rsidRPr="00BB636A">
        <w:rPr>
          <w:rFonts w:ascii="Times New Roman" w:hAnsi="Times New Roman" w:cs="Times New Roman"/>
          <w:noProof/>
          <w:sz w:val="28"/>
          <w:szCs w:val="24"/>
        </w:rPr>
        <w:t xml:space="preserve"> </w:t>
      </w:r>
      <w:r>
        <w:rPr>
          <w:rFonts w:ascii="Times New Roman" w:hAnsi="Times New Roman" w:cs="Times New Roman"/>
          <w:sz w:val="28"/>
          <w:szCs w:val="28"/>
        </w:rPr>
        <w:t xml:space="preserve">и соавторы (2009) также не нашли взаимосвязь между полиморфизм A1166C гена </w:t>
      </w:r>
      <w:r>
        <w:rPr>
          <w:rFonts w:ascii="Times New Roman" w:hAnsi="Times New Roman" w:cs="Times New Roman"/>
          <w:i/>
          <w:sz w:val="28"/>
          <w:szCs w:val="28"/>
        </w:rPr>
        <w:t>AGTR1</w:t>
      </w:r>
      <w:r>
        <w:rPr>
          <w:rFonts w:ascii="Times New Roman" w:hAnsi="Times New Roman" w:cs="Times New Roman"/>
          <w:sz w:val="28"/>
          <w:szCs w:val="28"/>
        </w:rPr>
        <w:t xml:space="preserve"> и риском развития АГ в японской популяции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{"citationItems":[{"id":"ITEM-1","itemData":{"DOI":"10.1016/j.ijcard.2008.04.079","ISSN":"1874-1754","PMID":"18676046","abstract":"We examined whether the A1166C polymorphism of the angiotensin II type I receptor gene (AGTR1) affects cardiovascular event occurrence in a Japanese prospective cohort study. The 2212 participants who gave informed consent for genetic analysis were enrolled in this study (the Shigaraki Study). The average observation period was 1954 days. Cardiovascular events occurred in 37 individuals (1.7%). The independent factors which specified cardiovascular events were age (hazard ratio (HR)=1.13; 95% confidence interval (CI): 1.10-1.16; p&lt;0.0001) and sex (HR=2.18; 95%CI: 1.23-3.85; p=0.007). However, the A1166C polymorphism of AGTR1 was not a predictive factor for cardiovascular events (HR=1.11; 95%CI: 0.61-2.02; p=0.731).","author":[{"dropping-particle":"","family":"Tamaki","given":"Shinji","non-dropping-particle":"","parse-names":false,"suffix":""},{"dropping-particle":"","family":"Nakamura","given":"Yasuyuki","non-dropping-particle":"","parse-names":false,"suffix":""},{"dropping-particle":"","family":"Tabara","given":"Yasuharu","non-dropping-particle":"","parse-names":false,"suffix":""},{"dropping-particle":"","family":"Okamura","given":"Tomonori","non-dropping-particle":"","parse-names":false,"suffix":""},{"dropping-particle":"","family":"Kanda","given":"Hideyuki","non-dropping-particle":"","parse-names":false,"suffix":""},{"dropping-particle":"","family":"Kita","given":"Yoshikuni","non-dropping-particle":"","parse-names":false,"suffix":""},{"dropping-particle":"","family":"Kadowaki","given":"Takashi","non-dropping-particle":"","parse-names":false,"suffix":""},{"dropping-particle":"","family":"Tsujita","given":"Yasuyuki","non-dropping-particle":"","parse-names":false,"suffix":""},{"dropping-particle":"","family":"Chowdhury Turin","given":"Tanvir","non-dropping-particle":"","parse-names":false,"suffix":""},{"dropping-particle":"","family":"Horie","given":"Minoru","non-dropping-particle":"","parse-names":false,"suffix":""},{"dropping-particle":"","family":"Miki","given":"Tetsuro","non-dropping-particle":"","parse-names":false,"suffix":""},{"dropping-particle":"","family":"Ueshima","given":"Hirotsugu","non-dropping-particle":"","parse-names":false,"suffix":""}],"container-title":"International journal of cardiology","id":"ITEM-1","issue":"3","issued":{"date-parts":[["2009","8","21"]]},"page":"354-5","title":"Association between polymorphism of the AGTR1 and cardiovascular events in a Japanese general sample (The Shigaraki Study).","type":"article-journal","volume":"136"},"uris":["http://www.mendeley.com/documents/?uuid=d525520f-36d2-473a-b96d-92bcb9c94e84"]}],"mendeley":{"formattedCitation":"[114]","plainTextFormattedCitation":"[114]","previouslyFormattedCitation":"[114]"},"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[114]</w:t>
      </w:r>
      <w:r w:rsidR="00EA0E64">
        <w:rPr>
          <w:rFonts w:ascii="Times New Roman" w:hAnsi="Times New Roman" w:cs="Times New Roman"/>
          <w:sz w:val="28"/>
          <w:szCs w:val="28"/>
        </w:rPr>
        <w:fldChar w:fldCharType="end"/>
      </w:r>
      <w:r w:rsidR="00BD1793">
        <w:rPr>
          <w:rFonts w:ascii="Century" w:hAnsi="Century" w:cs="Times New Roman"/>
          <w:sz w:val="28"/>
          <w:szCs w:val="28"/>
        </w:rPr>
        <w:t>.</w:t>
      </w:r>
      <w:r>
        <w:rPr>
          <w:rFonts w:ascii="Times New Roman" w:hAnsi="Times New Roman" w:cs="Times New Roman"/>
          <w:sz w:val="28"/>
          <w:szCs w:val="28"/>
        </w:rPr>
        <w:t xml:space="preserve"> </w:t>
      </w:r>
      <w:r w:rsidR="003C5E64">
        <w:rPr>
          <w:rFonts w:ascii="Times New Roman" w:hAnsi="Times New Roman" w:cs="Times New Roman"/>
          <w:sz w:val="28"/>
          <w:szCs w:val="28"/>
        </w:rPr>
        <w:t xml:space="preserve">Изучая корреляцию между генами РААС и АГ в китайской популяции </w:t>
      </w:r>
      <w:r>
        <w:rPr>
          <w:rFonts w:ascii="Times New Roman" w:hAnsi="Times New Roman" w:cs="Times New Roman"/>
          <w:sz w:val="28"/>
          <w:szCs w:val="28"/>
        </w:rPr>
        <w:t>Yang</w:t>
      </w:r>
      <w:r w:rsidR="0007544B">
        <w:rPr>
          <w:rFonts w:ascii="Times New Roman" w:hAnsi="Times New Roman" w:cs="Times New Roman"/>
          <w:sz w:val="28"/>
          <w:szCs w:val="28"/>
        </w:rPr>
        <w:t xml:space="preserve"> </w:t>
      </w:r>
      <w:r w:rsidR="0035300D">
        <w:rPr>
          <w:rFonts w:ascii="Times New Roman" w:hAnsi="Times New Roman" w:cs="Times New Roman"/>
          <w:sz w:val="28"/>
          <w:szCs w:val="28"/>
        </w:rPr>
        <w:t>Y</w:t>
      </w:r>
      <w:r w:rsidR="00BD1793">
        <w:rPr>
          <w:rFonts w:ascii="Century" w:hAnsi="Century" w:cs="Times New Roman"/>
          <w:sz w:val="28"/>
          <w:szCs w:val="28"/>
        </w:rPr>
        <w:t>.</w:t>
      </w:r>
      <w:r w:rsidR="0035300D">
        <w:rPr>
          <w:rFonts w:ascii="Times New Roman" w:hAnsi="Times New Roman" w:cs="Times New Roman"/>
          <w:sz w:val="28"/>
          <w:szCs w:val="28"/>
        </w:rPr>
        <w:t xml:space="preserve"> </w:t>
      </w:r>
      <w:r>
        <w:rPr>
          <w:rFonts w:ascii="Times New Roman" w:hAnsi="Times New Roman" w:cs="Times New Roman"/>
          <w:sz w:val="28"/>
          <w:szCs w:val="28"/>
        </w:rPr>
        <w:t xml:space="preserve">и соавторы </w:t>
      </w:r>
      <w:r w:rsidR="00AD0CC7">
        <w:rPr>
          <w:rFonts w:ascii="Times New Roman" w:hAnsi="Times New Roman" w:cs="Times New Roman"/>
          <w:sz w:val="28"/>
          <w:szCs w:val="28"/>
          <w:lang w:val="kk-KZ"/>
        </w:rPr>
        <w:t>пришли к выводу</w:t>
      </w:r>
      <w:r w:rsidR="0007544B">
        <w:rPr>
          <w:rFonts w:ascii="Times New Roman" w:hAnsi="Times New Roman" w:cs="Times New Roman"/>
          <w:sz w:val="28"/>
          <w:szCs w:val="28"/>
          <w:lang w:val="kk-KZ"/>
        </w:rPr>
        <w:t xml:space="preserve"> </w:t>
      </w:r>
      <w:r>
        <w:rPr>
          <w:rFonts w:ascii="Times New Roman" w:hAnsi="Times New Roman" w:cs="Times New Roman"/>
          <w:sz w:val="28"/>
          <w:szCs w:val="28"/>
        </w:rPr>
        <w:t>(2015)</w:t>
      </w:r>
      <w:r w:rsidR="00BD1793">
        <w:rPr>
          <w:rFonts w:ascii="Century" w:hAnsi="Century" w:cs="Times New Roman"/>
          <w:sz w:val="28"/>
          <w:szCs w:val="28"/>
        </w:rPr>
        <w:t>,</w:t>
      </w:r>
      <w:r w:rsidR="003C5E64">
        <w:rPr>
          <w:rFonts w:ascii="Times New Roman" w:hAnsi="Times New Roman" w:cs="Times New Roman"/>
          <w:sz w:val="28"/>
          <w:szCs w:val="28"/>
        </w:rPr>
        <w:t xml:space="preserve"> что</w:t>
      </w:r>
      <w:r w:rsidR="00B07071">
        <w:rPr>
          <w:rFonts w:ascii="Times New Roman" w:hAnsi="Times New Roman" w:cs="Times New Roman"/>
          <w:sz w:val="28"/>
          <w:szCs w:val="28"/>
        </w:rPr>
        <w:t xml:space="preserve"> </w:t>
      </w:r>
      <w:r w:rsidR="003C5E64">
        <w:rPr>
          <w:rFonts w:ascii="Times New Roman" w:hAnsi="Times New Roman" w:cs="Times New Roman"/>
          <w:sz w:val="28"/>
          <w:szCs w:val="28"/>
        </w:rPr>
        <w:t>п</w:t>
      </w:r>
      <w:r>
        <w:rPr>
          <w:rFonts w:ascii="Times New Roman" w:hAnsi="Times New Roman" w:cs="Times New Roman"/>
          <w:sz w:val="28"/>
          <w:szCs w:val="28"/>
        </w:rPr>
        <w:t xml:space="preserve">олиморфизм A1166C гена </w:t>
      </w:r>
      <w:r>
        <w:rPr>
          <w:rFonts w:ascii="Times New Roman" w:hAnsi="Times New Roman" w:cs="Times New Roman"/>
          <w:i/>
          <w:sz w:val="28"/>
          <w:szCs w:val="28"/>
        </w:rPr>
        <w:t>AGTR1</w:t>
      </w:r>
      <w:r>
        <w:rPr>
          <w:rFonts w:ascii="Times New Roman" w:hAnsi="Times New Roman" w:cs="Times New Roman"/>
          <w:sz w:val="28"/>
          <w:szCs w:val="28"/>
        </w:rPr>
        <w:t xml:space="preserve"> одинаково встречался в основной группе и контрольной груп</w:t>
      </w:r>
      <w:r w:rsidR="003C5E64">
        <w:rPr>
          <w:rFonts w:ascii="Times New Roman" w:hAnsi="Times New Roman" w:cs="Times New Roman"/>
          <w:sz w:val="28"/>
          <w:szCs w:val="28"/>
        </w:rPr>
        <w:t>пе</w:t>
      </w:r>
      <w:r w:rsidR="00BD1793">
        <w:rPr>
          <w:rFonts w:ascii="Century" w:hAnsi="Century" w:cs="Times New Roman"/>
          <w:sz w:val="28"/>
          <w:szCs w:val="28"/>
        </w:rPr>
        <w:t>,</w:t>
      </w:r>
      <w:r w:rsidR="003C5E64">
        <w:rPr>
          <w:rFonts w:ascii="Times New Roman" w:hAnsi="Times New Roman" w:cs="Times New Roman"/>
          <w:sz w:val="28"/>
          <w:szCs w:val="28"/>
        </w:rPr>
        <w:t xml:space="preserve"> но чаще проявлялся у женщин</w:t>
      </w:r>
      <w:r w:rsidR="0007544B">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8E155C">
        <w:rPr>
          <w:rFonts w:ascii="Times New Roman" w:hAnsi="Times New Roman" w:cs="Times New Roman"/>
          <w:sz w:val="28"/>
          <w:szCs w:val="28"/>
        </w:rPr>
        <w:instrText>ADDIN CSL_CITATION {"citationItems":[{"id":"ITEM-1","itemData":{"DOI":"10.1177/1470320315598697","abstract":"Abstract Introduction: The renin-angiotensin system (RAS) has been considered to play an important role in the regulation of blood pressure. This study aimed to investigate the correlation between RAS gene polymorphisms and essential hypertension (EH) in the Chinese Yi ethnic group. Materials and methods: A total of 244 EH subjects and 185 normotensive individuals from the Chinese Yi ethnic group were genotyped for AGT M235T (rs699), AT1R A1166C (rs5186), ACE I/D (rs4340) and ACE G2350A (rs4343) polymorphisms by the polymerase chain reaction (PCR)-restriction fragment length polymorphism (RFLP) method. Results: Significant differences in the allele and genotype frequency of ACE G2350A were observed between the EH cases and controls (p=0.001, 0.002). After being grouped by gender, significant differences in the allele and genotype frequency of ACE G2350A and AT1R A1166C were observed between females of the EH cases and controls (ACE G2350A: p=0.000, 0.002; AT1R A1166C: p=0.008, 0.011). After excluding the influence of multifactorial interactions, the ACE G2350A polymorphism is significantly associated with the pathogenesis of EH in the Chinese Yi ethnic group (odds ratio (OR)=1.656, 95% confidence interval (CI) 1.807–2.524, p=0.019). Conclusions: The RAS-related ACE G2350A polymorphism is associated with the pathogenesis of EH in the Chinese Yi ethnic group. Keywords","author":[{"dropping-particle":"","family":"Yang","given":"Yu-ling","non-dropping-particle":"","parse-names":false,"suffix":""},{"dropping-particle":"","family":"Mo","given":"Yan-ping","non-dropping-particle":"","parse-names":false,"suffix":""},{"dropping-particle":"","family":"He","given":"Yong-shu","non-dropping-particle":"","parse-names":false,"suffix":""},{"dropping-particle":"","family":"Yang","given":"Fang","non-dropping-particle":"","parse-names":false,"suffix":""},{"dropping-particle":"","family":"Xu","given":"Yan","non-dropping-particle":"","parse-names":false,"suffix":""},{"dropping-particle":"","family":"Li","given":"Cheng-cheng","non-dropping-particle":"","parse-names":false,"suffix":""},{"dropping-particle":"","family":"Wang","given":"Jiao","non-dropping-particle":"","parse-names":false,"suffix":""},{"dropping-particle":"","family":"Reng","given":"Hao-ming","non-dropping-particle":"","parse-names":false,"suffix":""},{"dropping-particle":"","family":"Long","given":"Li","non-dropping-particle":"","parse-names":false,"suffix":""}],"container-title":"Journal of the Renin-Angiotensin- Aldosterone System","id":"ITEM-1","issue":"0","issued":{"date-parts":[["2015"]]},"page":"975 –981","title":"Correlation between renin-angiotensin system gene polymorphisms and essential hypertension in the Chinese Yi ethnic group","type":"article-journal","volume":"0"},"uris":["http://www.mendeley.com/documents/?uuid=0a78cead-f87b-4ecf-a123-e0456802f103"]}],"mendeley":{"formattedCitation":"[8]","manualFormatting":"[8, р. 980]","plainTextFormattedCitation":"[8]","previouslyFormattedCitation":"[8]"},"properties":{"noteIndex":0},"schema":"https://github.com/citation-style-language/schema/raw/master/csl-citation.json"}</w:instrText>
      </w:r>
      <w:r w:rsidR="00EA0E64">
        <w:rPr>
          <w:rFonts w:ascii="Times New Roman" w:hAnsi="Times New Roman" w:cs="Times New Roman"/>
          <w:sz w:val="28"/>
          <w:szCs w:val="28"/>
        </w:rPr>
        <w:fldChar w:fldCharType="separate"/>
      </w:r>
      <w:r w:rsidR="008E155C" w:rsidRPr="008E155C">
        <w:rPr>
          <w:rFonts w:ascii="Times New Roman" w:hAnsi="Times New Roman" w:cs="Times New Roman"/>
          <w:noProof/>
          <w:sz w:val="28"/>
          <w:szCs w:val="28"/>
        </w:rPr>
        <w:t>[8</w:t>
      </w:r>
      <w:r w:rsidR="008E155C">
        <w:rPr>
          <w:rFonts w:ascii="Times New Roman" w:hAnsi="Times New Roman" w:cs="Times New Roman"/>
          <w:noProof/>
          <w:sz w:val="28"/>
          <w:szCs w:val="28"/>
        </w:rPr>
        <w:t>, р. 980</w:t>
      </w:r>
      <w:r w:rsidR="008E155C" w:rsidRPr="008E155C">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BD1793">
        <w:rPr>
          <w:rFonts w:ascii="Century" w:hAnsi="Century"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Шацкая</w:t>
      </w:r>
      <w:r w:rsidR="00936309">
        <w:rPr>
          <w:rFonts w:ascii="Times New Roman" w:hAnsi="Times New Roman" w:cs="Times New Roman"/>
          <w:sz w:val="28"/>
          <w:szCs w:val="28"/>
        </w:rPr>
        <w:t xml:space="preserve"> </w:t>
      </w:r>
      <w:r w:rsidR="002D3E23">
        <w:rPr>
          <w:rFonts w:ascii="Times New Roman" w:hAnsi="Times New Roman" w:cs="Times New Roman"/>
          <w:sz w:val="28"/>
          <w:szCs w:val="28"/>
        </w:rPr>
        <w:t>Е</w:t>
      </w:r>
      <w:r w:rsidR="00BD1793">
        <w:rPr>
          <w:rFonts w:ascii="Century" w:hAnsi="Century" w:cs="Times New Roman"/>
          <w:sz w:val="28"/>
          <w:szCs w:val="28"/>
        </w:rPr>
        <w:t>.</w:t>
      </w:r>
      <w:r w:rsidR="002D3E23">
        <w:rPr>
          <w:rFonts w:ascii="Times New Roman" w:hAnsi="Times New Roman" w:cs="Times New Roman"/>
          <w:sz w:val="28"/>
          <w:szCs w:val="28"/>
        </w:rPr>
        <w:t xml:space="preserve"> </w:t>
      </w:r>
      <w:r>
        <w:rPr>
          <w:rFonts w:ascii="Times New Roman" w:hAnsi="Times New Roman" w:cs="Times New Roman"/>
          <w:sz w:val="28"/>
          <w:szCs w:val="28"/>
        </w:rPr>
        <w:t>и соавторы (2011) провели исследования по выявлению связи между генами – кандидатами РААС</w:t>
      </w:r>
      <w:r w:rsidR="00BD1793">
        <w:rPr>
          <w:rFonts w:ascii="Century" w:hAnsi="Century" w:cs="Times New Roman"/>
          <w:sz w:val="28"/>
          <w:szCs w:val="28"/>
        </w:rPr>
        <w:t>,</w:t>
      </w:r>
      <w:r w:rsidR="002D6D08">
        <w:rPr>
          <w:rFonts w:ascii="Century" w:hAnsi="Century" w:cs="Times New Roman"/>
          <w:sz w:val="28"/>
          <w:szCs w:val="28"/>
        </w:rPr>
        <w:t xml:space="preserve"> </w:t>
      </w:r>
      <w:r w:rsidR="002D6D08" w:rsidRPr="002D6D08">
        <w:rPr>
          <w:rFonts w:ascii="Times New Roman" w:hAnsi="Times New Roman" w:cs="Times New Roman"/>
          <w:sz w:val="28"/>
          <w:szCs w:val="28"/>
        </w:rPr>
        <w:t>показателями</w:t>
      </w:r>
      <w:r>
        <w:rPr>
          <w:rFonts w:ascii="Times New Roman" w:hAnsi="Times New Roman" w:cs="Times New Roman"/>
          <w:sz w:val="28"/>
          <w:szCs w:val="28"/>
        </w:rPr>
        <w:t xml:space="preserve"> липидного обмена</w:t>
      </w:r>
      <w:r w:rsidR="00BD1793">
        <w:rPr>
          <w:rFonts w:ascii="Century" w:hAnsi="Century" w:cs="Times New Roman"/>
          <w:sz w:val="28"/>
          <w:szCs w:val="28"/>
        </w:rPr>
        <w:t>,</w:t>
      </w:r>
      <w:r>
        <w:rPr>
          <w:rFonts w:ascii="Times New Roman" w:hAnsi="Times New Roman" w:cs="Times New Roman"/>
          <w:sz w:val="28"/>
          <w:szCs w:val="28"/>
        </w:rPr>
        <w:t xml:space="preserve"> факторами гемостаза</w:t>
      </w:r>
      <w:r w:rsidR="00BD1793">
        <w:rPr>
          <w:rFonts w:ascii="Century" w:hAnsi="Century" w:cs="Times New Roman"/>
          <w:sz w:val="28"/>
          <w:szCs w:val="28"/>
        </w:rPr>
        <w:t>,</w:t>
      </w:r>
      <w:r>
        <w:rPr>
          <w:rFonts w:ascii="Times New Roman" w:hAnsi="Times New Roman" w:cs="Times New Roman"/>
          <w:sz w:val="28"/>
          <w:szCs w:val="28"/>
        </w:rPr>
        <w:t xml:space="preserve"> отвечающими за функцию эндотелия и АГ осложненной </w:t>
      </w:r>
      <w:r w:rsidR="00D10848">
        <w:rPr>
          <w:rFonts w:ascii="Times New Roman" w:hAnsi="Times New Roman" w:cs="Times New Roman"/>
          <w:sz w:val="28"/>
          <w:szCs w:val="28"/>
        </w:rPr>
        <w:t>острым</w:t>
      </w:r>
      <w:r w:rsidR="009E5213">
        <w:rPr>
          <w:rFonts w:ascii="Times New Roman" w:hAnsi="Times New Roman" w:cs="Times New Roman"/>
          <w:sz w:val="28"/>
          <w:szCs w:val="28"/>
        </w:rPr>
        <w:t xml:space="preserve"> нарушением мозгового кровообращения (</w:t>
      </w:r>
      <w:r>
        <w:rPr>
          <w:rFonts w:ascii="Times New Roman" w:hAnsi="Times New Roman" w:cs="Times New Roman"/>
          <w:sz w:val="28"/>
          <w:szCs w:val="28"/>
        </w:rPr>
        <w:t>ОНМК</w:t>
      </w:r>
      <w:r w:rsidR="009E5213">
        <w:rPr>
          <w:rFonts w:ascii="Times New Roman" w:hAnsi="Times New Roman" w:cs="Times New Roman"/>
          <w:sz w:val="28"/>
          <w:szCs w:val="28"/>
        </w:rPr>
        <w:t>)</w:t>
      </w:r>
      <w:r>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{"citationItems":[{"id":"ITEM-1","itemData":{"author":[{"dropping-particle":"","family":"Шацкая Е.Г., Карпенко М.А., Ларионова В.И.","given":"Солнцев В.Н.","non-dropping-particle":"","parse-names":false,"suffix":""}],"container-title":"Вестник Российской военно-медицинской академии","id":"ITEM-1","issue":"33","issued":{"date-parts":[["2011"]]},"page":"35-42","title":"Полиморфизм \"кандидатных\" генов и артериальная гипертензия, осложненная инсультом","type":"article-journal","volume":"1"},"uris":["http://www.mendeley.com/documents/?uuid=f3f3a0f1-ff39-4643-938e-81bf533825e1"]}],"mendeley":{"formattedCitation":"[115]","plainTextFormattedCitation":"[115]","previouslyFormattedCitation":"[115]"},"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[115]</w:t>
      </w:r>
      <w:r w:rsidR="00EA0E64">
        <w:rPr>
          <w:rFonts w:ascii="Times New Roman" w:hAnsi="Times New Roman" w:cs="Times New Roman"/>
          <w:sz w:val="28"/>
          <w:szCs w:val="28"/>
        </w:rPr>
        <w:fldChar w:fldCharType="end"/>
      </w:r>
      <w:r w:rsidR="00BD1793">
        <w:rPr>
          <w:rFonts w:ascii="Century" w:hAnsi="Century"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По </w:t>
      </w:r>
      <w:r w:rsidR="001033F7">
        <w:rPr>
          <w:rFonts w:ascii="Times New Roman" w:hAnsi="Times New Roman" w:cs="Times New Roman"/>
          <w:sz w:val="28"/>
          <w:szCs w:val="28"/>
        </w:rPr>
        <w:t xml:space="preserve">их </w:t>
      </w:r>
      <w:r>
        <w:rPr>
          <w:rFonts w:ascii="Times New Roman" w:hAnsi="Times New Roman" w:cs="Times New Roman"/>
          <w:sz w:val="28"/>
          <w:szCs w:val="28"/>
        </w:rPr>
        <w:t xml:space="preserve">результатам полиморфизм A1166C гена </w:t>
      </w:r>
      <w:r>
        <w:rPr>
          <w:rFonts w:ascii="Times New Roman" w:hAnsi="Times New Roman" w:cs="Times New Roman"/>
          <w:i/>
          <w:sz w:val="28"/>
          <w:szCs w:val="28"/>
        </w:rPr>
        <w:t>AGTR1</w:t>
      </w:r>
      <w:r>
        <w:rPr>
          <w:rFonts w:ascii="Times New Roman" w:hAnsi="Times New Roman" w:cs="Times New Roman"/>
          <w:sz w:val="28"/>
          <w:szCs w:val="28"/>
        </w:rPr>
        <w:t xml:space="preserve"> чаще встречался у пациентов с АГ осложненной ОНМК и был ассоциирован с параметрами гемодинамики и метаболическим статусом</w:t>
      </w:r>
      <w:r w:rsidR="00BD1793">
        <w:rPr>
          <w:rFonts w:ascii="Century" w:hAnsi="Century" w:cs="Times New Roman"/>
          <w:sz w:val="28"/>
          <w:szCs w:val="28"/>
        </w:rPr>
        <w:t>,</w:t>
      </w:r>
      <w:r>
        <w:rPr>
          <w:rFonts w:ascii="Times New Roman" w:hAnsi="Times New Roman" w:cs="Times New Roman"/>
          <w:sz w:val="28"/>
          <w:szCs w:val="28"/>
        </w:rPr>
        <w:t xml:space="preserve"> определяющие риск развития сердечно-сосудистых осложнений у пациентов с АГ</w:t>
      </w:r>
      <w:r w:rsidR="00BD1793">
        <w:rPr>
          <w:rFonts w:ascii="Century" w:hAnsi="Century" w:cs="Times New Roman"/>
          <w:sz w:val="28"/>
          <w:szCs w:val="28"/>
        </w:rPr>
        <w:t>.</w:t>
      </w:r>
    </w:p>
    <w:p w:rsidR="00AB12B3" w:rsidRDefault="001033F7" w:rsidP="0059719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w:t>
      </w:r>
      <w:r w:rsidR="00AD0CC7">
        <w:rPr>
          <w:rFonts w:ascii="Times New Roman" w:hAnsi="Times New Roman" w:cs="Times New Roman"/>
          <w:sz w:val="28"/>
          <w:szCs w:val="28"/>
          <w:lang w:val="kk-KZ"/>
        </w:rPr>
        <w:t>изучении</w:t>
      </w:r>
      <w:r>
        <w:rPr>
          <w:rFonts w:ascii="Times New Roman" w:hAnsi="Times New Roman" w:cs="Times New Roman"/>
          <w:sz w:val="28"/>
          <w:szCs w:val="28"/>
        </w:rPr>
        <w:t xml:space="preserve"> связи между полиморфизмо</w:t>
      </w:r>
      <w:r w:rsidR="00731EF4">
        <w:rPr>
          <w:rFonts w:ascii="Times New Roman" w:hAnsi="Times New Roman" w:cs="Times New Roman"/>
          <w:sz w:val="28"/>
          <w:szCs w:val="28"/>
        </w:rPr>
        <w:t>м</w:t>
      </w:r>
      <w:r>
        <w:rPr>
          <w:rFonts w:ascii="Times New Roman" w:hAnsi="Times New Roman" w:cs="Times New Roman"/>
          <w:sz w:val="28"/>
          <w:szCs w:val="28"/>
        </w:rPr>
        <w:t xml:space="preserve"> A1166C и G1675A генов </w:t>
      </w:r>
      <w:r>
        <w:rPr>
          <w:rFonts w:ascii="Times New Roman" w:hAnsi="Times New Roman" w:cs="Times New Roman"/>
          <w:i/>
          <w:sz w:val="28"/>
          <w:szCs w:val="28"/>
        </w:rPr>
        <w:t>AGTR1</w:t>
      </w:r>
      <w:r>
        <w:rPr>
          <w:rFonts w:ascii="Times New Roman" w:hAnsi="Times New Roman" w:cs="Times New Roman"/>
          <w:sz w:val="28"/>
          <w:szCs w:val="28"/>
        </w:rPr>
        <w:t xml:space="preserve"> и </w:t>
      </w:r>
      <w:r>
        <w:rPr>
          <w:rFonts w:ascii="Times New Roman" w:hAnsi="Times New Roman" w:cs="Times New Roman"/>
          <w:i/>
          <w:sz w:val="28"/>
          <w:szCs w:val="28"/>
        </w:rPr>
        <w:t>AGTR2</w:t>
      </w:r>
      <w:r w:rsidR="00BD1793">
        <w:rPr>
          <w:rFonts w:ascii="Century" w:hAnsi="Century" w:cs="Times New Roman"/>
          <w:iCs/>
          <w:sz w:val="28"/>
          <w:szCs w:val="28"/>
        </w:rPr>
        <w:t>,</w:t>
      </w:r>
      <w:r>
        <w:rPr>
          <w:rFonts w:ascii="Times New Roman" w:hAnsi="Times New Roman" w:cs="Times New Roman"/>
          <w:sz w:val="28"/>
          <w:szCs w:val="28"/>
        </w:rPr>
        <w:t xml:space="preserve"> соответственно</w:t>
      </w:r>
      <w:r w:rsidR="00BD1793">
        <w:rPr>
          <w:rFonts w:ascii="Century" w:hAnsi="Century" w:cs="Times New Roman"/>
          <w:sz w:val="28"/>
          <w:szCs w:val="28"/>
        </w:rPr>
        <w:t>,</w:t>
      </w:r>
      <w:r>
        <w:rPr>
          <w:rFonts w:ascii="Times New Roman" w:hAnsi="Times New Roman" w:cs="Times New Roman"/>
          <w:sz w:val="28"/>
          <w:szCs w:val="28"/>
        </w:rPr>
        <w:t xml:space="preserve"> с жесткостью артериальной стенки у пациентов с АГ в польской популяции </w:t>
      </w:r>
      <w:r w:rsidR="00AB12B3">
        <w:rPr>
          <w:rFonts w:ascii="Times New Roman" w:hAnsi="Times New Roman" w:cs="Times New Roman"/>
          <w:sz w:val="28"/>
          <w:szCs w:val="28"/>
        </w:rPr>
        <w:t>Cwynar M</w:t>
      </w:r>
      <w:r w:rsidR="00BD1793">
        <w:rPr>
          <w:rFonts w:ascii="Century" w:hAnsi="Century" w:cs="Times New Roman"/>
          <w:sz w:val="28"/>
          <w:szCs w:val="28"/>
        </w:rPr>
        <w:t>.</w:t>
      </w:r>
      <w:r w:rsidR="00AB12B3">
        <w:rPr>
          <w:rFonts w:ascii="Times New Roman" w:hAnsi="Times New Roman" w:cs="Times New Roman"/>
          <w:sz w:val="28"/>
          <w:szCs w:val="28"/>
        </w:rPr>
        <w:t xml:space="preserve"> и другие соавторы </w:t>
      </w:r>
      <w:r>
        <w:rPr>
          <w:rFonts w:ascii="Times New Roman" w:hAnsi="Times New Roman" w:cs="Times New Roman"/>
          <w:sz w:val="28"/>
          <w:szCs w:val="28"/>
        </w:rPr>
        <w:t xml:space="preserve">выявили </w:t>
      </w:r>
      <w:r w:rsidR="00AD0CC7">
        <w:rPr>
          <w:rFonts w:ascii="Times New Roman" w:hAnsi="Times New Roman" w:cs="Times New Roman"/>
          <w:sz w:val="28"/>
          <w:szCs w:val="28"/>
        </w:rPr>
        <w:t>(2016)</w:t>
      </w:r>
      <w:r w:rsidR="00721288">
        <w:rPr>
          <w:rFonts w:ascii="Times New Roman" w:hAnsi="Times New Roman" w:cs="Times New Roman"/>
          <w:sz w:val="28"/>
          <w:szCs w:val="28"/>
        </w:rPr>
        <w:t xml:space="preserve"> </w:t>
      </w:r>
      <w:r>
        <w:rPr>
          <w:rFonts w:ascii="Times New Roman" w:hAnsi="Times New Roman" w:cs="Times New Roman"/>
          <w:sz w:val="28"/>
          <w:szCs w:val="28"/>
        </w:rPr>
        <w:t>ассоциаци</w:t>
      </w:r>
      <w:r w:rsidR="00D10848">
        <w:rPr>
          <w:rFonts w:ascii="Times New Roman" w:hAnsi="Times New Roman" w:cs="Times New Roman"/>
          <w:sz w:val="28"/>
          <w:szCs w:val="28"/>
        </w:rPr>
        <w:t>ю</w:t>
      </w:r>
      <w:r>
        <w:rPr>
          <w:rFonts w:ascii="Times New Roman" w:hAnsi="Times New Roman" w:cs="Times New Roman"/>
          <w:sz w:val="28"/>
          <w:szCs w:val="28"/>
        </w:rPr>
        <w:t xml:space="preserve"> между полиморфизмом G1675A гена </w:t>
      </w:r>
      <w:r>
        <w:rPr>
          <w:rFonts w:ascii="Times New Roman" w:hAnsi="Times New Roman" w:cs="Times New Roman"/>
          <w:i/>
          <w:sz w:val="28"/>
          <w:szCs w:val="28"/>
        </w:rPr>
        <w:t>AGTR2</w:t>
      </w:r>
      <w:r>
        <w:rPr>
          <w:rFonts w:ascii="Times New Roman" w:hAnsi="Times New Roman" w:cs="Times New Roman"/>
          <w:sz w:val="28"/>
          <w:szCs w:val="28"/>
        </w:rPr>
        <w:t xml:space="preserve"> и жесткостью артериальной стенки</w:t>
      </w:r>
      <w:r w:rsidR="00BD1793">
        <w:rPr>
          <w:rFonts w:ascii="Century" w:hAnsi="Century" w:cs="Times New Roman"/>
          <w:sz w:val="28"/>
          <w:szCs w:val="28"/>
        </w:rPr>
        <w:t>,</w:t>
      </w:r>
      <w:r>
        <w:rPr>
          <w:rFonts w:ascii="Times New Roman" w:hAnsi="Times New Roman" w:cs="Times New Roman"/>
          <w:sz w:val="28"/>
          <w:szCs w:val="28"/>
        </w:rPr>
        <w:t xml:space="preserve"> но это связь была независима от АД</w:t>
      </w:r>
      <w:r w:rsidR="00721288">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{"citationItems":[{"id":"ITEM-1","itemData":{"DOI":"10.1177/1470320316655669","ISSN":"1752-8976","PMID":"27339867","abstract":"INTRODUCTION Although recently a matter of epidemiologic controversy, sodium overload and its interaction with genetic factors predispose to hypertension and related target organ complications. METHODS In 131 (66 male) treated hypertensives, we measured peripheral and central arterial pressures and pulse wave augmentation indexes (AIxP, AIxC1, AIxC2), pulse wave velocity (PWV), daily urinary sodium excretion and did genetic studies of AGTR1 A1166C and AGTR2 G1675A polymorphisms. Proximal (FELi) and distal (FDRNa) sodium reabsorption measurements were performed using endogenous lithium clearance. RESULTS In men, we found interaction between FDRNa and AGTR2 G1675A polymorphism with respect to AIxC1 (pINT=0.01), AIxC2 (pINT=0.05) and AIxP (pINT=0.006). Arterial stiffness increased with higher sodium reabsorption in the distal tubule, in the presence of AGTR2 G allele with the opposite tendency in A allele carriers. In the subgroup with FDRNa below median, as compared to those with FDRNa above median, the AIxC1 (139.6±3.8 vs 159.1±5.7%; p=0.009), AIxC2 (26.3±1.8 vs 33.3±1.7%; p=0.016) and AIxP (83.4±2.5 vs 96.5±2.6%; p&lt;0.0001) were lower, in the G allele carrying men and GG homozygous women. CONCLUSIONS The relation between sodium reabsorption in the distal tubule and the development of arterial stiffness depends on the AGTR2 G1675A polymorphism in blood pressure independent fashion.","author":[{"dropping-particle":"","family":"Cwynar","given":"Marcin","non-dropping-particle":"","parse-names":false,"suffix":""},{"dropping-particle":"","family":"Gąsowski","given":"Jerzy","non-dropping-particle":"","parse-names":false,"suffix":""},{"dropping-particle":"","family":"Głuszewska","given":"Anna","non-dropping-particle":"","parse-names":false,"suffix":""},{"dropping-particle":"","family":"Królczyk","given":"Jarosław","non-dropping-particle":"","parse-names":false,"suffix":""},{"dropping-particle":"","family":"Bartoń","given":"Henryk","non-dropping-particle":"","parse-names":false,"suffix":""},{"dropping-particle":"","family":"Słowik","given":"Agnieszka","non-dropping-particle":"","parse-names":false,"suffix":""},{"dropping-particle":"","family":"Grodzicki","given":"Tomasz","non-dropping-particle":"","parse-names":false,"suffix":""}],"container-title":"Journal of the renin-angiotensin-aldosterone system : JRAAS","id":"ITEM-1","issue":"2","issued":{"date-parts":[["2016"]]},"page":"1-12","title":"Blood pressure, arterial stiffness and endogenous lithium clearance in relation to AGTR1 A1166C and AGTR2 G1675A gene polymorphisms.","type":"article-journal","volume":"17"},"uris":["http://www.mendeley.com/documents/?uuid=9e95d0ea-45b5-4f04-809f-30b5b9090a3c"]}],"mendeley":{"formattedCitation":"[116]","plainTextFormattedCitation":"[116]","previouslyFormattedCitation":"[116]"},"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[116]</w:t>
      </w:r>
      <w:r w:rsidR="00EA0E64">
        <w:rPr>
          <w:rFonts w:ascii="Times New Roman" w:hAnsi="Times New Roman" w:cs="Times New Roman"/>
          <w:sz w:val="28"/>
          <w:szCs w:val="28"/>
        </w:rPr>
        <w:fldChar w:fldCharType="end"/>
      </w:r>
      <w:r w:rsidR="00BD1793">
        <w:rPr>
          <w:rFonts w:ascii="Century" w:hAnsi="Century" w:cs="Times New Roman"/>
          <w:sz w:val="28"/>
          <w:szCs w:val="28"/>
        </w:rPr>
        <w:t>.</w:t>
      </w:r>
      <w:r w:rsidR="00AB12B3">
        <w:rPr>
          <w:rFonts w:ascii="Times New Roman" w:hAnsi="Times New Roman" w:cs="Times New Roman"/>
          <w:sz w:val="28"/>
          <w:szCs w:val="28"/>
        </w:rPr>
        <w:t xml:space="preserve"> </w:t>
      </w:r>
      <w:r w:rsidR="00D02C73">
        <w:rPr>
          <w:rFonts w:ascii="Times New Roman" w:hAnsi="Times New Roman" w:cs="Times New Roman"/>
          <w:sz w:val="28"/>
          <w:szCs w:val="28"/>
        </w:rPr>
        <w:t>В исследовани</w:t>
      </w:r>
      <w:r w:rsidR="00731EF4">
        <w:rPr>
          <w:rFonts w:ascii="Times New Roman" w:hAnsi="Times New Roman" w:cs="Times New Roman"/>
          <w:sz w:val="28"/>
          <w:szCs w:val="28"/>
        </w:rPr>
        <w:t>и</w:t>
      </w:r>
      <w:r w:rsidR="00D02C73">
        <w:rPr>
          <w:rFonts w:ascii="Times New Roman" w:hAnsi="Times New Roman" w:cs="Times New Roman"/>
          <w:sz w:val="28"/>
          <w:szCs w:val="28"/>
        </w:rPr>
        <w:t xml:space="preserve"> на разных этнических группах населени</w:t>
      </w:r>
      <w:r w:rsidR="00731EF4">
        <w:rPr>
          <w:rFonts w:ascii="Times New Roman" w:hAnsi="Times New Roman" w:cs="Times New Roman"/>
          <w:sz w:val="28"/>
          <w:szCs w:val="28"/>
        </w:rPr>
        <w:t>я</w:t>
      </w:r>
      <w:r w:rsidR="004B5905">
        <w:rPr>
          <w:rFonts w:ascii="Times New Roman" w:hAnsi="Times New Roman" w:cs="Times New Roman"/>
          <w:sz w:val="28"/>
          <w:szCs w:val="28"/>
        </w:rPr>
        <w:t xml:space="preserve"> </w:t>
      </w:r>
      <w:r w:rsidR="00D02C73">
        <w:rPr>
          <w:rFonts w:ascii="Times New Roman" w:hAnsi="Times New Roman" w:cs="Times New Roman"/>
          <w:sz w:val="28"/>
          <w:szCs w:val="28"/>
        </w:rPr>
        <w:t>Калабара и Уйо</w:t>
      </w:r>
      <w:r w:rsidR="004B5905">
        <w:rPr>
          <w:rFonts w:ascii="Times New Roman" w:hAnsi="Times New Roman" w:cs="Times New Roman"/>
          <w:sz w:val="28"/>
          <w:szCs w:val="28"/>
        </w:rPr>
        <w:t xml:space="preserve"> </w:t>
      </w:r>
      <w:r w:rsidR="00AB12B3">
        <w:rPr>
          <w:rFonts w:ascii="Times New Roman" w:hAnsi="Times New Roman" w:cs="Times New Roman"/>
          <w:sz w:val="28"/>
          <w:szCs w:val="28"/>
        </w:rPr>
        <w:t>Lapierre А</w:t>
      </w:r>
      <w:r w:rsidR="00BD1793">
        <w:rPr>
          <w:rFonts w:ascii="Century" w:hAnsi="Century" w:cs="Times New Roman"/>
          <w:sz w:val="28"/>
          <w:szCs w:val="28"/>
        </w:rPr>
        <w:t>.</w:t>
      </w:r>
      <w:r w:rsidR="00AB12B3">
        <w:rPr>
          <w:rFonts w:ascii="Times New Roman" w:hAnsi="Times New Roman" w:cs="Times New Roman"/>
          <w:sz w:val="28"/>
          <w:szCs w:val="28"/>
        </w:rPr>
        <w:t xml:space="preserve"> и группа исследователей из Нигерии (2013) пришли к выводу</w:t>
      </w:r>
      <w:r w:rsidR="00BD1793">
        <w:rPr>
          <w:rFonts w:ascii="Century" w:hAnsi="Century" w:cs="Times New Roman"/>
          <w:sz w:val="28"/>
          <w:szCs w:val="28"/>
        </w:rPr>
        <w:t>,</w:t>
      </w:r>
      <w:r w:rsidR="00AB12B3">
        <w:rPr>
          <w:rFonts w:ascii="Times New Roman" w:hAnsi="Times New Roman" w:cs="Times New Roman"/>
          <w:sz w:val="28"/>
          <w:szCs w:val="28"/>
        </w:rPr>
        <w:t xml:space="preserve"> что полиморфизм A1166C гена </w:t>
      </w:r>
      <w:r w:rsidR="00AB12B3">
        <w:rPr>
          <w:rFonts w:ascii="Times New Roman" w:hAnsi="Times New Roman" w:cs="Times New Roman"/>
          <w:i/>
          <w:sz w:val="28"/>
          <w:szCs w:val="28"/>
        </w:rPr>
        <w:t>AGTR1</w:t>
      </w:r>
      <w:r w:rsidR="00AB12B3">
        <w:rPr>
          <w:rFonts w:ascii="Times New Roman" w:hAnsi="Times New Roman" w:cs="Times New Roman"/>
          <w:sz w:val="28"/>
          <w:szCs w:val="28"/>
        </w:rPr>
        <w:t xml:space="preserve"> не явля</w:t>
      </w:r>
      <w:r w:rsidR="00D02C73">
        <w:rPr>
          <w:rFonts w:ascii="Times New Roman" w:hAnsi="Times New Roman" w:cs="Times New Roman"/>
          <w:sz w:val="28"/>
          <w:szCs w:val="28"/>
        </w:rPr>
        <w:t>ет</w:t>
      </w:r>
      <w:r w:rsidR="00AB12B3">
        <w:rPr>
          <w:rFonts w:ascii="Times New Roman" w:hAnsi="Times New Roman" w:cs="Times New Roman"/>
          <w:sz w:val="28"/>
          <w:szCs w:val="28"/>
        </w:rPr>
        <w:t>ся предиктором развития АГ</w:t>
      </w:r>
      <w:r w:rsidR="00721288">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{"citationItems":[{"id":"ITEM-1","itemData":{"DOI":"10.4103/0971-6866.116120","ISSN":"0971-6866","PMID":"17375465","abstract":"Essential hypertension is considered a multifactorial trait resulting from a combination of environmental and genetic factors. The angiotensin II type 1 receptor mediates the vasoconstrictor and growth-promoting effects of Ang II. The A1166C polymorphism of the AT1 receptor gene may be associated with cardiovascular phenotypes, such as high arterial blood pressure, aortic stiffness, and increased cardiovascular risk. We investigated the association between this A1166C polymorphism and hypertension in hypertense and normotense subjects from San Luis (Argentina) by mismatch PCR-RFLP analysis. Hypertense patients exhibited significant increases in lipid related values and body mass index. The frequency of occurrence of the C1166 allele was higher among patients with hypertension (0.19) than in the control group (0.06). No significant association was found between this polymorphism and essential hypertension in the study population, although the AC genotype prevalence was higher in patients with hypertension and positive family history of hypertension (32%) than in control subjects (12%). Patients with the A1166C polymorphism exhibited higher levels of serum total cholesterol, LDL-cholesterol and BMI than in control subjects. Taken together the genotype and biochemical parameters and considering the restrictive selection criteria used, the present results suggest a correlation between AT1 A1166C gene polymorphism and risk of cardiovascular disease.","author":[{"dropping-particle":"","family":"Lapierre","given":"Alicia Viviana","non-dropping-particle":"","parse-names":false,"suffix":""},{"dropping-particle":"","family":"Arce","given":"Maria Elena","non-dropping-particle":"","parse-names":false,"suffix":""},{"dropping-particle":"","family":"Lopez","given":"José Raul","non-dropping-particle":"","parse-names":false,"suffix":""},{"dropping-particle":"","family":"Ciuffo","given":"Gladys María","non-dropping-particle":"","parse-names":false,"suffix":""}],"container-title":"Biocell : official journal of the Sociedades Latinoamericanas de Microscopia Electronica ... et. al","id":"ITEM-1","issue":"3","issued":{"date-parts":[["2006"]]},"page":"447-455","title":"Angiotensin II type 1 receptor A1166C gene polymorphism and essential hypertension in San Luis.","type":"article-journal","volume":"30"},"uris":["http://www.mendeley.com/documents/?uuid=393f0e97-34ba-41e6-af5f-c1cb9af65c86"]}],"mendeley":{"formattedCitation":"[117]","plainTextFormattedCitation":"[117]","previouslyFormattedCitation":"[117]"},"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[117]</w:t>
      </w:r>
      <w:r w:rsidR="00EA0E64">
        <w:rPr>
          <w:rFonts w:ascii="Times New Roman" w:hAnsi="Times New Roman" w:cs="Times New Roman"/>
          <w:sz w:val="28"/>
          <w:szCs w:val="28"/>
        </w:rPr>
        <w:fldChar w:fldCharType="end"/>
      </w:r>
      <w:r w:rsidR="00BD1793">
        <w:rPr>
          <w:rFonts w:ascii="Century" w:hAnsi="Century" w:cs="Times New Roman"/>
          <w:sz w:val="28"/>
          <w:szCs w:val="28"/>
        </w:rPr>
        <w:t>.</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Junusbekov</w:t>
      </w:r>
      <w:r w:rsidR="00721288">
        <w:rPr>
          <w:rFonts w:ascii="Times New Roman" w:hAnsi="Times New Roman" w:cs="Times New Roman"/>
          <w:sz w:val="28"/>
          <w:szCs w:val="28"/>
        </w:rPr>
        <w:t xml:space="preserve"> </w:t>
      </w:r>
      <w:r w:rsidR="0035300D">
        <w:rPr>
          <w:rFonts w:ascii="Times New Roman" w:hAnsi="Times New Roman" w:cs="Times New Roman"/>
          <w:sz w:val="28"/>
          <w:szCs w:val="28"/>
        </w:rPr>
        <w:t xml:space="preserve">Y. и </w:t>
      </w:r>
      <w:r>
        <w:rPr>
          <w:rFonts w:ascii="Times New Roman" w:hAnsi="Times New Roman" w:cs="Times New Roman"/>
          <w:sz w:val="28"/>
          <w:szCs w:val="28"/>
        </w:rPr>
        <w:t>соавторы (2019) изучали связь между генами РААС и заболеваний периферических артерий</w:t>
      </w:r>
      <w:r w:rsidR="00721288">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{"citationItems":[{"id":"ITEM-1","itemData":{"DOI":"10.1007/s11845-019-02166-6","ISSN":"1863-4362","PMID":"31858452","abstract":"BACKGROUND Peripheral arterial diseases (PAD) refer to the arterial diseases other than coronary arteries and the aorta. Atherosclerosis is the major cause of PAD. Renin angiotensin aldosterone system (RAAS)-related genes were associated with cardiovascular diseases. Angiotensin II is the pro-inflammatory, proliferative and vasoconstrictor effector of RAAS in the vascular system. AIMS In this study, we aimed to investigate whether the effects of the angiotensinogen (AGT) rs699 (M268T), angiotensin-converting enzyme (ACE) I/D (rs1799752), angiotensin II receptor type 1 (AGTR1) (A1166C) rs5186, and angiotensin II receptor type 2 (AGTR2) rs35474657 variants were associated with PAD etiology due to atherosclerotic involvement of aorta-iliac and femoro-popliteal artery occlusions. METHODS AGT rs699, AGTR1 rs5186, ACE I/D (rs1799752), AGTR2 rs35474657 gene variants were determined by real-time polymerase chain reaction (RT-PCR) in 63 PAD patients (33 femoro-popliteal, 30 aorta-iliac) and 70 healthy controls. RESULTS Although there was no significant relationship in the genotype frequencies of AGT rs699, AGTR1 rs5186, ACE I/D (rs1799752), and AGTR2 rs35474657 variants between PAD and control groups (p &gt; 0.05), AGT rs699 TT genotype was significantly associated with fasting glucose (p = 0.023) in PAD patients. Besides, CC genotype of rs699 was significantly related with HDL-cholesterol levels (p = 0.020) in PAD group. Furthermore, AGTR1 rs5186 CC genotype carriers demonstrated significantly higher LDL-cholesterol (p = 0.034) and triglycerides levels (p = 0.007). CONCLUSIONS This report is the first to show an association between RAAS-related gene variants and their relation with the biochemical characteristics of PAD and suggests that RAAS-associated gene variants may have significant roles in cardiovascular related phenotypes of PAD patients.","author":[{"dropping-particle":"","family":"Junusbekov","given":"Yerik","non-dropping-particle":"","parse-names":false,"suffix":""},{"dropping-particle":"","family":"Bayoglu","given":"Burcu","non-dropping-particle":"","parse-names":false,"suffix":""},{"dropping-particle":"","family":"Cengiz","given":"Mujgan","non-dropping-particle":"","parse-names":false,"suffix":""},{"dropping-particle":"","family":"Dirican","given":"Ahmet","non-dropping-particle":"","parse-names":false,"suffix":""},{"dropping-particle":"","family":"Arslan","given":"Caner","non-dropping-particle":"","parse-names":false,"suffix":""}],"container-title":"Irish journal of medical science","id":"ITEM-1","issued":{"date-parts":[["2019","12","19"]]},"title":"AGT rs699 and AGTR1 rs5186 gene variants are associated with cardiovascular-related phenotypes in atherosclerotic peripheral arterial obstructive disease.","type":"article-journal"},"uris":["http://www.mendeley.com/documents/?uuid=32fbb6bd-94e7-4241-8391-595888747f2d"]}],"mendeley":{"formattedCitation":"[118]","plainTextFormattedCitation":"[118]","previouslyFormattedCitation":"[118]"},"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[118]</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они утверждают, что гены РААС могут играть важную роль в развитии заболеваний периферических сосудов. Они выявили, что rs699 ген </w:t>
      </w:r>
      <w:r>
        <w:rPr>
          <w:rFonts w:ascii="Times New Roman" w:hAnsi="Times New Roman" w:cs="Times New Roman"/>
          <w:i/>
          <w:sz w:val="28"/>
          <w:szCs w:val="28"/>
        </w:rPr>
        <w:t>AGT</w:t>
      </w:r>
      <w:r>
        <w:rPr>
          <w:rFonts w:ascii="Times New Roman" w:hAnsi="Times New Roman" w:cs="Times New Roman"/>
          <w:sz w:val="28"/>
          <w:szCs w:val="28"/>
        </w:rPr>
        <w:t xml:space="preserve"> был достоверно связан с уровн</w:t>
      </w:r>
      <w:r w:rsidR="002D6D08">
        <w:rPr>
          <w:rFonts w:ascii="Times New Roman" w:hAnsi="Times New Roman" w:cs="Times New Roman"/>
          <w:sz w:val="28"/>
          <w:szCs w:val="28"/>
        </w:rPr>
        <w:t>ем</w:t>
      </w:r>
      <w:r>
        <w:rPr>
          <w:rFonts w:ascii="Times New Roman" w:hAnsi="Times New Roman" w:cs="Times New Roman"/>
          <w:sz w:val="28"/>
          <w:szCs w:val="28"/>
        </w:rPr>
        <w:t xml:space="preserve"> глюкозы и ЛПВП у пациентов с заболеваниями периферических артерий, а полиморфизм А1166С (rs5186) гена </w:t>
      </w:r>
      <w:r>
        <w:rPr>
          <w:rFonts w:ascii="Times New Roman" w:hAnsi="Times New Roman" w:cs="Times New Roman"/>
          <w:i/>
          <w:sz w:val="28"/>
          <w:szCs w:val="28"/>
        </w:rPr>
        <w:t>AGTR1</w:t>
      </w:r>
      <w:r>
        <w:rPr>
          <w:rFonts w:ascii="Times New Roman" w:hAnsi="Times New Roman" w:cs="Times New Roman"/>
          <w:sz w:val="28"/>
          <w:szCs w:val="28"/>
        </w:rPr>
        <w:t xml:space="preserve"> был связан с уровнями ОХС и ЛПНП </w:t>
      </w:r>
      <w:r w:rsidR="00EA0E64">
        <w:rPr>
          <w:rFonts w:ascii="Times New Roman" w:hAnsi="Times New Roman" w:cs="Times New Roman"/>
          <w:sz w:val="28"/>
          <w:szCs w:val="28"/>
        </w:rPr>
        <w:fldChar w:fldCharType="begin" w:fldLock="1"/>
      </w:r>
      <w:r w:rsidR="008E155C">
        <w:rPr>
          <w:rFonts w:ascii="Times New Roman" w:hAnsi="Times New Roman" w:cs="Times New Roman"/>
          <w:sz w:val="28"/>
          <w:szCs w:val="28"/>
        </w:rPr>
        <w:instrText>ADDIN CSL_CITATION {"citationItems":[{"id":"ITEM-1","itemData":{"DOI":"10.1007/s11845-019-02166-6","ISSN":"1863-4362","PMID":"31858452","abstract":"BACKGROUND Peripheral arterial diseases (PAD) refer to the arterial diseases other than coronary arteries and the aorta. Atherosclerosis is the major cause of PAD. Renin angiotensin aldosterone system (RAAS)-related genes were associated with cardiovascular diseases. Angiotensin II is the pro-inflammatory, proliferative and vasoconstrictor effector of RAAS in the vascular system. AIMS In this study, we aimed to investigate whether the effects of the angiotensinogen (AGT) rs699 (M268T), angiotensin-converting enzyme (ACE) I/D (rs1799752), angiotensin II receptor type 1 (AGTR1) (A1166C) rs5186, and angiotensin II receptor type 2 (AGTR2) rs35474657 variants were associated with PAD etiology due to atherosclerotic involvement of aorta-iliac and femoro-popliteal artery occlusions. METHODS AGT rs699, AGTR1 rs5186, ACE I/D (rs1799752), AGTR2 rs35474657 gene variants were determined by real-time polymerase chain reaction (RT-PCR) in 63 PAD patients (33 femoro-popliteal, 30 aorta-iliac) and 70 healthy controls. RESULTS Although there was no significant relationship in the genotype frequencies of AGT rs699, AGTR1 rs5186, ACE I/D (rs1799752), and AGTR2 rs35474657 variants between PAD and control groups (p &gt; 0.05), AGT rs699 TT genotype was significantly associated with fasting glucose (p = 0.023) in PAD patients. Besides, CC genotype of rs699 was significantly related with HDL-cholesterol levels (p = 0.020) in PAD group. Furthermore, AGTR1 rs5186 CC genotype carriers demonstrated significantly higher LDL-cholesterol (p = 0.034) and triglycerides levels (p = 0.007). CONCLUSIONS This report is the first to show an association between RAAS-related gene variants and their relation with the biochemical characteristics of PAD and suggests that RAAS-associated gene variants may have significant roles in cardiovascular related phenotypes of PAD patients.","author":[{"dropping-particle":"","family":"Junusbekov","given":"Yerik","non-dropping-particle":"","parse-names":false,"suffix":""},{"dropping-particle":"","family":"Bayoglu","given":"Burcu","non-dropping-particle":"","parse-names":false,"suffix":""},{"dropping-particle":"","family":"Cengiz","given":"Mujgan","non-dropping-particle":"","parse-names":false,"suffix":""},{"dropping-particle":"","family":"Dirican","given":"Ahmet","non-dropping-particle":"","parse-names":false,"suffix":""},{"dropping-particle":"","family":"Arslan","given":"Caner","non-dropping-particle":"","parse-names":false,"suffix":""}],"container-title":"Irish journal of medical science","id":"ITEM-1","issued":{"date-parts":[["2019","12","19"]]},"title":"AGT rs699 and AGTR1 rs5186 gene variants are associated with cardiovascular-related phenotypes in atherosclerotic peripheral arterial obstructive disease.","type":"article-journal"},"uris":["http://www.mendeley.com/documents/?uuid=32fbb6bd-94e7-4241-8391-595888747f2d"]}],"mendeley":{"formattedCitation":"[118]","manualFormatting":"[118, р. 889]","plainTextFormattedCitation":"[118]","previouslyFormattedCitation":"[118]"},"properties":{"noteIndex":0},"schema":"https://github.com/citation-style-language/schema/raw/master/csl-citation.json"}</w:instrText>
      </w:r>
      <w:r w:rsidR="00EA0E64">
        <w:rPr>
          <w:rFonts w:ascii="Times New Roman" w:hAnsi="Times New Roman" w:cs="Times New Roman"/>
          <w:sz w:val="28"/>
          <w:szCs w:val="28"/>
        </w:rPr>
        <w:fldChar w:fldCharType="separate"/>
      </w:r>
      <w:r w:rsidR="008E155C" w:rsidRPr="008E155C">
        <w:rPr>
          <w:rFonts w:ascii="Times New Roman" w:hAnsi="Times New Roman" w:cs="Times New Roman"/>
          <w:noProof/>
          <w:sz w:val="28"/>
          <w:szCs w:val="28"/>
        </w:rPr>
        <w:t>[118</w:t>
      </w:r>
      <w:r w:rsidR="008E155C">
        <w:rPr>
          <w:rFonts w:ascii="Times New Roman" w:hAnsi="Times New Roman" w:cs="Times New Roman"/>
          <w:noProof/>
          <w:sz w:val="28"/>
          <w:szCs w:val="28"/>
        </w:rPr>
        <w:t>, р. 889</w:t>
      </w:r>
      <w:r w:rsidR="008E155C" w:rsidRPr="008E155C">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Изучая генетические механизмы защитной сосудистой реакции на рефлекс погружения у людей, Baranova T. и ее соавторы обнаружили, что ответ на этот</w:t>
      </w:r>
      <w:r w:rsidR="00731EF4">
        <w:rPr>
          <w:rFonts w:ascii="Times New Roman" w:hAnsi="Times New Roman" w:cs="Times New Roman"/>
          <w:sz w:val="28"/>
          <w:szCs w:val="28"/>
        </w:rPr>
        <w:t xml:space="preserve"> рефлекс зависит от полиморфизма</w:t>
      </w:r>
      <w:r>
        <w:rPr>
          <w:rFonts w:ascii="Times New Roman" w:hAnsi="Times New Roman" w:cs="Times New Roman"/>
          <w:sz w:val="28"/>
          <w:szCs w:val="28"/>
        </w:rPr>
        <w:t xml:space="preserve"> генов кинин – брадик</w:t>
      </w:r>
      <w:r w:rsidR="00D10848">
        <w:rPr>
          <w:rFonts w:ascii="Times New Roman" w:hAnsi="Times New Roman" w:cs="Times New Roman"/>
          <w:sz w:val="28"/>
          <w:szCs w:val="28"/>
        </w:rPr>
        <w:t>ин</w:t>
      </w:r>
      <w:r>
        <w:rPr>
          <w:rFonts w:ascii="Times New Roman" w:hAnsi="Times New Roman" w:cs="Times New Roman"/>
          <w:sz w:val="28"/>
          <w:szCs w:val="28"/>
        </w:rPr>
        <w:t>ин системы и РААС</w:t>
      </w:r>
      <w:r w:rsidR="005A08E8">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{"citationItems":[{"id":"ITEM-1","itemData":{"DOI":"10.1152/ajpheart.00080.2016","ISSN":"0363-6135","abstract":"The purpose of this study was to investigate the genetic mechanisms of the defense vascular reactions in response to the diving reflex in humans with polymorphisms in the genes ADBR2, ACE, AGTR1, BDKRB2, and REN. We hypothesized that protective vascular reactions, in response to the diving reflex, are genetically determined and are distinguished in humans with gene polymorphisms of the renin-angiotensin and kinin-bradykinin system. A total of 80 subjects (19 ± 1.4 yr) participated in the study. The intensity of the vascular response was estimated using photoplethysmogram. The I/D polymorphism (rs4340) of ACE was analyzed by PCR. REN (G/A, rs2368564), AGTR1 (A/C, rs5186), BDKRB2 (T/C, rs1799722), and ADBR2 (A/G, rs1042713) polymorphisms were examined using the two-step multiplex PCR followed by carrying allele hybridization on the biochip. Subjects with the BDKRB2 (C/C), ACE (D/D), and ADBR2 (G/G, G/A) genotypes exhibited the strongest peripheral vasoconstriction in response to diving. In subjects with a combination of the BDKRB2 (C/C) plus ACE (D/D) genotypes, we observed the lowest pulse wave amplitude and pulse transit time values and the highest arterial blood pressure during face immersion compared with the heterozygous individuals, suggesting that these subjects are more susceptible to diving hypoxia. This study observed that humans with gene polymorphisms of the renin-angiotensin and kinin-bradykinin systems demonstrate various expressions of protective vascular reactions in response to the diving reflex. The obtained results might be used in estimation of resistance to hypoxia of any origin in human beings or in a medical practice.","author":[{"dropping-particle":"","family":"Baranova","given":"Tatiana I.","non-dropping-particle":"","parse-names":false,"suffix":""},{"dropping-particle":"","family":"Berlov","given":"Dmitrii N.","non-dropping-particle":"","parse-names":false,"suffix":""},{"dropping-particle":"","family":"Glotov","given":"Oleg S.","non-dropping-particle":"","parse-names":false,"suffix":""},{"dropping-particle":"","family":"Korf","given":"Ekaterina A.","non-dropping-particle":"","parse-names":false,"suffix":""},{"dropping-particle":"","family":"Minigalin","given":"Alexey D.","non-dropping-particle":"","parse-names":false,"suffix":""},{"dropping-particle":"V.","family":"Mitrofanova","given":"Alla","non-dropping-particle":"","parse-names":false,"suffix":""},{"dropping-particle":"","family":"Ahmetov","given":"Ildus I.","non-dropping-particle":"","parse-names":false,"suffix":""},{"dropping-particle":"","family":"Glotov","given":"Andrey S.","non-dropping-particle":"","parse-names":false,"suffix":""}],"container-title":"American Journal of Physiology-Heart and Circulatory Physiology","id":"ITEM-1","issue":"3","issued":{"date-parts":[["2017","3","1"]]},"page":"H622-H631","title":"Genetic determination of the vascular reactions in humans in response to the diving reflex","type":"article-journal","volume":"312"},"uris":["http://www.mendeley.com/documents/?uuid=ebda7d0a-0698-4ffa-ad99-c791c6e4ca97"]}],"mendeley":{"formattedCitation":"[119]","plainTextFormattedCitation":"[119]","previouslyFormattedCitation":"[119]"},"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[119]</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Они выявили, что носители генотипа А/А полиморфизма rs5186 гена </w:t>
      </w:r>
      <w:r>
        <w:rPr>
          <w:rFonts w:ascii="Times New Roman" w:hAnsi="Times New Roman" w:cs="Times New Roman"/>
          <w:i/>
          <w:sz w:val="28"/>
          <w:szCs w:val="28"/>
        </w:rPr>
        <w:t>AGTR1</w:t>
      </w:r>
      <w:r>
        <w:rPr>
          <w:rFonts w:ascii="Times New Roman" w:hAnsi="Times New Roman" w:cs="Times New Roman"/>
          <w:sz w:val="28"/>
          <w:szCs w:val="28"/>
        </w:rPr>
        <w:t xml:space="preserve"> имели низкий периферический сосудистый тонус по сравнению с носителями генотипами С/С и А/С.</w:t>
      </w:r>
      <w:r w:rsidR="001B5018">
        <w:rPr>
          <w:rFonts w:ascii="Times New Roman" w:hAnsi="Times New Roman" w:cs="Times New Roman"/>
          <w:sz w:val="28"/>
          <w:szCs w:val="28"/>
        </w:rPr>
        <w:t xml:space="preserve"> </w:t>
      </w:r>
      <w:r w:rsidR="0019214B">
        <w:rPr>
          <w:rFonts w:ascii="Times New Roman" w:hAnsi="Times New Roman" w:cs="Times New Roman"/>
          <w:sz w:val="28"/>
          <w:szCs w:val="28"/>
        </w:rPr>
        <w:t>В</w:t>
      </w:r>
      <w:r w:rsidR="001B5018">
        <w:rPr>
          <w:rFonts w:ascii="Times New Roman" w:hAnsi="Times New Roman" w:cs="Times New Roman"/>
          <w:sz w:val="28"/>
          <w:szCs w:val="28"/>
        </w:rPr>
        <w:t xml:space="preserve"> </w:t>
      </w:r>
      <w:r w:rsidR="0019214B">
        <w:rPr>
          <w:rFonts w:ascii="Times New Roman" w:hAnsi="Times New Roman" w:cs="Times New Roman"/>
          <w:sz w:val="28"/>
          <w:szCs w:val="28"/>
        </w:rPr>
        <w:t xml:space="preserve">мета-анализе </w:t>
      </w:r>
      <w:r>
        <w:rPr>
          <w:rFonts w:ascii="Times New Roman" w:hAnsi="Times New Roman" w:cs="Times New Roman"/>
          <w:sz w:val="28"/>
          <w:szCs w:val="28"/>
        </w:rPr>
        <w:t xml:space="preserve">Fajar J. и </w:t>
      </w:r>
      <w:r w:rsidR="0019214B">
        <w:rPr>
          <w:rFonts w:ascii="Times New Roman" w:hAnsi="Times New Roman" w:cs="Times New Roman"/>
          <w:sz w:val="28"/>
          <w:szCs w:val="28"/>
          <w:lang w:val="kk-KZ"/>
        </w:rPr>
        <w:t>соавторов</w:t>
      </w:r>
      <w:r>
        <w:rPr>
          <w:rFonts w:ascii="Times New Roman" w:hAnsi="Times New Roman" w:cs="Times New Roman"/>
          <w:sz w:val="28"/>
          <w:szCs w:val="28"/>
        </w:rPr>
        <w:t xml:space="preserve"> (2019) </w:t>
      </w:r>
      <w:r w:rsidR="0019214B">
        <w:rPr>
          <w:rFonts w:ascii="Times New Roman" w:hAnsi="Times New Roman" w:cs="Times New Roman"/>
          <w:sz w:val="28"/>
          <w:szCs w:val="28"/>
          <w:lang w:val="kk-KZ"/>
        </w:rPr>
        <w:t xml:space="preserve">была </w:t>
      </w:r>
      <w:r>
        <w:rPr>
          <w:rFonts w:ascii="Times New Roman" w:hAnsi="Times New Roman" w:cs="Times New Roman"/>
          <w:sz w:val="28"/>
          <w:szCs w:val="28"/>
        </w:rPr>
        <w:t>показа</w:t>
      </w:r>
      <w:r w:rsidR="0019214B">
        <w:rPr>
          <w:rFonts w:ascii="Times New Roman" w:hAnsi="Times New Roman" w:cs="Times New Roman"/>
          <w:sz w:val="28"/>
          <w:szCs w:val="28"/>
          <w:lang w:val="kk-KZ"/>
        </w:rPr>
        <w:t>но</w:t>
      </w:r>
      <w:r>
        <w:rPr>
          <w:rFonts w:ascii="Times New Roman" w:hAnsi="Times New Roman" w:cs="Times New Roman"/>
          <w:sz w:val="28"/>
          <w:szCs w:val="28"/>
        </w:rPr>
        <w:t xml:space="preserve">, что полиморфизм rs5186 гена </w:t>
      </w:r>
      <w:r>
        <w:rPr>
          <w:rFonts w:ascii="Times New Roman" w:hAnsi="Times New Roman" w:cs="Times New Roman"/>
          <w:i/>
          <w:sz w:val="28"/>
          <w:szCs w:val="28"/>
        </w:rPr>
        <w:t>AGTR1</w:t>
      </w:r>
      <w:r>
        <w:rPr>
          <w:rFonts w:ascii="Times New Roman" w:hAnsi="Times New Roman" w:cs="Times New Roman"/>
          <w:sz w:val="28"/>
          <w:szCs w:val="28"/>
        </w:rPr>
        <w:t xml:space="preserve"> был связан с АГ в азиатских популяциях</w:t>
      </w:r>
      <w:r w:rsidR="00823CE0">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{"citationItems":[{"id":"ITEM-1","itemData":{"DOI":"10.1186/s43042-019-0016-3","ISSN":"2090-2441","abstract":"Background: Since first reported having the association with essential hypertension, angiotensin II type 1 receptor (AT1R) A1166C was globally investigated worldwide. However, controversy was found. Furthermore, previous meta-analyses did not adequate to clarify the precise correlation due to some limitations. Therefore, we aimed to perform a meta-analysis concerning the association between AT1R A1166C single-nucleotide polymorphism (SNP) and the risk of essential hypertension with eliminating the limitations of previous studies. Methods: A meta-analysis was conducted from February to March 2019. Some information related to sample size of hypertension and control groups and genotype frequencies of hypertension and control groups were extracted from each study. Data were analyzed using fixed or random effect model to determine the overall correlation. Results: A total of 45 papers consisting of 11911 cases and 1340 controls were enrolled for the study. Our overall analysis showed that C allele and AC genotype of AT1R A1166C was associated with 1.18-fold and 1.15-fold respectively increased risk of essential hypertension, while the decreased risk of essential hypertension was observed in A allele and AA genotype. In sub-group analysis, increased risk of essential hypertension was found in C allele, AC genotype, and CC genotype of both Asian population and PCR-RFLP sub-groups, while decreased risk was observed in A allele and AA genotype. Conclusions: Our meta-analysis reveals that AT1R A1166C remains a valuable SNP having an association with the risk of essential hypertension.","author":[{"dropping-particle":"","family":"Fajar","given":"Jonny Karunia","non-dropping-particle":"","parse-names":false,"suffix":""},{"dropping-particle":"","family":"Susanti","given":"Melly","non-dropping-particle":"","parse-names":false,"suffix":""},{"dropping-particle":"","family":"Pikir","given":"Budi Susetio","non-dropping-particle":"","parse-names":false,"suffix":""},{"dropping-particle":"","family":"Saka","given":"Putu Nina Berlinda","non-dropping-particle":"","parse-names":false,"suffix":""},{"dropping-particle":"","family":"Sidarta","given":"Erdo Puncak","non-dropping-particle":"","parse-names":false,"suffix":""},{"dropping-particle":"","family":"Tamara","given":"Fredo","non-dropping-particle":"","parse-names":false,"suffix":""},{"dropping-particle":"","family":"Akbar","given":"Rizal Rahmanda","non-dropping-particle":"","parse-names":false,"suffix":""},{"dropping-particle":"","family":"Hutama","given":"Saga Aditya","non-dropping-particle":"","parse-names":false,"suffix":""},{"dropping-particle":"","family":"Gunawan","given":"Atma","non-dropping-particle":"","parse-names":false,"suffix":""},{"dropping-particle":"","family":"Heriansyah","given":"Teuku","non-dropping-particle":"","parse-names":false,"suffix":""}],"container-title":"Egyptian Journal of Medical Human Genetics","id":"ITEM-1","issue":"1","issued":{"date-parts":[["2019","12","22"]]},"page":"14","publisher":"Egyptian Journal of Medical Human Genetics","title":"The association between angiotensin II type 1 receptor A1166C gene polymorphism and the risk of essential hypertension: a meta-analysis","type":"article-journal","volume":"20"},"uris":["http://www.mendeley.com/documents/?uuid=022517d1-dfe8-4ff2-8326-a9d1cd1298e4"]}],"mendeley":{"formattedCitation":"[120]","plainTextFormattedCitation":"[120]","previouslyFormattedCitation":"[120]"},"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[120]</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Они утверждают, что аллель С </w:t>
      </w:r>
      <w:r w:rsidR="00D33D08">
        <w:rPr>
          <w:rFonts w:ascii="Times New Roman" w:hAnsi="Times New Roman" w:cs="Times New Roman"/>
          <w:sz w:val="28"/>
          <w:szCs w:val="28"/>
        </w:rPr>
        <w:t>повышает риск развития АГ по сравнению</w:t>
      </w:r>
      <w:r>
        <w:rPr>
          <w:rFonts w:ascii="Times New Roman" w:hAnsi="Times New Roman" w:cs="Times New Roman"/>
          <w:sz w:val="28"/>
          <w:szCs w:val="28"/>
        </w:rPr>
        <w:t xml:space="preserve"> с аллелем А и носители генотипов С/С и А/С более подвержены АГ чем носители генотипа А/А.</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1.</w:t>
      </w:r>
      <w:r w:rsidR="001928F8">
        <w:rPr>
          <w:rFonts w:ascii="Times New Roman" w:hAnsi="Times New Roman" w:cs="Times New Roman"/>
          <w:sz w:val="28"/>
          <w:szCs w:val="28"/>
          <w:lang w:val="kk-KZ"/>
        </w:rPr>
        <w:t>2</w:t>
      </w:r>
      <w:r>
        <w:rPr>
          <w:rFonts w:ascii="Times New Roman" w:hAnsi="Times New Roman" w:cs="Times New Roman"/>
          <w:sz w:val="28"/>
          <w:szCs w:val="28"/>
        </w:rPr>
        <w:t>.2 Современные представления значимости полиморфизмов в развитии инсулинорезистентности</w:t>
      </w:r>
    </w:p>
    <w:p w:rsidR="00AB12B3" w:rsidRDefault="00AB12B3" w:rsidP="00AB12B3">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Ген, кодирующий липопротеинлипазу LPL Ser447Ter (rs328)</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Резистентность к инсулину – одно из основных метаболических нарушений при ожирении, она является ключевым фактором в этиологии целого ряда заболеваний, в первую очередь - СД 2 типа </w:t>
      </w:r>
      <w:r w:rsidR="00EA0E64">
        <w:rPr>
          <w:rFonts w:ascii="Times New Roman" w:hAnsi="Times New Roman" w:cs="Times New Roman"/>
          <w:sz w:val="28"/>
          <w:szCs w:val="28"/>
        </w:rPr>
        <w:fldChar w:fldCharType="begin" w:fldLock="1"/>
      </w:r>
      <w:r w:rsidR="00F7759F">
        <w:rPr>
          <w:rFonts w:ascii="Times New Roman" w:hAnsi="Times New Roman" w:cs="Times New Roman"/>
          <w:sz w:val="28"/>
          <w:szCs w:val="28"/>
        </w:rPr>
        <w:instrText>ADDIN CSL_CITATION {"citationItems":[{"id":"ITEM-1","itemData":{"DOI":"10.1172/JCI34260","ISSN":"0021-9738","author":[{"dropping-particle":"","family":"Schenk","given":"Simon","non-dropping-particle":"","parse-names":false,"suffix":""},{"dropping-particle":"","family":"Saberi","given":"Maziyar","non-dropping-particle":"","parse-names":false,"suffix":""},{"dropping-particle":"","family":"Olefsky","given":"Jerrold M","non-dropping-particle":"","parse-names":false,"suffix":""}],"container-title":"Journal of Clinical Investigation","id":"ITEM-1","issue":"9","issued":{"date-parts":[["2008","9","2"]]},"page":"2992-3002","title":"Insulin sensitivity: modulation by nutrients and inflammation","type":"article-journal","volume":"118"},"uris":["http://www.mendeley.com/documents/?uuid=feb7a030-9ee3-44f1-8432-b46f0f4bb303","http://www.mendeley.com/documents/?uuid=9f34d604-dc35-44fe-9bf8-246c01e5cebd"]}],"mendeley":{"formattedCitation":"[35]","manualFormatting":"[35, р. 2993]","plainTextFormattedCitation":"[35]","previouslyFormattedCitation":"[35]"},"properties":{"noteIndex":0},"schema":"https://github.com/citation-style-language/schema/raw/master/csl-citation.json"}</w:instrText>
      </w:r>
      <w:r w:rsidR="00EA0E64">
        <w:rPr>
          <w:rFonts w:ascii="Times New Roman" w:hAnsi="Times New Roman" w:cs="Times New Roman"/>
          <w:sz w:val="28"/>
          <w:szCs w:val="28"/>
        </w:rPr>
        <w:fldChar w:fldCharType="separate"/>
      </w:r>
      <w:r w:rsidR="008E155C" w:rsidRPr="008E155C">
        <w:rPr>
          <w:rFonts w:ascii="Times New Roman" w:hAnsi="Times New Roman" w:cs="Times New Roman"/>
          <w:noProof/>
          <w:sz w:val="28"/>
          <w:szCs w:val="28"/>
        </w:rPr>
        <w:t>[35</w:t>
      </w:r>
      <w:r w:rsidR="008E155C">
        <w:rPr>
          <w:rFonts w:ascii="Times New Roman" w:hAnsi="Times New Roman" w:cs="Times New Roman"/>
          <w:noProof/>
          <w:sz w:val="28"/>
          <w:szCs w:val="28"/>
        </w:rPr>
        <w:t>, р. 2993</w:t>
      </w:r>
      <w:r w:rsidR="008E155C" w:rsidRPr="008E155C">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При ожирении вследствие хронического воспаления жировой ткани происходит сдвиг на гомеостатическом уровне, приводящий к</w:t>
      </w:r>
      <w:r w:rsidR="00454138">
        <w:rPr>
          <w:rFonts w:ascii="Times New Roman" w:hAnsi="Times New Roman" w:cs="Times New Roman"/>
          <w:sz w:val="28"/>
          <w:szCs w:val="28"/>
        </w:rPr>
        <w:t xml:space="preserve"> </w:t>
      </w:r>
      <w:r>
        <w:rPr>
          <w:rFonts w:ascii="Times New Roman" w:hAnsi="Times New Roman" w:cs="Times New Roman"/>
          <w:sz w:val="28"/>
          <w:szCs w:val="28"/>
        </w:rPr>
        <w:t>ИР и нарушенному гомеостазу глюкозы.</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Связывание инсулина с его рецептором в печени, скелетных мышцах и жировой ткани обычно приводит к активации каскада внутриклеточных сигнальных путей, которые приводят к тканеспецифическим ответам. В </w:t>
      </w:r>
      <w:r>
        <w:rPr>
          <w:rFonts w:ascii="Times New Roman" w:hAnsi="Times New Roman" w:cs="Times New Roman"/>
          <w:sz w:val="28"/>
          <w:szCs w:val="28"/>
        </w:rPr>
        <w:lastRenderedPageBreak/>
        <w:t xml:space="preserve">печени инсулин ингибирует выработку глюкозы, способствует усвоению глюкозы скелетными мышцами и подавляет липолиз в жировой ткани. Следовательно, ИР приводит к нарушениям, где инсулин подавляет производство глюкозы в печени, удаляет глюкозу в скелетных мышцах и ингибирует липолиз, что приводит к относительной гипергликемии и повышению </w:t>
      </w:r>
      <w:r w:rsidR="0001290E">
        <w:rPr>
          <w:rFonts w:ascii="Times New Roman" w:hAnsi="Times New Roman" w:cs="Times New Roman"/>
          <w:sz w:val="28"/>
          <w:szCs w:val="28"/>
          <w:lang w:val="kk-KZ"/>
        </w:rPr>
        <w:t xml:space="preserve">сывороточного </w:t>
      </w:r>
      <w:r>
        <w:rPr>
          <w:rFonts w:ascii="Times New Roman" w:hAnsi="Times New Roman" w:cs="Times New Roman"/>
          <w:sz w:val="28"/>
          <w:szCs w:val="28"/>
        </w:rPr>
        <w:t>уровня свободных жирных кислот</w:t>
      </w:r>
      <w:r w:rsidR="00F053CB">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F7759F">
        <w:rPr>
          <w:rFonts w:ascii="Times New Roman" w:hAnsi="Times New Roman" w:cs="Times New Roman"/>
          <w:sz w:val="28"/>
          <w:szCs w:val="28"/>
        </w:rPr>
        <w:instrText>ADDIN CSL_CITATION {"citationItems":[{"id":"ITEM-1","itemData":{"DOI":"10.1146/annurev-physiol-021909-135846","ISSN":"0066-4278","abstract":"Obesity induces an insulin-resistant state in adipose tissue, liver, and muscle and is a strong risk factor for the development of type 2 diabetes mellitus. Insulin resistance in the setting of obesity results from a combination of altered functions of insulin target cells and the accumulation of macrophages that secrete proinflammatory mediators. At the molecular level, insulin resistance is promoted by a transition in macrophage polarization from an alternative M2 activation state maintained by STAT6 and PPARs to a classical M1 activation state driven by NF-κB, AP1, and other signal-dependent transcription factors that play crucial roles in innate immunity. Strategies focused on inhibiting the inflammation/insulin resistance axis that otherwise preserve essential innate immune functions may hold promise for therapeutic intervention. © 2010 by Annual Reviews. All rights reserved.","author":[{"dropping-particle":"","family":"Olefsky","given":"Jerrold M.","non-dropping-particle":"","parse-names":false,"suffix":""},{"dropping-particle":"","family":"Glass","given":"Christopher K.","non-dropping-particle":"","parse-names":false,"suffix":""}],"container-title":"Annual Review of Physiology","id":"ITEM-1","issue":"1","issued":{"date-parts":[["2010","3","17"]]},"page":"219-246","title":"Macrophages, Inflammation, and Insulin Resistance","type":"article-journal","volume":"72"},"uris":["http://www.mendeley.com/documents/?uuid=f451f1bd-dab2-4e2f-99d7-223455c27467","http://www.mendeley.com/documents/?uuid=b00d2291-acc9-4d35-a8b8-2bdbdd4cb247"]}],"mendeley":{"formattedCitation":"[36]","manualFormatting":"[36, р. 240]","plainTextFormattedCitation":"[36]","previouslyFormattedCitation":"[36]"},"properties":{"noteIndex":0},"schema":"https://github.com/citation-style-language/schema/raw/master/csl-citation.json"}</w:instrText>
      </w:r>
      <w:r w:rsidR="00EA0E64">
        <w:rPr>
          <w:rFonts w:ascii="Times New Roman" w:hAnsi="Times New Roman" w:cs="Times New Roman"/>
          <w:sz w:val="28"/>
          <w:szCs w:val="28"/>
        </w:rPr>
        <w:fldChar w:fldCharType="separate"/>
      </w:r>
      <w:r w:rsidR="00F7759F" w:rsidRPr="00F7759F">
        <w:rPr>
          <w:rFonts w:ascii="Times New Roman" w:hAnsi="Times New Roman" w:cs="Times New Roman"/>
          <w:noProof/>
          <w:sz w:val="28"/>
          <w:szCs w:val="28"/>
        </w:rPr>
        <w:t>[36</w:t>
      </w:r>
      <w:r w:rsidR="00F7759F">
        <w:rPr>
          <w:rFonts w:ascii="Times New Roman" w:hAnsi="Times New Roman" w:cs="Times New Roman"/>
          <w:noProof/>
          <w:sz w:val="28"/>
          <w:szCs w:val="28"/>
        </w:rPr>
        <w:t>, р. 240</w:t>
      </w:r>
      <w:r w:rsidR="00F7759F" w:rsidRPr="00F7759F">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Долгое время ИР тканей компенсируется гиперсекрецией инсулина, которая поддерживает нормогликем</w:t>
      </w:r>
      <w:r w:rsidR="00731EF4">
        <w:rPr>
          <w:rFonts w:ascii="Times New Roman" w:hAnsi="Times New Roman" w:cs="Times New Roman"/>
          <w:sz w:val="28"/>
          <w:szCs w:val="28"/>
        </w:rPr>
        <w:t>ию. Но со временем, гиперсекреции</w:t>
      </w:r>
      <w:r>
        <w:rPr>
          <w:rFonts w:ascii="Times New Roman" w:hAnsi="Times New Roman" w:cs="Times New Roman"/>
          <w:sz w:val="28"/>
          <w:szCs w:val="28"/>
        </w:rPr>
        <w:t xml:space="preserve"> инсулина становится недостаточно, что приводит к предиабету, а позже и к СД 2 типа</w:t>
      </w:r>
      <w:r w:rsidR="00F053CB">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{"citationItems":[{"id":"ITEM-1","itemData":{"DOI":"10.1016/S0140-6736(05)61032-X","ISSN":"01406736","abstract":"415 million people live with diabetes worldwide, and an estimated 193 million people have undiagnosed diabetes. Type 2 diabetes accounts for more than 90% of patients with diabetes and leads to microvascular and macrovascular complications that cause profound psychological and physical distress to both patients and carers and put a huge burden on health-care systems. Despite increasing knowledge regarding risk factors for type 2 diabetes and evidence for successful prevention programmes, the incidence and prevalence of the disease continues to rise globally. Early detection through screening programmes and the availability of safe and effective therapies reduces morbidity and mortality by preventing or delaying complications. Increased understanding of specific diabetes phenotypes and genotypes might result in more specific and tailored management of patients with type 2 diabetes, as has been shown in patients with maturity onset diabetes of the young. In this Seminar, we describe recent developments in the diagnosis and management of type 2 diabetes, existing controversies, and future directions of care.","author":[{"dropping-particle":"","family":"Stumvoll","given":"Michael","non-dropping-particle":"","parse-names":false,"suffix":""},{"dropping-particle":"","family":"Goldstein","given":"Barry J","non-dropping-particle":"","parse-names":false,"suffix":""},{"dropping-particle":"","family":"Haeften","given":"Timon W","non-dropping-particle":"van","parse-names":false,"suffix":""}],"container-title":"The Lancet","id":"ITEM-1","issue":"9467","issued":{"date-parts":[["2005","4"]]},"page":"1333-1346","title":"Type 2 diabetes: principles of pathogenesis and therapy","type":"article-journal","volume":"365"},"uris":["http://www.mendeley.com/documents/?uuid=054be137-d55b-4088-960b-b4f1d6e00962","http://www.mendeley.com/documents/?uuid=5002e226-7a08-4aa6-ad64-332e6f8a78bf"]}],"mendeley":{"formattedCitation":"[121]","plainTextFormattedCitation":"[121]","previouslyFormattedCitation":"[121]"},"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[121]</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Абдоминальное ожирение, вызывая избыточную продукцию воспалительных веществ, адипокинов, гормональных медиаторов, нарушает внутриклеточную передачу сигналов инсулина, тем самым приводя к нарушениям обмена веществ, таким как гипергликемия, дислипидемия и АГ</w:t>
      </w:r>
      <w:r w:rsidR="00F053CB">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{"citationItems":[{"id":"ITEM-1","itemData":{"ISBN":"1657-9534","ISSN":"1657-9534","PMID":"24892324","abstract":"Increased prevalence of obesity in the world, especially accumulation of abnormal amounts of visceral fat predisposes to insulina resistance, which is the central role of metabolic syndrome (MS). Obesity can deregulate the intracellular signaling of insulina due to the production of inflammatory substances, chemo attractant proteins, adipokines and molecules that trigger hormonal mediator potentials for destabilization of signal transduction, leading to metabolic disorders such as hyperglycemia, hypertension, and dyslipidemia. The complexity of the MS and of the genetic mechanisms involved in its etiology derives from the combination of variants on genes involved and environmental factors that predispose it. The purpose of this paper is to review the effects of obesity in molecular and biochemical responses that trigger insulin resistance and its relation to some candidate genes and the ancestral component of the population.","author":[{"dropping-particle":"","family":"Muñoz","given":"Angélica M","non-dropping-particle":"","parse-names":false,"suffix":""},{"dropping-particle":"","family":"Bedoya","given":"Gabriel","non-dropping-particle":"","parse-names":false,"suffix":""},{"dropping-particle":"","family":"Velásquez","given":"Claudia","non-dropping-particle":"","parse-names":false,"suffix":""}],"container-title":"Colombia Médica","id":"ITEM-1","issue":"1","issued":{"date-parts":[["2013"]]},"page":"57-63","title":"An approach to the etiology of metabolic syndrome","type":"article-journal","volume":"44"},"uris":["http://www.mendeley.com/documents/?uuid=a7e40773-4816-4a2e-ae75-2ba6b7bbac85"]}],"mendeley":{"formattedCitation":"[122]","plainTextFormattedCitation":"[122]","previouslyFormattedCitation":"[122]"},"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[122]</w:t>
      </w:r>
      <w:r w:rsidR="00EA0E64">
        <w:rPr>
          <w:rFonts w:ascii="Times New Roman" w:hAnsi="Times New Roman" w:cs="Times New Roman"/>
          <w:sz w:val="28"/>
          <w:szCs w:val="28"/>
        </w:rPr>
        <w:fldChar w:fldCharType="end"/>
      </w:r>
      <w:r>
        <w:rPr>
          <w:rFonts w:ascii="Times New Roman" w:hAnsi="Times New Roman" w:cs="Times New Roman"/>
          <w:sz w:val="28"/>
          <w:szCs w:val="28"/>
        </w:rPr>
        <w:t>. Muñoz</w:t>
      </w:r>
      <w:r w:rsidR="00F053CB">
        <w:rPr>
          <w:rFonts w:ascii="Times New Roman" w:hAnsi="Times New Roman" w:cs="Times New Roman"/>
          <w:sz w:val="28"/>
          <w:szCs w:val="28"/>
        </w:rPr>
        <w:t xml:space="preserve"> </w:t>
      </w:r>
      <w:r w:rsidR="006B29FC">
        <w:rPr>
          <w:rFonts w:ascii="Times New Roman" w:hAnsi="Times New Roman" w:cs="Times New Roman"/>
          <w:sz w:val="28"/>
          <w:szCs w:val="28"/>
        </w:rPr>
        <w:t xml:space="preserve">А.М. </w:t>
      </w:r>
      <w:r>
        <w:rPr>
          <w:rFonts w:ascii="Times New Roman" w:hAnsi="Times New Roman" w:cs="Times New Roman"/>
          <w:sz w:val="28"/>
          <w:szCs w:val="28"/>
        </w:rPr>
        <w:t xml:space="preserve">(2013) изучая влияние ожирения на молекулярные и биохимические реакции, которые запускают ИР, отмечает связь между ИР и некоторыми генами-кандидатами </w:t>
      </w:r>
      <w:r w:rsidR="00EA0E64">
        <w:rPr>
          <w:rFonts w:ascii="Times New Roman" w:hAnsi="Times New Roman" w:cs="Times New Roman"/>
          <w:sz w:val="28"/>
          <w:szCs w:val="28"/>
        </w:rPr>
        <w:fldChar w:fldCharType="begin" w:fldLock="1"/>
      </w:r>
      <w:r w:rsidR="00F7759F">
        <w:rPr>
          <w:rFonts w:ascii="Times New Roman" w:hAnsi="Times New Roman" w:cs="Times New Roman"/>
          <w:sz w:val="28"/>
          <w:szCs w:val="28"/>
        </w:rPr>
        <w:instrText>ADDIN CSL_CITATION {"citationItems":[{"id":"ITEM-1","itemData":{"ISBN":"1657-9534","ISSN":"1657-9534","PMID":"24892324","abstract":"Increased prevalence of obesity in the world, especially accumulation of abnormal amounts of visceral fat predisposes to insulina resistance, which is the central role of metabolic syndrome (MS). Obesity can deregulate the intracellular signaling of insulina due to the production of inflammatory substances, chemo attractant proteins, adipokines and molecules that trigger hormonal mediator potentials for destabilization of signal transduction, leading to metabolic disorders such as hyperglycemia, hypertension, and dyslipidemia. The complexity of the MS and of the genetic mechanisms involved in its etiology derives from the combination of variants on genes involved and environmental factors that predispose it. The purpose of this paper is to review the effects of obesity in molecular and biochemical responses that trigger insulin resistance and its relation to some candidate genes and the ancestral component of the population.","author":[{"dropping-particle":"","family":"Muñoz","given":"Angélica M","non-dropping-particle":"","parse-names":false,"suffix":""},{"dropping-particle":"","family":"Bedoya","given":"Gabriel","non-dropping-particle":"","parse-names":false,"suffix":""},{"dropping-particle":"","family":"Velásquez","given":"Claudia","non-dropping-particle":"","parse-names":false,"suffix":""}],"container-title":"Colombia Médica","id":"ITEM-1","issue":"1","issued":{"date-parts":[["2013"]]},"page":"57-63","title":"An approach to the etiology of metabolic syndrome","type":"article-journal","volume":"44"},"uris":["http://www.mendeley.com/documents/?uuid=a7e40773-4816-4a2e-ae75-2ba6b7bbac85"]}],"mendeley":{"formattedCitation":"[122]","manualFormatting":"[122, р. 60]","plainTextFormattedCitation":"[122]","previouslyFormattedCitation":"[122]"},"properties":{"noteIndex":0},"schema":"https://github.com/citation-style-language/schema/raw/master/csl-citation.json"}</w:instrText>
      </w:r>
      <w:r w:rsidR="00EA0E64">
        <w:rPr>
          <w:rFonts w:ascii="Times New Roman" w:hAnsi="Times New Roman" w:cs="Times New Roman"/>
          <w:sz w:val="28"/>
          <w:szCs w:val="28"/>
        </w:rPr>
        <w:fldChar w:fldCharType="separate"/>
      </w:r>
      <w:r w:rsidR="00F7759F" w:rsidRPr="00F7759F">
        <w:rPr>
          <w:rFonts w:ascii="Times New Roman" w:hAnsi="Times New Roman" w:cs="Times New Roman"/>
          <w:noProof/>
          <w:sz w:val="28"/>
          <w:szCs w:val="28"/>
        </w:rPr>
        <w:t>[122</w:t>
      </w:r>
      <w:r w:rsidR="00F7759F">
        <w:rPr>
          <w:rFonts w:ascii="Times New Roman" w:hAnsi="Times New Roman" w:cs="Times New Roman"/>
          <w:noProof/>
          <w:sz w:val="28"/>
          <w:szCs w:val="28"/>
        </w:rPr>
        <w:t>, р. 60</w:t>
      </w:r>
      <w:r w:rsidR="00F7759F" w:rsidRPr="00F7759F">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ИР часто сочетается с дислипидемией и гипертензией, так как инсулин играет значимую роль в процессе регулирования кровяного давления, действуя как сосудорасширяющее средство за счет высвобождения оксида азота из эндотелия сосудов, усиления канальцевой</w:t>
      </w:r>
      <w:r w:rsidR="00740878">
        <w:rPr>
          <w:rFonts w:ascii="Times New Roman" w:hAnsi="Times New Roman" w:cs="Times New Roman"/>
          <w:sz w:val="28"/>
          <w:szCs w:val="28"/>
        </w:rPr>
        <w:t xml:space="preserve"> </w:t>
      </w:r>
      <w:r>
        <w:rPr>
          <w:rFonts w:ascii="Times New Roman" w:hAnsi="Times New Roman" w:cs="Times New Roman"/>
          <w:sz w:val="28"/>
          <w:szCs w:val="28"/>
        </w:rPr>
        <w:t xml:space="preserve">реабсорбции натрия, эндотелиального действия системы ангиотензин-превращающего фермента. При ожирении же в ответ на гиперинсулинемию увеличивается симпатическая активация, и, как следствие, повышается активность РААС, которая приводит к повышению АД </w:t>
      </w:r>
      <w:r w:rsidR="00EA0E64">
        <w:rPr>
          <w:rFonts w:ascii="Times New Roman" w:hAnsi="Times New Roman" w:cs="Times New Roman"/>
          <w:sz w:val="28"/>
          <w:szCs w:val="28"/>
        </w:rPr>
        <w:fldChar w:fldCharType="begin" w:fldLock="1"/>
      </w:r>
      <w:r w:rsidR="00F7759F">
        <w:rPr>
          <w:rFonts w:ascii="Times New Roman" w:hAnsi="Times New Roman" w:cs="Times New Roman"/>
          <w:sz w:val="28"/>
          <w:szCs w:val="28"/>
        </w:rPr>
        <w:instrText>ADDIN CSL_CITATION {"citationItems":[{"id":"ITEM-1","itemData":{"ISBN":"1657-9534","ISSN":"1657-9534","PMID":"24892324","abstract":"Increased prevalence of obesity in the world, especially accumulation of abnormal amounts of visceral fat predisposes to insulina resistance, which is the central role of metabolic syndrome (MS). Obesity can deregulate the intracellular signaling of insulina due to the production of inflammatory substances, chemo attractant proteins, adipokines and molecules that trigger hormonal mediator potentials for destabilization of signal transduction, leading to metabolic disorders such as hyperglycemia, hypertension, and dyslipidemia. The complexity of the MS and of the genetic mechanisms involved in its etiology derives from the combination of variants on genes involved and environmental factors that predispose it. The purpose of this paper is to review the effects of obesity in molecular and biochemical responses that trigger insulin resistance and its relation to some candidate genes and the ancestral component of the population.","author":[{"dropping-particle":"","family":"Muñoz","given":"Angélica M","non-dropping-particle":"","parse-names":false,"suffix":""},{"dropping-particle":"","family":"Bedoya","given":"Gabriel","non-dropping-particle":"","parse-names":false,"suffix":""},{"dropping-particle":"","family":"Velásquez","given":"Claudia","non-dropping-particle":"","parse-names":false,"suffix":""}],"container-title":"Colombia Médica","id":"ITEM-1","issue":"1","issued":{"date-parts":[["2013"]]},"page":"57-63","title":"An approach to the etiology of metabolic syndrome","type":"article-journal","volume":"44"},"uris":["http://www.mendeley.com/documents/?uuid=a7e40773-4816-4a2e-ae75-2ba6b7bbac85"]}],"mendeley":{"formattedCitation":"[122]","manualFormatting":"[122, р. 60]","plainTextFormattedCitation":"[122]","previouslyFormattedCitation":"[122]"},"properties":{"noteIndex":0},"schema":"https://github.com/citation-style-language/schema/raw/master/csl-citation.json"}</w:instrText>
      </w:r>
      <w:r w:rsidR="00EA0E64">
        <w:rPr>
          <w:rFonts w:ascii="Times New Roman" w:hAnsi="Times New Roman" w:cs="Times New Roman"/>
          <w:sz w:val="28"/>
          <w:szCs w:val="28"/>
        </w:rPr>
        <w:fldChar w:fldCharType="separate"/>
      </w:r>
      <w:r w:rsidR="00F7759F" w:rsidRPr="00F7759F">
        <w:rPr>
          <w:rFonts w:ascii="Times New Roman" w:hAnsi="Times New Roman" w:cs="Times New Roman"/>
          <w:noProof/>
          <w:sz w:val="28"/>
          <w:szCs w:val="28"/>
        </w:rPr>
        <w:t>[122</w:t>
      </w:r>
      <w:r w:rsidR="00F7759F">
        <w:rPr>
          <w:rFonts w:ascii="Times New Roman" w:hAnsi="Times New Roman" w:cs="Times New Roman"/>
          <w:noProof/>
          <w:sz w:val="28"/>
          <w:szCs w:val="28"/>
        </w:rPr>
        <w:t>, р. 60</w:t>
      </w:r>
      <w:r w:rsidR="00F7759F" w:rsidRPr="00F7759F">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AB12B3" w:rsidRDefault="00E635DC"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Известно, что ЛПЛ участвует в нескольких заболеваниях, таких как дислипидемия, СД 2 типа и АГ. Полиморфизмы генов </w:t>
      </w:r>
      <w:r>
        <w:rPr>
          <w:rFonts w:ascii="Times New Roman" w:hAnsi="Times New Roman" w:cs="Times New Roman"/>
          <w:i/>
          <w:sz w:val="28"/>
          <w:szCs w:val="28"/>
          <w:lang w:val="en-US"/>
        </w:rPr>
        <w:t>LPL</w:t>
      </w:r>
      <w:r>
        <w:rPr>
          <w:rFonts w:ascii="Times New Roman" w:hAnsi="Times New Roman" w:cs="Times New Roman"/>
          <w:sz w:val="28"/>
          <w:szCs w:val="28"/>
        </w:rPr>
        <w:t xml:space="preserve"> влияют на липолитическую функцию ЛПЛ, и они считаются хорошими кандидатами для генов при СД и АГ </w:t>
      </w:r>
      <w:r w:rsidR="00EA0E64">
        <w:rPr>
          <w:rFonts w:ascii="Times New Roman" w:hAnsi="Times New Roman" w:cs="Times New Roman"/>
          <w:sz w:val="28"/>
          <w:szCs w:val="28"/>
        </w:rPr>
        <w:fldChar w:fldCharType="begin" w:fldLock="1"/>
      </w:r>
      <w:r w:rsidR="00F7759F">
        <w:rPr>
          <w:rFonts w:ascii="Times New Roman" w:hAnsi="Times New Roman" w:cs="Times New Roman"/>
          <w:sz w:val="28"/>
          <w:szCs w:val="28"/>
        </w:rPr>
        <w:instrText>ADDIN CSL_CITATION {"citationItems":[{"id":"ITEM-1","itemData":{"DOI":"10.1093/eurheartj/19.Abstract_Supplement.1","ISSN":"0195-668X","PMID":"9519338","abstract":"Hyperlipidaemias are important risk factors for coronary heart disease. To prevent and treat the different forms of hyperlipidaemias it is important to understand lipoprotein metabolism. The current knowledge on lipoprotein metabolism is based on many different biochemical and metabolic studies which are summarized here for a clinically orientated overview. Exogenous fat is transported in chylomicrons from the intestine to the liver. After entry in the blood stream the chylomicrons are hydrolyzed by the endothelial-bound lipoprotein lipase. The chylomicron remnants are rapidly taken up into the liver via the LDL receptor and the LDL receptor-related protein. Apolipoprotein E and lipoprotein lipase are the recognition signals for these receptors. The liver utilizes the exogenous fat and can release surplus lipids via VLDL into the blood. The VLDL are another substrate for lipoprotein lipase. The remaining VLDL remnants can either be taken up into the liver or are hydrolyzed to LDL. LDL delivers cholesterol to all body cells via the LDL receptor. The level of LDL cholesterol is regulated by the amount of LDL receptor, and defects in the LDL receptor molecule lead to hypercholesterolaemia. The level of triglyceride-rich remnants is regulated by the amount and activity of lipoprotein lipase and defects in this enzyme cause mixed hyperlipidaemias. Both these forms of hyperlipoproteinaemias are the most frequent and represent major risk factors for arteriosclerosis.","author":[{"dropping-particle":"","family":"Beisiegel","given":"U.","non-dropping-particle":"","parse-names":false,"suffix":""}],"container-title":"European heart journal","id":"ITEM-1","issue":"Abstract Supplement","issued":{"date-parts":[["1998","2","2"]]},"page":"A20-3","title":"Lipoprotein metabolism.","type":"article-journal","volume":"19 Suppl A"},"uris":["http://www.mendeley.com/documents/?uuid=c04c71c4-f758-479d-a5a0-f34f7d16f7eb"]}],"mendeley":{"formattedCitation":"[47]","manualFormatting":"[47, р. 22]","plainTextFormattedCitation":"[47]","previouslyFormattedCitation":"[47]"},"properties":{"noteIndex":0},"schema":"https://github.com/citation-style-language/schema/raw/master/csl-citation.json"}</w:instrText>
      </w:r>
      <w:r w:rsidR="00EA0E64">
        <w:rPr>
          <w:rFonts w:ascii="Times New Roman" w:hAnsi="Times New Roman" w:cs="Times New Roman"/>
          <w:sz w:val="28"/>
          <w:szCs w:val="28"/>
        </w:rPr>
        <w:fldChar w:fldCharType="separate"/>
      </w:r>
      <w:r w:rsidR="00F7759F" w:rsidRPr="00F7759F">
        <w:rPr>
          <w:rFonts w:ascii="Times New Roman" w:hAnsi="Times New Roman" w:cs="Times New Roman"/>
          <w:noProof/>
          <w:sz w:val="28"/>
          <w:szCs w:val="28"/>
        </w:rPr>
        <w:t>[47</w:t>
      </w:r>
      <w:r w:rsidR="00F7759F">
        <w:rPr>
          <w:rFonts w:ascii="Times New Roman" w:hAnsi="Times New Roman" w:cs="Times New Roman"/>
          <w:noProof/>
          <w:sz w:val="28"/>
          <w:szCs w:val="28"/>
        </w:rPr>
        <w:t>, р. 22</w:t>
      </w:r>
      <w:r w:rsidR="00F7759F" w:rsidRPr="00F7759F">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Хотя было проведено несколько исследований влияния полиморфизма гена </w:t>
      </w:r>
      <w:r>
        <w:rPr>
          <w:rFonts w:ascii="Times New Roman" w:hAnsi="Times New Roman" w:cs="Times New Roman"/>
          <w:sz w:val="28"/>
          <w:szCs w:val="28"/>
          <w:lang w:val="en-US"/>
        </w:rPr>
        <w:t>LPL</w:t>
      </w:r>
      <w:r>
        <w:rPr>
          <w:rFonts w:ascii="Times New Roman" w:hAnsi="Times New Roman" w:cs="Times New Roman"/>
          <w:sz w:val="28"/>
          <w:szCs w:val="28"/>
        </w:rPr>
        <w:t xml:space="preserve">, их </w:t>
      </w:r>
      <w:r w:rsidR="008F43E4">
        <w:rPr>
          <w:rFonts w:ascii="Times New Roman" w:hAnsi="Times New Roman" w:cs="Times New Roman"/>
          <w:sz w:val="28"/>
          <w:szCs w:val="28"/>
          <w:lang w:val="kk-KZ"/>
        </w:rPr>
        <w:t>данные</w:t>
      </w:r>
      <w:r>
        <w:rPr>
          <w:rFonts w:ascii="Times New Roman" w:hAnsi="Times New Roman" w:cs="Times New Roman"/>
          <w:sz w:val="28"/>
          <w:szCs w:val="28"/>
        </w:rPr>
        <w:t xml:space="preserve"> отличаются друг от друга в разных популяциях </w:t>
      </w:r>
      <w:r w:rsidR="00EA0E64">
        <w:rPr>
          <w:rFonts w:ascii="Times New Roman" w:hAnsi="Times New Roman" w:cs="Times New Roman"/>
          <w:sz w:val="28"/>
          <w:szCs w:val="28"/>
        </w:rPr>
        <w:fldChar w:fldCharType="begin" w:fldLock="1"/>
      </w:r>
      <w:r w:rsidR="00F7759F">
        <w:rPr>
          <w:rFonts w:ascii="Times New Roman" w:hAnsi="Times New Roman" w:cs="Times New Roman"/>
          <w:sz w:val="28"/>
          <w:szCs w:val="28"/>
        </w:rPr>
        <w:instrText>ADDIN CSL_CITATION {"citationItems":[{"id":"ITEM-1","itemData":{"DOI":"10.1093/eurheartj/19.Abstract_Supplement.1","ISSN":"0195-668X","PMID":"9519338","abstract":"Hyperlipidaemias are important risk factors for coronary heart disease. To prevent and treat the different forms of hyperlipidaemias it is important to understand lipoprotein metabolism. The current knowledge on lipoprotein metabolism is based on many different biochemical and metabolic studies which are summarized here for a clinically orientated overview. Exogenous fat is transported in chylomicrons from the intestine to the liver. After entry in the blood stream the chylomicrons are hydrolyzed by the endothelial-bound lipoprotein lipase. The chylomicron remnants are rapidly taken up into the liver via the LDL receptor and the LDL receptor-related protein. Apolipoprotein E and lipoprotein lipase are the recognition signals for these receptors. The liver utilizes the exogenous fat and can release surplus lipids via VLDL into the blood. The VLDL are another substrate for lipoprotein lipase. The remaining VLDL remnants can either be taken up into the liver or are hydrolyzed to LDL. LDL delivers cholesterol to all body cells via the LDL receptor. The level of LDL cholesterol is regulated by the amount of LDL receptor, and defects in the LDL receptor molecule lead to hypercholesterolaemia. The level of triglyceride-rich remnants is regulated by the amount and activity of lipoprotein lipase and defects in this enzyme cause mixed hyperlipidaemias. Both these forms of hyperlipoproteinaemias are the most frequent and represent major risk factors for arteriosclerosis.","author":[{"dropping-particle":"","family":"Beisiegel","given":"U.","non-dropping-particle":"","parse-names":false,"suffix":""}],"container-title":"European heart journal","id":"ITEM-1","issue":"Abstract Supplement","issued":{"date-parts":[["1998","2","2"]]},"page":"A20-3","title":"Lipoprotein metabolism.","type":"article-journal","volume":"19 Suppl A"},"uris":["http://www.mendeley.com/documents/?uuid=c04c71c4-f758-479d-a5a0-f34f7d16f7eb"]}],"mendeley":{"formattedCitation":"[47]","manualFormatting":"[47, р. 22]","plainTextFormattedCitation":"[47]","previouslyFormattedCitation":"[47]"},"properties":{"noteIndex":0},"schema":"https://github.com/citation-style-language/schema/raw/master/csl-citation.json"}</w:instrText>
      </w:r>
      <w:r w:rsidR="00EA0E64">
        <w:rPr>
          <w:rFonts w:ascii="Times New Roman" w:hAnsi="Times New Roman" w:cs="Times New Roman"/>
          <w:sz w:val="28"/>
          <w:szCs w:val="28"/>
        </w:rPr>
        <w:fldChar w:fldCharType="separate"/>
      </w:r>
      <w:r w:rsidR="00F7759F" w:rsidRPr="00F7759F">
        <w:rPr>
          <w:rFonts w:ascii="Times New Roman" w:hAnsi="Times New Roman" w:cs="Times New Roman"/>
          <w:noProof/>
          <w:sz w:val="28"/>
          <w:szCs w:val="28"/>
        </w:rPr>
        <w:t>[47</w:t>
      </w:r>
      <w:r w:rsidR="00F7759F">
        <w:rPr>
          <w:rFonts w:ascii="Times New Roman" w:hAnsi="Times New Roman" w:cs="Times New Roman"/>
          <w:noProof/>
          <w:sz w:val="28"/>
          <w:szCs w:val="28"/>
        </w:rPr>
        <w:t>, р. 22</w:t>
      </w:r>
      <w:r w:rsidR="00F7759F" w:rsidRPr="00F7759F">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r w:rsidR="00554F52">
        <w:rPr>
          <w:rFonts w:ascii="Times New Roman" w:hAnsi="Times New Roman" w:cs="Times New Roman"/>
          <w:sz w:val="28"/>
          <w:szCs w:val="28"/>
        </w:rPr>
        <w:t xml:space="preserve"> </w:t>
      </w:r>
      <w:r w:rsidR="00AB12B3">
        <w:rPr>
          <w:rFonts w:ascii="Times New Roman" w:hAnsi="Times New Roman" w:cs="Times New Roman"/>
          <w:sz w:val="28"/>
          <w:szCs w:val="28"/>
        </w:rPr>
        <w:t>Panizzon</w:t>
      </w:r>
      <w:r w:rsidR="00554F52">
        <w:rPr>
          <w:rFonts w:ascii="Times New Roman" w:hAnsi="Times New Roman" w:cs="Times New Roman"/>
          <w:sz w:val="28"/>
          <w:szCs w:val="28"/>
        </w:rPr>
        <w:t xml:space="preserve"> </w:t>
      </w:r>
      <w:r w:rsidR="006B29FC">
        <w:rPr>
          <w:rFonts w:ascii="Times New Roman" w:hAnsi="Times New Roman" w:cs="Times New Roman"/>
          <w:sz w:val="28"/>
          <w:szCs w:val="28"/>
        </w:rPr>
        <w:t xml:space="preserve">М. </w:t>
      </w:r>
      <w:r w:rsidR="00AB12B3">
        <w:rPr>
          <w:rFonts w:ascii="Times New Roman" w:hAnsi="Times New Roman" w:cs="Times New Roman"/>
          <w:sz w:val="28"/>
          <w:szCs w:val="28"/>
        </w:rPr>
        <w:t>(2015) показал, что ожирение, ИР, нарушения липидного обмена и регуляция АД обусловлены наследственностью</w:t>
      </w:r>
      <w:r w:rsidR="00554F52">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{"citationItems":[{"id":"ITEM-1","itemData":{"DOI":"10.1002/oby.21257","ISSN":"19307381","PMID":"26524476","abstract":"OBJECTIVE Metabolic syndrome, a clustering of risk factors including insulin resistance, dyslipidemia, central obesity, and hypertension, increases risk for cardiovascular disease and cognitive decline. The etiology of the risk factors' cohesion remains unclear. How genetic and environmental influences explained co-occurrence of metabolic syndrome components was examined. METHODS Continuous measures of body mass index (BMI), waist circumference, blood pressure (BP), fasting insulin and glucose, high-density lipoprotein cholesterol (HDL), and triglycerides from 1,193 middle-aged twin men participating in the Vietnam Era Twin Study of Aging at average age 62 (range 56-67) were analyzed using multivariate biometrical modeling. RESULTS Four heritable factors were found: adiposity (BMI, waist circumference), insulin resistance (glucose, insulin), lipids (HDL, triglycerides), and BP (systolic, diastolic). Heritabilities were 0.42-0.68. In the best-fitting model, insulin resistance, lipids, and adiposity comprised a higher-order latent genetic factor. Adiposity and BP shared genetic influences independent of the latent genetic factor. All factors aggregated on a latent unique environmental factor. CONCLUSIONS Metabolic syndrome components form the equivalent of two genetic factors. BP was genetically unrelated to insulin resistance and lipids. Adiposity was the only characteristic genetically and environmentally related to all other factors. These results inform strategies for gene discovery and prediction of health outcomes.","author":[{"dropping-particle":"","family":"Panizzon","given":"Matthew S","non-dropping-particle":"","parse-names":false,"suffix":""},{"dropping-particle":"","family":"Hauger","given":"Richard L","non-dropping-particle":"","parse-names":false,"suffix":""},{"dropping-particle":"","family":"Sailors","given":"Megan","non-dropping-particle":"","parse-names":false,"suffix":""},{"dropping-particle":"","family":"Lyons","given":"Michael J","non-dropping-particle":"","parse-names":false,"suffix":""},{"dropping-particle":"","family":"Jacobson","given":"Kristen C","non-dropping-particle":"","parse-names":false,"suffix":""},{"dropping-particle":"","family":"Murray McKenzie","given":"Ruth","non-dropping-particle":"","parse-names":false,"suffix":""},{"dropping-particle":"","family":"Rana","given":"Brinda","non-dropping-particle":"","parse-names":false,"suffix":""},{"dropping-particle":"","family":"Vasilopoulos","given":"Terrie","non-dropping-particle":"","parse-names":false,"suffix":""},{"dropping-particle":"","family":"Vuoksimaa","given":"Eero","non-dropping-particle":"","parse-names":false,"suffix":""},{"dropping-particle":"","family":"Xian","given":"Hong","non-dropping-particle":"","parse-names":false,"suffix":""},{"dropping-particle":"","family":"Kremen","given":"William S","non-dropping-particle":"","parse-names":false,"suffix":""},{"dropping-particle":"","family":"Franz","given":"Carol E","non-dropping-particle":"","parse-names":false,"suffix":""}],"container-title":"Obesity","id":"ITEM-1","issue":"12","issued":{"date-parts":[["2015","12"]]},"page":"2499-2507","title":"A new look at the genetic and environmental coherence of metabolic syndrome components","type":"article-journal","volume":"23"},"uris":["http://www.mendeley.com/documents/?uuid=c552a449-6013-47ca-9555-0242d2798647"]}],"mendeley":{"formattedCitation":"[123]","plainTextFormattedCitation":"[123]","previouslyFormattedCitation":"[123]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[123]</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При этом он утверждает, что ИР и дислипидемия включают в себя подтвержденный генетический фактор по сравнению с АГ. Ожирение, по мнению Panizzon</w:t>
      </w:r>
      <w:r w:rsidR="00527732">
        <w:rPr>
          <w:rFonts w:ascii="Times New Roman" w:hAnsi="Times New Roman" w:cs="Times New Roman"/>
          <w:sz w:val="28"/>
          <w:szCs w:val="28"/>
        </w:rPr>
        <w:t xml:space="preserve"> </w:t>
      </w:r>
      <w:r w:rsidR="002D3E23">
        <w:rPr>
          <w:rFonts w:ascii="Times New Roman" w:hAnsi="Times New Roman" w:cs="Times New Roman"/>
          <w:sz w:val="28"/>
          <w:szCs w:val="28"/>
        </w:rPr>
        <w:t xml:space="preserve">М. </w:t>
      </w:r>
      <w:r w:rsidR="00AB12B3">
        <w:rPr>
          <w:rFonts w:ascii="Times New Roman" w:hAnsi="Times New Roman" w:cs="Times New Roman"/>
          <w:sz w:val="28"/>
          <w:szCs w:val="28"/>
        </w:rPr>
        <w:t>(2015) обусловлено как генетически</w:t>
      </w:r>
      <w:r w:rsidR="002D6D08">
        <w:rPr>
          <w:rFonts w:ascii="Times New Roman" w:hAnsi="Times New Roman" w:cs="Times New Roman"/>
          <w:sz w:val="28"/>
          <w:szCs w:val="28"/>
        </w:rPr>
        <w:t>ми</w:t>
      </w:r>
      <w:r w:rsidR="00AB12B3">
        <w:rPr>
          <w:rFonts w:ascii="Times New Roman" w:hAnsi="Times New Roman" w:cs="Times New Roman"/>
          <w:sz w:val="28"/>
          <w:szCs w:val="28"/>
        </w:rPr>
        <w:t>, так и средовыми факторами. Chen</w:t>
      </w:r>
      <w:r w:rsidR="00294FD5">
        <w:rPr>
          <w:rFonts w:ascii="Times New Roman" w:hAnsi="Times New Roman" w:cs="Times New Roman"/>
          <w:sz w:val="28"/>
          <w:szCs w:val="28"/>
        </w:rPr>
        <w:t xml:space="preserve"> </w:t>
      </w:r>
      <w:r w:rsidR="002D3E23">
        <w:rPr>
          <w:rFonts w:ascii="Times New Roman" w:hAnsi="Times New Roman" w:cs="Times New Roman"/>
          <w:sz w:val="28"/>
          <w:szCs w:val="28"/>
        </w:rPr>
        <w:t xml:space="preserve">Z. </w:t>
      </w:r>
      <w:r w:rsidR="00AB12B3">
        <w:rPr>
          <w:rFonts w:ascii="Times New Roman" w:hAnsi="Times New Roman" w:cs="Times New Roman"/>
          <w:sz w:val="28"/>
          <w:szCs w:val="28"/>
        </w:rPr>
        <w:t xml:space="preserve">и соавторы (2020) изучали </w:t>
      </w:r>
      <w:r w:rsidR="002D6D08">
        <w:rPr>
          <w:rFonts w:ascii="Times New Roman" w:hAnsi="Times New Roman" w:cs="Times New Roman"/>
          <w:sz w:val="28"/>
          <w:szCs w:val="28"/>
        </w:rPr>
        <w:t>потенциальные таргетные</w:t>
      </w:r>
      <w:r w:rsidR="00AB12B3">
        <w:rPr>
          <w:rFonts w:ascii="Times New Roman" w:hAnsi="Times New Roman" w:cs="Times New Roman"/>
          <w:sz w:val="28"/>
          <w:szCs w:val="28"/>
        </w:rPr>
        <w:t xml:space="preserve"> 16 ген</w:t>
      </w:r>
      <w:r w:rsidR="00F42DB8">
        <w:rPr>
          <w:rFonts w:ascii="Times New Roman" w:hAnsi="Times New Roman" w:cs="Times New Roman"/>
          <w:sz w:val="28"/>
          <w:szCs w:val="28"/>
          <w:lang w:val="kk-KZ"/>
        </w:rPr>
        <w:t>ов</w:t>
      </w:r>
      <w:r w:rsidR="00AB12B3">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{"citationItems":[{"id":"ITEM-1","itemData":{"DOI":"10.1161/CIRCRESAHA.119.315246","ISSN":"15244571","abstract":"Rationale: Genome-wide association studies have identified genetic loci associated with insulin resistance (IR) but pinpointing the causal genes of a risk locus has been challenging. Objective: To identify candidate causal genes for IR, we screened regional and biologically plausible genes (16 in total) near the top 10 IR-loci in risk-relevant cell types, namely preadipocytes and adipocytes. Methods and Results: We generated 16 human Simpson-Golabi-Behmel syndrome preadipocyte knockout lines each with a single IR-gene knocked out by lentivirus-mediated CRISPR (clustered regularly interspaced short palindromic repeats)/Cas9 system. We evaluated each gene knockout by screening IR-relevant phenotypes in the 3 insulin-sensitizing mechanisms, including adipogenesis, lipid metabolism, and insulin signaling. We performed genetic analyses using data on the genotype-tissue expression portal expression quantitative trait loci database and accelerating medicines partnership type 2 diabetes mellitus Knowledge Portal to evaluate whether candidate genes prioritized by our in vitro studies were expression quantitative trait loci genes in human subcutaneous adipose tissue, and whether expression of these genes is associated with risk of IR, type 2 diabetes mellitus, and cardiovascular diseases. We further validated the functions of 3 new adipose IR genes by overexpression-based phenotypic rescue in the Simpson-Golabi-Behmel syndrome preadipocyte knockout lines. Twelve genes, PPARG, IRS-1, FST, PEPD, PDGFC, MAP3K1, GRB14, ARL15, ANKRD55, RSPO3, COBLL1, and LYPLAL1, showed diverse phenotypes in the 3 insulin-sensitizing mechanisms, and the first 7 of these genes could affect all the 3 mechanisms. Five out of 6 expression quantitative trait loci genes are among the top candidate causal genes and the abnormal expression levels of these genes (IRS-1, GRB14, FST, PEPD, and PDGFC) in human subcutaneous adipose tissue could be associated with increased risk of IR, type 2 diabetes mellitus, and cardiovascular disease. Phenotypic rescue by overexpression of the candidate causal genes (FST, PEPD, and PDGFC) in the Simpson-Golabi-Behmel syndrome preadipocyte knockout lines confirmed their function in adipose IR. Conclusions: Twelve genes showed diverse phenotypes indicating differential roles in insulin sensitization, suggesting mechanisms bridging the association of their genomic loci with IR. We prioritized PPARG, IRS-1, GRB14, MAP3K1, FST, PEPD, and PDGFC as top candidate genes…","author":[{"dropping-particle":"","family":"Chen","given":"Zhifen","non-dropping-particle":"","parse-names":false,"suffix":""},{"dropping-particle":"","family":"Yu","given":"Haojie","non-dropping-particle":"","parse-names":false,"suffix":""},{"dropping-particle":"","family":"Shi","given":"Xu","non-dropping-particle":"","parse-names":false,"suffix":""},{"dropping-particle":"","family":"Warren","given":"Curtis R.","non-dropping-particle":"","parse-names":false,"suffix":""},{"dropping-particle":"","family":"Lotta","given":"Luca A.","non-dropping-particle":"","parse-names":false,"suffix":""},{"dropping-particle":"","family":"Friesen","given":"Max","non-dropping-particle":"","parse-names":false,"suffix":""},{"dropping-particle":"","family":"Meissner","given":"Torsten B.","non-dropping-particle":"","parse-names":false,"suffix":""},{"dropping-particle":"","family":"Langenberg","given":"Claudia","non-dropping-particle":"","parse-names":false,"suffix":""},{"dropping-particle":"","family":"Wabitsch","given":"Martin","non-dropping-particle":"","parse-names":false,"suffix":""},{"dropping-particle":"","family":"Wareham","given":"Nick","non-dropping-particle":"","parse-names":false,"suffix":""},{"dropping-particle":"","family":"Benson","given":"Mark D.","non-dropping-particle":"","parse-names":false,"suffix":""},{"dropping-particle":"","family":"Gerszten","given":"Rob E.","non-dropping-particle":"","parse-names":false,"suffix":""},{"dropping-particle":"","family":"Cowan","given":"Chad A.","non-dropping-particle":"","parse-names":false,"suffix":""}],"container-title":"Circulation research","id":"ITEM-1","issue":"3","issued":{"date-parts":[["2020"]]},"page":"330-346","title":"Functional Screening of Candidate Causal Genes for Insulin Resistance in Human Preadipocytes and Adipocytes","type":"article-journal","volume":"126"},"uris":["http://www.mendeley.com/documents/?uuid=721cbff9-36b1-4e9a-b99d-fe7278e41b54"]}],"mendeley":{"formattedCitation":"[124]","plainTextFormattedCitation":"[124]","previouslyFormattedCitation":"[124]"},"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[124]</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которые влияют на преадипоциты и адипоциты, тем самым играют роль в развитии ИР.</w:t>
      </w:r>
    </w:p>
    <w:p w:rsidR="00AB12B3" w:rsidRDefault="006B29FC"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Cho</w:t>
      </w:r>
      <w:r w:rsidR="00DA18D9">
        <w:rPr>
          <w:rFonts w:ascii="Times New Roman" w:hAnsi="Times New Roman" w:cs="Times New Roman"/>
          <w:sz w:val="28"/>
          <w:szCs w:val="28"/>
        </w:rPr>
        <w:t xml:space="preserve"> </w:t>
      </w:r>
      <w:r w:rsidR="00AB12B3">
        <w:rPr>
          <w:rFonts w:ascii="Times New Roman" w:hAnsi="Times New Roman" w:cs="Times New Roman"/>
          <w:sz w:val="28"/>
          <w:szCs w:val="28"/>
        </w:rPr>
        <w:t>Y</w:t>
      </w:r>
      <w:r>
        <w:rPr>
          <w:rFonts w:ascii="Times New Roman" w:hAnsi="Times New Roman" w:cs="Times New Roman"/>
          <w:sz w:val="28"/>
          <w:szCs w:val="28"/>
        </w:rPr>
        <w:t>.</w:t>
      </w:r>
      <w:r w:rsidR="00DA18D9">
        <w:rPr>
          <w:rFonts w:ascii="Times New Roman" w:hAnsi="Times New Roman" w:cs="Times New Roman"/>
          <w:sz w:val="28"/>
          <w:szCs w:val="28"/>
        </w:rPr>
        <w:t xml:space="preserve"> </w:t>
      </w:r>
      <w:r w:rsidR="002D3E23">
        <w:rPr>
          <w:rFonts w:ascii="Times New Roman" w:hAnsi="Times New Roman" w:cs="Times New Roman"/>
          <w:sz w:val="28"/>
          <w:szCs w:val="28"/>
        </w:rPr>
        <w:t>и</w:t>
      </w:r>
      <w:r w:rsidR="00772589">
        <w:rPr>
          <w:rFonts w:ascii="Times New Roman" w:hAnsi="Times New Roman" w:cs="Times New Roman"/>
          <w:sz w:val="28"/>
          <w:szCs w:val="28"/>
        </w:rPr>
        <w:t xml:space="preserve"> группа ученых</w:t>
      </w:r>
      <w:r w:rsidR="00AB12B3">
        <w:rPr>
          <w:rFonts w:ascii="Times New Roman" w:hAnsi="Times New Roman" w:cs="Times New Roman"/>
          <w:sz w:val="28"/>
          <w:szCs w:val="28"/>
        </w:rPr>
        <w:t xml:space="preserve"> (2008) </w:t>
      </w:r>
      <w:r w:rsidR="00772589">
        <w:rPr>
          <w:rFonts w:ascii="Times New Roman" w:hAnsi="Times New Roman" w:cs="Times New Roman"/>
          <w:sz w:val="28"/>
          <w:szCs w:val="28"/>
        </w:rPr>
        <w:t>оценили</w:t>
      </w:r>
      <w:r w:rsidR="00AB12B3">
        <w:rPr>
          <w:rFonts w:ascii="Times New Roman" w:hAnsi="Times New Roman" w:cs="Times New Roman"/>
          <w:sz w:val="28"/>
          <w:szCs w:val="28"/>
        </w:rPr>
        <w:t xml:space="preserve"> роль полиморфизмов гена </w:t>
      </w:r>
      <w:r w:rsidR="00AB12B3">
        <w:rPr>
          <w:rFonts w:ascii="Times New Roman" w:hAnsi="Times New Roman" w:cs="Times New Roman"/>
          <w:i/>
          <w:sz w:val="28"/>
          <w:szCs w:val="28"/>
        </w:rPr>
        <w:t>LPL</w:t>
      </w:r>
      <w:r w:rsidR="00AB12B3">
        <w:rPr>
          <w:rFonts w:ascii="Times New Roman" w:hAnsi="Times New Roman" w:cs="Times New Roman"/>
          <w:sz w:val="28"/>
          <w:szCs w:val="28"/>
        </w:rPr>
        <w:t xml:space="preserve"> в патогенезе СД 2 типа у корейцев, и приш</w:t>
      </w:r>
      <w:r w:rsidR="00731EF4">
        <w:rPr>
          <w:rFonts w:ascii="Times New Roman" w:hAnsi="Times New Roman" w:cs="Times New Roman"/>
          <w:sz w:val="28"/>
          <w:szCs w:val="28"/>
        </w:rPr>
        <w:t>ли</w:t>
      </w:r>
      <w:r w:rsidR="00AB12B3">
        <w:rPr>
          <w:rFonts w:ascii="Times New Roman" w:hAnsi="Times New Roman" w:cs="Times New Roman"/>
          <w:sz w:val="28"/>
          <w:szCs w:val="28"/>
        </w:rPr>
        <w:t xml:space="preserve"> к выводу, что полиморфизм гена </w:t>
      </w:r>
      <w:r w:rsidR="00AB12B3">
        <w:rPr>
          <w:rFonts w:ascii="Times New Roman" w:hAnsi="Times New Roman" w:cs="Times New Roman"/>
          <w:i/>
          <w:sz w:val="28"/>
          <w:szCs w:val="28"/>
        </w:rPr>
        <w:t>LPL</w:t>
      </w:r>
      <w:r w:rsidR="00AB12B3">
        <w:rPr>
          <w:rFonts w:ascii="Times New Roman" w:hAnsi="Times New Roman" w:cs="Times New Roman"/>
          <w:sz w:val="28"/>
          <w:szCs w:val="28"/>
        </w:rPr>
        <w:t>, контролирующего уровень липидов в крови, может быть одним из важных генетических факторов в патогенезе заболевания в корейской популяции. Авторы</w:t>
      </w:r>
      <w:r w:rsidR="00731EF4">
        <w:rPr>
          <w:rFonts w:ascii="Times New Roman" w:hAnsi="Times New Roman" w:cs="Times New Roman"/>
          <w:sz w:val="28"/>
          <w:szCs w:val="28"/>
        </w:rPr>
        <w:t>,</w:t>
      </w:r>
      <w:r w:rsidR="00AB12B3">
        <w:rPr>
          <w:rFonts w:ascii="Times New Roman" w:hAnsi="Times New Roman" w:cs="Times New Roman"/>
          <w:sz w:val="28"/>
          <w:szCs w:val="28"/>
        </w:rPr>
        <w:t xml:space="preserve"> также не исключают влияния факторов, таких как ожирение, гипертензия, дислипидемия, уровень глюкозы и инсулина в крови, являющихся критическими в риске развития СД 2 типа</w:t>
      </w:r>
      <w:r w:rsidR="00DA18D9">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{"citationItems":[{"id":"ITEM-1","itemData":{"DOI":"10.3858/emm.2008.40.5.523","ISSN":"1226-3613","author":[{"dropping-particle":"","family":"Cho","given":"Yoon Shin","non-dropping-particle":"","parse-names":false,"suffix":""},{"dropping-particle":"","family":"Go","given":"Min Jin","non-dropping-particle":"","parse-names":false,"suffix":""},{"dropping-particle":"","family":"Han","given":"Hye Ree","non-dropping-particle":"","parse-names":false,"suffix":""},{"dropping-particle":"","family":"Cha","given":"Seung-Hun","non-dropping-particle":"","parse-names":false,"suffix":""},{"dropping-particle":"","family":"Kim","given":"Hung-Tae","non-dropping-particle":"","parse-names":false,"suffix":""},{"dropping-particle":"","family":"Min","given":"Haesook","non-dropping-particle":"","parse-names":false,"suffix":""},{"dropping-particle":"","family":"Shin","given":"Hyoung Doo","non-dropping-particle":"","parse-names":false,"suffix":""},{"dropping-particle":"","family":"Park","given":"Chan","non-dropping-particle":"","parse-names":false,"suffix":""},{"dropping-particle":"","family":"Han","given":"Bok-Ghee","non-dropping-particle":"","parse-names":false,"suffix":""},{"dropping-particle":"","family":"Cho","given":"Nam Han","non-dropping-particle":"","parse-names":false,"suffix":""},{"dropping-particle":"","family":"Shin","given":"Chol","non-dropping-particle":"","parse-names":false,"suffix":""},{"dropping-particle":"","family":"Kimm","given":"Kuchan","non-dropping-particle":"","parse-names":false,"suffix":""},{"dropping-particle":"","family":"Oh","given":"Bermseok","non-dropping-particle":"","parse-names":false,"suffix":""}],"container-title":"Experimental and Molecular Medicine","id":"ITEM-1","issue":"5","issued":{"date-parts":[["2008"]]},"page":"523","title":"Association of lipoprotein lipase (LPL) single nucleotide polymorphisms with type 2 diabetes mellitus","type":"article-journal","volume":"40"},"uris":["http://www.mendeley.com/documents/?uuid=998da7ea-be22-4817-8894-b966703d780f"]}],"mendeley":{"formattedCitation":"[125]","plainTextFormattedCitation":"[125]","previouslyFormattedCitation":"[125]"},"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[125]</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w:t>
      </w:r>
      <w:r w:rsidR="00DA18D9">
        <w:rPr>
          <w:rFonts w:ascii="Times New Roman" w:hAnsi="Times New Roman" w:cs="Times New Roman"/>
          <w:sz w:val="28"/>
          <w:szCs w:val="28"/>
        </w:rPr>
        <w:t xml:space="preserve"> </w:t>
      </w:r>
      <w:r w:rsidR="00551194">
        <w:rPr>
          <w:rFonts w:ascii="Times New Roman" w:hAnsi="Times New Roman" w:cs="Times New Roman"/>
          <w:sz w:val="28"/>
          <w:szCs w:val="28"/>
        </w:rPr>
        <w:t xml:space="preserve">При изучении </w:t>
      </w:r>
      <w:r w:rsidR="00551194">
        <w:rPr>
          <w:rFonts w:ascii="Times New Roman" w:hAnsi="Times New Roman" w:cs="Times New Roman"/>
          <w:sz w:val="28"/>
          <w:szCs w:val="28"/>
        </w:rPr>
        <w:lastRenderedPageBreak/>
        <w:t xml:space="preserve">связи между полиморфизмов генов </w:t>
      </w:r>
      <w:r w:rsidR="00551194">
        <w:rPr>
          <w:rFonts w:ascii="Times New Roman" w:hAnsi="Times New Roman" w:cs="Times New Roman"/>
          <w:i/>
          <w:sz w:val="28"/>
          <w:szCs w:val="28"/>
        </w:rPr>
        <w:t>ESR1</w:t>
      </w:r>
      <w:r w:rsidR="0050291F">
        <w:rPr>
          <w:rFonts w:ascii="Century" w:hAnsi="Century" w:cs="Times New Roman"/>
          <w:iCs/>
          <w:sz w:val="28"/>
          <w:szCs w:val="28"/>
        </w:rPr>
        <w:t>,</w:t>
      </w:r>
      <w:r w:rsidR="00551194">
        <w:rPr>
          <w:rFonts w:ascii="Times New Roman" w:hAnsi="Times New Roman" w:cs="Times New Roman"/>
          <w:i/>
          <w:sz w:val="28"/>
          <w:szCs w:val="28"/>
        </w:rPr>
        <w:t xml:space="preserve"> LPL</w:t>
      </w:r>
      <w:r w:rsidR="00551194">
        <w:rPr>
          <w:rFonts w:ascii="Times New Roman" w:hAnsi="Times New Roman" w:cs="Times New Roman"/>
          <w:sz w:val="28"/>
          <w:szCs w:val="28"/>
        </w:rPr>
        <w:t xml:space="preserve"> и </w:t>
      </w:r>
      <w:r w:rsidR="00551194">
        <w:rPr>
          <w:rFonts w:ascii="Times New Roman" w:hAnsi="Times New Roman" w:cs="Times New Roman"/>
          <w:i/>
          <w:sz w:val="28"/>
          <w:szCs w:val="28"/>
        </w:rPr>
        <w:t>CETP</w:t>
      </w:r>
      <w:r w:rsidR="00551194">
        <w:rPr>
          <w:rFonts w:ascii="Times New Roman" w:hAnsi="Times New Roman" w:cs="Times New Roman"/>
          <w:sz w:val="28"/>
          <w:szCs w:val="28"/>
        </w:rPr>
        <w:t xml:space="preserve"> с МС у женщин </w:t>
      </w:r>
      <w:r w:rsidR="00AB12B3">
        <w:rPr>
          <w:rFonts w:ascii="Times New Roman" w:hAnsi="Times New Roman" w:cs="Times New Roman"/>
          <w:sz w:val="28"/>
          <w:szCs w:val="28"/>
        </w:rPr>
        <w:t>Cahua-Pablo J</w:t>
      </w:r>
      <w:r w:rsidR="0050291F">
        <w:rPr>
          <w:rFonts w:ascii="Century" w:hAnsi="Century" w:cs="Times New Roman"/>
          <w:sz w:val="28"/>
          <w:szCs w:val="28"/>
        </w:rPr>
        <w:t>.</w:t>
      </w:r>
      <w:r w:rsidR="00AB12B3">
        <w:rPr>
          <w:rFonts w:ascii="Times New Roman" w:hAnsi="Times New Roman" w:cs="Times New Roman"/>
          <w:sz w:val="28"/>
          <w:szCs w:val="28"/>
        </w:rPr>
        <w:t xml:space="preserve"> и соавторы утверждают</w:t>
      </w:r>
      <w:r w:rsidR="00551194">
        <w:rPr>
          <w:rFonts w:ascii="Times New Roman" w:hAnsi="Times New Roman" w:cs="Times New Roman"/>
          <w:sz w:val="28"/>
          <w:szCs w:val="28"/>
        </w:rPr>
        <w:t xml:space="preserve"> (2015)</w:t>
      </w:r>
      <w:r w:rsidR="0050291F">
        <w:rPr>
          <w:rFonts w:ascii="Century" w:hAnsi="Century" w:cs="Times New Roman"/>
          <w:sz w:val="28"/>
          <w:szCs w:val="28"/>
        </w:rPr>
        <w:t>,</w:t>
      </w:r>
      <w:r w:rsidR="00AB12B3">
        <w:rPr>
          <w:rFonts w:ascii="Times New Roman" w:hAnsi="Times New Roman" w:cs="Times New Roman"/>
          <w:sz w:val="28"/>
          <w:szCs w:val="28"/>
        </w:rPr>
        <w:t xml:space="preserve"> что генотип A/A полиморфизма rs1884051 гена </w:t>
      </w:r>
      <w:r w:rsidR="00AB12B3">
        <w:rPr>
          <w:rFonts w:ascii="Times New Roman" w:hAnsi="Times New Roman" w:cs="Times New Roman"/>
          <w:i/>
          <w:sz w:val="28"/>
          <w:szCs w:val="28"/>
        </w:rPr>
        <w:t>ESR1</w:t>
      </w:r>
      <w:r w:rsidR="00AB12B3">
        <w:rPr>
          <w:rFonts w:ascii="Times New Roman" w:hAnsi="Times New Roman" w:cs="Times New Roman"/>
          <w:sz w:val="28"/>
          <w:szCs w:val="28"/>
        </w:rPr>
        <w:t xml:space="preserve"> и генотип C/C полиморфизма rs328 гена </w:t>
      </w:r>
      <w:r w:rsidR="00AB12B3">
        <w:rPr>
          <w:rFonts w:ascii="Times New Roman" w:hAnsi="Times New Roman" w:cs="Times New Roman"/>
          <w:i/>
          <w:sz w:val="28"/>
          <w:szCs w:val="28"/>
        </w:rPr>
        <w:t>LPL</w:t>
      </w:r>
      <w:r w:rsidR="00DA18D9">
        <w:rPr>
          <w:rFonts w:ascii="Times New Roman" w:hAnsi="Times New Roman" w:cs="Times New Roman"/>
          <w:i/>
          <w:sz w:val="28"/>
          <w:szCs w:val="28"/>
        </w:rPr>
        <w:t xml:space="preserve"> </w:t>
      </w:r>
      <w:r w:rsidR="00551194">
        <w:rPr>
          <w:rFonts w:ascii="Times New Roman" w:hAnsi="Times New Roman" w:cs="Times New Roman"/>
          <w:sz w:val="28"/>
          <w:szCs w:val="28"/>
        </w:rPr>
        <w:t xml:space="preserve">был </w:t>
      </w:r>
      <w:r w:rsidR="00AB12B3">
        <w:rPr>
          <w:rFonts w:ascii="Times New Roman" w:hAnsi="Times New Roman" w:cs="Times New Roman"/>
          <w:sz w:val="28"/>
          <w:szCs w:val="28"/>
        </w:rPr>
        <w:t>связан с повышенным уровнем глюкозы</w:t>
      </w:r>
      <w:r w:rsidR="00DA18D9">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{"citationItems":[{"id":"ITEM-1","itemData":{"DOI":"10.3390/ijms160921539","ISBN":"2153921554","ISSN":"14220067","PMID":"26370976","abstract":"Metabolic syndrome (MetS) is a combination of metabolic disorders associated with an increased risk for cardiovascular disease (CVD). Studies in women reported associations between polymorphisms in ESR1, LPL and CETP genes and MetS. Our aim was to evaluate the association between variants in ESR1, LPL and CETP genes with MetS and its components. Four hundred and eighty women were analyzed, anthropometric features and biochemical profiles were evaluated, and genotyping was performed by real-time PCR. We found an association with elevated glucose levels (odds ratio (OR) = 2.9; p = 0.013) in carrying the AA genotype of rs1884051 in the ESR1 gene compared with the GG genotype, and the CC genotype of rs328 in the LPL gene was associated with MetS compared to the CG or GG genotype (OR = 2.8; p = 0.04). Moreover, the GA genotype of rs708272 in the CETP gene is associated with MetS compared to the GG or AA genotype (OR = 1.8; p = 0.006). In addition the ACTCCG haplotype in the ESR1 gene is associated with a decrease in the risk of MetS (OR = 0.02; p &lt; 0.001). In conclusion, our results show the involvement of the variants of ESR1, LPL and CETP genes in metabolic events related to MetS or some of its features.","author":[{"dropping-particle":"","family":"Cahua-Pablo","given":"José Ángel","non-dropping-particle":"","parse-names":false,"suffix":""},{"dropping-particle":"","family":"Cruz","given":"Miguel","non-dropping-particle":"","parse-names":false,"suffix":""},{"dropping-particle":"","family":"Méndez-Palacios","given":"Abigail","non-dropping-particle":"","parse-names":false,"suffix":""},{"dropping-particle":"","family":"Antúnez-Ortiz","given":"Diana Lizzete","non-dropping-particle":"","parse-names":false,"suffix":""},{"dropping-particle":"","family":"Vences-Velázquez","given":"Amalia","non-dropping-particle":"","parse-names":false,"suffix":""},{"dropping-particle":"","family":"Alarcón-Romero","given":"Luz Del Carmen","non-dropping-particle":"","parse-names":false,"suffix":""},{"dropping-particle":"","family":"Parra","given":"Esteban Juan","non-dropping-particle":"","parse-names":false,"suffix":""},{"dropping-particle":"","family":"Tello-Flores","given":"Vianet Argelia","non-dropping-particle":"","parse-names":false,"suffix":""},{"dropping-particle":"","family":"Leyva-Vázquez","given":"Marco Antonio","non-dropping-particle":"","parse-names":false,"suffix":""},{"dropping-particle":"","family":"Valladares-Salgado","given":"Adán","non-dropping-particle":"","parse-names":false,"suffix":""},{"dropping-particle":"","family":"Pérez-Macedonio","given":"Claudia Paola","non-dropping-particle":"","parse-names":false,"suffix":""},{"dropping-particle":"","family":"Flores-Alfaro","given":"Eugenia","non-dropping-particle":"","parse-names":false,"suffix":""}],"container-title":"International Journal of Molecular Sciences","id":"ITEM-1","issued":{"date-parts":[["2015"]]},"title":"Polymorphisms in the LPL and CETP genes and haplotype in the ESR1 gene are associated with metabolic syndrome in women from Southwestern Mexico","type":"article-journal"},"uris":["http://www.mendeley.com/documents/?uuid=f9e65019-2415-3a20-84e3-436e453649a6"]}],"mendeley":{"formattedCitation":"[126]","plainTextFormattedCitation":"[126]","previouslyFormattedCitation":"[126]"},"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[126]</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w:t>
      </w:r>
    </w:p>
    <w:p w:rsidR="00AB12B3" w:rsidRDefault="00CF5304"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 оцен</w:t>
      </w:r>
      <w:r w:rsidR="002D6D08">
        <w:rPr>
          <w:rFonts w:ascii="Times New Roman" w:hAnsi="Times New Roman" w:cs="Times New Roman"/>
          <w:sz w:val="28"/>
          <w:szCs w:val="28"/>
        </w:rPr>
        <w:t>ке</w:t>
      </w:r>
      <w:r>
        <w:rPr>
          <w:rFonts w:ascii="Times New Roman" w:hAnsi="Times New Roman" w:cs="Times New Roman"/>
          <w:sz w:val="28"/>
          <w:szCs w:val="28"/>
        </w:rPr>
        <w:t xml:space="preserve"> разницы полиморфизмов генов, связан</w:t>
      </w:r>
      <w:r w:rsidR="002D6D08">
        <w:rPr>
          <w:rFonts w:ascii="Times New Roman" w:hAnsi="Times New Roman" w:cs="Times New Roman"/>
          <w:sz w:val="28"/>
          <w:szCs w:val="28"/>
        </w:rPr>
        <w:t>н</w:t>
      </w:r>
      <w:r>
        <w:rPr>
          <w:rFonts w:ascii="Times New Roman" w:hAnsi="Times New Roman" w:cs="Times New Roman"/>
          <w:sz w:val="28"/>
          <w:szCs w:val="28"/>
        </w:rPr>
        <w:t>ы</w:t>
      </w:r>
      <w:r w:rsidR="002D6D08">
        <w:rPr>
          <w:rFonts w:ascii="Times New Roman" w:hAnsi="Times New Roman" w:cs="Times New Roman"/>
          <w:sz w:val="28"/>
          <w:szCs w:val="28"/>
        </w:rPr>
        <w:t>х</w:t>
      </w:r>
      <w:r>
        <w:rPr>
          <w:rFonts w:ascii="Times New Roman" w:hAnsi="Times New Roman" w:cs="Times New Roman"/>
          <w:sz w:val="28"/>
          <w:szCs w:val="28"/>
        </w:rPr>
        <w:t xml:space="preserve"> с метаболизмом липидов, и риском развития ишемического инсульта в ханьской и уйгурской популяциях </w:t>
      </w:r>
      <w:r w:rsidR="00AB12B3">
        <w:rPr>
          <w:rFonts w:ascii="Times New Roman" w:hAnsi="Times New Roman" w:cs="Times New Roman"/>
          <w:sz w:val="28"/>
          <w:szCs w:val="28"/>
        </w:rPr>
        <w:t xml:space="preserve">Yue Y. </w:t>
      </w:r>
      <w:r w:rsidR="006B29FC">
        <w:rPr>
          <w:rFonts w:ascii="Times New Roman" w:hAnsi="Times New Roman" w:cs="Times New Roman"/>
          <w:sz w:val="28"/>
          <w:szCs w:val="28"/>
        </w:rPr>
        <w:t>и</w:t>
      </w:r>
      <w:r w:rsidR="00AB12B3">
        <w:rPr>
          <w:rFonts w:ascii="Times New Roman" w:hAnsi="Times New Roman" w:cs="Times New Roman"/>
          <w:sz w:val="28"/>
          <w:szCs w:val="28"/>
        </w:rPr>
        <w:t xml:space="preserve"> со</w:t>
      </w:r>
      <w:r w:rsidR="007E5263">
        <w:rPr>
          <w:rFonts w:ascii="Times New Roman" w:hAnsi="Times New Roman" w:cs="Times New Roman"/>
          <w:sz w:val="28"/>
          <w:szCs w:val="28"/>
        </w:rPr>
        <w:t>ратники</w:t>
      </w:r>
      <w:r w:rsidR="00AB12B3">
        <w:rPr>
          <w:rFonts w:ascii="Times New Roman" w:hAnsi="Times New Roman" w:cs="Times New Roman"/>
          <w:sz w:val="28"/>
          <w:szCs w:val="28"/>
        </w:rPr>
        <w:t xml:space="preserve"> обнаружили, что у носителей генотипа G/G полиморфизма rs328 </w:t>
      </w:r>
      <w:r w:rsidR="007E5263">
        <w:rPr>
          <w:rFonts w:ascii="Times New Roman" w:hAnsi="Times New Roman" w:cs="Times New Roman"/>
          <w:sz w:val="28"/>
          <w:szCs w:val="28"/>
        </w:rPr>
        <w:t xml:space="preserve">чаще </w:t>
      </w:r>
      <w:r w:rsidR="00AB12B3">
        <w:rPr>
          <w:rFonts w:ascii="Times New Roman" w:hAnsi="Times New Roman" w:cs="Times New Roman"/>
          <w:sz w:val="28"/>
          <w:szCs w:val="28"/>
        </w:rPr>
        <w:t>встречается низкий уровень ТГ по сравнению с генотипами C/C и G/C в обеих популяциях</w:t>
      </w:r>
      <w:r w:rsidR="00A31DB2">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{"citationItems":[{"id":"ITEM-1","itemData":{"DOI":"10.1186/s12944-017-0491-9","ISSN":"1476-511X","abstract":"Background The present study is aimed to evaluate difference of lipid metabolism related gene single nucleotide polymorphisms (SNPs) with ischemic stroke (IS) in Han and Uighur population of Xinjiang, China. Methods Four hundred eight patients with ischemic stroke and 347 unrelated healthy individuals of age and sex matched were genotyped for Apolipoprotein A5 (ApoA5), lipoprotein lipase (LPL), Cholesteryl ester transfer protein (CETP) and low-density lipoprotein receptor (LDL-R) genes. Their mutation difference was analyzed by SNaP shot techniques. GeneMapper4.1 SPSS20.0 software was used for data management and analysis. Using a single locus analysis, the distribution difference of genotype loci in ischemic stroke cases and controls were detected to assess the genetic risk factors of ischemic stroke. Results Significance differences of genotype distribution in ischemic stroke cases and controls were observed in LDLR rs688 in Han and Uighur population in recessive model from analysis of single gene locus. It also was found that dramatic difference of triglyceride (TG) of LPL rs328 and systolic blood pressure in CETP rs708277 of total population. In binary logistic regression analysis of total studied population, ischemic stroke was observed significantly associated with LDLR rs688 both addictive model (TT/CC, adjusted OR = 1.47, 95% CI = 1.04-2.07) and recessive model (TT/CT + CC, adjusted Odds ratio (OR) = 2.66, 95% Confidence Interval (CI) = 1.37-5.14). In Han population, ischemic stroke was observed significantly associated with rs688 both in addictive model (TT/CC, adjusted OR = 3.27, 95% CI = 1.06-10.05). In Uighur population, no significant association was found between gene polymorphisms and the risk of ischemic stroke. Combined analysis of multiple gene and loci, interaction effects of LDLR rs688 C/T, ApoA5 rs662799 A/G and CETP rs708272 C/T denoted a significant influence on IS susceptibility. Conclusion Single nucleotide polymorphisms of lipid metabolism relative gene were significantly associated with the morbidity of ischemic stroke in Han population. The interaction effects of rs688 C/T with ApoA5 rs662799 A/G and CETP rs708272 C/T promoted the occurrence of IS.","author":[{"dropping-particle":"","family":"Yue","given":"Yun-hua","non-dropping-particle":"","parse-names":false,"suffix":""},{"dropping-particle":"","family":"Liu","given":"Ling-yun","non-dropping-particle":"","parse-names":false,"suffix":""},{"dropping-particle":"","family":"Hu","given":"Liang","non-dropping-particle":"","parse-names":false,"suffix":""},{"dropping-particle":"","family":"Li","given":"You-mei","non-dropping-particle":"","parse-names":false,"suffix":""},{"dropping-particle":"","family":"Mao","given":"Jie-ping","non-dropping-particle":"","parse-names":false,"suffix":""},{"dropping-particle":"","family":"Yang","given":"Xiao-ying","non-dropping-particle":"","parse-names":false,"suffix":""},{"dropping-particle":"","family":"Dila","given":"Na-mu","non-dropping-particle":"","parse-names":false,"suffix":""}],"container-title":"Lipids in Health and Disease","id":"ITEM-1","issue":"1","issued":{"date-parts":[["2017","12","17"]]},"page":"120","publisher":"Lipids in Health and Disease","title":"The association of lipid metabolism relative gene polymorphisms and ischemic stroke in Han and Uighur population of Xinjiang","type":"article-journal","volume":"16"},"uris":["http://www.mendeley.com/documents/?uuid=9ac37690-748f-4795-a94a-8d7281a8bfea"]}],"mendeley":{"formattedCitation":"[127]","plainTextFormattedCitation":"[127]","previouslyFormattedCitation":"[127]"},"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[127]</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xml:space="preserve">.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2019 года </w:t>
      </w:r>
      <w:r w:rsidR="00B50456">
        <w:rPr>
          <w:rFonts w:ascii="Times New Roman" w:hAnsi="Times New Roman" w:cs="Times New Roman"/>
          <w:sz w:val="28"/>
          <w:szCs w:val="28"/>
        </w:rPr>
        <w:t>при изучении влияния</w:t>
      </w:r>
      <w:r>
        <w:rPr>
          <w:rFonts w:ascii="Times New Roman" w:hAnsi="Times New Roman" w:cs="Times New Roman"/>
          <w:sz w:val="28"/>
          <w:szCs w:val="28"/>
        </w:rPr>
        <w:t xml:space="preserve"> полиморфизмов </w:t>
      </w:r>
      <w:r>
        <w:rPr>
          <w:rFonts w:ascii="Times New Roman" w:hAnsi="Times New Roman" w:cs="Times New Roman"/>
          <w:i/>
          <w:sz w:val="28"/>
          <w:szCs w:val="28"/>
        </w:rPr>
        <w:t xml:space="preserve">CETP </w:t>
      </w:r>
      <w:r>
        <w:rPr>
          <w:rFonts w:ascii="Times New Roman" w:hAnsi="Times New Roman" w:cs="Times New Roman"/>
          <w:sz w:val="28"/>
          <w:szCs w:val="28"/>
        </w:rPr>
        <w:t xml:space="preserve">(rs5882 и rs708272), </w:t>
      </w:r>
      <w:r>
        <w:rPr>
          <w:rFonts w:ascii="Times New Roman" w:hAnsi="Times New Roman" w:cs="Times New Roman"/>
          <w:i/>
          <w:sz w:val="28"/>
          <w:szCs w:val="28"/>
        </w:rPr>
        <w:t>APOE</w:t>
      </w:r>
      <w:r>
        <w:rPr>
          <w:rFonts w:ascii="Times New Roman" w:hAnsi="Times New Roman" w:cs="Times New Roman"/>
          <w:sz w:val="28"/>
          <w:szCs w:val="28"/>
        </w:rPr>
        <w:t xml:space="preserve"> (rs7412, rs429358) и </w:t>
      </w:r>
      <w:r>
        <w:rPr>
          <w:rFonts w:ascii="Times New Roman" w:hAnsi="Times New Roman" w:cs="Times New Roman"/>
          <w:i/>
          <w:sz w:val="28"/>
          <w:szCs w:val="28"/>
        </w:rPr>
        <w:t>LPL</w:t>
      </w:r>
      <w:r>
        <w:rPr>
          <w:rFonts w:ascii="Times New Roman" w:hAnsi="Times New Roman" w:cs="Times New Roman"/>
          <w:sz w:val="28"/>
          <w:szCs w:val="28"/>
        </w:rPr>
        <w:t xml:space="preserve"> (rs328) на триглицеридный ответ после приема пищи или оральный тест толерантности на жиры у пациентов с контролируемым СД 2 типа </w:t>
      </w:r>
      <w:r w:rsidR="00B50456">
        <w:rPr>
          <w:rFonts w:ascii="Times New Roman" w:hAnsi="Times New Roman" w:cs="Times New Roman"/>
          <w:sz w:val="28"/>
          <w:szCs w:val="28"/>
        </w:rPr>
        <w:t xml:space="preserve">авторы </w:t>
      </w:r>
      <w:r>
        <w:rPr>
          <w:rFonts w:ascii="Times New Roman" w:hAnsi="Times New Roman" w:cs="Times New Roman"/>
          <w:sz w:val="28"/>
          <w:szCs w:val="28"/>
        </w:rPr>
        <w:t xml:space="preserve">выявили, что гомозиготный генотип </w:t>
      </w:r>
      <w:r w:rsidR="002D6D08">
        <w:rPr>
          <w:rFonts w:ascii="Times New Roman" w:hAnsi="Times New Roman" w:cs="Times New Roman"/>
          <w:sz w:val="28"/>
          <w:szCs w:val="28"/>
        </w:rPr>
        <w:t>наиболее распространенного</w:t>
      </w:r>
      <w:r>
        <w:rPr>
          <w:rFonts w:ascii="Times New Roman" w:hAnsi="Times New Roman" w:cs="Times New Roman"/>
          <w:sz w:val="28"/>
          <w:szCs w:val="28"/>
        </w:rPr>
        <w:t xml:space="preserve"> аллеля rs328 гена </w:t>
      </w:r>
      <w:r>
        <w:rPr>
          <w:rFonts w:ascii="Times New Roman" w:hAnsi="Times New Roman" w:cs="Times New Roman"/>
          <w:i/>
          <w:sz w:val="28"/>
          <w:szCs w:val="28"/>
        </w:rPr>
        <w:t>LPL</w:t>
      </w:r>
      <w:r>
        <w:rPr>
          <w:rFonts w:ascii="Times New Roman" w:hAnsi="Times New Roman" w:cs="Times New Roman"/>
          <w:sz w:val="28"/>
          <w:szCs w:val="28"/>
        </w:rPr>
        <w:t xml:space="preserve"> имел более положительный ответ на оральный тест толерантности на жиры и более низк</w:t>
      </w:r>
      <w:r w:rsidR="002D6D08">
        <w:rPr>
          <w:rFonts w:ascii="Times New Roman" w:hAnsi="Times New Roman" w:cs="Times New Roman"/>
          <w:sz w:val="28"/>
          <w:szCs w:val="28"/>
        </w:rPr>
        <w:t>ие показатели</w:t>
      </w:r>
      <w:r w:rsidR="00A34AB5">
        <w:rPr>
          <w:rFonts w:ascii="Times New Roman" w:hAnsi="Times New Roman" w:cs="Times New Roman"/>
          <w:sz w:val="28"/>
          <w:szCs w:val="28"/>
          <w:lang w:val="kk-KZ"/>
        </w:rPr>
        <w:t xml:space="preserve"> </w:t>
      </w:r>
      <w:r>
        <w:rPr>
          <w:rFonts w:ascii="Times New Roman" w:hAnsi="Times New Roman" w:cs="Times New Roman"/>
          <w:sz w:val="28"/>
          <w:szCs w:val="28"/>
        </w:rPr>
        <w:t>концентрации ЛПВП по сравнению с гетерозиготным генотипом</w:t>
      </w:r>
      <w:r w:rsidR="00A31DB2">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{"citationItems":[{"id":"ITEM-1","itemData":{"DOI":"10.1111/ijcp.13432","ISSN":"1742-1241","PMID":"31585025","abstract":"AIMS We evaluated the influence of CETP (rs5882 and rs708272), APOE (rs7412, rs429358) and LPL (rs328) gene polymorphisms on triglyceride (TG) response to oral fat tolerance test (OFTT) meal in patients with well-controlled type 2 diabetes mellitus (T2DM). METHODS Fifty-one men underwent OFTT and according to postprandial TG response patients were divided into two subgroups (positive [TG ≥ 220 mg/dL, 31 patients] and negative [TG &lt; 220 mg/dL, 20 patients]). All patients were genotyped, and study variants were detected using polymerase chain reaction (PCR) and restricted fragment length polymorphism (RFLP) analysis. RESULTS Patients with genotype SS of LPL gene compared with genotype SX had more frequently positive response to OFTT (P = .04) and lower high-density lipoprotein cholesterol (HDL-C) concentration (P = .03). Patients with positive response to OFTT and genotype SS of LPL gene compared with genotype SX had lower AUC (area under the curve)-TG, 1744 (368) vs 1887 (807) mg/dL/h, respectively, P = .04. CETP and APOE gene polymorphisms had no influence on postprandial TG response to OFTT. CONCLUSIONS In patients with well-controlled T2DM, LPL but not CETP and APOE gene polymorphisms influenced TG postprandial response. Particularly, S447 allele carriers of LPL gene presented more frequently positive postprandial TG response to OFTT compared with 447X allele carriers. No differences were found between allele carriers of patients with negative response to OFTT in any other studied gene polymorphism.","author":[{"dropping-particle":"","family":"Gavra","given":"Paraskevi","non-dropping-particle":"","parse-names":false,"suffix":""},{"dropping-particle":"","family":"Kolovou","given":"Vana","non-dropping-particle":"","parse-names":false,"suffix":""},{"dropping-particle":"","family":"Papazafiropoulou","given":"Athanasia K.","non-dropping-particle":"","parse-names":false,"suffix":""},{"dropping-particle":"","family":"Melidonis","given":"Andreas","non-dropping-particle":"","parse-names":false,"suffix":""},{"dropping-particle":"","family":"Iraklianou","given":"Stella","non-dropping-particle":"","parse-names":false,"suffix":""},{"dropping-particle":"","family":"Mavrogeni","given":"Sophie","non-dropping-particle":"","parse-names":false,"suffix":""},{"dropping-particle":"","family":"Kolovou","given":"Genovefa","non-dropping-particle":"","parse-names":false,"suffix":""}],"container-title":"International journal of clinical practice","id":"ITEM-1","issue":"12","issued":{"date-parts":[["2019","10","4"]]},"page":"e13432","title":"The influence of gene polymorphisms on postprandial triglyceride response after oral fat tolerance test meal in patients with diabetes mellitus.","type":"article-journal","volume":"73"},"uris":["http://www.mendeley.com/documents/?uuid=ca1df5b0-8392-4fec-8be3-9c4ff9fbd6a2"]}],"mendeley":{"formattedCitation":"[128]","plainTextFormattedCitation":"[128]","previouslyFormattedCitation":"[128]"},"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[128]</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E42A0B" w:rsidRDefault="00E42A0B" w:rsidP="00AB12B3">
      <w:pPr>
        <w:spacing w:after="0" w:line="240" w:lineRule="auto"/>
        <w:ind w:firstLine="708"/>
        <w:jc w:val="both"/>
        <w:rPr>
          <w:rFonts w:ascii="Times New Roman" w:hAnsi="Times New Roman" w:cs="Times New Roman"/>
          <w:i/>
          <w:sz w:val="28"/>
          <w:szCs w:val="28"/>
        </w:rPr>
      </w:pPr>
    </w:p>
    <w:p w:rsidR="00AB12B3" w:rsidRDefault="00AB12B3" w:rsidP="00AB12B3">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Ген β-2-адренергического рецептора ADRB2 Gln27Glu (rs1042714)</w:t>
      </w:r>
    </w:p>
    <w:p w:rsidR="00FA4A2F" w:rsidRDefault="00FA4A2F" w:rsidP="004B7E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β2 – адренорецептор, который активируется адреналином, </w:t>
      </w:r>
      <w:r>
        <w:rPr>
          <w:rFonts w:ascii="Times New Roman" w:hAnsi="Times New Roman" w:cs="Times New Roman"/>
          <w:sz w:val="28"/>
          <w:szCs w:val="28"/>
        </w:rPr>
        <w:t xml:space="preserve">влияет на липидный и углеводный обмен через </w:t>
      </w:r>
      <w:r>
        <w:rPr>
          <w:rFonts w:ascii="Times New Roman" w:eastAsia="Times New Roman" w:hAnsi="Times New Roman" w:cs="Times New Roman"/>
          <w:sz w:val="28"/>
          <w:szCs w:val="28"/>
        </w:rPr>
        <w:t xml:space="preserve">усиление гликогенолиза в мышцах, повышения секреции глюкагона и инсулина, увеличение сердечных сокращений. β 2 – адренорецептор кодируется геном </w:t>
      </w:r>
      <w:r>
        <w:rPr>
          <w:rFonts w:ascii="Times New Roman" w:eastAsia="Times New Roman" w:hAnsi="Times New Roman" w:cs="Times New Roman"/>
          <w:i/>
          <w:sz w:val="28"/>
          <w:szCs w:val="28"/>
        </w:rPr>
        <w:t xml:space="preserve">ADRB2 </w:t>
      </w:r>
      <w:r w:rsidR="00EA0E64">
        <w:rPr>
          <w:rFonts w:ascii="Times New Roman" w:eastAsia="Times New Roman" w:hAnsi="Times New Roman" w:cs="Times New Roman"/>
          <w:i/>
          <w:sz w:val="28"/>
          <w:szCs w:val="28"/>
        </w:rPr>
        <w:fldChar w:fldCharType="begin" w:fldLock="1"/>
      </w:r>
      <w:r w:rsidR="00F7759F">
        <w:rPr>
          <w:rFonts w:ascii="Times New Roman" w:eastAsia="Times New Roman" w:hAnsi="Times New Roman" w:cs="Times New Roman"/>
          <w:i/>
          <w:sz w:val="28"/>
          <w:szCs w:val="28"/>
        </w:rPr>
        <w:instrText>ADDIN CSL_CITATION {"citationItems":[{"id":"ITEM-1","itemData":{"DOI":"10.1007/s00125-006-0578-8","ISSN":"0012186X","author":[{"dropping-particle":"","family":"Gjesing","given":"A. P.","non-dropping-particle":"","parse-names":false,"suffix":""},{"dropping-particle":"","family":"Andersen","given":"G.","non-dropping-particle":"","parse-names":false,"suffix":""},{"dropping-particle":"","family":"Burgdorf","given":"K. S.","non-dropping-particle":"","parse-names":false,"suffix":""},{"dropping-particle":"","family":"Borch-Johnsen","given":"K.","non-dropping-particle":"","parse-names":false,"suffix":""},{"dropping-particle":"","family":"Jørgensen","given":"T.","non-dropping-particle":"","parse-names":false,"suffix":""},{"dropping-particle":"","family":"Hansen","given":"T.","non-dropping-particle":"","parse-names":false,"suffix":""},{"dropping-particle":"","family":"Pedersen","given":"O.","non-dropping-particle":"","parse-names":false,"suffix":""}],"container-title":"Diabetologia","id":"ITEM-1","issue":"3","issued":{"date-parts":[["2007"]]},"page":"563-568","title":"Studies of the associations between functional β2- adrenergic receptor variants and obesity, hypertension and type 2 diabetes in 7,808 white subjects","type":"article-journal","volume":"50"},"uris":["http://www.mendeley.com/documents/?uuid=256d87e7-bdb6-4d89-8b43-6fb671648da9"]}],"mendeley":{"formattedCitation":"[71]","manualFormatting":"[71, р 567]","plainTextFormattedCitation":"[71]","previouslyFormattedCitation":"[71]"},"properties":{"noteIndex":0},"schema":"https://github.com/citation-style-language/schema/raw/master/csl-citation.json"}</w:instrText>
      </w:r>
      <w:r w:rsidR="00EA0E64">
        <w:rPr>
          <w:rFonts w:ascii="Times New Roman" w:eastAsia="Times New Roman" w:hAnsi="Times New Roman" w:cs="Times New Roman"/>
          <w:i/>
          <w:sz w:val="28"/>
          <w:szCs w:val="28"/>
        </w:rPr>
        <w:fldChar w:fldCharType="separate"/>
      </w:r>
      <w:r w:rsidR="00F7759F" w:rsidRPr="00F7759F">
        <w:rPr>
          <w:rFonts w:ascii="Times New Roman" w:eastAsia="Times New Roman" w:hAnsi="Times New Roman" w:cs="Times New Roman"/>
          <w:noProof/>
          <w:sz w:val="28"/>
          <w:szCs w:val="28"/>
        </w:rPr>
        <w:t>[71</w:t>
      </w:r>
      <w:r w:rsidR="00F7759F">
        <w:rPr>
          <w:rFonts w:ascii="Times New Roman" w:eastAsia="Times New Roman" w:hAnsi="Times New Roman" w:cs="Times New Roman"/>
          <w:noProof/>
          <w:sz w:val="28"/>
          <w:szCs w:val="28"/>
        </w:rPr>
        <w:t>, р 567</w:t>
      </w:r>
      <w:r w:rsidR="00F7759F" w:rsidRPr="00F7759F">
        <w:rPr>
          <w:rFonts w:ascii="Times New Roman" w:eastAsia="Times New Roman" w:hAnsi="Times New Roman" w:cs="Times New Roman"/>
          <w:noProof/>
          <w:sz w:val="28"/>
          <w:szCs w:val="28"/>
        </w:rPr>
        <w:t>]</w:t>
      </w:r>
      <w:r w:rsidR="00EA0E64">
        <w:rPr>
          <w:rFonts w:ascii="Times New Roman" w:eastAsia="Times New Roman" w:hAnsi="Times New Roman" w:cs="Times New Roman"/>
          <w:i/>
          <w:sz w:val="28"/>
          <w:szCs w:val="28"/>
        </w:rPr>
        <w:fldChar w:fldCharType="end"/>
      </w:r>
      <w:r>
        <w:rPr>
          <w:rFonts w:ascii="Times New Roman" w:eastAsia="Times New Roman" w:hAnsi="Times New Roman" w:cs="Times New Roman"/>
          <w:sz w:val="28"/>
          <w:szCs w:val="28"/>
        </w:rPr>
        <w:t xml:space="preserve">. </w:t>
      </w:r>
      <w:r>
        <w:rPr>
          <w:rFonts w:ascii="Times New Roman" w:hAnsi="Times New Roman" w:cs="Times New Roman"/>
          <w:sz w:val="28"/>
          <w:szCs w:val="28"/>
        </w:rPr>
        <w:t xml:space="preserve">Ген </w:t>
      </w:r>
      <w:r w:rsidRPr="007D41F2">
        <w:rPr>
          <w:rFonts w:ascii="Times New Roman" w:hAnsi="Times New Roman" w:cs="Times New Roman"/>
          <w:i/>
          <w:sz w:val="28"/>
          <w:szCs w:val="28"/>
          <w:lang w:val="en-US"/>
        </w:rPr>
        <w:t>ADRB</w:t>
      </w:r>
      <w:r w:rsidRPr="007D41F2">
        <w:rPr>
          <w:rFonts w:ascii="Times New Roman" w:hAnsi="Times New Roman" w:cs="Times New Roman"/>
          <w:i/>
          <w:sz w:val="28"/>
          <w:szCs w:val="28"/>
        </w:rPr>
        <w:t>2</w:t>
      </w:r>
      <w:r>
        <w:rPr>
          <w:rFonts w:ascii="Times New Roman" w:hAnsi="Times New Roman" w:cs="Times New Roman"/>
          <w:sz w:val="28"/>
          <w:szCs w:val="28"/>
        </w:rPr>
        <w:t xml:space="preserve"> связан с повышенной симпатической нервной активностью, повышением АД, увеличением массы тела и ИР </w:t>
      </w:r>
      <w:r w:rsidR="00EA0E64">
        <w:rPr>
          <w:rFonts w:ascii="Times New Roman" w:hAnsi="Times New Roman" w:cs="Times New Roman"/>
          <w:sz w:val="28"/>
          <w:szCs w:val="28"/>
        </w:rPr>
        <w:fldChar w:fldCharType="begin" w:fldLock="1"/>
      </w:r>
      <w:r w:rsidR="00F7759F">
        <w:rPr>
          <w:rFonts w:ascii="Times New Roman" w:hAnsi="Times New Roman" w:cs="Times New Roman"/>
          <w:sz w:val="28"/>
          <w:szCs w:val="28"/>
        </w:rPr>
        <w:instrText>ADDIN CSL_CITATION {"citationItems":[{"id":"ITEM-1","itemData":{"DOI":"10.1007/s00125-006-0578-8","ISSN":"0012186X","author":[{"dropping-particle":"","family":"Gjesing","given":"A. P.","non-dropping-particle":"","parse-names":false,"suffix":""},{"dropping-particle":"","family":"Andersen","given":"G.","non-dropping-particle":"","parse-names":false,"suffix":""},{"dropping-particle":"","family":"Burgdorf","given":"K. S.","non-dropping-particle":"","parse-names":false,"suffix":""},{"dropping-particle":"","family":"Borch-Johnsen","given":"K.","non-dropping-particle":"","parse-names":false,"suffix":""},{"dropping-particle":"","family":"Jørgensen","given":"T.","non-dropping-particle":"","parse-names":false,"suffix":""},{"dropping-particle":"","family":"Hansen","given":"T.","non-dropping-particle":"","parse-names":false,"suffix":""},{"dropping-particle":"","family":"Pedersen","given":"O.","non-dropping-particle":"","parse-names":false,"suffix":""}],"container-title":"Diabetologia","id":"ITEM-1","issue":"3","issued":{"date-parts":[["2007"]]},"page":"563-568","title":"Studies of the associations between functional β2- adrenergic receptor variants and obesity, hypertension and type 2 diabetes in 7,808 white subjects","type":"article-journal","volume":"50"},"uris":["http://www.mendeley.com/documents/?uuid=256d87e7-bdb6-4d89-8b43-6fb671648da9"]}],"mendeley":{"formattedCitation":"[71]","manualFormatting":"[71, р. 567]","plainTextFormattedCitation":"[71]","previouslyFormattedCitation":"[71]"},"properties":{"noteIndex":0},"schema":"https://github.com/citation-style-language/schema/raw/master/csl-citation.json"}</w:instrText>
      </w:r>
      <w:r w:rsidR="00EA0E64">
        <w:rPr>
          <w:rFonts w:ascii="Times New Roman" w:hAnsi="Times New Roman" w:cs="Times New Roman"/>
          <w:sz w:val="28"/>
          <w:szCs w:val="28"/>
        </w:rPr>
        <w:fldChar w:fldCharType="separate"/>
      </w:r>
      <w:r w:rsidR="00F7759F" w:rsidRPr="00F7759F">
        <w:rPr>
          <w:rFonts w:ascii="Times New Roman" w:hAnsi="Times New Roman" w:cs="Times New Roman"/>
          <w:noProof/>
          <w:sz w:val="28"/>
          <w:szCs w:val="28"/>
        </w:rPr>
        <w:t>[71</w:t>
      </w:r>
      <w:r w:rsidR="00F7759F">
        <w:rPr>
          <w:rFonts w:ascii="Times New Roman" w:hAnsi="Times New Roman" w:cs="Times New Roman"/>
          <w:noProof/>
          <w:sz w:val="28"/>
          <w:szCs w:val="28"/>
        </w:rPr>
        <w:t>, р. 567</w:t>
      </w:r>
      <w:r w:rsidR="00F7759F" w:rsidRPr="00F7759F">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Gjesing A. (2007) изуча</w:t>
      </w:r>
      <w:r w:rsidR="00C44422">
        <w:rPr>
          <w:rFonts w:ascii="Times New Roman" w:hAnsi="Times New Roman" w:cs="Times New Roman"/>
          <w:sz w:val="28"/>
          <w:szCs w:val="28"/>
        </w:rPr>
        <w:t>л</w:t>
      </w:r>
      <w:r>
        <w:rPr>
          <w:rFonts w:ascii="Times New Roman" w:hAnsi="Times New Roman" w:cs="Times New Roman"/>
          <w:sz w:val="28"/>
          <w:szCs w:val="28"/>
        </w:rPr>
        <w:t xml:space="preserve"> полиморфизмы гена </w:t>
      </w:r>
      <w:r>
        <w:rPr>
          <w:rFonts w:ascii="Times New Roman" w:hAnsi="Times New Roman" w:cs="Times New Roman"/>
          <w:i/>
          <w:sz w:val="28"/>
          <w:szCs w:val="28"/>
        </w:rPr>
        <w:t>ADRB2</w:t>
      </w:r>
      <w:r>
        <w:rPr>
          <w:rFonts w:ascii="Times New Roman" w:hAnsi="Times New Roman" w:cs="Times New Roman"/>
          <w:sz w:val="28"/>
          <w:szCs w:val="28"/>
        </w:rPr>
        <w:t xml:space="preserve"> на предмет связи с ожирением, АГ, СД 2 типа, не получил убедительных результатов </w:t>
      </w:r>
      <w:r w:rsidR="00EA0E64">
        <w:rPr>
          <w:rFonts w:ascii="Times New Roman" w:hAnsi="Times New Roman" w:cs="Times New Roman"/>
          <w:sz w:val="28"/>
          <w:szCs w:val="28"/>
        </w:rPr>
        <w:fldChar w:fldCharType="begin" w:fldLock="1"/>
      </w:r>
      <w:r w:rsidR="00FA0279">
        <w:rPr>
          <w:rFonts w:ascii="Times New Roman" w:hAnsi="Times New Roman" w:cs="Times New Roman"/>
          <w:sz w:val="28"/>
          <w:szCs w:val="28"/>
        </w:rPr>
        <w:instrText>ADDIN CSL_CITATION {"citationItems":[{"id":"ITEM-1","itemData":{"DOI":"10.1007/s00125-006-0578-8","ISSN":"0012186X","author":[{"dropping-particle":"","family":"Gjesing","given":"A. P.","non-dropping-particle":"","parse-names":false,"suffix":""},{"dropping-particle":"","family":"Andersen","given":"G.","non-dropping-particle":"","parse-names":false,"suffix":""},{"dropping-particle":"","family":"Burgdorf","given":"K. S.","non-dropping-particle":"","parse-names":false,"suffix":""},{"dropping-particle":"","family":"Borch-Johnsen","given":"K.","non-dropping-particle":"","parse-names":false,"suffix":""},{"dropping-particle":"","family":"Jørgensen","given":"T.","non-dropping-particle":"","parse-names":false,"suffix":""},{"dropping-particle":"","family":"Hansen","given":"T.","non-dropping-particle":"","parse-names":false,"suffix":""},{"dropping-particle":"","family":"Pedersen","given":"O.","non-dropping-particle":"","parse-names":false,"suffix":""}],"container-title":"Diabetologia","id":"ITEM-1","issue":"3","issued":{"date-parts":[["2007"]]},"page":"563-568","title":"Studies of the associations between functional β2- adrenergic receptor variants and obesity, hypertension and type 2 diabetes in 7,808 white subjects","type":"article-journal","volume":"50"},"uris":["http://www.mendeley.com/documents/?uuid=256d87e7-bdb6-4d89-8b43-6fb671648da9"]}],"mendeley":{"formattedCitation":"[71]","manualFormatting":"[71, р. 567]","plainTextFormattedCitation":"[71]","previouslyFormattedCitation":"[71]"},"properties":{"noteIndex":0},"schema":"https://github.com/citation-style-language/schema/raw/master/csl-citation.json"}</w:instrText>
      </w:r>
      <w:r w:rsidR="00EA0E64">
        <w:rPr>
          <w:rFonts w:ascii="Times New Roman" w:hAnsi="Times New Roman" w:cs="Times New Roman"/>
          <w:sz w:val="28"/>
          <w:szCs w:val="28"/>
        </w:rPr>
        <w:fldChar w:fldCharType="separate"/>
      </w:r>
      <w:r w:rsidR="00FA0279" w:rsidRPr="00FA0279">
        <w:rPr>
          <w:rFonts w:ascii="Times New Roman" w:hAnsi="Times New Roman" w:cs="Times New Roman"/>
          <w:noProof/>
          <w:sz w:val="28"/>
          <w:szCs w:val="28"/>
        </w:rPr>
        <w:t>[71</w:t>
      </w:r>
      <w:r w:rsidR="00FA0279">
        <w:rPr>
          <w:rFonts w:ascii="Times New Roman" w:hAnsi="Times New Roman" w:cs="Times New Roman"/>
          <w:noProof/>
          <w:sz w:val="28"/>
          <w:szCs w:val="28"/>
        </w:rPr>
        <w:t>, р. 567</w:t>
      </w:r>
      <w:r w:rsidR="00FA0279" w:rsidRPr="00FA0279">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Однако автор отмечает, что полиморфизмы гена </w:t>
      </w:r>
      <w:r>
        <w:rPr>
          <w:rFonts w:ascii="Times New Roman" w:hAnsi="Times New Roman" w:cs="Times New Roman"/>
          <w:i/>
          <w:sz w:val="28"/>
          <w:szCs w:val="28"/>
        </w:rPr>
        <w:t>ADRB2</w:t>
      </w:r>
      <w:r>
        <w:rPr>
          <w:rFonts w:ascii="Times New Roman" w:hAnsi="Times New Roman" w:cs="Times New Roman"/>
          <w:sz w:val="28"/>
          <w:szCs w:val="28"/>
        </w:rPr>
        <w:t xml:space="preserve"> показали связь с САД и с МС, особенно у мужчин. В исследовании на корейских подростках Park H. (2008) выявил связь между полиморфизмами гена </w:t>
      </w:r>
      <w:r>
        <w:rPr>
          <w:rFonts w:ascii="Times New Roman" w:hAnsi="Times New Roman" w:cs="Times New Roman"/>
          <w:i/>
          <w:sz w:val="28"/>
          <w:szCs w:val="28"/>
        </w:rPr>
        <w:t>ADRB2</w:t>
      </w:r>
      <w:r>
        <w:rPr>
          <w:rFonts w:ascii="Times New Roman" w:hAnsi="Times New Roman" w:cs="Times New Roman"/>
          <w:sz w:val="28"/>
          <w:szCs w:val="28"/>
        </w:rPr>
        <w:t xml:space="preserve"> с МС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{"citationItems":[{"id":"ITEM-1","itemData":{"DOI":"10.1016/j.metabol.2008.03.009","ISSN":"1532-8600","PMID":"18640383","abstract":"We investigated the association between single nucleotide polymorphisms (SNPs) and haplotype of the beta(2)-adrenergic receptor (ADRB2) gene and parameters of the metabolic syndrome in Korean adolescents. Body mass index, waist circumference, blood pressure, fasting glucose, triglycerides and high-density lipoprotein (HDL) cholesterol, free fatty acid and insulin, and homeostasis model assessment (HOMA) score were measured in 134 volunteer adolescents (69 male and 65 female). All subjects were genotyped for 5 SNPs: A--&gt;G rs1042713 (Arg16Gly), C--&gt;G rs1042714 (Gln27Glu), G--&gt;A rs1042717 (Leu84Leu), C--&gt;A rs1042718 (Arg175Arg), and G--&gt;C rs1042719 (Gly351Gly). After adjustment for age and sex, we found that the rs1042717 SNP was associated with higher body weight, fasting insulin, and HOMA score. The rs1042714 SNP was associated with higher body fat, waist circumference, and free fatty acids; and the rs1042719 SNP was associated with higher diastolic blood pressure. The C-A-A-C haplotype at SNPs rs1042714, rs1042717, rs1042718, and rs1042719 was associated with higher body weight, fasting insulin, and HOMA score; the G-G-C-G was associated with higher body fat and waist circumference; the C-G-C-G was associated with lower HDL cholesterol; and the C-G-C-C was associated with lower body weight, lower waist circumference, and higher HDL cholesterol. In conclusion, these findings suggest that the genotypes and haplotypes of ADRB2 may influence parameters of the metabolic syndrome in Korean adolescents.","author":[{"dropping-particle":"","family":"Park","given":"Hye Soon","non-dropping-particle":"","parse-names":false,"suffix":""},{"dropping-particle":"","family":"Shin","given":"Eun Soon","non-dropping-particle":"","parse-names":false,"suffix":""},{"dropping-particle":"","family":"Lee","given":"Jong Eun","non-dropping-particle":"","parse-names":false,"suffix":""}],"container-title":"Metabolism: clinical and experimental","id":"ITEM-1","issue":"8","issued":{"date-parts":[["2008"]]},"page":"1064-70","title":"Genotypes and haplotypes of beta2-adrenergic receptor and parameters of the metabolic syndrome in Korean adolescents.","type":"article-journal","volume":"57"},"uris":["http://www.mendeley.com/documents/?uuid=bdbde27d-3c44-41b3-b85a-4bf43f4bca8f"]}],"mendeley":{"formattedCitation":"[129]","plainTextFormattedCitation":"[129]","previouslyFormattedCitation":"[129]"},"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[129]</w:t>
      </w:r>
      <w:r w:rsidR="00EA0E64">
        <w:rPr>
          <w:rFonts w:ascii="Times New Roman" w:hAnsi="Times New Roman" w:cs="Times New Roman"/>
          <w:sz w:val="28"/>
          <w:szCs w:val="28"/>
        </w:rPr>
        <w:fldChar w:fldCharType="end"/>
      </w:r>
      <w:r>
        <w:rPr>
          <w:rFonts w:ascii="Times New Roman" w:hAnsi="Times New Roman" w:cs="Times New Roman"/>
          <w:sz w:val="28"/>
          <w:szCs w:val="28"/>
        </w:rPr>
        <w:t>. По его данным, полиморфизм ассоциировался с повышенной массой тела, тощаковым уровнем инсулина, индексом ИР и с высоким ДАД.</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i/>
          <w:sz w:val="28"/>
          <w:szCs w:val="28"/>
        </w:rPr>
        <w:t>Ген, кодирующий ангиотензиноген AGT Thr174Met (rs4762)</w:t>
      </w:r>
    </w:p>
    <w:p w:rsidR="00766DEC" w:rsidRDefault="00AB12B3" w:rsidP="00766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Действия ангиотензиновых пептидов разнообразны и локально действуют на ткань РААС, присутствуя практически во всех тканях организма. Активная РААС имеет тесную связь с метаболическими заболеваниями (например, СД) и с </w:t>
      </w:r>
      <w:r w:rsidR="00791B16">
        <w:rPr>
          <w:rFonts w:ascii="Times New Roman" w:hAnsi="Times New Roman" w:cs="Times New Roman"/>
          <w:sz w:val="28"/>
          <w:szCs w:val="28"/>
        </w:rPr>
        <w:t>их</w:t>
      </w:r>
      <w:r w:rsidR="004175AB">
        <w:rPr>
          <w:rFonts w:ascii="Times New Roman" w:hAnsi="Times New Roman" w:cs="Times New Roman"/>
          <w:sz w:val="28"/>
          <w:szCs w:val="28"/>
        </w:rPr>
        <w:t xml:space="preserve"> </w:t>
      </w:r>
      <w:r>
        <w:rPr>
          <w:rFonts w:ascii="Times New Roman" w:hAnsi="Times New Roman" w:cs="Times New Roman"/>
          <w:sz w:val="28"/>
          <w:szCs w:val="28"/>
        </w:rPr>
        <w:t>осложнениями.</w:t>
      </w:r>
      <w:r w:rsidR="004175AB">
        <w:rPr>
          <w:rFonts w:ascii="Times New Roman" w:hAnsi="Times New Roman" w:cs="Times New Roman"/>
          <w:sz w:val="28"/>
          <w:szCs w:val="28"/>
        </w:rPr>
        <w:t xml:space="preserve"> </w:t>
      </w:r>
      <w:r>
        <w:rPr>
          <w:rFonts w:ascii="Times New Roman" w:hAnsi="Times New Roman" w:cs="Times New Roman"/>
          <w:sz w:val="28"/>
          <w:szCs w:val="28"/>
        </w:rPr>
        <w:t xml:space="preserve">Гипергликемия, кортизолемия, ожирение и гипертензия являются хорошо известными факторами риска метаболических </w:t>
      </w:r>
      <w:r w:rsidR="00791B16">
        <w:rPr>
          <w:rFonts w:ascii="Times New Roman" w:hAnsi="Times New Roman" w:cs="Times New Roman"/>
          <w:sz w:val="28"/>
          <w:szCs w:val="28"/>
        </w:rPr>
        <w:t>заболеваний,</w:t>
      </w:r>
      <w:r>
        <w:rPr>
          <w:rFonts w:ascii="Times New Roman" w:hAnsi="Times New Roman" w:cs="Times New Roman"/>
          <w:sz w:val="28"/>
          <w:szCs w:val="28"/>
        </w:rPr>
        <w:t xml:space="preserve"> и все они стимулируют тканевую РААС</w:t>
      </w:r>
      <w:r w:rsidR="004175AB">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FA0279">
        <w:rPr>
          <w:rFonts w:ascii="Times New Roman" w:hAnsi="Times New Roman" w:cs="Times New Roman"/>
          <w:sz w:val="28"/>
          <w:szCs w:val="28"/>
        </w:rPr>
        <w:instrText>ADDIN CSL_CITATION {"citationItems":[{"id":"ITEM-1","itemData":{"DOI":"10.3389/fendo.2014.00023","ISSN":"16642392","abstract":"The actions of angiotensin peptides are diverse and locally acting tissue rein-angiotensin systems (RAS) are present in almost all tissues of the body. An activated RAS strongly correlates to metabolic disease (e.g., diabetes) and its complications and blockers of RAS have been demonstrated to prevent diabetes in humans. Hyperglycemia, obesity, hypertension, and cortisol are well-known risk factors of metabolic disease and all stimulate tissue RAS whereas glucagon-like peptide-1, vitamin D, and aerobic exercise are inhibitors of tissue RAS and to some extent can prevent metabolic disease. Furthermore, an activated tissue RAS deteriorates the same risk factors creating a system with several positive feedback pathways. The primary effector hormone of the RAS, angiotensin II, stimulates reactive oxygen species, induces tissue damage, and can be associated to most diabetic complications. Based on these observations, we hypothesize that an activated tissue RAS is the principle cause of metabolic syndrome and type 2 diabetes, and additionally is mediating the majority of the metabolic complications. The involvement of positive feedback pathways may create a self-reinforcing state and explain why metabolic disease initiate and progress. The hypothesis plausibly unifies the major predictors of metabolic disease and places tissue RAS regulation in the center of metabolic control. © 2014 Skov, Persson, Frøkiær and Christiansen.","author":[{"dropping-particle":"","family":"Skov","given":"Jeppe","non-dropping-particle":"","parse-names":false,"suffix":""},{"dropping-particle":"","family":"Persson","given":"Frederik","non-dropping-particle":"","parse-names":false,"suffix":""},{"dropping-particle":"","family":"Frøkiær","given":"Jørgen","non-dropping-particle":"","parse-names":false,"suffix":""},{"dropping-particle":"","family":"Christiansen","given":"Jens Sandahl","non-dropping-particle":"","parse-names":false,"suffix":""}],"container-title":"Frontiers in Endocrinology","id":"ITEM-1","issue":"FEB","issued":{"date-parts":[["2014"]]},"page":"1-7","title":"Tissue renin-angiotensin systems: A unifying hypothesis of metabolic disease","type":"article-journal","volume":"5"},"uris":["http://www.mendeley.com/documents/?uuid=5d368c1c-8705-40ef-835e-d97d7b6a2b85","http://www.mendeley.com/documents/?uuid=de75f9f1-812e-46f8-90f2-9f2a47ddee22"]}],"mendeley":{"formattedCitation":"[84]","manualFormatting":"[84, р. 2]","plainTextFormattedCitation":"[84]","previouslyFormattedCitation":"[84]"},"properties":{"noteIndex":0},"schema":"https://github.com/citation-style-language/schema/raw/master/csl-citation.json"}</w:instrText>
      </w:r>
      <w:r w:rsidR="00EA0E64">
        <w:rPr>
          <w:rFonts w:ascii="Times New Roman" w:hAnsi="Times New Roman" w:cs="Times New Roman"/>
          <w:sz w:val="28"/>
          <w:szCs w:val="28"/>
        </w:rPr>
        <w:fldChar w:fldCharType="separate"/>
      </w:r>
      <w:r w:rsidR="00FA0279" w:rsidRPr="00FA0279">
        <w:rPr>
          <w:rFonts w:ascii="Times New Roman" w:hAnsi="Times New Roman" w:cs="Times New Roman"/>
          <w:noProof/>
          <w:sz w:val="28"/>
          <w:szCs w:val="28"/>
        </w:rPr>
        <w:t>[84</w:t>
      </w:r>
      <w:r w:rsidR="00FA0279">
        <w:rPr>
          <w:rFonts w:ascii="Times New Roman" w:hAnsi="Times New Roman" w:cs="Times New Roman"/>
          <w:noProof/>
          <w:sz w:val="28"/>
          <w:szCs w:val="28"/>
        </w:rPr>
        <w:t>, р. 2</w:t>
      </w:r>
      <w:r w:rsidR="00FA0279" w:rsidRPr="00FA0279">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Активная ткань РААС является основной причиной МС и СД 2 типа, а также является посредником большинства метаболических осложнений. </w:t>
      </w:r>
      <w:r w:rsidR="00766DEC">
        <w:rPr>
          <w:rFonts w:ascii="Times New Roman" w:hAnsi="Times New Roman" w:cs="Times New Roman"/>
          <w:sz w:val="28"/>
          <w:szCs w:val="28"/>
        </w:rPr>
        <w:t xml:space="preserve">При повышенной активности ткани РААС жир начинает накапливаться в висцеральной/центральной жировой ткани больше, </w:t>
      </w:r>
      <w:r w:rsidR="00766DEC">
        <w:rPr>
          <w:rFonts w:ascii="Times New Roman" w:hAnsi="Times New Roman" w:cs="Times New Roman"/>
          <w:sz w:val="28"/>
          <w:szCs w:val="28"/>
        </w:rPr>
        <w:lastRenderedPageBreak/>
        <w:t>чем в подкожной клетчатке.</w:t>
      </w:r>
      <w:r w:rsidR="007B0642">
        <w:rPr>
          <w:rFonts w:ascii="Times New Roman" w:hAnsi="Times New Roman" w:cs="Times New Roman"/>
          <w:sz w:val="28"/>
          <w:szCs w:val="28"/>
        </w:rPr>
        <w:t xml:space="preserve"> </w:t>
      </w:r>
      <w:r>
        <w:rPr>
          <w:rFonts w:ascii="Times New Roman" w:hAnsi="Times New Roman" w:cs="Times New Roman"/>
          <w:sz w:val="28"/>
          <w:szCs w:val="28"/>
        </w:rPr>
        <w:t xml:space="preserve">Компоненты РААС вовлечены в комплекс развития ожирения через чувство сытости, расход энергии, а также рост и дифференциацию адипоцитов. Сочетание гиперхолестеринемии и гипертензии увеличивает риск ССЗ, а патогенез этих состояний в ряде случаев связан с РААС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{"citationItems":[{"id":"ITEM-1","itemData":{"DOI":"10.1016/j.numecd.2016.07.013","ISSN":"15903729","PMID":"27745933","abstract":"Aim The aim of this study is to discuss the reliable scientific evidence of an interactive link between hypertension and hypercholesterolemia considering the metabolic pathways and the pathogenetic mechanisms connecting the two risk factors. Data synthesis Hypertension and hypercholesterolemia are highly prevalent in the general population and their coexistence in the same subjects additively increases the risk of cardiovascular disease. Probably, hypercholesterolemia is also a risk factor for the development of hypertension. On the other side, it is also possible that lipid-lowering treatment could improve blood pressure control. Although the mechanisms of interaction between these two risk factors have not been completely elucidated thus far, there is rapidly growing evidence that the involvement of the renin–angiotensin system (RAS) can be considered as the common link between hypertension and hypercholesterolemia. In particular, hypercholesterolemia seems to promote the upregulation of type 1 angiotensin II (AT1) receptor genes because of an increase in the stability of mRNA followed by structural overexpression of vascular AT1 receptors for angiotensin II. The treatment of both risk factors greatly improves individual risk profile, especially when statins and RAS blockers are used together. Conclusions Hypertension and hypercholesterolemia are highly coprevalent and strongly related from a pathophysiological point of view. The RAS could be the main mediator of this link.","author":[{"dropping-particle":"","family":"Borghi","given":"C.","non-dropping-particle":"","parse-names":false,"suffix":""},{"dropping-particle":"","family":"Urso","given":"R.","non-dropping-particle":"","parse-names":false,"suffix":""},{"dropping-particle":"","family":"Cicero","given":"A. F.","non-dropping-particle":"","parse-names":false,"suffix":""}],"container-title":"Nutrition, Metabolism and Cardiovascular Diseases","id":"ITEM-1","issue":"2","issued":{"date-parts":[["2017"]]},"page":"115-120","title":"Renin–angiotensin system at the crossroad of hypertension and hypercholesterolemia","type":"article-journal","volume":"27"},"uris":["http://www.mendeley.com/documents/?uuid=ca497fcb-ee7e-426b-b9ec-3f55d22325ef"]}],"mendeley":{"formattedCitation":"[130]","plainTextFormattedCitation":"[130]","previouslyFormattedCitation":"[130]"},"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[130]</w:t>
      </w:r>
      <w:r w:rsidR="00EA0E64">
        <w:rPr>
          <w:rFonts w:ascii="Times New Roman" w:hAnsi="Times New Roman" w:cs="Times New Roman"/>
          <w:sz w:val="28"/>
          <w:szCs w:val="28"/>
        </w:rPr>
        <w:fldChar w:fldCharType="end"/>
      </w:r>
      <w:r>
        <w:rPr>
          <w:rFonts w:ascii="Times New Roman" w:hAnsi="Times New Roman" w:cs="Times New Roman"/>
          <w:sz w:val="28"/>
          <w:szCs w:val="28"/>
        </w:rPr>
        <w:t>.</w:t>
      </w:r>
      <w:r w:rsidR="000C6E30">
        <w:rPr>
          <w:rFonts w:ascii="Times New Roman" w:hAnsi="Times New Roman" w:cs="Times New Roman"/>
          <w:sz w:val="28"/>
          <w:szCs w:val="28"/>
        </w:rPr>
        <w:t xml:space="preserve"> </w:t>
      </w:r>
      <w:r w:rsidR="00766DEC">
        <w:rPr>
          <w:rFonts w:ascii="Times New Roman" w:hAnsi="Times New Roman" w:cs="Times New Roman"/>
          <w:sz w:val="28"/>
          <w:szCs w:val="28"/>
        </w:rPr>
        <w:t xml:space="preserve">Многие исследования показывают, что повышенная активность ангиотензина </w:t>
      </w:r>
      <w:r w:rsidR="00766DEC">
        <w:rPr>
          <w:rFonts w:ascii="Times New Roman" w:hAnsi="Times New Roman" w:cs="Times New Roman"/>
          <w:sz w:val="28"/>
          <w:szCs w:val="28"/>
          <w:lang w:val="en-US"/>
        </w:rPr>
        <w:t>II</w:t>
      </w:r>
      <w:r w:rsidR="00766DEC">
        <w:rPr>
          <w:rFonts w:ascii="Times New Roman" w:hAnsi="Times New Roman" w:cs="Times New Roman"/>
          <w:sz w:val="28"/>
          <w:szCs w:val="28"/>
        </w:rPr>
        <w:t xml:space="preserve"> в скелетных мышцах, в жировой ткани и в поджелудочной железе способствует изменению метаболизма глюкозы, что в</w:t>
      </w:r>
      <w:r w:rsidR="00762C69">
        <w:rPr>
          <w:rFonts w:ascii="Times New Roman" w:hAnsi="Times New Roman" w:cs="Times New Roman"/>
          <w:sz w:val="28"/>
          <w:szCs w:val="28"/>
        </w:rPr>
        <w:t xml:space="preserve"> </w:t>
      </w:r>
      <w:r w:rsidR="00766DEC">
        <w:rPr>
          <w:rFonts w:ascii="Times New Roman" w:hAnsi="Times New Roman" w:cs="Times New Roman"/>
          <w:sz w:val="28"/>
          <w:szCs w:val="28"/>
        </w:rPr>
        <w:t xml:space="preserve">последствии приводит к резистентности к инсулину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{"citationItems":[{"id":"ITEM-1","itemData":{"DOI":"10.1007/s11906-012-0323-2","ISSN":"1522-6417","abstract":"Alterations in the renin angiotensin aldosterone system (RAAS) contribute to the underlying pathophysiology of insulin resistance in humans; however, individual differences in the treatment response of insulin resistance to RAAS blockade persist. Thus, understanding inter-individual differences in the relationship between the RAAS and insulin resistance may provide insights into improved personalized treatments and improved outcomes. The effects of the systemic RAAS on blood pressure regulation and glucose metabolism have been studied extensively; however, recent discoveries on the influence of local tissue RAAS in the skeletal muscle, heart, vasculature, adipocytes, and pancreas have led to an improved understanding of how activated tissue RAAS influences the development of insulin resistance and diabetes in humans. Angiotensin II (ANGII) is the predominant RAAS component contributing to insulin resistance; however, other players such as aldosterone, renin, and ACE2 are also involved. This review examines the role of local ANGII activity on insulin resistance development in skeletal muscle, adipocytes, and pancreas, followed by a discussion of the other RAAS components implicated in insulin resistance, including ACE2, Ang1-7, renin, and aldosterone. Keywords Renin angiotensin aldosterone system; Angiotensin II; Insulin resistance; Aldosterone; Insulin signaling; Angiotensin converting enzyme; Angiotensin 1-7; Diabetes mellitus; Glucose metabolism; Skeletal muscle; Adipocytes; Pancreas; Insulin secretion; Inflammation; Genetics; Polymorphisms; Angiotensin II receptor blocker; Angiotensin converting enzyme inhibitor; Insulin sensitivity; Human studies; Animal models; Renin inhibitor; Obesity; Hypertension; Clinical trials Introduction Insulin resistance is a well-known risk factor for type 2 diabetes, cardiovascular disease and the metabolic syndrome [1, 2]; leading causes of morbidity and mortality worldwide. Correspondence to: Gail K. Adler, gadler@partners.org. Disclosure No potential conflicts of interest relevant to this article were reported. NIH Public Access Author Manuscript Curr Hypertens Rep. Author manuscript; available in PMC 2014 February 01. Published in final edited form as: Curr Hypertens Rep. 2013 February ; 15(1): 59–70. doi:10.1007/s11906-012-0323-2. $watermark-text $watermark-text $","author":[{"dropping-particle":"","family":"Underwood","given":"Patricia C","non-dropping-particle":"","parse-names":false,"suffix":""},{"dropping-particle":"","family":"Adler","given":"Gail K.","non-dropping-particle":"","parse-names":false,"suffix":""}],"container-title":"Current Hypertension Reports","id":"ITEM-1","issue":"1","issued":{"date-parts":[["2013","2","15"]]},"page":"59-70","title":"The Renin Angiotensin Aldosterone System and Insulin Resistance in Humans","type":"article-journal","volume":"15"},"uris":["http://www.mendeley.com/documents/?uuid=0569ce16-2118-4668-ac3b-472f3491dca1"]}],"mendeley":{"formattedCitation":"[131]","plainTextFormattedCitation":"[131]","previouslyFormattedCitation":"[131]"},"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[131]</w:t>
      </w:r>
      <w:r w:rsidR="00EA0E64">
        <w:rPr>
          <w:rFonts w:ascii="Times New Roman" w:hAnsi="Times New Roman" w:cs="Times New Roman"/>
          <w:sz w:val="28"/>
          <w:szCs w:val="28"/>
        </w:rPr>
        <w:fldChar w:fldCharType="end"/>
      </w:r>
      <w:r w:rsidR="00766DEC">
        <w:rPr>
          <w:rFonts w:ascii="Times New Roman" w:hAnsi="Times New Roman" w:cs="Times New Roman"/>
          <w:sz w:val="28"/>
          <w:szCs w:val="28"/>
        </w:rPr>
        <w:t xml:space="preserve">. </w:t>
      </w:r>
    </w:p>
    <w:p w:rsidR="00AB12B3" w:rsidRDefault="00AB12B3" w:rsidP="00766D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 </w:t>
      </w:r>
      <w:r w:rsidR="008F43E4">
        <w:rPr>
          <w:rFonts w:ascii="Times New Roman" w:hAnsi="Times New Roman" w:cs="Times New Roman"/>
          <w:sz w:val="28"/>
          <w:szCs w:val="28"/>
          <w:lang w:val="kk-KZ"/>
        </w:rPr>
        <w:t>данным</w:t>
      </w:r>
      <w:r>
        <w:rPr>
          <w:rFonts w:ascii="Times New Roman" w:hAnsi="Times New Roman" w:cs="Times New Roman"/>
          <w:sz w:val="28"/>
          <w:szCs w:val="28"/>
        </w:rPr>
        <w:t xml:space="preserve"> некоторых авторов ангиотензин ІІ ускорял гликогенолиз и замедлял процесс глюконеогенез</w:t>
      </w:r>
      <w:r w:rsidR="006B04BF">
        <w:rPr>
          <w:rFonts w:ascii="Century" w:hAnsi="Century" w:cs="Times New Roman"/>
          <w:sz w:val="28"/>
          <w:szCs w:val="28"/>
        </w:rPr>
        <w:t>.</w:t>
      </w:r>
      <w:r>
        <w:rPr>
          <w:rFonts w:ascii="Times New Roman" w:hAnsi="Times New Roman" w:cs="Times New Roman"/>
          <w:sz w:val="28"/>
          <w:szCs w:val="28"/>
        </w:rPr>
        <w:t xml:space="preserve"> Также были попытки изучения эффекта РААС на ИР у пациентов с гипертонией</w:t>
      </w:r>
      <w:r w:rsidR="006B04BF">
        <w:rPr>
          <w:rFonts w:ascii="Century" w:hAnsi="Century" w:cs="Times New Roman"/>
          <w:sz w:val="28"/>
          <w:szCs w:val="28"/>
        </w:rPr>
        <w:t>.</w:t>
      </w:r>
      <w:r>
        <w:rPr>
          <w:rFonts w:ascii="Times New Roman" w:hAnsi="Times New Roman" w:cs="Times New Roman"/>
          <w:sz w:val="28"/>
          <w:szCs w:val="28"/>
        </w:rPr>
        <w:t xml:space="preserve"> </w:t>
      </w:r>
      <w:r w:rsidR="008F43E4">
        <w:rPr>
          <w:rFonts w:ascii="Times New Roman" w:hAnsi="Times New Roman" w:cs="Times New Roman"/>
          <w:sz w:val="28"/>
          <w:szCs w:val="28"/>
        </w:rPr>
        <w:t>Hsiao Ch</w:t>
      </w:r>
      <w:r w:rsidR="006B04BF">
        <w:rPr>
          <w:rFonts w:ascii="Century" w:hAnsi="Century" w:cs="Times New Roman"/>
          <w:sz w:val="28"/>
          <w:szCs w:val="28"/>
        </w:rPr>
        <w:t>.</w:t>
      </w:r>
      <w:r w:rsidR="008F43E4">
        <w:rPr>
          <w:rFonts w:ascii="Times New Roman" w:hAnsi="Times New Roman" w:cs="Times New Roman"/>
          <w:sz w:val="28"/>
          <w:szCs w:val="28"/>
        </w:rPr>
        <w:t>-F</w:t>
      </w:r>
      <w:r w:rsidR="006B04BF">
        <w:rPr>
          <w:rFonts w:ascii="Century" w:hAnsi="Century" w:cs="Times New Roman"/>
          <w:sz w:val="28"/>
          <w:szCs w:val="28"/>
        </w:rPr>
        <w:t>.</w:t>
      </w:r>
      <w:r w:rsidR="008F43E4">
        <w:rPr>
          <w:rFonts w:ascii="Times New Roman" w:hAnsi="Times New Roman" w:cs="Times New Roman"/>
          <w:sz w:val="28"/>
          <w:szCs w:val="28"/>
        </w:rPr>
        <w:t xml:space="preserve"> и группа ученых (2012)</w:t>
      </w:r>
      <w:r w:rsidR="000C6E30">
        <w:rPr>
          <w:rFonts w:ascii="Times New Roman" w:hAnsi="Times New Roman" w:cs="Times New Roman"/>
          <w:sz w:val="28"/>
          <w:szCs w:val="28"/>
        </w:rPr>
        <w:t xml:space="preserve"> </w:t>
      </w:r>
      <w:r w:rsidR="008F43E4">
        <w:rPr>
          <w:rFonts w:ascii="Times New Roman" w:hAnsi="Times New Roman" w:cs="Times New Roman"/>
          <w:sz w:val="28"/>
          <w:szCs w:val="28"/>
        </w:rPr>
        <w:t xml:space="preserve">определяли эффект полиморфизмов генов РААС на ИР у пациентов с АГ и их близких родственников в китайских и японских семьях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{"citationItems":[{"id":"ITEM-1","itemData":{"DOI":"10.1177/1470320312438790","ISBN":"1470320312","ISSN":"1470-3203","PMID":"22419662","abstract":"INTRODUCTION: The hereditability of insulin resistance has been demonstrated in both familial and twin studies. The effects of renin-angiotensin-aldosterone system gene polymorphisms on insulin resistance remain inconclusive. METHODS: This is a sibling-based association study. Polymorphisms of renin-angiotensin-aldosterone system genes were examined in 1113 hypertension and 676 normotension siblings from Chinese and Japanese hypertensive families. The generalized estimation equations method was used to compare the differences in metabolic variables between hypertension and normotensive siblings. RESULTS: For the G-6A polymorphism of AGT, GG siblings had lower 2-h insulin than siblings carrying the A allele (p=0.006). Siblings with different variants of the angiotensin II type 1 receptor A1166C had no difference in metabolic variables. Siblings carrying the D allele of the angiotensin converting enzyme gene had higher levels of fasting glucose, fasting insulin, area under the curve of insulin levels and the homeostasis model assessment of insulin resistance than II siblings (all p&lt;0.05). Lower levels of fasting glucose and 2-h glucose were observed in siblings with the T allele than their CC homozygotes for the C-344T polymorphism of CYP11B2 (p&lt;0.05). Siblings carrying three high-risk genotypes of the angiotensin converting enzyme, angiotensinogen and CYP11B2 had higher fasting glucose level than siblings carrying no high-risk genotypes (p=0.011). CONCLUSION: Our comprehensive analysis of renin-angiotensin-aldosterone system gene polymorphisms demonstrates that the angiotensin converting enzyme and CYP11B2 gene polymorphisms are associated with insulin resistance in hypertensive families.","author":[{"dropping-particle":"","family":"Hsiao","given":"C.-F.","non-dropping-particle":"","parse-names":false,"suffix":""},{"dropping-particle":"","family":"Sheu","given":"W. W.","non-dropping-particle":"","parse-names":false,"suffix":""},{"dropping-particle":"","family":"Hung","given":"Y.-J.","non-dropping-particle":"","parse-names":false,"suffix":""},{"dropping-particle":"","family":"Lin","given":"M.-W.","non-dropping-particle":"","parse-names":false,"suffix":""},{"dropping-particle":"","family":"Curb","given":"D.","non-dropping-particle":"","parse-names":false,"suffix":""},{"dropping-particle":"","family":"Ranadex","given":"K.","non-dropping-particle":"","parse-names":false,"suffix":""},{"dropping-particle":"","family":"Quertermous","given":"T.","non-dropping-particle":"","parse-names":false,"suffix":""},{"dropping-particle":"","family":"Chen","given":"Y.-M.","non-dropping-particle":"","parse-names":false,"suffix":""},{"dropping-particle":"","family":"Chen","given":"I. Y.-D.","non-dropping-particle":"","parse-names":false,"suffix":""},{"dropping-particle":"","family":"Wu","given":"K.-D.","non-dropping-particle":"","parse-names":false,"suffix":""}],"container-title":"Journal of the Renin-Angiotensin-Aldosterone System","id":"ITEM-1","issue":"4","issued":{"date-parts":[["2012"]]},"page":"446-454","title":"The effects of the renin-angiotensin-aldosterone system gene polymorphisms on insulin resistance in hypertensive families","type":"article-journal","volume":"13"},"uris":["http://www.mendeley.com/documents/?uuid=b83dc0ee-1523-4041-89f1-46e0c2b3872a"]}],"mendeley":{"formattedCitation":"[132]","plainTextFormattedCitation":"[132]","previouslyFormattedCitation":"[132]"},"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[132]</w:t>
      </w:r>
      <w:r w:rsidR="00EA0E64">
        <w:rPr>
          <w:rFonts w:ascii="Times New Roman" w:hAnsi="Times New Roman" w:cs="Times New Roman"/>
          <w:sz w:val="28"/>
          <w:szCs w:val="28"/>
        </w:rPr>
        <w:fldChar w:fldCharType="end"/>
      </w:r>
      <w:r w:rsidR="006B04BF">
        <w:rPr>
          <w:rFonts w:ascii="Century" w:hAnsi="Century" w:cs="Times New Roman"/>
          <w:sz w:val="28"/>
          <w:szCs w:val="28"/>
        </w:rPr>
        <w:t>.</w:t>
      </w:r>
      <w:r>
        <w:rPr>
          <w:rFonts w:ascii="Times New Roman" w:hAnsi="Times New Roman" w:cs="Times New Roman"/>
          <w:sz w:val="28"/>
          <w:szCs w:val="28"/>
        </w:rPr>
        <w:t xml:space="preserve"> По их </w:t>
      </w:r>
      <w:r w:rsidR="008F43E4">
        <w:rPr>
          <w:rFonts w:ascii="Times New Roman" w:hAnsi="Times New Roman" w:cs="Times New Roman"/>
          <w:sz w:val="28"/>
          <w:szCs w:val="28"/>
          <w:lang w:val="kk-KZ"/>
        </w:rPr>
        <w:t xml:space="preserve">результатам </w:t>
      </w:r>
      <w:r>
        <w:rPr>
          <w:rFonts w:ascii="Times New Roman" w:hAnsi="Times New Roman" w:cs="Times New Roman"/>
          <w:sz w:val="28"/>
          <w:szCs w:val="28"/>
        </w:rPr>
        <w:t>пациенты</w:t>
      </w:r>
      <w:r w:rsidR="006B04BF">
        <w:rPr>
          <w:rFonts w:ascii="Century" w:hAnsi="Century" w:cs="Times New Roman"/>
          <w:sz w:val="28"/>
          <w:szCs w:val="28"/>
        </w:rPr>
        <w:t>,</w:t>
      </w:r>
      <w:r>
        <w:rPr>
          <w:rFonts w:ascii="Times New Roman" w:hAnsi="Times New Roman" w:cs="Times New Roman"/>
          <w:sz w:val="28"/>
          <w:szCs w:val="28"/>
        </w:rPr>
        <w:t xml:space="preserve"> у которых были обнаружены полиморфизмы генов </w:t>
      </w:r>
      <w:r>
        <w:rPr>
          <w:rFonts w:ascii="Times New Roman" w:hAnsi="Times New Roman" w:cs="Times New Roman"/>
          <w:i/>
          <w:sz w:val="28"/>
          <w:szCs w:val="28"/>
        </w:rPr>
        <w:t>AGT, ACE</w:t>
      </w:r>
      <w:r>
        <w:rPr>
          <w:rFonts w:ascii="Times New Roman" w:hAnsi="Times New Roman" w:cs="Times New Roman"/>
          <w:sz w:val="28"/>
          <w:szCs w:val="28"/>
        </w:rPr>
        <w:t xml:space="preserve"> и </w:t>
      </w:r>
      <w:r>
        <w:rPr>
          <w:rFonts w:ascii="Times New Roman" w:hAnsi="Times New Roman" w:cs="Times New Roman"/>
          <w:i/>
          <w:sz w:val="28"/>
          <w:szCs w:val="28"/>
        </w:rPr>
        <w:t>CYP11B2</w:t>
      </w:r>
      <w:r>
        <w:rPr>
          <w:rFonts w:ascii="Times New Roman" w:hAnsi="Times New Roman" w:cs="Times New Roman"/>
          <w:sz w:val="28"/>
          <w:szCs w:val="28"/>
        </w:rPr>
        <w:t xml:space="preserve"> имели на высокие уровни глюкозы натощак и после еды, а также на изменения уровня инсулина</w:t>
      </w:r>
      <w:r w:rsidR="006B04BF">
        <w:rPr>
          <w:rFonts w:ascii="Century" w:hAnsi="Century" w:cs="Times New Roman"/>
          <w:sz w:val="28"/>
          <w:szCs w:val="28"/>
        </w:rPr>
        <w:t>.</w:t>
      </w:r>
    </w:p>
    <w:p w:rsidR="00AB12B3" w:rsidRDefault="003F6F8D"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оценке связи полиморфизмов генов РААС с диабетической нефропатией у популяции Туниса </w:t>
      </w:r>
      <w:r w:rsidR="00AB12B3">
        <w:rPr>
          <w:rFonts w:ascii="Times New Roman" w:hAnsi="Times New Roman" w:cs="Times New Roman"/>
          <w:sz w:val="28"/>
          <w:szCs w:val="28"/>
        </w:rPr>
        <w:t>Moussa A. и его соавторы (2017) обнаружили, что повышенный риск развития диабетической нефропатии</w:t>
      </w:r>
      <w:r w:rsidR="009502B9">
        <w:rPr>
          <w:rFonts w:ascii="Times New Roman" w:hAnsi="Times New Roman" w:cs="Times New Roman"/>
          <w:sz w:val="28"/>
          <w:szCs w:val="28"/>
        </w:rPr>
        <w:t xml:space="preserve"> был связан с </w:t>
      </w:r>
      <w:r w:rsidR="008F43E4">
        <w:rPr>
          <w:rFonts w:ascii="Times New Roman" w:hAnsi="Times New Roman" w:cs="Times New Roman"/>
          <w:sz w:val="28"/>
          <w:szCs w:val="28"/>
        </w:rPr>
        <w:t xml:space="preserve">полиморфизмом rs5186A&gt;C гена </w:t>
      </w:r>
      <w:r w:rsidR="008F43E4">
        <w:rPr>
          <w:rFonts w:ascii="Times New Roman" w:hAnsi="Times New Roman" w:cs="Times New Roman"/>
          <w:i/>
          <w:sz w:val="28"/>
          <w:szCs w:val="28"/>
        </w:rPr>
        <w:t>AGTR1</w:t>
      </w:r>
      <w:r w:rsidR="008F43E4" w:rsidRPr="008F43E4">
        <w:rPr>
          <w:rFonts w:ascii="Times New Roman" w:hAnsi="Times New Roman" w:cs="Times New Roman"/>
          <w:sz w:val="28"/>
          <w:szCs w:val="28"/>
          <w:lang w:val="kk-KZ"/>
        </w:rPr>
        <w:t>,</w:t>
      </w:r>
      <w:r w:rsidR="00350366">
        <w:rPr>
          <w:rFonts w:ascii="Times New Roman" w:hAnsi="Times New Roman" w:cs="Times New Roman"/>
          <w:sz w:val="28"/>
          <w:szCs w:val="28"/>
          <w:lang w:val="kk-KZ"/>
        </w:rPr>
        <w:t xml:space="preserve"> </w:t>
      </w:r>
      <w:r w:rsidR="009502B9">
        <w:rPr>
          <w:rFonts w:ascii="Times New Roman" w:hAnsi="Times New Roman" w:cs="Times New Roman"/>
          <w:sz w:val="28"/>
          <w:szCs w:val="28"/>
        </w:rPr>
        <w:t xml:space="preserve">полиморфизмами </w:t>
      </w:r>
      <w:r w:rsidR="00AB12B3">
        <w:rPr>
          <w:rFonts w:ascii="Times New Roman" w:hAnsi="Times New Roman" w:cs="Times New Roman"/>
          <w:sz w:val="28"/>
          <w:szCs w:val="28"/>
        </w:rPr>
        <w:t xml:space="preserve">rs699A&gt;G </w:t>
      </w:r>
      <w:r w:rsidR="008F43E4">
        <w:rPr>
          <w:rFonts w:ascii="Times New Roman" w:hAnsi="Times New Roman" w:cs="Times New Roman"/>
          <w:sz w:val="28"/>
          <w:szCs w:val="28"/>
        </w:rPr>
        <w:t>и</w:t>
      </w:r>
      <w:r w:rsidR="00B3170E">
        <w:rPr>
          <w:rFonts w:ascii="Times New Roman" w:hAnsi="Times New Roman" w:cs="Times New Roman"/>
          <w:sz w:val="28"/>
          <w:szCs w:val="28"/>
        </w:rPr>
        <w:t xml:space="preserve"> </w:t>
      </w:r>
      <w:r w:rsidR="008F43E4">
        <w:rPr>
          <w:rFonts w:ascii="Times New Roman" w:hAnsi="Times New Roman" w:cs="Times New Roman"/>
          <w:sz w:val="28"/>
          <w:szCs w:val="28"/>
        </w:rPr>
        <w:t xml:space="preserve">rs4762C&gt;T </w:t>
      </w:r>
      <w:r w:rsidR="00AB12B3">
        <w:rPr>
          <w:rFonts w:ascii="Times New Roman" w:hAnsi="Times New Roman" w:cs="Times New Roman"/>
          <w:sz w:val="28"/>
          <w:szCs w:val="28"/>
        </w:rPr>
        <w:t xml:space="preserve">гена </w:t>
      </w:r>
      <w:r w:rsidR="00AB12B3">
        <w:rPr>
          <w:rFonts w:ascii="Times New Roman" w:hAnsi="Times New Roman" w:cs="Times New Roman"/>
          <w:i/>
          <w:sz w:val="28"/>
          <w:szCs w:val="28"/>
        </w:rPr>
        <w:t>AGT</w:t>
      </w:r>
      <w:r w:rsidR="00B3170E">
        <w:rPr>
          <w:rFonts w:ascii="Times New Roman" w:hAnsi="Times New Roman" w:cs="Times New Roman"/>
          <w:i/>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10.7754/Clin.Lab.2016.160819","ISSN":"1433-6510","author":[{"dropping-particle":"","family":"Moussa","given":"Amira","non-dropping-particle":"","parse-names":false,"suffix":""},{"dropping-particle":"","family":"Triki","given":"Sonia","non-dropping-particle":"","parse-names":false,"suffix":""},{"dropping-particle":"","family":"Hamdouni","given":"Haithem","non-dropping-particle":"","parse-names":false,"suffix":""},{"dropping-particle":"","family":"Fekih","given":"Ons","non-dropping-particle":"","parse-names":false,"suffix":""},{"dropping-particle":"","family":"Ajmi","given":"Marwa","non-dropping-particle":"","parse-names":false,"suffix":""},{"dropping-particle":"","family":"HajMbarek","given":"Ibtihel","non-dropping-particle":"","parse-names":false,"suffix":""},{"dropping-particle":"","family":"Koubaa","given":"Afifa","non-dropping-particle":"","parse-names":false,"suffix":""},{"dropping-particle":"","family":"Neffati","given":"Fadoua","non-dropping-particle":"","parse-names":false,"suffix":""},{"dropping-particle":"","family":"Omezzine","given":"Asma","non-dropping-particle":"","parse-names":false,"suffix":""},{"dropping-particle":"","family":"Najjar","given":"Med-Fadhel","non-dropping-particle":"","parse-names":false,"suffix":""},{"dropping-particle":"","family":"Bouslama","given":"Ali","non-dropping-particle":"","parse-names":false,"suffix":""}],"container-title":"Clinical Laboratory","id":"ITEM-1","issue":"03/2017","issued":{"date-parts":[["2017","12","1"]]},"page":"2368-2371","title":"Genetic Variation in the Renin-Angiotensin System and Diabetic Nephropathy in the Tunisian Population","type":"article-journal","volume":"63"},"uris":["http://www.mendeley.com/documents/?uuid=e6e699eb-6ca5-4f54-b24f-50afb435f65c"]}],"mendeley":{"formattedCitation":"[133]","plainTextFormattedCitation":"[133]","previouslyFormattedCitation":"[133]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[133]</w:t>
      </w:r>
      <w:r w:rsidR="00EA0E64">
        <w:rPr>
          <w:rFonts w:ascii="Times New Roman" w:hAnsi="Times New Roman" w:cs="Times New Roman"/>
          <w:sz w:val="28"/>
          <w:szCs w:val="28"/>
        </w:rPr>
        <w:fldChar w:fldCharType="end"/>
      </w:r>
      <w:r>
        <w:rPr>
          <w:rFonts w:ascii="Times New Roman" w:hAnsi="Times New Roman" w:cs="Times New Roman"/>
          <w:sz w:val="28"/>
          <w:szCs w:val="28"/>
        </w:rPr>
        <w:t>.</w:t>
      </w:r>
      <w:r w:rsidR="00AB12B3">
        <w:rPr>
          <w:rFonts w:ascii="Times New Roman" w:hAnsi="Times New Roman" w:cs="Times New Roman"/>
          <w:sz w:val="28"/>
          <w:szCs w:val="28"/>
        </w:rPr>
        <w:t xml:space="preserve"> В другом исследовании (2017), которое проводилось в Словении, полиморфизмы rs699 и rs4762 гена </w:t>
      </w:r>
      <w:r w:rsidR="00AB12B3">
        <w:rPr>
          <w:rFonts w:ascii="Times New Roman" w:hAnsi="Times New Roman" w:cs="Times New Roman"/>
          <w:i/>
          <w:sz w:val="28"/>
          <w:szCs w:val="28"/>
        </w:rPr>
        <w:t>AGT</w:t>
      </w:r>
      <w:r w:rsidR="00AB12B3">
        <w:rPr>
          <w:rFonts w:ascii="Times New Roman" w:hAnsi="Times New Roman" w:cs="Times New Roman"/>
          <w:sz w:val="28"/>
          <w:szCs w:val="28"/>
        </w:rPr>
        <w:t xml:space="preserve"> не имели никакой связи с диабетической нефропатией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{"citationItems":[{"id":"ITEM-1","itemData":{"DOI":"10.17305/bjbms.2017.1823","ISSN":"1840-4812","abstract":"Gene polymorphisms associated with the renin–angiotensin–aldosterone system (RAAS) have been extensively studied in diabetic nephropathy (DN) patients, due to therapeutic potential of targeting the RAAS and slowing down the disease progression. The aim of our study was to examine the association between angiotensinogen (AGT) gene polymorphisms (rs699 and rs4762) and DN in Caucasians with type 2 diabetes mellitus (T2DM). A total of 651 unrelated Slovenian (Caucasian) T2DM patients were tested for AGT rs699 and rs4762 polymorphisms using a novel fluorescence-based kompetitive allele-specific polymerase chain reaction (KASPar) assay. A study group consisted of 276 T2DM patients with DN, while control group included 375 patients without DN but who have had T2DM for &gt;10 years. For rs699 polymorphism, the frequencies of GG, GA and AA genotypes were 20.6%, 52.2% and 27.2%, respectively in T2DM patients and 23.4%, 48.1% and 28.5%, respectively in controls. The distributions of GG, GA and AA genotypes for rs4762 polymorphism were 73.9%, 23.2% and 2.9%, respectively in T2DM patients and 70.4%, 27.5% and 2.1%, respectively in controls. No significant differences in the allele frequencies were found between T2DM patients and controls for both polymorphisms. AGT rs699 and rs4762 missense polymorphisms are not associated with DN in our subset of Slovenian T2DM patients.","author":[{"dropping-particle":"","family":"Makuc","given":"Jana","non-dropping-particle":"","parse-names":false,"suffix":""},{"dropping-particle":"","family":"Šeruga","given":"Maja","non-dropping-particle":"","parse-names":false,"suffix":""},{"dropping-particle":"","family":"Završnik","given":"Matej","non-dropping-particle":"","parse-names":false,"suffix":""},{"dropping-particle":"","family":"Cilenšek","given":"Ines","non-dropping-particle":"","parse-names":false,"suffix":""},{"dropping-particle":"","family":"Petrovič","given":"Daniel","non-dropping-particle":"","parse-names":false,"suffix":""}],"container-title":"Bosnian Journal of Basic Medical Sciences","id":"ITEM-1","issue":"3","issued":{"date-parts":[["2017","5","10"]]},"page":"262-267","title":"Angiotensinogen (AGT) gene missense polymorphisms (rs699 and rs4762) and diabetic nephropathy in Caucasians with type 2 diabetes mellitus","type":"article-journal","volume":"17"},"uris":["http://www.mendeley.com/documents/?uuid=ca0c883b-35c7-4b5b-9ddb-a2c13bd1a07b"]}],"mendeley":{"formattedCitation":"[134]","plainTextFormattedCitation":"[134]","previouslyFormattedCitation":"[134]"},"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[134]</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В своем метанализе</w:t>
      </w:r>
      <w:r w:rsidR="00B3170E">
        <w:rPr>
          <w:rFonts w:ascii="Times New Roman" w:hAnsi="Times New Roman" w:cs="Times New Roman"/>
          <w:sz w:val="28"/>
          <w:szCs w:val="28"/>
        </w:rPr>
        <w:t xml:space="preserve"> </w:t>
      </w:r>
      <w:r w:rsidR="00AB12B3">
        <w:rPr>
          <w:rFonts w:ascii="Times New Roman" w:hAnsi="Times New Roman" w:cs="Times New Roman"/>
          <w:sz w:val="28"/>
          <w:szCs w:val="28"/>
        </w:rPr>
        <w:t xml:space="preserve">Liu N. и Wang Y. (2019) оценили 6 исследовании </w:t>
      </w:r>
      <w:r w:rsidR="002D6D08">
        <w:rPr>
          <w:rFonts w:ascii="Times New Roman" w:hAnsi="Times New Roman" w:cs="Times New Roman"/>
          <w:sz w:val="28"/>
          <w:szCs w:val="28"/>
        </w:rPr>
        <w:t xml:space="preserve">по типу </w:t>
      </w:r>
      <w:r w:rsidR="00AB12B3">
        <w:rPr>
          <w:rFonts w:ascii="Times New Roman" w:hAnsi="Times New Roman" w:cs="Times New Roman"/>
          <w:sz w:val="28"/>
          <w:szCs w:val="28"/>
        </w:rPr>
        <w:t xml:space="preserve">случай – контроль, проведенных на разных популяциях и выявили, что полиморфизм T174M гена </w:t>
      </w:r>
      <w:r w:rsidR="00AB12B3">
        <w:rPr>
          <w:rFonts w:ascii="Times New Roman" w:hAnsi="Times New Roman" w:cs="Times New Roman"/>
          <w:i/>
          <w:sz w:val="28"/>
          <w:szCs w:val="28"/>
        </w:rPr>
        <w:t>AGT</w:t>
      </w:r>
      <w:r w:rsidR="00AB12B3">
        <w:rPr>
          <w:rFonts w:ascii="Times New Roman" w:hAnsi="Times New Roman" w:cs="Times New Roman"/>
          <w:sz w:val="28"/>
          <w:szCs w:val="28"/>
        </w:rPr>
        <w:t xml:space="preserve"> </w:t>
      </w:r>
      <w:r w:rsidR="003D3E9F">
        <w:rPr>
          <w:rFonts w:ascii="Times New Roman" w:hAnsi="Times New Roman" w:cs="Times New Roman"/>
          <w:sz w:val="28"/>
          <w:szCs w:val="28"/>
        </w:rPr>
        <w:t>был ассоциирован с повышенным</w:t>
      </w:r>
      <w:r w:rsidR="00AB12B3">
        <w:rPr>
          <w:rFonts w:ascii="Times New Roman" w:hAnsi="Times New Roman" w:cs="Times New Roman"/>
          <w:sz w:val="28"/>
          <w:szCs w:val="28"/>
        </w:rPr>
        <w:t xml:space="preserve"> риск</w:t>
      </w:r>
      <w:r w:rsidR="003D3E9F">
        <w:rPr>
          <w:rFonts w:ascii="Times New Roman" w:hAnsi="Times New Roman" w:cs="Times New Roman"/>
          <w:sz w:val="28"/>
          <w:szCs w:val="28"/>
        </w:rPr>
        <w:t>ом</w:t>
      </w:r>
      <w:r w:rsidR="00AB12B3">
        <w:rPr>
          <w:rFonts w:ascii="Times New Roman" w:hAnsi="Times New Roman" w:cs="Times New Roman"/>
          <w:sz w:val="28"/>
          <w:szCs w:val="28"/>
        </w:rPr>
        <w:t xml:space="preserve"> развития диабетической нефропатии у азиатской популяции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{"citationItems":[{"id":"ITEM-1","itemData":{"DOI":"10.1177/1470320318823927","ISBN":"1470320318823","ISSN":"17528976","abstract":"Objective: Although the angiotensinogen (AGT) gene T174M polymorphism has been implicated in the pathogenesis of diabetic nephropathy (DN), study results have been inconsistent. The present meta-analysis was conducted to determine the correlation of AGT T174M polymorphism with DN. Methods: We retrospectively extracted relevant studies from Embase as well as PubMed databases. Additionally, a fixed- or random-effects model was employed for calculation of pooled odds ratio (OR) along with 95% confidence interval (CI). Results: In total, we identified six studies (1179 cases and 927 controls) regarding the AGT gene T174M polymorphism. The pooled ORs for the association between the AGT T174M polymorphism and DN risk were not statistically significant under all genetic models (M vs T: OR = 1.22, 95% CI = 0.84–1.75; MM vs TT: OR = 1.94, 95% CI = 0.93–4.04; MT vs TT: OR = 1.11, 95% CI = 0.76–1.63; the dominant model: OR =1.19, 95% CI = 0.80–1.77; the recessive model: OR = 1.94, 95% CI = 0.93–4.03). Subgroup analyses based on the type of race showed the M allele of the AGT T174M polymorphism increased DN risk in Asians, but not in Caucasians. Conclusions: Our study indicated that the T174M polymorphism in the AGT gene was associated with DN in Asians.","author":[{"dropping-particle":"","family":"Liu","given":"Nina","non-dropping-particle":"","parse-names":false,"suffix":""},{"dropping-particle":"","family":"Wang","given":"Youmin","non-dropping-particle":"","parse-names":false,"suffix":""}],"container-title":"JRAAS - Journal of the Renin-Angiotensin-Aldosterone System","id":"ITEM-1","issue":"1","issued":{"date-parts":[["2019"]]},"title":"Association between angiotensinogen T174M polymorphism and the risk of diabetic nephropathy: A meta-analysis","type":"article-journal","volume":"20"},"uris":["http://www.mendeley.com/documents/?uuid=54ef1c34-5c97-4672-a1dc-bd4d9cb15a66"]}],"mendeley":{"formattedCitation":"[135]","plainTextFormattedCitation":"[135]","previouslyFormattedCitation":"[135]"},"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[135]</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i/>
          <w:sz w:val="28"/>
          <w:szCs w:val="28"/>
        </w:rPr>
        <w:t>Ген рецептора ангиотензина II типа I AGTR1 A1166C (rs5186)</w:t>
      </w:r>
    </w:p>
    <w:p w:rsidR="00306B6D" w:rsidRDefault="00306B6D" w:rsidP="00306B6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Отдельное и/или совокупное влияние полиморфизмов генов РААС на разные биохимические процессы способствуют к развитию гипертензии, ожирению, ИР, дислипидемии, что в конце приводит к развитию МС. </w:t>
      </w:r>
      <w:r w:rsidR="0085640D">
        <w:rPr>
          <w:rFonts w:ascii="Times New Roman" w:hAnsi="Times New Roman" w:cs="Times New Roman"/>
          <w:sz w:val="28"/>
          <w:szCs w:val="28"/>
          <w:lang w:val="kk-KZ"/>
        </w:rPr>
        <w:t xml:space="preserve">РААС </w:t>
      </w:r>
      <w:r w:rsidR="0085640D">
        <w:rPr>
          <w:rFonts w:ascii="Times New Roman" w:hAnsi="Times New Roman" w:cs="Times New Roman"/>
          <w:sz w:val="28"/>
          <w:szCs w:val="28"/>
        </w:rPr>
        <w:t xml:space="preserve">стимулирует гипергликемию и вызывает изменение секреции инсулина и/или снижение чувствительности к инсулину </w:t>
      </w:r>
      <w:r w:rsidR="00EA0E64">
        <w:rPr>
          <w:rFonts w:ascii="Times New Roman" w:hAnsi="Times New Roman" w:cs="Times New Roman"/>
          <w:sz w:val="28"/>
          <w:szCs w:val="28"/>
        </w:rPr>
        <w:fldChar w:fldCharType="begin" w:fldLock="1"/>
      </w:r>
      <w:r w:rsidR="00FA0279">
        <w:rPr>
          <w:rFonts w:ascii="Times New Roman" w:hAnsi="Times New Roman" w:cs="Times New Roman"/>
          <w:sz w:val="28"/>
          <w:szCs w:val="28"/>
        </w:rPr>
        <w:instrText>ADDIN CSL_CITATION {"citationItems":[{"id":"ITEM-1","itemData":{"DOI":"10.3389/fendo.2014.00023","ISSN":"16642392","abstract":"The actions of angiotensin peptides are diverse and locally acting tissue rein-angiotensin systems (RAS) are present in almost all tissues of the body. An activated RAS strongly correlates to metabolic disease (e.g., diabetes) and its complications and blockers of RAS have been demonstrated to prevent diabetes in humans. Hyperglycemia, obesity, hypertension, and cortisol are well-known risk factors of metabolic disease and all stimulate tissue RAS whereas glucagon-like peptide-1, vitamin D, and aerobic exercise are inhibitors of tissue RAS and to some extent can prevent metabolic disease. Furthermore, an activated tissue RAS deteriorates the same risk factors creating a system with several positive feedback pathways. The primary effector hormone of the RAS, angiotensin II, stimulates reactive oxygen species, induces tissue damage, and can be associated to most diabetic complications. Based on these observations, we hypothesize that an activated tissue RAS is the principle cause of metabolic syndrome and type 2 diabetes, and additionally is mediating the majority of the metabolic complications. The involvement of positive feedback pathways may create a self-reinforcing state and explain why metabolic disease initiate and progress. The hypothesis plausibly unifies the major predictors of metabolic disease and places tissue RAS regulation in the center of metabolic control. © 2014 Skov, Persson, Frøkiær and Christiansen.","author":[{"dropping-particle":"","family":"Skov","given":"Jeppe","non-dropping-particle":"","parse-names":false,"suffix":""},{"dropping-particle":"","family":"Persson","given":"Frederik","non-dropping-particle":"","parse-names":false,"suffix":""},{"dropping-particle":"","family":"Frøkiær","given":"Jørgen","non-dropping-particle":"","parse-names":false,"suffix":""},{"dropping-particle":"","family":"Christiansen","given":"Jens Sandahl","non-dropping-particle":"","parse-names":false,"suffix":""}],"container-title":"Frontiers in Endocrinology","id":"ITEM-1","issue":"FEB","issued":{"date-parts":[["2014"]]},"page":"1-7","title":"Tissue renin-angiotensin systems: A unifying hypothesis of metabolic disease","type":"article-journal","volume":"5"},"uris":["http://www.mendeley.com/documents/?uuid=5d368c1c-8705-40ef-835e-d97d7b6a2b85"]}],"mendeley":{"formattedCitation":"[84]","manualFormatting":"[84, р. 2]","plainTextFormattedCitation":"[84]","previouslyFormattedCitation":"[84]"},"properties":{"noteIndex":0},"schema":"https://github.com/citation-style-language/schema/raw/master/csl-citation.json"}</w:instrText>
      </w:r>
      <w:r w:rsidR="00EA0E64">
        <w:rPr>
          <w:rFonts w:ascii="Times New Roman" w:hAnsi="Times New Roman" w:cs="Times New Roman"/>
          <w:sz w:val="28"/>
          <w:szCs w:val="28"/>
        </w:rPr>
        <w:fldChar w:fldCharType="separate"/>
      </w:r>
      <w:r w:rsidR="00FA0279" w:rsidRPr="00FA0279">
        <w:rPr>
          <w:rFonts w:ascii="Times New Roman" w:hAnsi="Times New Roman" w:cs="Times New Roman"/>
          <w:noProof/>
          <w:sz w:val="28"/>
          <w:szCs w:val="28"/>
        </w:rPr>
        <w:t>[84</w:t>
      </w:r>
      <w:r w:rsidR="00FA0279">
        <w:rPr>
          <w:rFonts w:ascii="Times New Roman" w:hAnsi="Times New Roman" w:cs="Times New Roman"/>
          <w:noProof/>
          <w:sz w:val="28"/>
          <w:szCs w:val="28"/>
        </w:rPr>
        <w:t>, р. 2</w:t>
      </w:r>
      <w:r w:rsidR="00FA0279" w:rsidRPr="00FA0279">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85640D">
        <w:rPr>
          <w:rFonts w:ascii="Times New Roman" w:hAnsi="Times New Roman" w:cs="Times New Roman"/>
          <w:sz w:val="28"/>
          <w:szCs w:val="28"/>
        </w:rPr>
        <w:t xml:space="preserve">. </w:t>
      </w:r>
      <w:r w:rsidR="0085640D" w:rsidRPr="00A60A06">
        <w:rPr>
          <w:rFonts w:ascii="Times New Roman" w:hAnsi="Times New Roman" w:cs="Times New Roman"/>
          <w:sz w:val="28"/>
          <w:szCs w:val="28"/>
        </w:rPr>
        <w:t>Также ожирение связано с повышенной активностью как системного, так и жирового русла</w:t>
      </w:r>
      <w:r w:rsidR="00B3170E">
        <w:rPr>
          <w:rFonts w:ascii="Times New Roman" w:hAnsi="Times New Roman" w:cs="Times New Roman"/>
          <w:sz w:val="28"/>
          <w:szCs w:val="28"/>
        </w:rPr>
        <w:t xml:space="preserve"> </w:t>
      </w:r>
      <w:r w:rsidR="00EA0E64" w:rsidRPr="00A60A06">
        <w:rPr>
          <w:rFonts w:ascii="Times New Roman" w:hAnsi="Times New Roman" w:cs="Times New Roman"/>
          <w:sz w:val="28"/>
          <w:szCs w:val="28"/>
        </w:rPr>
        <w:fldChar w:fldCharType="begin" w:fldLock="1"/>
      </w:r>
      <w:r w:rsidR="00FA0279">
        <w:rPr>
          <w:rFonts w:ascii="Times New Roman" w:hAnsi="Times New Roman" w:cs="Times New Roman"/>
          <w:sz w:val="28"/>
          <w:szCs w:val="28"/>
        </w:rPr>
        <w:instrText>ADDIN CSL_CITATION {"citationItems":[{"id":"ITEM-1","itemData":{"DOI":"10.3389/fendo.2014.00023","ISSN":"16642392","abstract":"The actions of angiotensin peptides are diverse and locally acting tissue rein-angiotensin systems (RAS) are present in almost all tissues of the body. An activated RAS strongly correlates to metabolic disease (e.g., diabetes) and its complications and blockers of RAS have been demonstrated to prevent diabetes in humans. Hyperglycemia, obesity, hypertension, and cortisol are well-known risk factors of metabolic disease and all stimulate tissue RAS whereas glucagon-like peptide-1, vitamin D, and aerobic exercise are inhibitors of tissue RAS and to some extent can prevent metabolic disease. Furthermore, an activated tissue RAS deteriorates the same risk factors creating a system with several positive feedback pathways. The primary effector hormone of the RAS, angiotensin II, stimulates reactive oxygen species, induces tissue damage, and can be associated to most diabetic complications. Based on these observations, we hypothesize that an activated tissue RAS is the principle cause of metabolic syndrome and type 2 diabetes, and additionally is mediating the majority of the metabolic complications. The involvement of positive feedback pathways may create a self-reinforcing state and explain why metabolic disease initiate and progress. The hypothesis plausibly unifies the major predictors of metabolic disease and places tissue RAS regulation in the center of metabolic control. © 2014 Skov, Persson, Frøkiær and Christiansen.","author":[{"dropping-particle":"","family":"Skov","given":"Jeppe","non-dropping-particle":"","parse-names":false,"suffix":""},{"dropping-particle":"","family":"Persson","given":"Frederik","non-dropping-particle":"","parse-names":false,"suffix":""},{"dropping-particle":"","family":"Frøkiær","given":"Jørgen","non-dropping-particle":"","parse-names":false,"suffix":""},{"dropping-particle":"","family":"Christiansen","given":"Jens Sandahl","non-dropping-particle":"","parse-names":false,"suffix":""}],"container-title":"Frontiers in Endocrinology","id":"ITEM-1","issue":"FEB","issued":{"date-parts":[["2014"]]},"page":"1-7","title":"Tissue renin-angiotensin systems: A unifying hypothesis of metabolic disease","type":"article-journal","volume":"5"},"uris":["http://www.mendeley.com/documents/?uuid=5d368c1c-8705-40ef-835e-d97d7b6a2b85"]}],"mendeley":{"formattedCitation":"[84]","manualFormatting":"[84, р. 2]","plainTextFormattedCitation":"[84]","previouslyFormattedCitation":"[84]"},"properties":{"noteIndex":0},"schema":"https://github.com/citation-style-language/schema/raw/master/csl-citation.json"}</w:instrText>
      </w:r>
      <w:r w:rsidR="00EA0E64" w:rsidRPr="00A60A06">
        <w:rPr>
          <w:rFonts w:ascii="Times New Roman" w:hAnsi="Times New Roman" w:cs="Times New Roman"/>
          <w:sz w:val="28"/>
          <w:szCs w:val="28"/>
        </w:rPr>
        <w:fldChar w:fldCharType="separate"/>
      </w:r>
      <w:r w:rsidR="00FA0279" w:rsidRPr="00FA0279">
        <w:rPr>
          <w:rFonts w:ascii="Times New Roman" w:hAnsi="Times New Roman" w:cs="Times New Roman"/>
          <w:noProof/>
          <w:sz w:val="28"/>
          <w:szCs w:val="28"/>
        </w:rPr>
        <w:t>[84</w:t>
      </w:r>
      <w:r w:rsidR="00FA0279">
        <w:rPr>
          <w:rFonts w:ascii="Times New Roman" w:hAnsi="Times New Roman" w:cs="Times New Roman"/>
          <w:noProof/>
          <w:sz w:val="28"/>
          <w:szCs w:val="28"/>
        </w:rPr>
        <w:t>, р. 2</w:t>
      </w:r>
      <w:r w:rsidR="00FA0279" w:rsidRPr="00FA0279">
        <w:rPr>
          <w:rFonts w:ascii="Times New Roman" w:hAnsi="Times New Roman" w:cs="Times New Roman"/>
          <w:noProof/>
          <w:sz w:val="28"/>
          <w:szCs w:val="28"/>
        </w:rPr>
        <w:t>]</w:t>
      </w:r>
      <w:r w:rsidR="00EA0E64" w:rsidRPr="00A60A06">
        <w:rPr>
          <w:rFonts w:ascii="Times New Roman" w:hAnsi="Times New Roman" w:cs="Times New Roman"/>
          <w:sz w:val="28"/>
          <w:szCs w:val="28"/>
        </w:rPr>
        <w:fldChar w:fldCharType="end"/>
      </w:r>
      <w:r w:rsidR="0085640D" w:rsidRPr="00A60A06">
        <w:rPr>
          <w:rFonts w:ascii="Times New Roman" w:hAnsi="Times New Roman" w:cs="Times New Roman"/>
          <w:sz w:val="28"/>
          <w:szCs w:val="28"/>
        </w:rPr>
        <w:t xml:space="preserve">. </w:t>
      </w:r>
      <w:r w:rsidR="0085640D">
        <w:rPr>
          <w:rFonts w:ascii="Times New Roman" w:hAnsi="Times New Roman" w:cs="Times New Roman"/>
          <w:sz w:val="28"/>
          <w:szCs w:val="28"/>
        </w:rPr>
        <w:t>Обзор литературы</w:t>
      </w:r>
      <w:r w:rsidR="0085640D" w:rsidRPr="00A60A06">
        <w:rPr>
          <w:rFonts w:ascii="Times New Roman" w:hAnsi="Times New Roman" w:cs="Times New Roman"/>
          <w:sz w:val="28"/>
          <w:szCs w:val="28"/>
        </w:rPr>
        <w:t xml:space="preserve"> показыва</w:t>
      </w:r>
      <w:r w:rsidR="0085640D">
        <w:rPr>
          <w:rFonts w:ascii="Times New Roman" w:hAnsi="Times New Roman" w:cs="Times New Roman"/>
          <w:sz w:val="28"/>
          <w:szCs w:val="28"/>
        </w:rPr>
        <w:t>е</w:t>
      </w:r>
      <w:r w:rsidR="0085640D" w:rsidRPr="00A60A06">
        <w:rPr>
          <w:rFonts w:ascii="Times New Roman" w:hAnsi="Times New Roman" w:cs="Times New Roman"/>
          <w:sz w:val="28"/>
          <w:szCs w:val="28"/>
        </w:rPr>
        <w:t>т, что некоторые люди предрасположены к повышенному риску изменения активности РААС и резистентности к инсулину</w:t>
      </w:r>
      <w:r w:rsidR="0085640D">
        <w:rPr>
          <w:rFonts w:ascii="Times New Roman" w:hAnsi="Times New Roman" w:cs="Times New Roman"/>
          <w:sz w:val="28"/>
          <w:szCs w:val="28"/>
        </w:rPr>
        <w:t>, однако необходимы д</w:t>
      </w:r>
      <w:r w:rsidR="0085640D" w:rsidRPr="00A60A06">
        <w:rPr>
          <w:rFonts w:ascii="Times New Roman" w:hAnsi="Times New Roman" w:cs="Times New Roman"/>
          <w:sz w:val="28"/>
          <w:szCs w:val="28"/>
        </w:rPr>
        <w:t xml:space="preserve">ополнительные исследования </w:t>
      </w:r>
      <w:r w:rsidR="00EA0E64" w:rsidRPr="00A60A06">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{"citationItems":[{"id":"ITEM-1","itemData":{"DOI":"10.1007/s11906-012-0323-2","ISSN":"1522-6417","abstract":"Alterations in the renin angiotensin aldosterone system (RAAS) contribute to the underlying pathophysiology of insulin resistance in humans; however, individual differences in the treatment response of insulin resistance to RAAS blockade persist. Thus, understanding inter-individual differences in the relationship between the RAAS and insulin resistance may provide insights into improved personalized treatments and improved outcomes. The effects of the systemic RAAS on blood pressure regulation and glucose metabolism have been studied extensively; however, recent discoveries on the influence of local tissue RAAS in the skeletal muscle, heart, vasculature, adipocytes, and pancreas have led to an improved understanding of how activated tissue RAAS influences the development of insulin resistance and diabetes in humans. Angiotensin II (ANGII) is the predominant RAAS component contributing to insulin resistance; however, other players such as aldosterone, renin, and ACE2 are also involved. This review examines the role of local ANGII activity on insulin resistance development in skeletal muscle, adipocytes, and pancreas, followed by a discussion of the other RAAS components implicated in insulin resistance, including ACE2, Ang1-7, renin, and aldosterone. Keywords Renin angiotensin aldosterone system; Angiotensin II; Insulin resistance; Aldosterone; Insulin signaling; Angiotensin converting enzyme; Angiotensin 1-7; Diabetes mellitus; Glucose metabolism; Skeletal muscle; Adipocytes; Pancreas; Insulin secretion; Inflammation; Genetics; Polymorphisms; Angiotensin II receptor blocker; Angiotensin converting enzyme inhibitor; Insulin sensitivity; Human studies; Animal models; Renin inhibitor; Obesity; Hypertension; Clinical trials Introduction Insulin resistance is a well-known risk factor for type 2 diabetes, cardiovascular disease and the metabolic syndrome [1, 2]; leading causes of morbidity and mortality worldwide. Correspondence to: Gail K. Adler, gadler@partners.org. Disclosure No potential conflicts of interest relevant to this article were reported. NIH Public Access Author Manuscript Curr Hypertens Rep. Author manuscript; available in PMC 2014 February 01. Published in final edited form as: Curr Hypertens Rep. 2013 February ; 15(1): 59–70. doi:10.1007/s11906-012-0323-2. $watermark-text $watermark-text $","author":[{"dropping-particle":"","family":"Underwood","given":"Patricia C","non-dropping-particle":"","parse-names":false,"suffix":""},{"dropping-particle":"","family":"Adler","given":"Gail K.","non-dropping-particle":"","parse-names":false,"suffix":""}],"container-title":"Current Hypertension Reports","id":"ITEM-1","issue":"1","issued":{"date-parts":[["2013","2","15"]]},"page":"59-70","title":"The Renin Angiotensin Aldosterone System and Insulin Resistance in Humans","type":"article-journal","volume":"15"},"uris":["http://www.mendeley.com/documents/?uuid=0569ce16-2118-4668-ac3b-472f3491dca1"]}],"mendeley":{"formattedCitation":"[131]","plainTextFormattedCitation":"[131]","previouslyFormattedCitation":"[131]"},"properties":{"noteIndex":0},"schema":"https://github.com/citation-style-language/schema/raw/master/csl-citation.json"}</w:instrText>
      </w:r>
      <w:r w:rsidR="00EA0E64" w:rsidRPr="00A60A06">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[131]</w:t>
      </w:r>
      <w:r w:rsidR="00EA0E64" w:rsidRPr="00A60A06">
        <w:rPr>
          <w:rFonts w:ascii="Times New Roman" w:hAnsi="Times New Roman" w:cs="Times New Roman"/>
          <w:sz w:val="28"/>
          <w:szCs w:val="28"/>
        </w:rPr>
        <w:fldChar w:fldCharType="end"/>
      </w:r>
      <w:r w:rsidR="0085640D" w:rsidRPr="00A60A06">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Kalupahana</w:t>
      </w:r>
      <w:r w:rsidR="009D5975">
        <w:rPr>
          <w:rFonts w:ascii="Times New Roman" w:hAnsi="Times New Roman" w:cs="Times New Roman"/>
          <w:sz w:val="28"/>
          <w:szCs w:val="28"/>
        </w:rPr>
        <w:t xml:space="preserve"> </w:t>
      </w:r>
      <w:r w:rsidR="00E363B0">
        <w:rPr>
          <w:rFonts w:ascii="Times New Roman" w:hAnsi="Times New Roman" w:cs="Times New Roman"/>
          <w:sz w:val="28"/>
          <w:szCs w:val="28"/>
        </w:rPr>
        <w:t>N.</w:t>
      </w:r>
      <w:r w:rsidR="008D0060">
        <w:rPr>
          <w:rFonts w:ascii="Times New Roman" w:hAnsi="Times New Roman" w:cs="Times New Roman"/>
          <w:sz w:val="28"/>
          <w:szCs w:val="28"/>
        </w:rPr>
        <w:t xml:space="preserve">S. </w:t>
      </w:r>
      <w:r>
        <w:rPr>
          <w:rFonts w:ascii="Times New Roman" w:hAnsi="Times New Roman" w:cs="Times New Roman"/>
          <w:sz w:val="28"/>
          <w:szCs w:val="28"/>
        </w:rPr>
        <w:t>(2012) описывает, что полиморфизмы генов РААС влияют на повышенную чувствительность к инсулину и защищают от ожирения, вызванного питанием с высоким содержанием жиров, и резистентности к инсулину</w:t>
      </w:r>
      <w:r w:rsidR="00C172D2">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{"citationItems":[{"id":"ITEM-1","itemData":{"DOI":"10.1111/j.1467-789X.2011.00942.x","ISSN":"14677881","abstract":"The renin-angiotensin system (RAS) is classically known for its role in regulation of blood pressure, fluid and electrolyte balance. Recently, several local RASs in organs such as brain, heart, pancreas and adipose tissue have also been identified. Evidence from clinical trials suggests that in addition to anti-hypertensive effects, pharmacological inhibition of RAS also provides protection against the development of type-2 diabetes. Moreover, animal models with targeted inactivation of RAS genes exhibit improved insulin sensitivity and are protected from high-fat diet-induced obesity and insulin resistance. Because there is evidence for RAS overactivation in obesity, it is possible that RAS is a link between obesity and insulin resistance. This review summarizes the evidence and mechanistic insights on the associations between RAS, obesity and insulin resistance, with special emphasis on the role of adipose tissue RAS in the pathogenesis of metabolic derangements in obesity. © 2011 The Authors. obesity reviews © 2011 International Association for the Study of Obesity.","author":[{"dropping-particle":"","family":"Kalupahana","given":"N. S.","non-dropping-particle":"","parse-names":false,"suffix":""},{"dropping-particle":"","family":"Moustaid-Moussa","given":"N.","non-dropping-particle":"","parse-names":false,"suffix":""}],"container-title":"Obesity Reviews","id":"ITEM-1","issue":"2","issued":{"date-parts":[["2012"]]},"page":"136-149","title":"The renin-angiotensin system: A link between obesity, inflammation and insulin resistance","type":"article-journal","volume":"13"},"uris":["http://www.mendeley.com/documents/?uuid=12a5a5c5-51b4-474f-bc32-5444f9f1f0a9","http://www.mendeley.com/documents/?uuid=086f7f55-302b-4a8c-8f1c-3f5027adf2a2"]}],"mendeley":{"formattedCitation":"[136]","plainTextFormattedCitation":"[136]","previouslyFormattedCitation":"[136]"},"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[136]</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При чрезмерной активности РААС при ожирении, возможно, что РААС является связующим звеном между ожирением и ИР. </w:t>
      </w:r>
    </w:p>
    <w:p w:rsidR="00AB12B3" w:rsidRDefault="008F43E4"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Согласно </w:t>
      </w:r>
      <w:r>
        <w:rPr>
          <w:rFonts w:ascii="Times New Roman" w:hAnsi="Times New Roman" w:cs="Times New Roman"/>
          <w:sz w:val="28"/>
          <w:szCs w:val="28"/>
          <w:lang w:val="kk-KZ"/>
        </w:rPr>
        <w:t>результата</w:t>
      </w:r>
      <w:r w:rsidR="00AB12B3">
        <w:rPr>
          <w:rFonts w:ascii="Times New Roman" w:hAnsi="Times New Roman" w:cs="Times New Roman"/>
          <w:sz w:val="28"/>
          <w:szCs w:val="28"/>
        </w:rPr>
        <w:t>м Nickenig</w:t>
      </w:r>
      <w:r w:rsidR="009D5975">
        <w:rPr>
          <w:rFonts w:ascii="Times New Roman" w:hAnsi="Times New Roman" w:cs="Times New Roman"/>
          <w:sz w:val="28"/>
          <w:szCs w:val="28"/>
        </w:rPr>
        <w:t xml:space="preserve"> </w:t>
      </w:r>
      <w:r w:rsidR="008D0060">
        <w:rPr>
          <w:rFonts w:ascii="Times New Roman" w:hAnsi="Times New Roman" w:cs="Times New Roman"/>
          <w:sz w:val="28"/>
          <w:szCs w:val="28"/>
        </w:rPr>
        <w:t>G</w:t>
      </w:r>
      <w:r w:rsidR="00EC11A4">
        <w:rPr>
          <w:rFonts w:ascii="Century" w:hAnsi="Century" w:cs="Times New Roman"/>
          <w:sz w:val="28"/>
          <w:szCs w:val="28"/>
        </w:rPr>
        <w:t>.</w:t>
      </w:r>
      <w:r w:rsidR="008D0060">
        <w:rPr>
          <w:rFonts w:ascii="Times New Roman" w:hAnsi="Times New Roman" w:cs="Times New Roman"/>
          <w:sz w:val="28"/>
          <w:szCs w:val="28"/>
        </w:rPr>
        <w:t xml:space="preserve"> </w:t>
      </w:r>
      <w:r w:rsidR="00AB12B3">
        <w:rPr>
          <w:rFonts w:ascii="Times New Roman" w:hAnsi="Times New Roman" w:cs="Times New Roman"/>
          <w:sz w:val="28"/>
          <w:szCs w:val="28"/>
        </w:rPr>
        <w:t>и Harrison</w:t>
      </w:r>
      <w:r w:rsidR="009D5975">
        <w:rPr>
          <w:rFonts w:ascii="Times New Roman" w:hAnsi="Times New Roman" w:cs="Times New Roman"/>
          <w:sz w:val="28"/>
          <w:szCs w:val="28"/>
        </w:rPr>
        <w:t xml:space="preserve"> </w:t>
      </w:r>
      <w:r w:rsidR="008D0060">
        <w:rPr>
          <w:rFonts w:ascii="Times New Roman" w:hAnsi="Times New Roman" w:cs="Times New Roman"/>
          <w:sz w:val="28"/>
          <w:szCs w:val="28"/>
        </w:rPr>
        <w:t>D</w:t>
      </w:r>
      <w:r w:rsidR="00EC11A4">
        <w:rPr>
          <w:rFonts w:ascii="Century" w:hAnsi="Century" w:cs="Times New Roman"/>
          <w:sz w:val="28"/>
          <w:szCs w:val="28"/>
        </w:rPr>
        <w:t>.</w:t>
      </w:r>
      <w:r w:rsidR="008D0060">
        <w:rPr>
          <w:rFonts w:ascii="Times New Roman" w:hAnsi="Times New Roman" w:cs="Times New Roman"/>
          <w:sz w:val="28"/>
          <w:szCs w:val="28"/>
        </w:rPr>
        <w:t>G</w:t>
      </w:r>
      <w:r w:rsidR="00EC11A4">
        <w:rPr>
          <w:rFonts w:ascii="Century" w:hAnsi="Century" w:cs="Times New Roman"/>
          <w:sz w:val="28"/>
          <w:szCs w:val="28"/>
        </w:rPr>
        <w:t>.</w:t>
      </w:r>
      <w:r w:rsidR="008D0060">
        <w:rPr>
          <w:rFonts w:ascii="Times New Roman" w:hAnsi="Times New Roman" w:cs="Times New Roman"/>
          <w:sz w:val="28"/>
          <w:szCs w:val="28"/>
        </w:rPr>
        <w:t xml:space="preserve"> </w:t>
      </w:r>
      <w:r w:rsidR="00AB12B3">
        <w:rPr>
          <w:rFonts w:ascii="Times New Roman" w:hAnsi="Times New Roman" w:cs="Times New Roman"/>
          <w:sz w:val="28"/>
          <w:szCs w:val="28"/>
        </w:rPr>
        <w:t>(2002) рецептор І типа ангиотензина ІІ регулируется разными механизмами</w:t>
      </w:r>
      <w:r w:rsidR="009D5975">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FA0279">
        <w:rPr>
          <w:rFonts w:ascii="Times New Roman" w:hAnsi="Times New Roman" w:cs="Times New Roman"/>
          <w:sz w:val="28"/>
          <w:szCs w:val="28"/>
        </w:rPr>
        <w:instrText>ADDIN CSL_CITATION {"citationItems":[{"id":"ITEM-1","itemData":{"DOI":"10.1161/01.CIR.0000019581.22812.B2","PMID":"10051310","abstract":"Dquestions concerning the etiology of atherosclerosis espite intense investigation in the last decade, many remain unanswered. Hypercholesterolemia and hypertension are clearly risk factors for the development of vascular lesions, although the precise molecular steps between elevated lipid or blood pressure levels and the development of atherosclerotic lesions are not completely defined.1,2 Hypertension is frequently associated with additional risk factors such as hypercholesterolemia, estrogen deficiency, or hyperinsulinemia. This clustering of risk factors greatly enhances the probability to develop atherosclerosis.3 Nevertheless, the cellular events responsible for the mutual appearance of several risk factors are poorly understood. A series of recent studies have addressed the hypothesis that enhanced AT1 receptor activation could explain the association of various hormonal and metabolic disorders with hypertension, and ultimately, with accelerated progression of vascular lesions.","author":[{"dropping-particle":"","family":"Nickenig G. ; Harrison D.G.","given":"","non-dropping-particle":"","parse-names":false,"suffix":""}],"container-title":"Circulation","id":"ITEM-1","issued":{"date-parts":[["2002"]]},"page":"530-536","title":"The AT1-Type Angiotensin Receptor in Oxidative Stress and Atherogenesis Part II: AT1 Receptor Regulation","type":"article-journal","volume":"105"},"uris":["http://www.mendeley.com/documents/?uuid=5b170b31-98c3-412c-8feb-dd112cf3e921"]}],"mendeley":{"formattedCitation":"[99]","manualFormatting":"[99, р. 533]","plainTextFormattedCitation":"[99]","previouslyFormattedCitation":"[99]"},"properties":{"noteIndex":0},"schema":"https://github.com/citation-style-language/schema/raw/master/csl-citation.json"}</w:instrText>
      </w:r>
      <w:r w:rsidR="00EA0E64">
        <w:rPr>
          <w:rFonts w:ascii="Times New Roman" w:hAnsi="Times New Roman" w:cs="Times New Roman"/>
          <w:sz w:val="28"/>
          <w:szCs w:val="28"/>
        </w:rPr>
        <w:fldChar w:fldCharType="separate"/>
      </w:r>
      <w:r w:rsidR="00FA0279" w:rsidRPr="00FA0279">
        <w:rPr>
          <w:rFonts w:ascii="Times New Roman" w:hAnsi="Times New Roman" w:cs="Times New Roman"/>
          <w:noProof/>
          <w:sz w:val="28"/>
          <w:szCs w:val="28"/>
        </w:rPr>
        <w:t>[99</w:t>
      </w:r>
      <w:r w:rsidR="00FA0279">
        <w:rPr>
          <w:rFonts w:ascii="Times New Roman" w:hAnsi="Times New Roman" w:cs="Times New Roman"/>
          <w:noProof/>
          <w:sz w:val="28"/>
          <w:szCs w:val="28"/>
        </w:rPr>
        <w:t>, р. 533</w:t>
      </w:r>
      <w:r w:rsidR="00FA0279" w:rsidRPr="00FA0279">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EC11A4">
        <w:rPr>
          <w:rFonts w:ascii="Century" w:hAnsi="Century" w:cs="Times New Roman"/>
          <w:sz w:val="28"/>
          <w:szCs w:val="28"/>
        </w:rPr>
        <w:t>.</w:t>
      </w:r>
      <w:r w:rsidR="00AB12B3">
        <w:rPr>
          <w:rFonts w:ascii="Times New Roman" w:hAnsi="Times New Roman" w:cs="Times New Roman"/>
          <w:sz w:val="28"/>
          <w:szCs w:val="28"/>
        </w:rPr>
        <w:t xml:space="preserve"> На экспрессию рецептора І типа ангиотензина ІІ влияют глюкокортикоиды</w:t>
      </w:r>
      <w:r w:rsidR="00EC11A4">
        <w:rPr>
          <w:rFonts w:ascii="Century" w:hAnsi="Century" w:cs="Times New Roman"/>
          <w:sz w:val="28"/>
          <w:szCs w:val="28"/>
        </w:rPr>
        <w:t>,</w:t>
      </w:r>
      <w:r w:rsidR="00AB12B3">
        <w:rPr>
          <w:rFonts w:ascii="Times New Roman" w:hAnsi="Times New Roman" w:cs="Times New Roman"/>
          <w:sz w:val="28"/>
          <w:szCs w:val="28"/>
        </w:rPr>
        <w:t xml:space="preserve"> альдостерон</w:t>
      </w:r>
      <w:r w:rsidR="00EC11A4">
        <w:rPr>
          <w:rFonts w:ascii="Century" w:hAnsi="Century" w:cs="Times New Roman"/>
          <w:sz w:val="28"/>
          <w:szCs w:val="28"/>
        </w:rPr>
        <w:t>,</w:t>
      </w:r>
      <w:r w:rsidR="00AB12B3">
        <w:rPr>
          <w:rFonts w:ascii="Times New Roman" w:hAnsi="Times New Roman" w:cs="Times New Roman"/>
          <w:sz w:val="28"/>
          <w:szCs w:val="28"/>
        </w:rPr>
        <w:t xml:space="preserve"> инсулин</w:t>
      </w:r>
      <w:r w:rsidR="00EC11A4">
        <w:rPr>
          <w:rFonts w:ascii="Century" w:hAnsi="Century" w:cs="Times New Roman"/>
          <w:sz w:val="28"/>
          <w:szCs w:val="28"/>
        </w:rPr>
        <w:t>,</w:t>
      </w:r>
      <w:r w:rsidR="00AB12B3">
        <w:rPr>
          <w:rFonts w:ascii="Times New Roman" w:hAnsi="Times New Roman" w:cs="Times New Roman"/>
          <w:sz w:val="28"/>
          <w:szCs w:val="28"/>
        </w:rPr>
        <w:t xml:space="preserve"> ЛПНП</w:t>
      </w:r>
      <w:r w:rsidR="00EC11A4">
        <w:rPr>
          <w:rFonts w:ascii="Century" w:hAnsi="Century" w:cs="Times New Roman"/>
          <w:sz w:val="28"/>
          <w:szCs w:val="28"/>
        </w:rPr>
        <w:t>,</w:t>
      </w:r>
      <w:r w:rsidR="00AB12B3">
        <w:rPr>
          <w:rFonts w:ascii="Times New Roman" w:hAnsi="Times New Roman" w:cs="Times New Roman"/>
          <w:sz w:val="28"/>
          <w:szCs w:val="28"/>
        </w:rPr>
        <w:t xml:space="preserve"> эстроген</w:t>
      </w:r>
      <w:r w:rsidR="00EC11A4">
        <w:rPr>
          <w:rFonts w:ascii="Century" w:hAnsi="Century" w:cs="Times New Roman"/>
          <w:sz w:val="28"/>
          <w:szCs w:val="28"/>
        </w:rPr>
        <w:t>,</w:t>
      </w:r>
      <w:r w:rsidR="00AB12B3">
        <w:rPr>
          <w:rFonts w:ascii="Times New Roman" w:hAnsi="Times New Roman" w:cs="Times New Roman"/>
          <w:sz w:val="28"/>
          <w:szCs w:val="28"/>
        </w:rPr>
        <w:t xml:space="preserve"> прогестерон и натрий</w:t>
      </w:r>
      <w:r w:rsidR="00EC11A4">
        <w:rPr>
          <w:rFonts w:ascii="Century" w:hAnsi="Century" w:cs="Times New Roman"/>
          <w:sz w:val="28"/>
          <w:szCs w:val="28"/>
        </w:rPr>
        <w:t>.</w:t>
      </w:r>
      <w:r w:rsidR="00AB12B3">
        <w:rPr>
          <w:rFonts w:ascii="Times New Roman" w:hAnsi="Times New Roman" w:cs="Times New Roman"/>
          <w:sz w:val="28"/>
          <w:szCs w:val="28"/>
        </w:rPr>
        <w:t xml:space="preserve"> Гиперхолестеринемия</w:t>
      </w:r>
      <w:r w:rsidR="00EC11A4">
        <w:rPr>
          <w:rFonts w:ascii="Century" w:hAnsi="Century" w:cs="Times New Roman"/>
          <w:sz w:val="28"/>
          <w:szCs w:val="28"/>
        </w:rPr>
        <w:t>,</w:t>
      </w:r>
      <w:r w:rsidR="00AB12B3">
        <w:rPr>
          <w:rFonts w:ascii="Times New Roman" w:hAnsi="Times New Roman" w:cs="Times New Roman"/>
          <w:sz w:val="28"/>
          <w:szCs w:val="28"/>
        </w:rPr>
        <w:t xml:space="preserve"> в частности повышение сывороточного уровня ЛПНП играет фундаментальную роль в патогенезе атеросклероза и АГ</w:t>
      </w:r>
      <w:r w:rsidR="00EC11A4">
        <w:rPr>
          <w:rFonts w:ascii="Century" w:hAnsi="Century" w:cs="Times New Roman"/>
          <w:sz w:val="28"/>
          <w:szCs w:val="28"/>
        </w:rPr>
        <w:t>.</w:t>
      </w:r>
      <w:r w:rsidR="00AB12B3">
        <w:rPr>
          <w:rFonts w:ascii="Times New Roman" w:hAnsi="Times New Roman" w:cs="Times New Roman"/>
          <w:sz w:val="28"/>
          <w:szCs w:val="28"/>
        </w:rPr>
        <w:t xml:space="preserve"> Повышенный уровень ЛПНП усиливает</w:t>
      </w:r>
      <w:r w:rsidR="003D2CC9">
        <w:rPr>
          <w:rFonts w:ascii="Times New Roman" w:hAnsi="Times New Roman" w:cs="Times New Roman"/>
          <w:sz w:val="28"/>
          <w:szCs w:val="28"/>
        </w:rPr>
        <w:t xml:space="preserve"> синтез</w:t>
      </w:r>
      <w:r w:rsidR="00AB12B3">
        <w:rPr>
          <w:rFonts w:ascii="Times New Roman" w:hAnsi="Times New Roman" w:cs="Times New Roman"/>
          <w:sz w:val="28"/>
          <w:szCs w:val="28"/>
        </w:rPr>
        <w:t xml:space="preserve"> мРНК рецептора І типа ангиотензина ІІ и экспрессию белка</w:t>
      </w:r>
      <w:r w:rsidR="00EC11A4">
        <w:rPr>
          <w:rFonts w:ascii="Century" w:hAnsi="Century" w:cs="Times New Roman"/>
          <w:sz w:val="28"/>
          <w:szCs w:val="28"/>
        </w:rPr>
        <w:t>,</w:t>
      </w:r>
      <w:r w:rsidR="00AB12B3">
        <w:rPr>
          <w:rFonts w:ascii="Times New Roman" w:hAnsi="Times New Roman" w:cs="Times New Roman"/>
          <w:sz w:val="28"/>
          <w:szCs w:val="28"/>
        </w:rPr>
        <w:t xml:space="preserve"> тем самым увеличивая чувствительность к ангиотензину ІІ </w:t>
      </w:r>
      <w:r w:rsidR="00EA0E64">
        <w:rPr>
          <w:rFonts w:ascii="Times New Roman" w:hAnsi="Times New Roman" w:cs="Times New Roman"/>
          <w:sz w:val="28"/>
          <w:szCs w:val="28"/>
        </w:rPr>
        <w:fldChar w:fldCharType="begin" w:fldLock="1"/>
      </w:r>
      <w:r w:rsidR="00FA0279">
        <w:rPr>
          <w:rFonts w:ascii="Times New Roman" w:hAnsi="Times New Roman" w:cs="Times New Roman"/>
          <w:sz w:val="28"/>
          <w:szCs w:val="28"/>
        </w:rPr>
        <w:instrText>ADDIN CSL_CITATION {"citationItems":[{"id":"ITEM-1","itemData":{"DOI":"10.1161/01.CIR.0000019581.22812.B2","PMID":"10051310","abstract":"Dquestions concerning the etiology of atherosclerosis espite intense investigation in the last decade, many remain unanswered. Hypercholesterolemia and hypertension are clearly risk factors for the development of vascular lesions, although the precise molecular steps between elevated lipid or blood pressure levels and the development of atherosclerotic lesions are not completely defined.1,2 Hypertension is frequently associated with additional risk factors such as hypercholesterolemia, estrogen deficiency, or hyperinsulinemia. This clustering of risk factors greatly enhances the probability to develop atherosclerosis.3 Nevertheless, the cellular events responsible for the mutual appearance of several risk factors are poorly understood. A series of recent studies have addressed the hypothesis that enhanced AT1 receptor activation could explain the association of various hormonal and metabolic disorders with hypertension, and ultimately, with accelerated progression of vascular lesions.","author":[{"dropping-particle":"","family":"Nickenig G. ; Harrison D.G.","given":"","non-dropping-particle":"","parse-names":false,"suffix":""}],"container-title":"Circulation","id":"ITEM-1","issued":{"date-parts":[["2002"]]},"page":"530-536","title":"The AT1-Type Angiotensin Receptor in Oxidative Stress and Atherogenesis Part II: AT1 Receptor Regulation","type":"article-journal","volume":"105"},"uris":["http://www.mendeley.com/documents/?uuid=5b170b31-98c3-412c-8feb-dd112cf3e921"]}],"mendeley":{"formattedCitation":"[99]","manualFormatting":"[99, р. 533]","plainTextFormattedCitation":"[99]","previouslyFormattedCitation":"[99]"},"properties":{"noteIndex":0},"schema":"https://github.com/citation-style-language/schema/raw/master/csl-citation.json"}</w:instrText>
      </w:r>
      <w:r w:rsidR="00EA0E64">
        <w:rPr>
          <w:rFonts w:ascii="Times New Roman" w:hAnsi="Times New Roman" w:cs="Times New Roman"/>
          <w:sz w:val="28"/>
          <w:szCs w:val="28"/>
        </w:rPr>
        <w:fldChar w:fldCharType="separate"/>
      </w:r>
      <w:r w:rsidR="00FA0279" w:rsidRPr="00FA0279">
        <w:rPr>
          <w:rFonts w:ascii="Times New Roman" w:hAnsi="Times New Roman" w:cs="Times New Roman"/>
          <w:noProof/>
          <w:sz w:val="28"/>
          <w:szCs w:val="28"/>
        </w:rPr>
        <w:t>[99</w:t>
      </w:r>
      <w:r w:rsidR="00FA0279">
        <w:rPr>
          <w:rFonts w:ascii="Times New Roman" w:hAnsi="Times New Roman" w:cs="Times New Roman"/>
          <w:noProof/>
          <w:sz w:val="28"/>
          <w:szCs w:val="28"/>
        </w:rPr>
        <w:t>, р. 533</w:t>
      </w:r>
      <w:r w:rsidR="00FA0279" w:rsidRPr="00FA0279">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EC11A4">
        <w:rPr>
          <w:rFonts w:ascii="Century" w:hAnsi="Century"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Гиперинсулинемия также может воздействовать на экспрессию рецептора І типа ангиотензина ІІ </w:t>
      </w:r>
      <w:r w:rsidR="00EA0E64">
        <w:rPr>
          <w:rFonts w:ascii="Times New Roman" w:hAnsi="Times New Roman" w:cs="Times New Roman"/>
          <w:sz w:val="28"/>
          <w:szCs w:val="28"/>
        </w:rPr>
        <w:fldChar w:fldCharType="begin" w:fldLock="1"/>
      </w:r>
      <w:r w:rsidR="006D6525">
        <w:rPr>
          <w:rFonts w:ascii="Times New Roman" w:hAnsi="Times New Roman" w:cs="Times New Roman"/>
          <w:sz w:val="28"/>
          <w:szCs w:val="28"/>
        </w:rPr>
        <w:instrText>ADDIN CSL_CITATION {"citationItems":[{"id":"ITEM-1","itemData":{"DOI":"10.1161/01.CIR.0000019581.22812.B2","PMID":"10051310","abstract":"Dquestions concerning the etiology of atherosclerosis espite intense investigation in the last decade, many remain unanswered. Hypercholesterolemia and hypertension are clearly risk factors for the development of vascular lesions, although the precise molecular steps between elevated lipid or blood pressure levels and the development of atherosclerotic lesions are not completely defined.1,2 Hypertension is frequently associated with additional risk factors such as hypercholesterolemia, estrogen deficiency, or hyperinsulinemia. This clustering of risk factors greatly enhances the probability to develop atherosclerosis.3 Nevertheless, the cellular events responsible for the mutual appearance of several risk factors are poorly understood. A series of recent studies have addressed the hypothesis that enhanced AT1 receptor activation could explain the association of various hormonal and metabolic disorders with hypertension, and ultimately, with accelerated progression of vascular lesions.","author":[{"dropping-particle":"","family":"Nickenig G. ; Harrison D.G.","given":"","non-dropping-particle":"","parse-names":false,"suffix":""}],"container-title":"Circulation","id":"ITEM-1","issued":{"date-parts":[["2002"]]},"page":"530-536","title":"The AT1-Type Angiotensin Receptor in Oxidative Stress and Atherogenesis Part II: AT1 Receptor Regulation","type":"article-journal","volume":"105"},"uris":["http://www.mendeley.com/documents/?uuid=5b170b31-98c3-412c-8feb-dd112cf3e921"]}],"mendeley":{"formattedCitation":"[99]","manualFormatting":"[99, р. 533]","plainTextFormattedCitation":"[99]","previouslyFormattedCitation":"[99]"},"properties":{"noteIndex":0},"schema":"https://github.com/citation-style-language/schema/raw/master/csl-citation.json"}</w:instrText>
      </w:r>
      <w:r w:rsidR="00EA0E64">
        <w:rPr>
          <w:rFonts w:ascii="Times New Roman" w:hAnsi="Times New Roman" w:cs="Times New Roman"/>
          <w:sz w:val="28"/>
          <w:szCs w:val="28"/>
        </w:rPr>
        <w:fldChar w:fldCharType="separate"/>
      </w:r>
      <w:r w:rsidR="00FA0279" w:rsidRPr="00FA0279">
        <w:rPr>
          <w:rFonts w:ascii="Times New Roman" w:hAnsi="Times New Roman" w:cs="Times New Roman"/>
          <w:noProof/>
          <w:sz w:val="28"/>
          <w:szCs w:val="28"/>
        </w:rPr>
        <w:t>[99</w:t>
      </w:r>
      <w:r w:rsidR="00FA0279">
        <w:rPr>
          <w:rFonts w:ascii="Times New Roman" w:hAnsi="Times New Roman" w:cs="Times New Roman"/>
          <w:noProof/>
          <w:sz w:val="28"/>
          <w:szCs w:val="28"/>
        </w:rPr>
        <w:t>, р. 533</w:t>
      </w:r>
      <w:r w:rsidR="00FA0279" w:rsidRPr="00FA0279">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EC11A4">
        <w:rPr>
          <w:rFonts w:ascii="Century" w:hAnsi="Century" w:cs="Times New Roman"/>
          <w:sz w:val="28"/>
          <w:szCs w:val="28"/>
        </w:rPr>
        <w:t>.</w:t>
      </w:r>
      <w:r w:rsidR="00EC7B7A">
        <w:rPr>
          <w:rFonts w:ascii="Times New Roman" w:hAnsi="Times New Roman" w:cs="Times New Roman"/>
          <w:sz w:val="28"/>
          <w:szCs w:val="28"/>
        </w:rPr>
        <w:t xml:space="preserve"> Эта гипотеза нашла подтверждение</w:t>
      </w:r>
      <w:r>
        <w:rPr>
          <w:rFonts w:ascii="Times New Roman" w:hAnsi="Times New Roman" w:cs="Times New Roman"/>
          <w:sz w:val="28"/>
          <w:szCs w:val="28"/>
        </w:rPr>
        <w:t xml:space="preserve"> в исследованиях Fung M</w:t>
      </w:r>
      <w:r w:rsidR="00EC11A4">
        <w:rPr>
          <w:rFonts w:ascii="Century" w:hAnsi="Century" w:cs="Times New Roman"/>
          <w:sz w:val="28"/>
          <w:szCs w:val="28"/>
        </w:rPr>
        <w:t>.</w:t>
      </w:r>
      <w:r>
        <w:rPr>
          <w:rFonts w:ascii="Times New Roman" w:hAnsi="Times New Roman" w:cs="Times New Roman"/>
          <w:sz w:val="28"/>
          <w:szCs w:val="28"/>
        </w:rPr>
        <w:t xml:space="preserve"> (2011)</w:t>
      </w:r>
      <w:r w:rsidR="00EC11A4">
        <w:rPr>
          <w:rFonts w:ascii="Century" w:hAnsi="Century" w:cs="Times New Roman"/>
          <w:sz w:val="28"/>
          <w:szCs w:val="28"/>
        </w:rPr>
        <w:t>,</w:t>
      </w:r>
      <w:r w:rsidR="004F7D40">
        <w:rPr>
          <w:rFonts w:ascii="Times New Roman" w:hAnsi="Times New Roman" w:cs="Times New Roman"/>
          <w:sz w:val="28"/>
          <w:szCs w:val="28"/>
        </w:rPr>
        <w:t xml:space="preserve"> где</w:t>
      </w:r>
      <w:r>
        <w:rPr>
          <w:rFonts w:ascii="Times New Roman" w:hAnsi="Times New Roman" w:cs="Times New Roman"/>
          <w:sz w:val="28"/>
          <w:szCs w:val="28"/>
        </w:rPr>
        <w:t xml:space="preserve"> было показано</w:t>
      </w:r>
      <w:r w:rsidR="00EC11A4">
        <w:rPr>
          <w:rFonts w:ascii="Century" w:hAnsi="Century" w:cs="Times New Roman"/>
          <w:sz w:val="28"/>
          <w:szCs w:val="28"/>
        </w:rPr>
        <w:t>,</w:t>
      </w:r>
      <w:r>
        <w:rPr>
          <w:rFonts w:ascii="Times New Roman" w:hAnsi="Times New Roman" w:cs="Times New Roman"/>
          <w:sz w:val="28"/>
          <w:szCs w:val="28"/>
        </w:rPr>
        <w:t xml:space="preserve"> что полиморфизмы гена </w:t>
      </w:r>
      <w:r>
        <w:rPr>
          <w:rFonts w:ascii="Times New Roman" w:hAnsi="Times New Roman" w:cs="Times New Roman"/>
          <w:i/>
          <w:sz w:val="28"/>
          <w:szCs w:val="28"/>
        </w:rPr>
        <w:t>AGTR1</w:t>
      </w:r>
      <w:r>
        <w:rPr>
          <w:rFonts w:ascii="Times New Roman" w:hAnsi="Times New Roman" w:cs="Times New Roman"/>
          <w:sz w:val="28"/>
          <w:szCs w:val="28"/>
        </w:rPr>
        <w:t xml:space="preserve"> могут способствовать развитию АГ у пациентов с высоко нормальными показателями АД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{"citationItems":[{"id":"ITEM-1","itemData":{"DOI":"10.1038/ajh.2010.210","ISSN":"08957061","PMID":"20864943","abstract":"The Seventh Joint National Committee on Prevention, Detection, Evaluation, and Treatment of High Blood Pressure in 2003 created a prehypertension category for persons with blood pressures ranging from systolic blood pressure (SBP) of 120-139 mm Hg or diastolic blood pressure (DBP) from 80 to 89 mm Hg, due to increased risk of cardiovascular disease.","author":[{"dropping-particle":"","family":"Fung","given":"Maple M.","non-dropping-particle":"","parse-names":false,"suffix":""},{"dropping-particle":"","family":"Rao","given":"Fangwen","non-dropping-particle":"","parse-names":false,"suffix":""},{"dropping-particle":"","family":"Poddar","given":"Sameer","non-dropping-particle":"","parse-names":false,"suffix":""},{"dropping-particle":"","family":"Mahata","given":"Manjula","non-dropping-particle":"","parse-names":false,"suffix":""},{"dropping-particle":"","family":"Khandrika","given":"Srikrishna","non-dropping-particle":"","parse-names":false,"suffix":""},{"dropping-particle":"","family":"Mahata","given":"Sushil K.","non-dropping-particle":"","parse-names":false,"suffix":""},{"dropping-particle":"","family":"O'Connor","given":"Daniel T.","non-dropping-particle":"","parse-names":false,"suffix":""}],"container-title":"American Journal of Hypertension","id":"ITEM-1","issue":"2","issued":{"date-parts":[["2011"]]},"page":"225-233","title":"Early inflammatory and metabolic changes in association with AGTR1 polymorphisms in prehypertensive subjects","type":"article-journal","volume":"24"},"uris":["http://www.mendeley.com/documents/?uuid=5a076b4d-db00-4f94-94fa-f211bf2daf5f"]}],"mendeley":{"formattedCitation":"[137]","plainTextFormattedCitation":"[137]","previouslyFormattedCitation":"[137]"},"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[137]</w:t>
      </w:r>
      <w:r w:rsidR="00EA0E64">
        <w:rPr>
          <w:rFonts w:ascii="Times New Roman" w:hAnsi="Times New Roman" w:cs="Times New Roman"/>
          <w:sz w:val="28"/>
          <w:szCs w:val="28"/>
        </w:rPr>
        <w:fldChar w:fldCharType="end"/>
      </w:r>
      <w:r w:rsidR="00EC11A4">
        <w:rPr>
          <w:rFonts w:ascii="Century" w:hAnsi="Century" w:cs="Times New Roman"/>
          <w:sz w:val="28"/>
          <w:szCs w:val="28"/>
        </w:rPr>
        <w:t>.</w:t>
      </w:r>
      <w:r>
        <w:rPr>
          <w:rFonts w:ascii="Times New Roman" w:hAnsi="Times New Roman" w:cs="Times New Roman"/>
          <w:sz w:val="28"/>
          <w:szCs w:val="28"/>
        </w:rPr>
        <w:t xml:space="preserve"> ИР наблюдалось у пациентов с высоко нормальным АД</w:t>
      </w:r>
      <w:r w:rsidR="00EC11A4">
        <w:rPr>
          <w:rFonts w:ascii="Century" w:hAnsi="Century" w:cs="Times New Roman"/>
          <w:sz w:val="28"/>
          <w:szCs w:val="28"/>
        </w:rPr>
        <w:t>,</w:t>
      </w:r>
      <w:r>
        <w:rPr>
          <w:rFonts w:ascii="Times New Roman" w:hAnsi="Times New Roman" w:cs="Times New Roman"/>
          <w:sz w:val="28"/>
          <w:szCs w:val="28"/>
        </w:rPr>
        <w:t xml:space="preserve"> это авторы связали с МС</w:t>
      </w:r>
      <w:r w:rsidR="00EC11A4">
        <w:rPr>
          <w:rFonts w:ascii="Century" w:hAnsi="Century" w:cs="Times New Roman"/>
          <w:sz w:val="28"/>
          <w:szCs w:val="28"/>
        </w:rPr>
        <w:t>.</w:t>
      </w:r>
      <w:r>
        <w:rPr>
          <w:rFonts w:ascii="Times New Roman" w:hAnsi="Times New Roman" w:cs="Times New Roman"/>
          <w:sz w:val="28"/>
          <w:szCs w:val="28"/>
        </w:rPr>
        <w:t xml:space="preserve"> А также</w:t>
      </w:r>
      <w:r w:rsidR="00EC11A4">
        <w:rPr>
          <w:rFonts w:ascii="Century" w:hAnsi="Century" w:cs="Times New Roman"/>
          <w:sz w:val="28"/>
          <w:szCs w:val="28"/>
        </w:rPr>
        <w:t>,</w:t>
      </w:r>
      <w:r>
        <w:rPr>
          <w:rFonts w:ascii="Times New Roman" w:hAnsi="Times New Roman" w:cs="Times New Roman"/>
          <w:sz w:val="28"/>
          <w:szCs w:val="28"/>
        </w:rPr>
        <w:t xml:space="preserve"> что менее изученный генотип A/G был </w:t>
      </w:r>
      <w:r w:rsidR="00B03454">
        <w:rPr>
          <w:rFonts w:ascii="Times New Roman" w:hAnsi="Times New Roman" w:cs="Times New Roman"/>
          <w:sz w:val="28"/>
          <w:szCs w:val="28"/>
        </w:rPr>
        <w:t>ассоциирован</w:t>
      </w:r>
      <w:r>
        <w:rPr>
          <w:rFonts w:ascii="Times New Roman" w:hAnsi="Times New Roman" w:cs="Times New Roman"/>
          <w:sz w:val="28"/>
          <w:szCs w:val="28"/>
        </w:rPr>
        <w:t xml:space="preserve"> с ЛПВП и апоА1</w:t>
      </w:r>
      <w:r w:rsidR="00EC11A4">
        <w:rPr>
          <w:rFonts w:ascii="Century" w:hAnsi="Century"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Некоторые полиморфизмы гена </w:t>
      </w:r>
      <w:r>
        <w:rPr>
          <w:rFonts w:ascii="Times New Roman" w:hAnsi="Times New Roman" w:cs="Times New Roman"/>
          <w:i/>
          <w:sz w:val="28"/>
          <w:szCs w:val="28"/>
        </w:rPr>
        <w:t>AGTR1</w:t>
      </w:r>
      <w:r>
        <w:rPr>
          <w:rFonts w:ascii="Times New Roman" w:hAnsi="Times New Roman" w:cs="Times New Roman"/>
          <w:sz w:val="28"/>
          <w:szCs w:val="28"/>
        </w:rPr>
        <w:t xml:space="preserve"> изменяя внутриклеточную передачу сигналов </w:t>
      </w:r>
      <w:r w:rsidR="00762C69">
        <w:rPr>
          <w:rFonts w:ascii="Times New Roman" w:hAnsi="Times New Roman" w:cs="Times New Roman"/>
          <w:sz w:val="28"/>
          <w:szCs w:val="28"/>
        </w:rPr>
        <w:t>инсулина,</w:t>
      </w:r>
      <w:r>
        <w:rPr>
          <w:rFonts w:ascii="Times New Roman" w:hAnsi="Times New Roman" w:cs="Times New Roman"/>
          <w:sz w:val="28"/>
          <w:szCs w:val="28"/>
        </w:rPr>
        <w:t xml:space="preserve"> могут привести к нарушению гомеостаза глюкозы, что в свою очередь приводит к ИР, а далее и к СД 2 типа. При изучении роли полиморфизмов генов РААС </w:t>
      </w:r>
      <w:r>
        <w:rPr>
          <w:rFonts w:ascii="Times New Roman" w:hAnsi="Times New Roman" w:cs="Times New Roman"/>
          <w:i/>
          <w:sz w:val="28"/>
          <w:szCs w:val="28"/>
        </w:rPr>
        <w:t xml:space="preserve">AGT </w:t>
      </w:r>
      <w:r>
        <w:rPr>
          <w:rFonts w:ascii="Times New Roman" w:hAnsi="Times New Roman" w:cs="Times New Roman"/>
          <w:sz w:val="28"/>
          <w:szCs w:val="28"/>
        </w:rPr>
        <w:t>(M235T),</w:t>
      </w:r>
      <w:r>
        <w:rPr>
          <w:rFonts w:ascii="Times New Roman" w:hAnsi="Times New Roman" w:cs="Times New Roman"/>
          <w:i/>
          <w:sz w:val="28"/>
          <w:szCs w:val="28"/>
        </w:rPr>
        <w:t xml:space="preserve"> ACE </w:t>
      </w:r>
      <w:r>
        <w:rPr>
          <w:rFonts w:ascii="Times New Roman" w:hAnsi="Times New Roman" w:cs="Times New Roman"/>
          <w:sz w:val="28"/>
          <w:szCs w:val="28"/>
        </w:rPr>
        <w:t>(I/D),</w:t>
      </w:r>
      <w:r>
        <w:rPr>
          <w:rFonts w:ascii="Times New Roman" w:hAnsi="Times New Roman" w:cs="Times New Roman"/>
          <w:i/>
          <w:sz w:val="28"/>
          <w:szCs w:val="28"/>
        </w:rPr>
        <w:t xml:space="preserve"> AGTR1 </w:t>
      </w:r>
      <w:r>
        <w:rPr>
          <w:rFonts w:ascii="Times New Roman" w:hAnsi="Times New Roman" w:cs="Times New Roman"/>
          <w:sz w:val="28"/>
          <w:szCs w:val="28"/>
        </w:rPr>
        <w:t xml:space="preserve">(A1166C) в качестве предикторов риска развития СД 2 типа и их совокупного взаимодействия на течение СД </w:t>
      </w:r>
      <w:r w:rsidRPr="00502F0C">
        <w:rPr>
          <w:rFonts w:ascii="Times New Roman" w:hAnsi="Times New Roman" w:cs="Times New Roman"/>
          <w:sz w:val="28"/>
          <w:szCs w:val="28"/>
        </w:rPr>
        <w:t>Mehri S. (</w:t>
      </w:r>
      <w:r>
        <w:rPr>
          <w:rFonts w:ascii="Times New Roman" w:hAnsi="Times New Roman" w:cs="Times New Roman"/>
          <w:sz w:val="28"/>
          <w:szCs w:val="28"/>
        </w:rPr>
        <w:t xml:space="preserve">2010) выявил, что наличие </w:t>
      </w:r>
      <w:r w:rsidR="00343CF7">
        <w:rPr>
          <w:rFonts w:ascii="Times New Roman" w:hAnsi="Times New Roman" w:cs="Times New Roman"/>
          <w:sz w:val="28"/>
          <w:szCs w:val="28"/>
        </w:rPr>
        <w:t xml:space="preserve">у </w:t>
      </w:r>
      <w:r>
        <w:rPr>
          <w:rFonts w:ascii="Times New Roman" w:hAnsi="Times New Roman" w:cs="Times New Roman"/>
          <w:sz w:val="28"/>
          <w:szCs w:val="28"/>
        </w:rPr>
        <w:t xml:space="preserve">носителей одного полиморфизма повышает шанс развития СД в 1,9 раз; </w:t>
      </w:r>
      <w:r w:rsidR="00343CF7">
        <w:rPr>
          <w:rFonts w:ascii="Times New Roman" w:hAnsi="Times New Roman" w:cs="Times New Roman"/>
          <w:sz w:val="28"/>
          <w:szCs w:val="28"/>
        </w:rPr>
        <w:t>при носительстве двух или трех</w:t>
      </w:r>
      <w:r>
        <w:rPr>
          <w:rFonts w:ascii="Times New Roman" w:hAnsi="Times New Roman" w:cs="Times New Roman"/>
          <w:sz w:val="28"/>
          <w:szCs w:val="28"/>
        </w:rPr>
        <w:t xml:space="preserve"> полиморфизм</w:t>
      </w:r>
      <w:r w:rsidR="00343CF7">
        <w:rPr>
          <w:rFonts w:ascii="Times New Roman" w:hAnsi="Times New Roman" w:cs="Times New Roman"/>
          <w:sz w:val="28"/>
          <w:szCs w:val="28"/>
        </w:rPr>
        <w:t>ов</w:t>
      </w:r>
      <w:r>
        <w:rPr>
          <w:rFonts w:ascii="Times New Roman" w:hAnsi="Times New Roman" w:cs="Times New Roman"/>
          <w:sz w:val="28"/>
          <w:szCs w:val="28"/>
        </w:rPr>
        <w:t xml:space="preserve">, </w:t>
      </w:r>
      <w:r w:rsidR="00343CF7">
        <w:rPr>
          <w:rFonts w:ascii="Times New Roman" w:hAnsi="Times New Roman" w:cs="Times New Roman"/>
          <w:sz w:val="28"/>
          <w:szCs w:val="28"/>
        </w:rPr>
        <w:t>риск</w:t>
      </w:r>
      <w:r>
        <w:rPr>
          <w:rFonts w:ascii="Times New Roman" w:hAnsi="Times New Roman" w:cs="Times New Roman"/>
          <w:sz w:val="28"/>
          <w:szCs w:val="28"/>
        </w:rPr>
        <w:t xml:space="preserve"> возрастал в </w:t>
      </w:r>
      <w:r w:rsidR="00343CF7">
        <w:rPr>
          <w:rFonts w:ascii="Times New Roman" w:hAnsi="Times New Roman" w:cs="Times New Roman"/>
          <w:sz w:val="28"/>
          <w:szCs w:val="28"/>
        </w:rPr>
        <w:t xml:space="preserve">4 и </w:t>
      </w:r>
      <w:r>
        <w:rPr>
          <w:rFonts w:ascii="Times New Roman" w:hAnsi="Times New Roman" w:cs="Times New Roman"/>
          <w:sz w:val="28"/>
          <w:szCs w:val="28"/>
        </w:rPr>
        <w:t xml:space="preserve">26,2 раз, </w:t>
      </w:r>
      <w:r w:rsidR="00343CF7">
        <w:rPr>
          <w:rFonts w:ascii="Times New Roman" w:hAnsi="Times New Roman" w:cs="Times New Roman"/>
          <w:sz w:val="28"/>
          <w:szCs w:val="28"/>
        </w:rPr>
        <w:t>соответственно, в сравнении с носителями нормального генотипа</w:t>
      </w:r>
      <w:r>
        <w:rPr>
          <w:rFonts w:ascii="Times New Roman" w:hAnsi="Times New Roman" w:cs="Times New Roman"/>
          <w:sz w:val="28"/>
          <w:szCs w:val="28"/>
        </w:rPr>
        <w:t xml:space="preserve"> РААС</w:t>
      </w:r>
      <w:r w:rsidR="00A35A2A">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lfs.2010.05.010","ISSN":"00243205","author":[{"dropping-particle":"","family":"Mehri","given":"Sounira","non-dropping-particle":"","parse-names":false,"suffix":""},{"dropping-particle":"","family":"Koubaa","given":"Nadia","non-dropping-particle":"","parse-names":false,"suffix":""},{"dropping-particle":"","family":"Hammami","given":"Sonia","non-dropping-particle":"","parse-names":false,"suffix":""},{"dropping-particle":"","family":"Mahjoub","given":"Sinda","non-dropping-particle":"","parse-names":false,"suffix":""},{"dropping-particle":"","family":"Chaaba","given":"Raja","non-dropping-particle":"","parse-names":false,"suffix":""},{"dropping-particle":"","family":"Nakbi","given":"Amel","non-dropping-particle":"","parse-names":false,"suffix":""},{"dropping-particle":"","family":"Zouari","given":"Bechir","non-dropping-particle":"","parse-names":false,"suffix":""},{"dropping-particle":"","family":"Abid","given":"Mohamed","non-dropping-particle":"","parse-names":false,"suffix":""},{"dropping-particle":"Ben","family":"Arab","given":"Saida","non-dropping-particle":"","parse-names":false,"suffix":""},{"dropping-particle":"","family":"Baudin","given":"Bruno","non-dropping-particle":"","parse-names":false,"suffix":""},{"dropping-particle":"","family":"Hammami","given":"Mohamed","non-dropping-particle":"","parse-names":false,"suffix":""}],"container-title":"Life Sciences","id":"ITEM-1","issue":"1-2","issued":{"date-parts":[["2010","7"]]},"page":"49-54","title":"Genotypic interactions of renin–angiotensin system genes with diabetes type 2 in a Tunisian population","type":"article-journal","volume":"87"},"uris":["http://www.mendeley.com/documents/?uuid=90d9e56c-60ad-438e-affa-5c6243d75e33","http://www.mendeley.com/documents/?uuid=252d8f29-d1a8-457f-93f7-cf6fd10fb9de"]}],"mendeley":{"formattedCitation":"[138]","plainTextFormattedCitation":"[138]","previouslyFormattedCitation":"[138]"},"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[138]</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8F43E4"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А</w:t>
      </w:r>
      <w:r w:rsidR="00AB12B3">
        <w:rPr>
          <w:rFonts w:ascii="Times New Roman" w:hAnsi="Times New Roman" w:cs="Times New Roman"/>
          <w:sz w:val="28"/>
          <w:szCs w:val="28"/>
        </w:rPr>
        <w:t>нализируя</w:t>
      </w:r>
      <w:r w:rsidR="00DB43C3">
        <w:rPr>
          <w:rFonts w:ascii="Times New Roman" w:hAnsi="Times New Roman" w:cs="Times New Roman"/>
          <w:sz w:val="28"/>
          <w:szCs w:val="28"/>
        </w:rPr>
        <w:t xml:space="preserve"> </w:t>
      </w:r>
      <w:r w:rsidR="00AB12B3">
        <w:rPr>
          <w:rFonts w:ascii="Times New Roman" w:hAnsi="Times New Roman" w:cs="Times New Roman"/>
          <w:sz w:val="28"/>
          <w:szCs w:val="28"/>
        </w:rPr>
        <w:t xml:space="preserve">изменения частоты генотипов и мутантных аллелей генов </w:t>
      </w:r>
      <w:r w:rsidR="00AB12B3">
        <w:rPr>
          <w:rFonts w:ascii="Times New Roman" w:hAnsi="Times New Roman" w:cs="Times New Roman"/>
          <w:i/>
          <w:sz w:val="28"/>
          <w:szCs w:val="28"/>
        </w:rPr>
        <w:t>ACE</w:t>
      </w:r>
      <w:r w:rsidR="005E5299">
        <w:rPr>
          <w:rFonts w:ascii="Century" w:hAnsi="Century" w:cs="Times New Roman"/>
          <w:i/>
          <w:sz w:val="28"/>
          <w:szCs w:val="28"/>
        </w:rPr>
        <w:t>,</w:t>
      </w:r>
      <w:r w:rsidR="00AB12B3">
        <w:rPr>
          <w:rFonts w:ascii="Times New Roman" w:hAnsi="Times New Roman" w:cs="Times New Roman"/>
          <w:i/>
          <w:sz w:val="28"/>
          <w:szCs w:val="28"/>
        </w:rPr>
        <w:t xml:space="preserve"> AGTR1</w:t>
      </w:r>
      <w:r w:rsidR="005E5299">
        <w:rPr>
          <w:rFonts w:ascii="Century" w:hAnsi="Century" w:cs="Times New Roman"/>
          <w:i/>
          <w:sz w:val="28"/>
          <w:szCs w:val="28"/>
        </w:rPr>
        <w:t>,</w:t>
      </w:r>
      <w:r w:rsidR="00AB12B3">
        <w:rPr>
          <w:rFonts w:ascii="Times New Roman" w:hAnsi="Times New Roman" w:cs="Times New Roman"/>
          <w:i/>
          <w:sz w:val="28"/>
          <w:szCs w:val="28"/>
        </w:rPr>
        <w:t xml:space="preserve"> AGT</w:t>
      </w:r>
      <w:r w:rsidR="00AB12B3">
        <w:rPr>
          <w:rFonts w:ascii="Times New Roman" w:hAnsi="Times New Roman" w:cs="Times New Roman"/>
          <w:sz w:val="28"/>
          <w:szCs w:val="28"/>
        </w:rPr>
        <w:t xml:space="preserve"> и </w:t>
      </w:r>
      <w:r w:rsidR="00AB12B3">
        <w:rPr>
          <w:rFonts w:ascii="Times New Roman" w:hAnsi="Times New Roman" w:cs="Times New Roman"/>
          <w:i/>
          <w:sz w:val="28"/>
          <w:szCs w:val="28"/>
        </w:rPr>
        <w:t>ITGB3</w:t>
      </w:r>
      <w:r w:rsidR="00AB12B3">
        <w:rPr>
          <w:rFonts w:ascii="Times New Roman" w:hAnsi="Times New Roman" w:cs="Times New Roman"/>
          <w:sz w:val="28"/>
          <w:szCs w:val="28"/>
        </w:rPr>
        <w:t xml:space="preserve"> у пациентов с АГ и МС </w:t>
      </w:r>
      <w:r>
        <w:rPr>
          <w:rFonts w:ascii="Times New Roman" w:hAnsi="Times New Roman" w:cs="Times New Roman"/>
          <w:sz w:val="28"/>
          <w:szCs w:val="28"/>
        </w:rPr>
        <w:t>Зотова Т</w:t>
      </w:r>
      <w:r w:rsidR="005E5299">
        <w:rPr>
          <w:rFonts w:ascii="Century" w:hAnsi="Century" w:cs="Times New Roman"/>
          <w:sz w:val="28"/>
          <w:szCs w:val="28"/>
        </w:rPr>
        <w:t>.</w:t>
      </w:r>
      <w:r>
        <w:rPr>
          <w:rFonts w:ascii="Times New Roman" w:hAnsi="Times New Roman" w:cs="Times New Roman"/>
          <w:sz w:val="28"/>
          <w:szCs w:val="28"/>
        </w:rPr>
        <w:t xml:space="preserve"> (2015) </w:t>
      </w:r>
      <w:r w:rsidR="00AB12B3">
        <w:rPr>
          <w:rFonts w:ascii="Times New Roman" w:hAnsi="Times New Roman" w:cs="Times New Roman"/>
          <w:sz w:val="28"/>
          <w:szCs w:val="28"/>
        </w:rPr>
        <w:t>отмечает</w:t>
      </w:r>
      <w:r w:rsidR="005E5299">
        <w:rPr>
          <w:rFonts w:ascii="Century" w:hAnsi="Century" w:cs="Times New Roman"/>
          <w:sz w:val="28"/>
          <w:szCs w:val="28"/>
        </w:rPr>
        <w:t>,</w:t>
      </w:r>
      <w:r w:rsidR="00AB12B3">
        <w:rPr>
          <w:rFonts w:ascii="Times New Roman" w:hAnsi="Times New Roman" w:cs="Times New Roman"/>
          <w:sz w:val="28"/>
          <w:szCs w:val="28"/>
        </w:rPr>
        <w:t xml:space="preserve"> что генотипы A1166C и C1166C гена </w:t>
      </w:r>
      <w:r w:rsidR="00AB12B3">
        <w:rPr>
          <w:rFonts w:ascii="Times New Roman" w:hAnsi="Times New Roman" w:cs="Times New Roman"/>
          <w:i/>
          <w:sz w:val="28"/>
          <w:szCs w:val="28"/>
        </w:rPr>
        <w:t>AGTR1</w:t>
      </w:r>
      <w:r w:rsidR="00AB12B3">
        <w:rPr>
          <w:rFonts w:ascii="Times New Roman" w:hAnsi="Times New Roman" w:cs="Times New Roman"/>
          <w:sz w:val="28"/>
          <w:szCs w:val="28"/>
        </w:rPr>
        <w:t xml:space="preserve"> встречались чаще при АГ в сочетании с МС</w:t>
      </w:r>
      <w:r w:rsidR="00E068BB">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{"citationItems":[{"id":"ITEM-1","itemData":{"DOI":"10.1007/s10517-016-3408-0","ISSN":"15738221","PMID":"27492398","abstract":"Changes in the frequencies of genotypes and mutant alleles of ACE, AGTR1, AGT, and ITGB3 genes were analyzed in patients with arterial hypertension coupled with metabolic syndrome (N=15) and compared with population data and corresponding parameters in patients with isolated hypertension (N=15). Increased frequency of genotype ID of ACE gene (hypertension predictor) was confirmed for both groups. In case of isolated hypertension, M235M genotype (gene AGT) was more frequent, in case of hypertension combined with metabolic syndrome, the frequency of genotypes A1166C and C1166C of the gene AGTR1 was higher in comparison with population data. Comparison of mutant allele frequencies in the two groups showed that at the 90% significance level allele T of the AGT gene was more frequent in hypertension coupled with metabolic syndrome (OR=1.26) and genotype A1166A of the AGTR1 gene was more frequent in the group with isolated hypertension.","author":[{"dropping-particle":"","family":"Zotova","given":"T. Yu","non-dropping-particle":"","parse-names":false,"suffix":""},{"dropping-particle":"","family":"Kubanova","given":"A. P.","non-dropping-particle":"","parse-names":false,"suffix":""},{"dropping-particle":"","family":"Azova","given":"M. M.","non-dropping-particle":"","parse-names":false,"suffix":""},{"dropping-particle":"","family":"Aissa","given":"A. Ait","non-dropping-particle":"","parse-names":false,"suffix":""},{"dropping-particle":"","family":"Gigani","given":"O. O.","non-dropping-particle":"","parse-names":false,"suffix":""},{"dropping-particle":"","family":"Frolov","given":"V. A.","non-dropping-particle":"","parse-names":false,"suffix":""}],"container-title":"Bulletin of Experimental Biology and Medicine","id":"ITEM-1","issue":"3","issued":{"date-parts":[["2016"]]},"page":"334-338","title":"Analysis of Polymorphism of Angiotensin System Genes (ACE, AGTR1, and AGT) and Gene ITGB3 in Patients with Arterial Hypertension in Combination with Metabolic Syndrome","type":"article-journal","volume":"161"},"uris":["http://www.mendeley.com/documents/?uuid=3a37d6f3-f7b0-4a6c-84a2-53e9aefd89d2"]}],"mendeley":{"formattedCitation":"[139]","plainTextFormattedCitation":"[139]","previouslyFormattedCitation":"[139]"},"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[139]</w:t>
      </w:r>
      <w:r w:rsidR="00EA0E64">
        <w:rPr>
          <w:rFonts w:ascii="Times New Roman" w:hAnsi="Times New Roman" w:cs="Times New Roman"/>
          <w:sz w:val="28"/>
          <w:szCs w:val="28"/>
        </w:rPr>
        <w:fldChar w:fldCharType="end"/>
      </w:r>
      <w:r w:rsidR="005E5299">
        <w:rPr>
          <w:rFonts w:ascii="Century" w:hAnsi="Century"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 мнению Lastra-Lastra G. роль РААС в развитии ИР и ССЗ, по-видимому, опосредована активацией рецептора ангиотензина II типа I и увеличением производства минералокортикоидов. И в экспериментальных, и в клинических исследованиях </w:t>
      </w:r>
      <w:r w:rsidR="005F16DA">
        <w:rPr>
          <w:rFonts w:ascii="Times New Roman" w:hAnsi="Times New Roman" w:cs="Times New Roman"/>
          <w:sz w:val="28"/>
          <w:szCs w:val="28"/>
        </w:rPr>
        <w:t xml:space="preserve">было выяснено, что </w:t>
      </w:r>
      <w:r>
        <w:rPr>
          <w:rFonts w:ascii="Times New Roman" w:hAnsi="Times New Roman" w:cs="Times New Roman"/>
          <w:sz w:val="28"/>
          <w:szCs w:val="28"/>
        </w:rPr>
        <w:t>альдостерон вовлечен в развитие ИР, гипертензии, эндотелиальной дисфункции и фиброза сердечно-сосудистой ткани, ремоделировани</w:t>
      </w:r>
      <w:r w:rsidR="005F16DA">
        <w:rPr>
          <w:rFonts w:ascii="Times New Roman" w:hAnsi="Times New Roman" w:cs="Times New Roman"/>
          <w:sz w:val="28"/>
          <w:szCs w:val="28"/>
        </w:rPr>
        <w:t>я, воспаления и окислительного</w:t>
      </w:r>
      <w:r>
        <w:rPr>
          <w:rFonts w:ascii="Times New Roman" w:hAnsi="Times New Roman" w:cs="Times New Roman"/>
          <w:sz w:val="28"/>
          <w:szCs w:val="28"/>
        </w:rPr>
        <w:t xml:space="preserve"> стресс</w:t>
      </w:r>
      <w:r w:rsidR="005F16DA">
        <w:rPr>
          <w:rFonts w:ascii="Times New Roman" w:hAnsi="Times New Roman" w:cs="Times New Roman"/>
          <w:sz w:val="28"/>
          <w:szCs w:val="28"/>
        </w:rPr>
        <w:t>а</w:t>
      </w:r>
      <w:r w:rsidR="00E068BB">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{"citationItems":[{"id":"ITEM-1","itemData":{"DOI":"10.1111/j.1365-2265.2008.03498.x","ISSN":"03000664","abstract":"The role of the Renin-Angiotensin-Aldosterone system (RAAS) on the development of insulin resistance and cardiovascular disease is an area of growing interest. Most of the deleterious actions of the RAAS on insulin sensitivity appear to be mediated through activation of the Angiotensin II (Ang II) Receptor type 1 (AT(1)R) and increased production of mineralocorticoids. The underlying mechanisms leading to impaired insulin sensitivity remain to be fully elucidated, but involve increased production of reactive oxygen species and oxidative stress. Both experimental and clinical studies also implicate aldosterone in the development of insulin resistance, hypertension, endothelial dysfunction, cardiovascular tissue fibrosis, remodelling, inflammation and oxidative stress. There is abundant evidence linking aldosterone, through non-genomic actions, to defective intracellular insulin signalling, impaired glucose homeostasis and systemic insulin resistance not only in skeletal muscle and liver but also in cardiovascular tissue. Blockade of the different components of the RAAS, in particular Ang II and AT(1)R, results in attenuation of insulin resistance, glucose homeostasis, as well as decreased cardiovascular disease morbidity and mortality. These beneficial effects go beyond to those expected with isolated control of hypertension. This review focuses on the role of Ang II and aldosterone in the pathogenesis of insulin resistance, as well as in clinical relevance of RAAS blockade in the prevention and treatment of the metabolic syndrome and cardiovascular disease.","author":[{"dropping-particle":"","family":"Lastra-Lastra","given":"Guido","non-dropping-particle":"","parse-names":false,"suffix":""},{"dropping-particle":"","family":"Sowers","given":"James R.","non-dropping-particle":"","parse-names":false,"suffix":""},{"dropping-particle":"","family":"Restrepo-Erazo","given":"Katherine","non-dropping-particle":"","parse-names":false,"suffix":""},{"dropping-particle":"","family":"Manrique-Acevedo","given":"Camila","non-dropping-particle":"","parse-names":false,"suffix":""},{"dropping-particle":"","family":"Lastra-González","given":"Guido","non-dropping-particle":"","parse-names":false,"suffix":""}],"container-title":"Clinical Endocrinology","id":"ITEM-1","issue":"1","issued":{"date-parts":[["2009","7"]]},"page":"1-6","title":"Role of aldosterone and angiotensin II in insulin resistance: an update","type":"article-journal","volume":"71"},"uris":["http://www.mendeley.com/documents/?uuid=395fe778-aa91-4f9f-bf8e-8d0c93500545","http://www.mendeley.com/documents/?uuid=6e2ac2d5-cb51-490e-a6ca-a6cd8ae08a2b"]}],"mendeley":{"formattedCitation":"[140]","plainTextFormattedCitation":"[140]","previouslyFormattedCitation":"[140]"},"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[140]</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Существует множество доказательств, связывающих альдостерон с дефектной внутриклеточной передачей сигналов инсулина, нарушенным гомеостазом глюкозы и системной резистентностью к инсулину не только в скелетных мышцах и печени, но и в сердечно-сосудистой ткани.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Persu</w:t>
      </w:r>
      <w:r w:rsidR="00C46EF4">
        <w:rPr>
          <w:rFonts w:ascii="Times New Roman" w:hAnsi="Times New Roman" w:cs="Times New Roman"/>
          <w:sz w:val="28"/>
          <w:szCs w:val="28"/>
        </w:rPr>
        <w:t xml:space="preserve"> </w:t>
      </w:r>
      <w:r w:rsidR="008D0060">
        <w:rPr>
          <w:rFonts w:ascii="Times New Roman" w:hAnsi="Times New Roman" w:cs="Times New Roman"/>
          <w:sz w:val="28"/>
          <w:szCs w:val="28"/>
        </w:rPr>
        <w:t>А</w:t>
      </w:r>
      <w:r w:rsidR="009C67E7">
        <w:rPr>
          <w:rFonts w:ascii="Century" w:hAnsi="Century" w:cs="Times New Roman"/>
          <w:sz w:val="28"/>
          <w:szCs w:val="28"/>
        </w:rPr>
        <w:t>.</w:t>
      </w:r>
      <w:r w:rsidR="008D0060">
        <w:rPr>
          <w:rFonts w:ascii="Times New Roman" w:hAnsi="Times New Roman" w:cs="Times New Roman"/>
          <w:sz w:val="28"/>
          <w:szCs w:val="28"/>
        </w:rPr>
        <w:t xml:space="preserve"> </w:t>
      </w:r>
      <w:r>
        <w:rPr>
          <w:rFonts w:ascii="Times New Roman" w:hAnsi="Times New Roman" w:cs="Times New Roman"/>
          <w:sz w:val="28"/>
          <w:szCs w:val="28"/>
        </w:rPr>
        <w:t>(2006) проанализировал исследования</w:t>
      </w:r>
      <w:r w:rsidR="009C67E7">
        <w:rPr>
          <w:rFonts w:ascii="Century" w:hAnsi="Century" w:cs="Times New Roman"/>
          <w:sz w:val="28"/>
          <w:szCs w:val="28"/>
        </w:rPr>
        <w:t>,</w:t>
      </w:r>
      <w:r>
        <w:rPr>
          <w:rFonts w:ascii="Times New Roman" w:hAnsi="Times New Roman" w:cs="Times New Roman"/>
          <w:sz w:val="28"/>
          <w:szCs w:val="28"/>
        </w:rPr>
        <w:t xml:space="preserve"> которые </w:t>
      </w:r>
      <w:r w:rsidR="005F16DA">
        <w:rPr>
          <w:rFonts w:ascii="Times New Roman" w:hAnsi="Times New Roman" w:cs="Times New Roman"/>
          <w:sz w:val="28"/>
          <w:szCs w:val="28"/>
        </w:rPr>
        <w:t xml:space="preserve">были </w:t>
      </w:r>
      <w:r>
        <w:rPr>
          <w:rFonts w:ascii="Times New Roman" w:hAnsi="Times New Roman" w:cs="Times New Roman"/>
          <w:sz w:val="28"/>
          <w:szCs w:val="28"/>
        </w:rPr>
        <w:t xml:space="preserve">посвящены изучению генов – кандидатов и связал расхождение результатов исследований по одним и тем же генам – кандидатам с расовыми различиями, неоднородностью выборки исследования или влиянием </w:t>
      </w:r>
      <w:r>
        <w:rPr>
          <w:rFonts w:ascii="Times New Roman" w:hAnsi="Times New Roman" w:cs="Times New Roman"/>
          <w:sz w:val="28"/>
          <w:szCs w:val="28"/>
        </w:rPr>
        <w:lastRenderedPageBreak/>
        <w:t>экологических факторов</w:t>
      </w:r>
      <w:r w:rsidR="00C46EF4">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{"citationItems":[{"id":"ITEM-1","itemData":{"DOI":"10.1097/01.hjh.0000209978.98240.e5","ISSN":"0263-6352","PMID":"16467645","abstract":"Excerpt Most complex traits are determined by both environmental and genetic factors. The proportion of the variance explained by genetic factors or heritability can be evaluated in family and twin studies. Due to the large availability and automation of genotyping techniques, demonstration of heritability is usually followed (or even preceded) by the rapid publication of a few studies looking for association of genetic variants with the trait. These exploratory studies are often small and almost always show an association. Indeed, negative studies performed in a small sample have little chance to be submitted, and even less to be published. Conversely, it is difficult to reject a positive study, even if the statistical power of the study and thus the probability of demonstrating an association was low. This process is almost impossible to avoid and should not be judged too harshly. It may be even viewed as a natural selection process helping to determine the pathways that deserve to be followed and those that should be abandoned. Publication of one or a few studies showing an association of a given candidate gene with the trait of interest is an incentive for researchers involved in the field to look at the underlying hypothesis in more depth and to see if it can be confirmed in larger or different populations. After a few months or years, the first ‘positive’ association studies are almost always challenged by a ‘negative’ study. At this stage, the intervention of reviewers and editors is critical. Indeed, rejecting a negative study on unjustified grounds will exacerbate the bias in favour of positive studies, resulting in the well-known funnel plot aspect in meta-analysis [1,2]. Similarly, accepting a flawed study with apparently negative results will unduly discourage further work on the same candidate gene. Both attitudes will alter the slow and delicate process of the generation of scientific truth. Acceptance or rejection of candidate gene studies should not depend on our own expectations but rather on methodological issues. Ideally, reviewers should act as if they were blinded to the results of the study, looking first to the methodology of the study, and then to the results and interpretation. Guidelines for reporting candidate genes studies have been proposed and are the same irrespective of the results [3,4]. In particular, the sample should be large and ethnically homogeneous and the other environmental and genetic factors likely to influenc…","author":[{"dropping-particle":"","family":"Persu","given":"Alexandre","non-dropping-particle":"","parse-names":false,"suffix":""}],"container-title":"Journal of hypertension","id":"ITEM-1","issue":"3","issued":{"date-parts":[["2006"]]},"page":"443-5","title":"Candidate gene studies: accepting negative results.","type":"article-journal","volume":"24"},"uris":["http://www.mendeley.com/documents/?uuid=9d0eca21-6aee-4335-b019-10a91f3ded4b"]}],"mendeley":{"formattedCitation":"[141]","plainTextFormattedCitation":"[141]","previouslyFormattedCitation":"[141]"},"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[141]</w:t>
      </w:r>
      <w:r w:rsidR="00EA0E64">
        <w:rPr>
          <w:rFonts w:ascii="Times New Roman" w:hAnsi="Times New Roman" w:cs="Times New Roman"/>
          <w:sz w:val="28"/>
          <w:szCs w:val="28"/>
        </w:rPr>
        <w:fldChar w:fldCharType="end"/>
      </w:r>
      <w:r w:rsidR="009C67E7">
        <w:rPr>
          <w:rFonts w:ascii="Century" w:hAnsi="Century" w:cs="Times New Roman"/>
          <w:sz w:val="28"/>
          <w:szCs w:val="28"/>
        </w:rPr>
        <w:t>.</w:t>
      </w:r>
      <w:r>
        <w:rPr>
          <w:rFonts w:ascii="Times New Roman" w:hAnsi="Times New Roman" w:cs="Times New Roman"/>
          <w:sz w:val="28"/>
          <w:szCs w:val="28"/>
        </w:rPr>
        <w:t xml:space="preserve"> Поэтому он предлагает редакторам и рецензентам журналов быть внимательными к исследованиям с отрицательными результатами, где не были обнаружены связи между генами – кандидатами и каким-то конкретным заболеваниям</w:t>
      </w:r>
      <w:r w:rsidR="009C67E7">
        <w:rPr>
          <w:rFonts w:ascii="Century" w:hAnsi="Century" w:cs="Times New Roman"/>
          <w:sz w:val="28"/>
          <w:szCs w:val="28"/>
        </w:rPr>
        <w:t>,</w:t>
      </w:r>
      <w:r>
        <w:rPr>
          <w:rFonts w:ascii="Times New Roman" w:hAnsi="Times New Roman" w:cs="Times New Roman"/>
          <w:sz w:val="28"/>
          <w:szCs w:val="28"/>
        </w:rPr>
        <w:t xml:space="preserve"> потому что такие хорошо спланированные исследования с отрицательным результатом должны публиковаться для дальнейшего развития научных исследований</w:t>
      </w:r>
      <w:r w:rsidR="009C67E7">
        <w:rPr>
          <w:rFonts w:ascii="Century" w:hAnsi="Century" w:cs="Times New Roman"/>
          <w:sz w:val="28"/>
          <w:szCs w:val="28"/>
        </w:rPr>
        <w:t>.</w:t>
      </w:r>
      <w:r>
        <w:rPr>
          <w:rFonts w:ascii="Times New Roman" w:hAnsi="Times New Roman" w:cs="Times New Roman"/>
          <w:sz w:val="28"/>
          <w:szCs w:val="28"/>
        </w:rPr>
        <w:t xml:space="preserve">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Даже наличие какого-либо полиморфизма гена может не дать фенотипический признак, здесь могут играть роль генно-генные взаимодействия, которые могут влиять на фенотипическое проявление этих генов. De</w:t>
      </w:r>
      <w:r w:rsidR="000D2A3B">
        <w:rPr>
          <w:rFonts w:ascii="Times New Roman" w:hAnsi="Times New Roman" w:cs="Times New Roman"/>
          <w:sz w:val="28"/>
          <w:szCs w:val="28"/>
        </w:rPr>
        <w:t xml:space="preserve"> </w:t>
      </w:r>
      <w:r w:rsidR="008D0060">
        <w:rPr>
          <w:rFonts w:ascii="Times New Roman" w:hAnsi="Times New Roman" w:cs="Times New Roman"/>
          <w:sz w:val="28"/>
          <w:szCs w:val="28"/>
          <w:lang w:val="en-US"/>
        </w:rPr>
        <w:t>R</w:t>
      </w:r>
      <w:r w:rsidR="008D0060" w:rsidRPr="008D0060">
        <w:rPr>
          <w:rFonts w:ascii="Times New Roman" w:hAnsi="Times New Roman" w:cs="Times New Roman"/>
          <w:sz w:val="28"/>
          <w:szCs w:val="28"/>
        </w:rPr>
        <w:t xml:space="preserve">. </w:t>
      </w:r>
      <w:r>
        <w:rPr>
          <w:rFonts w:ascii="Times New Roman" w:hAnsi="Times New Roman" w:cs="Times New Roman"/>
          <w:sz w:val="28"/>
          <w:szCs w:val="28"/>
        </w:rPr>
        <w:t xml:space="preserve">(2015) использовал данные </w:t>
      </w:r>
      <w:r w:rsidR="00684F3C">
        <w:rPr>
          <w:rFonts w:ascii="Times New Roman" w:hAnsi="Times New Roman" w:cs="Times New Roman"/>
          <w:sz w:val="28"/>
          <w:szCs w:val="28"/>
        </w:rPr>
        <w:t xml:space="preserve">генотипа </w:t>
      </w:r>
      <w:r>
        <w:rPr>
          <w:rFonts w:ascii="Times New Roman" w:hAnsi="Times New Roman" w:cs="Times New Roman"/>
          <w:sz w:val="28"/>
          <w:szCs w:val="28"/>
        </w:rPr>
        <w:t>5 когортных исследований и провёл фильтрацию по полиморфизму генов и их взаимодействию с ИМТ</w:t>
      </w:r>
      <w:r w:rsidR="008679F9">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{"citationItems":[{"id":"ITEM-1","itemData":{"DOI":"10.1186/s13040-015-0074-0","ISSN":"17560381","PMID":"26674805","abstract":"BACKGROUND: Despite heritability estimates of 40-70 % for obesity, less than 2 % of its variation is explained by Body Mass Index (BMI) associated loci that have been identified so far. Epistasis, or gene-gene interactions are a plausible source to explain portions of the missing heritability of BMI.\\n\\nMETHODS: Using genotypic data from 18,686 individuals across five study cohorts - ARIC, CARDIA, FHS, CHS, MESA - we filtered SNPs (Single Nucleotide Polymorphisms) using two parallel approaches. SNPs were filtered either on the strength of their main effects of association with BMI, or on the number of knowledge sources supporting a specific SNP-SNP interaction in the context of BMI. Filtered SNPs were specifically analyzed for interactions that are highly associated with BMI using QMDR (Quantitative Multifactor Dimensionality Reduction). QMDR is a nonparametric, genetic model-free method that detects non-linear interactions associated with a quantitative trait.\\n\\nRESULTS: We identified seven novel, epistatic models with a Bonferroni corrected p-value of association &lt; 0.1. Prior experimental evidence helps explain the plausible biological interactions highlighted within our results and their relationship with obesity. We identified interactions between genes involved in mitochondrial dysfunction (POLG2), cholesterol metabolism (SOAT2), lipid metabolism (CYP11B2), cell adhesion (EZR), cell proliferation (MAP2K5), and insulin resistance (IGF1R). Moreover, we found an 8.8 % increase in the variance in BMI explained by these seven SNP-SNP interactions, beyond what is explained by the main effects of an index FTO SNP and the SNPs within these interactions. We also replicated one of these interactions and 58 proxy SNP-SNP models representing it in an independent dataset from the eMERGE study.\\n\\nCONCLUSION: This study highlights a novel approach for discovering gene-gene interactions by combining methods such as QMDR with traditional statistics.","author":[{"dropping-particle":"","family":"De","given":"Rishika","non-dropping-particle":"","parse-names":false,"suffix":""},{"dropping-particle":"","family":"Verma","given":"Shefali S.","non-dropping-particle":"","parse-names":false,"suffix":""},{"dropping-particle":"","family":"Drenos","given":"Fotios","non-dropping-particle":"","parse-names":false,"suffix":""},{"dropping-particle":"","family":"Holzinger","given":"Emily R.","non-dropping-particle":"","parse-names":false,"suffix":""},{"dropping-particle":"V.","family":"Holmes","given":"Michael","non-dropping-particle":"","parse-names":false,"suffix":""},{"dropping-particle":"","family":"Hall","given":"Molly A.","non-dropping-particle":"","parse-names":false,"suffix":""},{"dropping-particle":"","family":"Crosslin","given":"David R.","non-dropping-particle":"","parse-names":false,"suffix":""},{"dropping-particle":"","family":"Carrell","given":"David S.","non-dropping-particle":"","parse-names":false,"suffix":""},{"dropping-particle":"","family":"Hakonarson","given":"Hakon","non-dropping-particle":"","parse-names":false,"suffix":""},{"dropping-particle":"","family":"Jarvik","given":"Gail","non-dropping-particle":"","parse-names":false,"suffix":""},{"dropping-particle":"","family":"Larson","given":"Eric","non-dropping-particle":"","parse-names":false,"suffix":""},{"dropping-particle":"","family":"Pacheco","given":"Jennifer A.","non-dropping-particle":"","parse-names":false,"suffix":""},{"dropping-particle":"","family":"Rasmussen-Torvik","given":"Laura J.","non-dropping-particle":"","parse-names":false,"suffix":""},{"dropping-particle":"","family":"Moore","given":"Carrie B.","non-dropping-particle":"","parse-names":false,"suffix":""},{"dropping-particle":"","family":"Asselbergs","given":"Folkert W.","non-dropping-particle":"","parse-names":false,"suffix":""},{"dropping-particle":"","family":"Moore","given":"Jason H.","non-dropping-particle":"","parse-names":false,"suffix":""},{"dropping-particle":"","family":"Ritchie","given":"Marylyn D.","non-dropping-particle":"","parse-names":false,"suffix":""},{"dropping-particle":"","family":"Keating","given":"Brendan J.","non-dropping-particle":"","parse-names":false,"suffix":""},{"dropping-particle":"","family":"Gilbert-Diamond","given":"Diane","non-dropping-particle":"","parse-names":false,"suffix":""}],"container-title":"BioData Mining","id":"ITEM-1","issue":"1","issued":{"date-parts":[["2015"]]},"publisher":"BioData Mining","title":"Identifying gene-gene interactions that are highly associated with Body Mass Index using Quantitative Multifactor Dimensionality Reduction (QMDR)","type":"article-journal","volume":"8"},"uris":["http://www.mendeley.com/documents/?uuid=5e312622-cd07-4736-8315-eb047529bc4a"]}],"mendeley":{"formattedCitation":"[142]","plainTextFormattedCitation":"[142]","previouslyFormattedCitation":"[142]"},"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[142]</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Для статистической обработки использовался </w:t>
      </w:r>
      <w:r w:rsidR="003B0AF8" w:rsidRPr="00113EE8">
        <w:rPr>
          <w:rFonts w:ascii="Times New Roman" w:hAnsi="Times New Roman" w:cs="Times New Roman"/>
          <w:noProof/>
          <w:sz w:val="28"/>
          <w:szCs w:val="24"/>
          <w:lang w:val="en-US"/>
        </w:rPr>
        <w:t>Quantitative</w:t>
      </w:r>
      <w:r w:rsidR="00C46EF4">
        <w:rPr>
          <w:rFonts w:ascii="Times New Roman" w:hAnsi="Times New Roman" w:cs="Times New Roman"/>
          <w:noProof/>
          <w:sz w:val="28"/>
          <w:szCs w:val="24"/>
        </w:rPr>
        <w:t xml:space="preserve"> </w:t>
      </w:r>
      <w:r w:rsidR="003B0AF8" w:rsidRPr="00113EE8">
        <w:rPr>
          <w:rFonts w:ascii="Times New Roman" w:hAnsi="Times New Roman" w:cs="Times New Roman"/>
          <w:noProof/>
          <w:sz w:val="28"/>
          <w:szCs w:val="24"/>
          <w:lang w:val="en-US"/>
        </w:rPr>
        <w:t>Multifactor</w:t>
      </w:r>
      <w:r w:rsidR="00C46EF4">
        <w:rPr>
          <w:rFonts w:ascii="Times New Roman" w:hAnsi="Times New Roman" w:cs="Times New Roman"/>
          <w:noProof/>
          <w:sz w:val="28"/>
          <w:szCs w:val="24"/>
        </w:rPr>
        <w:t xml:space="preserve"> </w:t>
      </w:r>
      <w:r w:rsidR="003B0AF8" w:rsidRPr="00113EE8">
        <w:rPr>
          <w:rFonts w:ascii="Times New Roman" w:hAnsi="Times New Roman" w:cs="Times New Roman"/>
          <w:noProof/>
          <w:sz w:val="28"/>
          <w:szCs w:val="24"/>
          <w:lang w:val="en-US"/>
        </w:rPr>
        <w:t>Dimensionality</w:t>
      </w:r>
      <w:r w:rsidR="00C46EF4">
        <w:rPr>
          <w:rFonts w:ascii="Times New Roman" w:hAnsi="Times New Roman" w:cs="Times New Roman"/>
          <w:noProof/>
          <w:sz w:val="28"/>
          <w:szCs w:val="24"/>
        </w:rPr>
        <w:t xml:space="preserve"> </w:t>
      </w:r>
      <w:r w:rsidR="003B0AF8" w:rsidRPr="00113EE8">
        <w:rPr>
          <w:rFonts w:ascii="Times New Roman" w:hAnsi="Times New Roman" w:cs="Times New Roman"/>
          <w:noProof/>
          <w:sz w:val="28"/>
          <w:szCs w:val="24"/>
          <w:lang w:val="en-US"/>
        </w:rPr>
        <w:t>Reduction</w:t>
      </w:r>
      <w:r w:rsidR="00C46EF4">
        <w:rPr>
          <w:rFonts w:ascii="Times New Roman" w:hAnsi="Times New Roman" w:cs="Times New Roman"/>
          <w:noProof/>
          <w:sz w:val="28"/>
          <w:szCs w:val="24"/>
        </w:rPr>
        <w:t xml:space="preserve"> </w:t>
      </w:r>
      <w:r>
        <w:rPr>
          <w:rFonts w:ascii="Times New Roman" w:hAnsi="Times New Roman" w:cs="Times New Roman"/>
          <w:sz w:val="28"/>
          <w:szCs w:val="28"/>
        </w:rPr>
        <w:t>(</w:t>
      </w:r>
      <w:r w:rsidR="003B0AF8">
        <w:rPr>
          <w:rFonts w:ascii="Times New Roman" w:hAnsi="Times New Roman" w:cs="Times New Roman"/>
          <w:sz w:val="28"/>
          <w:szCs w:val="28"/>
        </w:rPr>
        <w:t>QMDR</w:t>
      </w:r>
      <w:r>
        <w:rPr>
          <w:rFonts w:ascii="Times New Roman" w:hAnsi="Times New Roman" w:cs="Times New Roman"/>
          <w:sz w:val="28"/>
          <w:szCs w:val="28"/>
        </w:rPr>
        <w:t xml:space="preserve">) - непараметрический метод без генетической модели, который обнаруживает нелинейные взаимодействия, связанные с количественным признаком. Использование таких методов, как QMDR в сочетании с традиционным статистическим анализом, может распутать эту сложную сеть путем выявления взаимодействий генов с генами, которые играют ключевые роли в этиологии ожирения. По его утверждению, гены, потенциально </w:t>
      </w:r>
      <w:r w:rsidR="00684F3C">
        <w:rPr>
          <w:rFonts w:ascii="Times New Roman" w:hAnsi="Times New Roman" w:cs="Times New Roman"/>
          <w:sz w:val="28"/>
          <w:szCs w:val="28"/>
        </w:rPr>
        <w:t>ассоциированные</w:t>
      </w:r>
      <w:r>
        <w:rPr>
          <w:rFonts w:ascii="Times New Roman" w:hAnsi="Times New Roman" w:cs="Times New Roman"/>
          <w:sz w:val="28"/>
          <w:szCs w:val="28"/>
        </w:rPr>
        <w:t xml:space="preserve"> с ожирением, многофункциональны и соединяют различные биологические процессы и пути. Полученные результаты QMDR-анализа генотипических данных выявили новые взаимодействия между генетическими вариантами, которые тесно связаны с ИМТ. Авторы рекомендуют в будущем проводить дополнительные исследования, которые помогут понять взаимодействие генов с окружающей средой для получения полной картины сложной генетической архитектуры ожирения.</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Последние годы ученые изучают не только влияние полиморфизмов генов на развитие какого-либо заболеваний, но и относительное влияние питания и генетической предрасположенности. Потенциальные взаимодействия между факторами окружающей среды, включая потребление пищи и другие факторы образа жизни, добавляют еще один уровень сложности, который, вероятно, критически важен в патогенезе и прогрессировании распространенных полигенных заболеваний, связанных с питанием. Mcgillicuddy F. (2012) рассматривал влияние избыточного питания вместе с полиморфизмом генов на развитие атеросклероза, ожирения, ИР, сердечно-сосудистых осложнений</w:t>
      </w:r>
      <w:r w:rsidR="00BD7111">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{"citationItems":[{"id":"ITEM-1","itemData":{"DOI":"10.1002/mnfr.201100785","ISBN":"1613-4133 (Electronic)\\n1613-4125 (Linking)","ISSN":"16134125","PMID":"22760984","abstract":"Atherosclerosis is a progressive disease that starts early in life and is manifested clinically as coronary artery disease (CAD), cerebrovascular disease, or peripheral artery disease. CAD remains the leading cause of morbidity and mortality in Western society despite the great advances made in understanding its underlying pathophysiology. The key risk factors associated with CAD include hypercholesterolemia, hypertension, poor diet, obesity, age, male gender, smoking, and physical inactivity. Genetics also play an important role that may interact with environmental factors, including diet, nutritional status, and physiological parameters. Furthermore, certain chronic inflammatory conditions also predispose to the development of CAD. The spiraling increase in obesity rates worldwide has made it more pertinent than ever before to understand the metabolic perturbations that link over nutrition to enhanced cardiovascular risk. Great breakthroughs have been made at the pharmacological level to manage CAD; statins and aspirin have revolutionized treatment of CAD and prolonged lifespan. Nonetheless, lifestyle intervention prior to clinical presentation of CAD symptoms would negate/delay the need for chronic pharmacotherapy in at-risk individuals which in turn would relieve healthcare systems of a costly burden. Throughout this review, we debate the relative impact of nutrition versus genetics in driving CAD. We will investigate how overnutrition affects adipose tissue biology and drives IR and will discuss the subsequent implications for the cardiovascular system. Furthermore, we will discuss how lifestyle interventions including diet modification and weight loss can improve both IR and metabolic dyslipidemia that is associated with obesity. We will conclude by delving into the concept that nutritional status interacts with genetic susceptibility, such that perhaps a more personalized nutrition approach may be more effective in determining diet-related risk as well as response to nutritional interventions.","author":[{"dropping-particle":"","family":"Mcgillicuddy","given":"Fiona C.","non-dropping-particle":"","parse-names":false,"suffix":""},{"dropping-particle":"","family":"Roche","given":"Helen M.","non-dropping-particle":"","parse-names":false,"suffix":""}],"container-title":"Molecular Nutrition and Food Research","id":"ITEM-1","issue":"7","issued":{"date-parts":[["2012"]]},"page":"1173-1184","title":"Nutritional status, genetic susceptibility, and insulin resistance-important precedents to atherosclerosis","type":"article-journal","volume":"56"},"uris":["http://www.mendeley.com/documents/?uuid=0a83cfc1-c9e9-4532-bba1-91ddf05baa20"]}],"mendeley":{"formattedCitation":"[143]","plainTextFormattedCitation":"[143]","previouslyFormattedCitation":"[143]"},"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[143]</w:t>
      </w:r>
      <w:r w:rsidR="00EA0E64">
        <w:rPr>
          <w:rFonts w:ascii="Times New Roman" w:hAnsi="Times New Roman" w:cs="Times New Roman"/>
          <w:sz w:val="28"/>
          <w:szCs w:val="28"/>
        </w:rPr>
        <w:fldChar w:fldCharType="end"/>
      </w:r>
      <w:r>
        <w:rPr>
          <w:rFonts w:ascii="Times New Roman" w:hAnsi="Times New Roman" w:cs="Times New Roman"/>
          <w:sz w:val="28"/>
          <w:szCs w:val="28"/>
        </w:rPr>
        <w:t>. Автор поднима</w:t>
      </w:r>
      <w:r w:rsidR="006A1D0A">
        <w:rPr>
          <w:rFonts w:ascii="Times New Roman" w:hAnsi="Times New Roman" w:cs="Times New Roman"/>
          <w:sz w:val="28"/>
          <w:szCs w:val="28"/>
        </w:rPr>
        <w:t>л</w:t>
      </w:r>
      <w:r>
        <w:rPr>
          <w:rFonts w:ascii="Times New Roman" w:hAnsi="Times New Roman" w:cs="Times New Roman"/>
          <w:sz w:val="28"/>
          <w:szCs w:val="28"/>
        </w:rPr>
        <w:t xml:space="preserve"> вопрос о необходимости более точной идентификации чувствительных к питательным веществам генотипов и разработке подходов «персонализированного питания», при котором потребление питательных веществ управляется и/или оптимизируется на основе генетического профиля индивидуума для снижения риска заболеваний и/или повышения эффективности рекомендаций по питанию/рекомендации.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Поскольку фенотипическое перекрывание является хорошим предиктором функциональной связи, лежащей в основе генов </w:t>
      </w:r>
      <w:r>
        <w:rPr>
          <w:rFonts w:ascii="Times New Roman" w:hAnsi="Times New Roman" w:cs="Times New Roman"/>
          <w:sz w:val="28"/>
          <w:szCs w:val="28"/>
        </w:rPr>
        <w:lastRenderedPageBreak/>
        <w:t xml:space="preserve">восприимчивости или молекулярных механизмов, эти результаты показывают, что в популяции может существовать один ген, связанный с множеством заболеваний, и это явление следует рассматривать, как сеть взаимосвязанных заболеваний или совокупность признаков одной болезни, а не список отдельных болезней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DOI":"10.1016/j.tig.2007.12.005","ISSN":"01689525","author":[{"dropping-particle":"","family":"Oti","given":"Martin","non-dropping-particle":"","parse-names":false,"suffix":""},{"dropping-particle":"","family":"Huynen","given":"Martijn A.","non-dropping-particle":"","parse-names":false,"suffix":""},{"dropping-particle":"","family":"Brunner","given":"Han G.","non-dropping-particle":"","parse-names":false,"suffix":""}],"container-title":"Trends in Genetics","id":"ITEM-1","issue":"3","issued":{"date-parts":[["2008","3"]]},"page":"103-106","title":"Phenome connections","type":"article-journal","volume":"24"},"uris":["http://www.mendeley.com/documents/?uuid=6de02283-ebdf-4561-8ada-28586d1bef51","http://www.mendeley.com/documents/?uuid=3f86ab8a-7b43-4012-84d4-11e206a32528"]}],"mendeley":{"formattedCitation":"[144]","plainTextFormattedCitation":"[144]","previouslyFormattedCitation":"[144]"},"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[144]</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Детальное исследование этой интересной и важной гипотезы представляется полезным для выяснения этиологии распространенных социально значимых заболеваний и потенциально может оказать влияние на исследование генов ответственных за развитие </w:t>
      </w:r>
      <w:r w:rsidR="00864C8F">
        <w:rPr>
          <w:rFonts w:ascii="Times New Roman" w:hAnsi="Times New Roman" w:cs="Times New Roman"/>
          <w:sz w:val="28"/>
          <w:szCs w:val="28"/>
          <w:lang w:val="kk-KZ"/>
        </w:rPr>
        <w:t>данных</w:t>
      </w:r>
      <w:r>
        <w:rPr>
          <w:rFonts w:ascii="Times New Roman" w:hAnsi="Times New Roman" w:cs="Times New Roman"/>
          <w:sz w:val="28"/>
          <w:szCs w:val="28"/>
        </w:rPr>
        <w:t xml:space="preserve"> заболеваний</w:t>
      </w:r>
      <w:r w:rsidR="00BD7111">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2312BD">
        <w:rPr>
          <w:rFonts w:ascii="Times New Roman" w:hAnsi="Times New Roman" w:cs="Times New Roman"/>
          <w:sz w:val="28"/>
          <w:szCs w:val="28"/>
        </w:rPr>
        <w:instrText>ADDIN CSL_CITATION {"citationItems":[{"id":"ITEM-1","itemData":{"author":[{"dropping-particle":"","family":"Шаханова","given":"Айжан Т","non-dropping-particle":"","parse-names":false,"suffix":""},{"dropping-particle":"","family":"Аукенов","given":"Нурлан Е","non-dropping-particle":"","parse-names":false,"suffix":""},{"dropping-particle":"","family":"Нуртазина","given":"Алма У","non-dropping-particle":"","parse-names":false,"suffix":""},{"dropping-particle":"","family":"Шаханов","given":"Тунгышхан Е","non-dropping-particle":"","parse-names":false,"suffix":""},{"dropping-particle":"","family":"Кожахметова","given":"Дана К","non-dropping-particle":"","parse-names":false,"suffix":""}],"container-title":"Наука и здравоохранение","id":"ITEM-1","issued":{"date-parts":[["2019"]]},"page":"50-59","title":"Взаимосвязь инсулинорезистентности и полиморфизмов генов липидного обмена и ренин-ангиотензин-альдостероновой системы. Обзор литературы","type":"article-journal","volume":"21"},"uris":["http://www.mendeley.com/documents/?uuid=990f11f6-ad93-4330-9beb-d885456ebb57"]}],"mendeley":{"formattedCitation":"[145]","plainTextFormattedCitation":"[145]","previouslyFormattedCitation":"[145]"},"properties":{"noteIndex":0},"schema":"https://github.com/citation-style-language/schema/raw/master/csl-citation.json"}</w:instrText>
      </w:r>
      <w:r w:rsidR="00EA0E64">
        <w:rPr>
          <w:rFonts w:ascii="Times New Roman" w:hAnsi="Times New Roman" w:cs="Times New Roman"/>
          <w:sz w:val="28"/>
          <w:szCs w:val="28"/>
        </w:rPr>
        <w:fldChar w:fldCharType="separate"/>
      </w:r>
      <w:r w:rsidR="00224447" w:rsidRPr="00224447">
        <w:rPr>
          <w:rFonts w:ascii="Times New Roman" w:hAnsi="Times New Roman" w:cs="Times New Roman"/>
          <w:noProof/>
          <w:sz w:val="28"/>
          <w:szCs w:val="28"/>
        </w:rPr>
        <w:t>[145]</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Pr="00A225ED" w:rsidRDefault="00AB12B3" w:rsidP="00AB12B3">
      <w:pPr>
        <w:spacing w:after="0" w:line="240" w:lineRule="auto"/>
        <w:ind w:firstLine="708"/>
        <w:jc w:val="both"/>
        <w:rPr>
          <w:rFonts w:ascii="Century" w:hAnsi="Century" w:cs="Times New Roman"/>
          <w:sz w:val="28"/>
          <w:szCs w:val="28"/>
        </w:rPr>
      </w:pPr>
      <w:r>
        <w:rPr>
          <w:rFonts w:ascii="Times New Roman" w:hAnsi="Times New Roman" w:cs="Times New Roman"/>
          <w:sz w:val="28"/>
          <w:szCs w:val="28"/>
        </w:rPr>
        <w:t>Таким образом</w:t>
      </w:r>
      <w:r w:rsidR="00A225ED">
        <w:rPr>
          <w:rFonts w:ascii="Century" w:hAnsi="Century" w:cs="Times New Roman"/>
          <w:sz w:val="28"/>
          <w:szCs w:val="28"/>
        </w:rPr>
        <w:t>,</w:t>
      </w:r>
      <w:r>
        <w:rPr>
          <w:rFonts w:ascii="Times New Roman" w:hAnsi="Times New Roman" w:cs="Times New Roman"/>
          <w:sz w:val="28"/>
          <w:szCs w:val="28"/>
        </w:rPr>
        <w:t xml:space="preserve"> анализ литературы показал</w:t>
      </w:r>
      <w:r w:rsidR="00A225ED">
        <w:rPr>
          <w:rFonts w:ascii="Century" w:hAnsi="Century" w:cs="Times New Roman"/>
          <w:sz w:val="28"/>
          <w:szCs w:val="28"/>
        </w:rPr>
        <w:t>,</w:t>
      </w:r>
      <w:r>
        <w:rPr>
          <w:rFonts w:ascii="Times New Roman" w:hAnsi="Times New Roman" w:cs="Times New Roman"/>
          <w:sz w:val="28"/>
          <w:szCs w:val="28"/>
        </w:rPr>
        <w:t xml:space="preserve"> </w:t>
      </w:r>
      <w:r w:rsidR="005245A8">
        <w:rPr>
          <w:rFonts w:ascii="Times New Roman" w:hAnsi="Times New Roman" w:cs="Times New Roman"/>
          <w:sz w:val="28"/>
          <w:szCs w:val="28"/>
        </w:rPr>
        <w:t>что</w:t>
      </w:r>
      <w:r w:rsidR="00A225ED">
        <w:rPr>
          <w:rFonts w:ascii="Century" w:hAnsi="Century" w:cs="Times New Roman"/>
          <w:sz w:val="28"/>
          <w:szCs w:val="28"/>
        </w:rPr>
        <w:t>,</w:t>
      </w:r>
      <w:r>
        <w:rPr>
          <w:rFonts w:ascii="Times New Roman" w:hAnsi="Times New Roman" w:cs="Times New Roman"/>
          <w:sz w:val="28"/>
          <w:szCs w:val="28"/>
        </w:rPr>
        <w:t xml:space="preserve"> несмотря на множество проводимых исследований по полиморфизмам генов при ССЗ</w:t>
      </w:r>
      <w:r w:rsidR="00A225ED">
        <w:rPr>
          <w:rFonts w:ascii="Century" w:hAnsi="Century" w:cs="Times New Roman"/>
          <w:sz w:val="28"/>
          <w:szCs w:val="28"/>
        </w:rPr>
        <w:t>,</w:t>
      </w:r>
      <w:r>
        <w:rPr>
          <w:rFonts w:ascii="Times New Roman" w:hAnsi="Times New Roman" w:cs="Times New Roman"/>
          <w:sz w:val="28"/>
          <w:szCs w:val="28"/>
        </w:rPr>
        <w:t xml:space="preserve"> результаты этих исследований очень противоречивы</w:t>
      </w:r>
      <w:r w:rsidR="00A225ED">
        <w:rPr>
          <w:rFonts w:ascii="Century" w:hAnsi="Century" w:cs="Times New Roman"/>
          <w:sz w:val="28"/>
          <w:szCs w:val="28"/>
        </w:rPr>
        <w:t>.</w:t>
      </w:r>
      <w:r>
        <w:rPr>
          <w:rFonts w:ascii="Times New Roman" w:hAnsi="Times New Roman" w:cs="Times New Roman"/>
          <w:sz w:val="28"/>
          <w:szCs w:val="28"/>
        </w:rPr>
        <w:t xml:space="preserve"> На отрицательный или положительный результат исследования влияет не только размер выборки</w:t>
      </w:r>
      <w:r w:rsidR="00A225ED">
        <w:rPr>
          <w:rFonts w:ascii="Century" w:hAnsi="Century" w:cs="Times New Roman"/>
          <w:sz w:val="28"/>
          <w:szCs w:val="28"/>
        </w:rPr>
        <w:t>,</w:t>
      </w:r>
      <w:r>
        <w:rPr>
          <w:rFonts w:ascii="Times New Roman" w:hAnsi="Times New Roman" w:cs="Times New Roman"/>
          <w:sz w:val="28"/>
          <w:szCs w:val="28"/>
        </w:rPr>
        <w:t xml:space="preserve"> но встречаемость этих аллелей в конкретной популяции</w:t>
      </w:r>
      <w:r w:rsidR="00A225ED">
        <w:rPr>
          <w:rFonts w:ascii="Century" w:hAnsi="Century" w:cs="Times New Roman"/>
          <w:sz w:val="28"/>
          <w:szCs w:val="28"/>
        </w:rPr>
        <w:t>.</w:t>
      </w:r>
      <w:r>
        <w:rPr>
          <w:rFonts w:ascii="Times New Roman" w:hAnsi="Times New Roman" w:cs="Times New Roman"/>
          <w:sz w:val="28"/>
          <w:szCs w:val="28"/>
        </w:rPr>
        <w:t xml:space="preserve"> К тому же каждая популяция имеет свои особенности в генном аппарате</w:t>
      </w:r>
      <w:r w:rsidR="00A225ED">
        <w:rPr>
          <w:rFonts w:ascii="Century" w:hAnsi="Century" w:cs="Times New Roman"/>
          <w:sz w:val="28"/>
          <w:szCs w:val="28"/>
        </w:rPr>
        <w:t>,</w:t>
      </w:r>
      <w:r>
        <w:rPr>
          <w:rFonts w:ascii="Times New Roman" w:hAnsi="Times New Roman" w:cs="Times New Roman"/>
          <w:sz w:val="28"/>
          <w:szCs w:val="28"/>
        </w:rPr>
        <w:t xml:space="preserve"> экологические и географические особенности</w:t>
      </w:r>
      <w:r w:rsidR="00A225ED">
        <w:rPr>
          <w:rFonts w:ascii="Century" w:hAnsi="Century" w:cs="Times New Roman"/>
          <w:sz w:val="28"/>
          <w:szCs w:val="28"/>
        </w:rPr>
        <w:t>,</w:t>
      </w:r>
      <w:r>
        <w:rPr>
          <w:rFonts w:ascii="Times New Roman" w:hAnsi="Times New Roman" w:cs="Times New Roman"/>
          <w:sz w:val="28"/>
          <w:szCs w:val="28"/>
        </w:rPr>
        <w:t xml:space="preserve"> которые тоже в свою очередь влияют на конечный результат исследования</w:t>
      </w:r>
      <w:r w:rsidR="00A225ED">
        <w:rPr>
          <w:rFonts w:ascii="Century" w:hAnsi="Century" w:cs="Times New Roman"/>
          <w:sz w:val="28"/>
          <w:szCs w:val="28"/>
        </w:rPr>
        <w:t>.</w:t>
      </w:r>
      <w:r>
        <w:rPr>
          <w:rFonts w:ascii="Times New Roman" w:hAnsi="Times New Roman" w:cs="Times New Roman"/>
          <w:sz w:val="28"/>
          <w:szCs w:val="28"/>
        </w:rPr>
        <w:t xml:space="preserve"> Как указывают ряд авторов</w:t>
      </w:r>
      <w:r w:rsidR="00A225ED">
        <w:rPr>
          <w:rFonts w:ascii="Century" w:hAnsi="Century" w:cs="Times New Roman"/>
          <w:sz w:val="28"/>
          <w:szCs w:val="28"/>
        </w:rPr>
        <w:t>,</w:t>
      </w:r>
      <w:r>
        <w:rPr>
          <w:rFonts w:ascii="Times New Roman" w:hAnsi="Times New Roman" w:cs="Times New Roman"/>
          <w:sz w:val="28"/>
          <w:szCs w:val="28"/>
        </w:rPr>
        <w:t xml:space="preserve"> на проявление полиморфизма гена также влияет внутренние и внешние </w:t>
      </w:r>
      <w:r w:rsidR="005245A8">
        <w:rPr>
          <w:rFonts w:ascii="Times New Roman" w:hAnsi="Times New Roman" w:cs="Times New Roman"/>
          <w:sz w:val="28"/>
          <w:szCs w:val="28"/>
        </w:rPr>
        <w:t>факторы</w:t>
      </w:r>
      <w:r w:rsidR="00A225ED">
        <w:rPr>
          <w:rFonts w:ascii="Century" w:hAnsi="Century" w:cs="Times New Roman"/>
          <w:sz w:val="28"/>
          <w:szCs w:val="28"/>
        </w:rPr>
        <w:t>,</w:t>
      </w:r>
      <w:r>
        <w:rPr>
          <w:rFonts w:ascii="Times New Roman" w:hAnsi="Times New Roman" w:cs="Times New Roman"/>
          <w:sz w:val="28"/>
          <w:szCs w:val="28"/>
        </w:rPr>
        <w:t xml:space="preserve"> такие как питание</w:t>
      </w:r>
      <w:r w:rsidR="00A225ED">
        <w:rPr>
          <w:rFonts w:ascii="Century" w:hAnsi="Century" w:cs="Times New Roman"/>
          <w:sz w:val="28"/>
          <w:szCs w:val="28"/>
        </w:rPr>
        <w:t>,</w:t>
      </w:r>
      <w:r>
        <w:rPr>
          <w:rFonts w:ascii="Times New Roman" w:hAnsi="Times New Roman" w:cs="Times New Roman"/>
          <w:sz w:val="28"/>
          <w:szCs w:val="28"/>
        </w:rPr>
        <w:t xml:space="preserve"> вредные привычки</w:t>
      </w:r>
      <w:r w:rsidR="00A225ED">
        <w:rPr>
          <w:rFonts w:ascii="Century" w:hAnsi="Century" w:cs="Times New Roman"/>
          <w:sz w:val="28"/>
          <w:szCs w:val="28"/>
        </w:rPr>
        <w:t>,</w:t>
      </w:r>
      <w:r>
        <w:rPr>
          <w:rFonts w:ascii="Times New Roman" w:hAnsi="Times New Roman" w:cs="Times New Roman"/>
          <w:sz w:val="28"/>
          <w:szCs w:val="28"/>
        </w:rPr>
        <w:t xml:space="preserve"> образ жизни</w:t>
      </w:r>
      <w:r w:rsidR="00A225ED">
        <w:rPr>
          <w:rFonts w:ascii="Century" w:hAnsi="Century" w:cs="Times New Roman"/>
          <w:sz w:val="28"/>
          <w:szCs w:val="28"/>
        </w:rPr>
        <w:t>,</w:t>
      </w:r>
      <w:r>
        <w:rPr>
          <w:rFonts w:ascii="Times New Roman" w:hAnsi="Times New Roman" w:cs="Times New Roman"/>
          <w:sz w:val="28"/>
          <w:szCs w:val="28"/>
        </w:rPr>
        <w:t xml:space="preserve"> экология и др</w:t>
      </w:r>
      <w:r w:rsidR="00762C69">
        <w:rPr>
          <w:rFonts w:ascii="Times New Roman" w:hAnsi="Times New Roman" w:cs="Times New Roman"/>
          <w:sz w:val="28"/>
          <w:szCs w:val="28"/>
        </w:rPr>
        <w:t>угие</w:t>
      </w:r>
      <w:r w:rsidR="006C7A63">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6D6525">
        <w:rPr>
          <w:rFonts w:ascii="Times New Roman" w:hAnsi="Times New Roman" w:cs="Times New Roman"/>
          <w:sz w:val="28"/>
          <w:szCs w:val="28"/>
        </w:rPr>
        <w:instrText>ADDIN CSL_CITATION {"citationItems":[{"id":"ITEM-1","itemData":{"author":[{"dropping-particle":"","family":"Шаханова","given":"Айжан Т","non-dropping-particle":"","parse-names":false,"suffix":""},{"dropping-particle":"","family":"Аукенов","given":"Нурлан Е","non-dropping-particle":"","parse-names":false,"suffix":""},{"dropping-particle":"","family":"Нуртазина","given":"Алма У","non-dropping-particle":"","parse-names":false,"suffix":""}],"container-title":"Наука и здравоохранение","id":"ITEM-1","issued":{"date-parts":[["2018"]]},"page":"116-130","title":"Полиморфизмы генов при артериальной гипертензии: ренин-ангиотензин-альдостероновая система. Озор литературы","type":"article-journal","volume":"1"},"uris":["http://www.mendeley.com/documents/?uuid=87ca40f2-5faf-4b4c-a2fc-41e24cdedcc9"]}],"mendeley":{"formattedCitation":"[146]","plainTextFormattedCitation":"[146]","previouslyFormattedCitation":"[146]"},"properties":{"noteIndex":0},"schema":"https://github.com/citation-style-language/schema/raw/master/csl-citation.json"}</w:instrText>
      </w:r>
      <w:r w:rsidR="00EA0E64">
        <w:rPr>
          <w:rFonts w:ascii="Times New Roman" w:hAnsi="Times New Roman" w:cs="Times New Roman"/>
          <w:sz w:val="28"/>
          <w:szCs w:val="28"/>
        </w:rPr>
        <w:fldChar w:fldCharType="separate"/>
      </w:r>
      <w:r w:rsidR="006D6525" w:rsidRPr="006D6525">
        <w:rPr>
          <w:rFonts w:ascii="Times New Roman" w:hAnsi="Times New Roman" w:cs="Times New Roman"/>
          <w:noProof/>
          <w:sz w:val="28"/>
          <w:szCs w:val="28"/>
        </w:rPr>
        <w:t>[146]</w:t>
      </w:r>
      <w:r w:rsidR="00EA0E64">
        <w:rPr>
          <w:rFonts w:ascii="Times New Roman" w:hAnsi="Times New Roman" w:cs="Times New Roman"/>
          <w:sz w:val="28"/>
          <w:szCs w:val="28"/>
        </w:rPr>
        <w:fldChar w:fldCharType="end"/>
      </w:r>
      <w:r w:rsidR="00A225ED">
        <w:rPr>
          <w:rFonts w:ascii="Century" w:hAnsi="Century" w:cs="Times New Roman"/>
          <w:sz w:val="28"/>
          <w:szCs w:val="28"/>
        </w:rPr>
        <w:t>.</w:t>
      </w:r>
    </w:p>
    <w:p w:rsidR="00AB12B3" w:rsidRPr="0088523F" w:rsidRDefault="00AB12B3" w:rsidP="00AB12B3">
      <w:pPr>
        <w:spacing w:after="0" w:line="240" w:lineRule="auto"/>
        <w:ind w:firstLine="708"/>
        <w:jc w:val="both"/>
        <w:rPr>
          <w:rFonts w:ascii="Century" w:hAnsi="Century" w:cs="Times New Roman"/>
          <w:sz w:val="28"/>
          <w:szCs w:val="28"/>
        </w:rPr>
      </w:pPr>
      <w:r>
        <w:rPr>
          <w:rFonts w:ascii="Times New Roman" w:hAnsi="Times New Roman" w:cs="Times New Roman"/>
          <w:sz w:val="28"/>
          <w:szCs w:val="28"/>
        </w:rPr>
        <w:t>Исходя из вышеизложенного</w:t>
      </w:r>
      <w:r w:rsidR="0088523F">
        <w:rPr>
          <w:rFonts w:ascii="Century" w:hAnsi="Century" w:cs="Times New Roman"/>
          <w:sz w:val="28"/>
          <w:szCs w:val="28"/>
        </w:rPr>
        <w:t>,</w:t>
      </w:r>
      <w:r>
        <w:rPr>
          <w:rFonts w:ascii="Times New Roman" w:hAnsi="Times New Roman" w:cs="Times New Roman"/>
          <w:sz w:val="28"/>
          <w:szCs w:val="28"/>
        </w:rPr>
        <w:t xml:space="preserve"> для оценки взаимосвязи полиморфизмов генов на ССЗ необходимо совокупно учитывать изменения в генах с историческо – географическими особенностями исследуемой популяции и факторы риска развития этого заболевания</w:t>
      </w:r>
      <w:r w:rsidR="0088523F">
        <w:rPr>
          <w:rFonts w:ascii="Century" w:hAnsi="Century" w:cs="Times New Roman"/>
          <w:sz w:val="28"/>
          <w:szCs w:val="28"/>
        </w:rPr>
        <w:t>.</w:t>
      </w:r>
    </w:p>
    <w:p w:rsidR="00AB12B3" w:rsidRDefault="00AB12B3" w:rsidP="00AB12B3">
      <w:pPr>
        <w:spacing w:after="0" w:line="240" w:lineRule="auto"/>
        <w:rPr>
          <w:rFonts w:ascii="Times New Roman" w:hAnsi="Times New Roman" w:cs="Times New Roman"/>
          <w:sz w:val="28"/>
          <w:szCs w:val="28"/>
        </w:rPr>
        <w:sectPr w:rsidR="00AB12B3">
          <w:pgSz w:w="11906" w:h="16838"/>
          <w:pgMar w:top="1134" w:right="850" w:bottom="1134" w:left="1701" w:header="708" w:footer="708" w:gutter="0"/>
          <w:cols w:space="720"/>
        </w:sectPr>
      </w:pPr>
    </w:p>
    <w:p w:rsidR="00AB12B3" w:rsidRDefault="00AB12B3" w:rsidP="002D47DA">
      <w:pPr>
        <w:spacing w:after="0" w:line="240" w:lineRule="auto"/>
        <w:ind w:firstLine="708"/>
        <w:jc w:val="both"/>
        <w:rPr>
          <w:rFonts w:ascii="Times New Roman" w:hAnsi="Times New Roman"/>
          <w:b/>
          <w:sz w:val="28"/>
          <w:szCs w:val="28"/>
        </w:rPr>
      </w:pPr>
      <w:r>
        <w:rPr>
          <w:rFonts w:ascii="Times New Roman" w:hAnsi="Times New Roman"/>
          <w:b/>
          <w:sz w:val="28"/>
          <w:szCs w:val="28"/>
        </w:rPr>
        <w:lastRenderedPageBreak/>
        <w:t>2 МАТЕРИАЛЫ И МЕТОДЫ</w:t>
      </w:r>
    </w:p>
    <w:p w:rsidR="00AB12B3" w:rsidRDefault="00AB12B3" w:rsidP="00AB12B3">
      <w:pPr>
        <w:spacing w:after="0" w:line="240" w:lineRule="auto"/>
        <w:jc w:val="both"/>
        <w:rPr>
          <w:rFonts w:ascii="Times New Roman" w:hAnsi="Times New Roman"/>
          <w:b/>
          <w:sz w:val="28"/>
          <w:szCs w:val="28"/>
        </w:rPr>
      </w:pPr>
    </w:p>
    <w:p w:rsidR="00AB12B3" w:rsidRDefault="00AB12B3" w:rsidP="002D47DA">
      <w:pPr>
        <w:spacing w:after="0" w:line="240" w:lineRule="auto"/>
        <w:ind w:firstLine="708"/>
        <w:jc w:val="both"/>
        <w:rPr>
          <w:rFonts w:ascii="Times New Roman" w:hAnsi="Times New Roman" w:cs="Times New Roman"/>
          <w:b/>
          <w:sz w:val="28"/>
          <w:szCs w:val="28"/>
        </w:rPr>
      </w:pPr>
      <w:r>
        <w:rPr>
          <w:rFonts w:ascii="Times New Roman" w:hAnsi="Times New Roman"/>
          <w:b/>
          <w:sz w:val="28"/>
          <w:szCs w:val="28"/>
        </w:rPr>
        <w:t>2.1 Общая характеристика, лиц включенных в исследование</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Исследов</w:t>
      </w:r>
      <w:r w:rsidR="00106E07">
        <w:rPr>
          <w:rFonts w:ascii="Times New Roman" w:hAnsi="Times New Roman" w:cs="Times New Roman"/>
          <w:sz w:val="28"/>
          <w:szCs w:val="28"/>
        </w:rPr>
        <w:t>ание проводилось в период с 2018</w:t>
      </w:r>
      <w:r>
        <w:rPr>
          <w:rFonts w:ascii="Times New Roman" w:hAnsi="Times New Roman" w:cs="Times New Roman"/>
          <w:sz w:val="28"/>
          <w:szCs w:val="28"/>
        </w:rPr>
        <w:t xml:space="preserve"> по 2020 гг. в рамках стартап-проекта НАО «Медицинский университет Семей» (НАО МУС) на тему «Молекулярно-генетические основы прогнозирования развития метаболического синдрома в казахской популяции». Исследование проходилось в несколько этапов:</w:t>
      </w:r>
    </w:p>
    <w:p w:rsidR="00AB12B3" w:rsidRDefault="00AB12B3" w:rsidP="001E1C46">
      <w:pPr>
        <w:spacing w:after="0" w:line="24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I этап</w:t>
      </w:r>
    </w:p>
    <w:p w:rsidR="00697BE4" w:rsidRDefault="00084228" w:rsidP="00D44E92">
      <w:pPr>
        <w:spacing w:after="0"/>
        <w:ind w:firstLine="567"/>
        <w:jc w:val="both"/>
        <w:rPr>
          <w:rFonts w:ascii="Times New Roman" w:hAnsi="Times New Roman" w:cs="Times New Roman"/>
          <w:sz w:val="28"/>
          <w:szCs w:val="28"/>
        </w:rPr>
      </w:pPr>
      <w:r w:rsidRPr="0045657B">
        <w:rPr>
          <w:rFonts w:ascii="Times New Roman" w:hAnsi="Times New Roman" w:cs="Times New Roman"/>
          <w:sz w:val="28"/>
          <w:szCs w:val="28"/>
        </w:rPr>
        <w:t>Отбор участников проведен случайным методом в два этапа.</w:t>
      </w:r>
      <w:r>
        <w:rPr>
          <w:rFonts w:ascii="Times New Roman" w:hAnsi="Times New Roman" w:cs="Times New Roman"/>
          <w:sz w:val="28"/>
          <w:szCs w:val="28"/>
        </w:rPr>
        <w:t xml:space="preserve"> </w:t>
      </w:r>
      <w:r w:rsidR="00242D9B">
        <w:rPr>
          <w:rFonts w:ascii="Times New Roman" w:hAnsi="Times New Roman" w:cs="Times New Roman"/>
          <w:sz w:val="28"/>
          <w:szCs w:val="28"/>
        </w:rPr>
        <w:t>Из общего количество центра ПМСП/поликлиник г. Семей было отобрано 5 центров ПМСП/поликлиник методом случайной выборки:</w:t>
      </w:r>
      <w:r w:rsidR="00242D9B" w:rsidRPr="00242D9B">
        <w:rPr>
          <w:rFonts w:ascii="Times New Roman" w:eastAsia="Calibri" w:hAnsi="Times New Roman" w:cs="Times New Roman"/>
          <w:sz w:val="28"/>
        </w:rPr>
        <w:t xml:space="preserve"> </w:t>
      </w:r>
      <w:r w:rsidR="00242D9B" w:rsidRPr="004B7DC4">
        <w:rPr>
          <w:rFonts w:ascii="Times New Roman" w:eastAsia="Calibri" w:hAnsi="Times New Roman" w:cs="Times New Roman"/>
          <w:sz w:val="28"/>
        </w:rPr>
        <w:t>КГП на ПХВ «Поликлиника №7 города Семей»</w:t>
      </w:r>
      <w:r w:rsidR="00242D9B" w:rsidRPr="004B7DC4">
        <w:rPr>
          <w:rFonts w:ascii="Times New Roman" w:hAnsi="Times New Roman" w:cs="Times New Roman"/>
          <w:sz w:val="28"/>
        </w:rPr>
        <w:t xml:space="preserve">, Медицинское учреждение «Победа», </w:t>
      </w:r>
      <w:r w:rsidR="00242D9B" w:rsidRPr="004B7DC4">
        <w:rPr>
          <w:rFonts w:ascii="Times New Roman" w:eastAsia="Calibri" w:hAnsi="Times New Roman" w:cs="Times New Roman"/>
          <w:sz w:val="28"/>
        </w:rPr>
        <w:t xml:space="preserve">КГП на ПХВ «Врачебная амбулатория №5 г. Семей», </w:t>
      </w:r>
      <w:r w:rsidR="00242D9B" w:rsidRPr="004B7DC4">
        <w:rPr>
          <w:rFonts w:ascii="Times New Roman" w:hAnsi="Times New Roman" w:cs="Times New Roman"/>
          <w:sz w:val="28"/>
          <w:szCs w:val="24"/>
        </w:rPr>
        <w:t xml:space="preserve">Учреждение «Поликлиника Хаким», </w:t>
      </w:r>
      <w:r w:rsidR="00242D9B" w:rsidRPr="004B7DC4">
        <w:rPr>
          <w:rFonts w:ascii="Times New Roman" w:hAnsi="Times New Roman" w:cs="Times New Roman"/>
          <w:sz w:val="28"/>
        </w:rPr>
        <w:t>КГКП «Центр первичной медико-санитарной помощи №12 города Семей»</w:t>
      </w:r>
      <w:r w:rsidR="00242D9B">
        <w:rPr>
          <w:rFonts w:ascii="Times New Roman" w:hAnsi="Times New Roman" w:cs="Times New Roman"/>
          <w:sz w:val="28"/>
          <w:szCs w:val="28"/>
        </w:rPr>
        <w:t xml:space="preserve">. </w:t>
      </w:r>
      <w:r>
        <w:rPr>
          <w:rFonts w:ascii="Times New Roman" w:hAnsi="Times New Roman" w:cs="Times New Roman"/>
          <w:sz w:val="28"/>
          <w:szCs w:val="28"/>
        </w:rPr>
        <w:t xml:space="preserve">Предварительно в каждом центре ПМСП/поликлинике формировались списки пациентов с АГ на основе диспансерных журналов/электронных баз с учетом критериев включения и исключения и </w:t>
      </w:r>
      <w:r w:rsidR="00684F3C">
        <w:rPr>
          <w:rFonts w:ascii="Times New Roman" w:hAnsi="Times New Roman" w:cs="Times New Roman"/>
          <w:sz w:val="28"/>
          <w:szCs w:val="28"/>
        </w:rPr>
        <w:t>на основании списка</w:t>
      </w:r>
      <w:r>
        <w:rPr>
          <w:rFonts w:ascii="Times New Roman" w:hAnsi="Times New Roman" w:cs="Times New Roman"/>
          <w:sz w:val="28"/>
          <w:szCs w:val="28"/>
        </w:rPr>
        <w:t xml:space="preserve"> прикрепленного населения к ЦПМСП/поликлинике без БСК. </w:t>
      </w:r>
      <w:r w:rsidR="00AB12B3" w:rsidRPr="004B7DC4">
        <w:rPr>
          <w:rFonts w:ascii="Times New Roman" w:eastAsia="Times New Roman" w:hAnsi="Times New Roman" w:cs="Times New Roman"/>
          <w:sz w:val="28"/>
        </w:rPr>
        <w:t xml:space="preserve">Были анализированы электронные базы лиц, приписанных к участку </w:t>
      </w:r>
      <w:r w:rsidR="00AB12B3">
        <w:rPr>
          <w:rFonts w:ascii="Times New Roman" w:eastAsia="Times New Roman" w:hAnsi="Times New Roman" w:cs="Times New Roman"/>
          <w:sz w:val="28"/>
          <w:szCs w:val="28"/>
        </w:rPr>
        <w:t>и регистры диспансерных больных, имеющих установленный диагноз АГ (</w:t>
      </w:r>
      <w:r w:rsidR="00E363B0">
        <w:rPr>
          <w:rFonts w:ascii="Times New Roman" w:hAnsi="Times New Roman" w:cs="Times New Roman"/>
          <w:sz w:val="28"/>
          <w:szCs w:val="28"/>
          <w:lang w:val="en-US"/>
        </w:rPr>
        <w:t>The</w:t>
      </w:r>
      <w:r w:rsidR="0021493F">
        <w:rPr>
          <w:rFonts w:ascii="Times New Roman" w:hAnsi="Times New Roman" w:cs="Times New Roman"/>
          <w:sz w:val="28"/>
          <w:szCs w:val="28"/>
        </w:rPr>
        <w:t xml:space="preserve"> </w:t>
      </w:r>
      <w:r w:rsidR="00E363B0">
        <w:rPr>
          <w:rFonts w:ascii="Times New Roman" w:hAnsi="Times New Roman" w:cs="Times New Roman"/>
          <w:sz w:val="28"/>
          <w:szCs w:val="28"/>
          <w:lang w:val="en-US"/>
        </w:rPr>
        <w:t>European</w:t>
      </w:r>
      <w:r w:rsidR="0021493F">
        <w:rPr>
          <w:rFonts w:ascii="Times New Roman" w:hAnsi="Times New Roman" w:cs="Times New Roman"/>
          <w:sz w:val="28"/>
          <w:szCs w:val="28"/>
        </w:rPr>
        <w:t xml:space="preserve"> </w:t>
      </w:r>
      <w:r w:rsidR="00E363B0">
        <w:rPr>
          <w:rFonts w:ascii="Times New Roman" w:hAnsi="Times New Roman" w:cs="Times New Roman"/>
          <w:sz w:val="28"/>
          <w:szCs w:val="28"/>
          <w:lang w:val="en-US"/>
        </w:rPr>
        <w:t>Society</w:t>
      </w:r>
      <w:r w:rsidR="0021493F">
        <w:rPr>
          <w:rFonts w:ascii="Times New Roman" w:hAnsi="Times New Roman" w:cs="Times New Roman"/>
          <w:sz w:val="28"/>
          <w:szCs w:val="28"/>
        </w:rPr>
        <w:t xml:space="preserve"> </w:t>
      </w:r>
      <w:r w:rsidR="00E363B0">
        <w:rPr>
          <w:rFonts w:ascii="Times New Roman" w:hAnsi="Times New Roman" w:cs="Times New Roman"/>
          <w:sz w:val="28"/>
          <w:szCs w:val="28"/>
          <w:lang w:val="en-US"/>
        </w:rPr>
        <w:t>of</w:t>
      </w:r>
      <w:r w:rsidR="0021493F">
        <w:rPr>
          <w:rFonts w:ascii="Times New Roman" w:hAnsi="Times New Roman" w:cs="Times New Roman"/>
          <w:sz w:val="28"/>
          <w:szCs w:val="28"/>
        </w:rPr>
        <w:t xml:space="preserve"> </w:t>
      </w:r>
      <w:r w:rsidR="00E363B0">
        <w:rPr>
          <w:rFonts w:ascii="Times New Roman" w:hAnsi="Times New Roman" w:cs="Times New Roman"/>
          <w:sz w:val="28"/>
          <w:szCs w:val="28"/>
          <w:lang w:val="en-US"/>
        </w:rPr>
        <w:t>Hypertension</w:t>
      </w:r>
      <w:r w:rsidR="00E363B0">
        <w:rPr>
          <w:rFonts w:ascii="Times New Roman" w:hAnsi="Times New Roman" w:cs="Times New Roman"/>
          <w:sz w:val="28"/>
          <w:szCs w:val="28"/>
        </w:rPr>
        <w:t xml:space="preserve"> (</w:t>
      </w:r>
      <w:r w:rsidR="00AB12B3">
        <w:rPr>
          <w:rFonts w:ascii="Times New Roman" w:hAnsi="Times New Roman" w:cs="Times New Roman"/>
          <w:sz w:val="28"/>
          <w:szCs w:val="28"/>
        </w:rPr>
        <w:t>ЕSH</w:t>
      </w:r>
      <w:r w:rsidR="00E363B0">
        <w:rPr>
          <w:rFonts w:ascii="Times New Roman" w:hAnsi="Times New Roman" w:cs="Times New Roman"/>
          <w:sz w:val="28"/>
          <w:szCs w:val="28"/>
        </w:rPr>
        <w:t>)</w:t>
      </w:r>
      <w:r w:rsidR="00AB12B3">
        <w:rPr>
          <w:rFonts w:ascii="Times New Roman" w:hAnsi="Times New Roman" w:cs="Times New Roman"/>
          <w:sz w:val="28"/>
          <w:szCs w:val="28"/>
        </w:rPr>
        <w:t>/ESC, 201</w:t>
      </w:r>
      <w:r w:rsidR="00972760">
        <w:rPr>
          <w:rFonts w:ascii="Times New Roman" w:hAnsi="Times New Roman" w:cs="Times New Roman"/>
          <w:sz w:val="28"/>
          <w:szCs w:val="28"/>
        </w:rPr>
        <w:t>8</w:t>
      </w:r>
      <w:r w:rsidR="00AB12B3">
        <w:rPr>
          <w:rFonts w:ascii="Times New Roman" w:hAnsi="Times New Roman" w:cs="Times New Roman"/>
          <w:sz w:val="28"/>
          <w:szCs w:val="28"/>
        </w:rPr>
        <w:t xml:space="preserve"> года</w:t>
      </w:r>
      <w:r w:rsidR="00AB12B3">
        <w:rPr>
          <w:rFonts w:ascii="Times New Roman" w:eastAsia="Times New Roman" w:hAnsi="Times New Roman" w:cs="Times New Roman"/>
          <w:sz w:val="28"/>
          <w:szCs w:val="28"/>
        </w:rPr>
        <w:t xml:space="preserve">). </w:t>
      </w:r>
      <w:r>
        <w:rPr>
          <w:rFonts w:ascii="Times New Roman" w:hAnsi="Times New Roman" w:cs="Times New Roman"/>
          <w:sz w:val="28"/>
          <w:szCs w:val="28"/>
        </w:rPr>
        <w:t>В каждом центре ПМСП</w:t>
      </w:r>
      <w:r w:rsidR="001406E1">
        <w:rPr>
          <w:rFonts w:ascii="Times New Roman" w:hAnsi="Times New Roman" w:cs="Times New Roman"/>
          <w:sz w:val="28"/>
          <w:szCs w:val="28"/>
          <w:lang w:val="kk-KZ"/>
        </w:rPr>
        <w:t>/</w:t>
      </w:r>
      <w:r>
        <w:rPr>
          <w:rFonts w:ascii="Times New Roman" w:hAnsi="Times New Roman" w:cs="Times New Roman"/>
          <w:sz w:val="28"/>
          <w:szCs w:val="28"/>
        </w:rPr>
        <w:t>поликлинике с помощью таблицы случайных чисел была проведена простая случайная выборка среди лиц из списка. Далее проведен анализ амбулаторных карт выбранных лиц.</w:t>
      </w:r>
    </w:p>
    <w:p w:rsidR="00E65C23" w:rsidRPr="00E65C23" w:rsidRDefault="00697BE4" w:rsidP="00E65C23">
      <w:pPr>
        <w:spacing w:after="0" w:line="240" w:lineRule="auto"/>
        <w:ind w:firstLine="567"/>
        <w:jc w:val="both"/>
        <w:rPr>
          <w:rFonts w:ascii="Times New Roman" w:hAnsi="Times New Roman" w:cs="Times New Roman"/>
          <w:sz w:val="28"/>
          <w:szCs w:val="28"/>
        </w:rPr>
      </w:pPr>
      <w:r w:rsidRPr="00697BE4">
        <w:rPr>
          <w:rFonts w:ascii="Times New Roman" w:hAnsi="Times New Roman" w:cs="Times New Roman"/>
          <w:sz w:val="28"/>
          <w:szCs w:val="28"/>
        </w:rPr>
        <w:t xml:space="preserve">Расчет выборки делался с помощью программы Epi Info 7.0, </w:t>
      </w:r>
      <w:r w:rsidR="00202273">
        <w:rPr>
          <w:rFonts w:ascii="Times New Roman" w:hAnsi="Times New Roman" w:cs="Times New Roman"/>
          <w:sz w:val="28"/>
          <w:szCs w:val="28"/>
        </w:rPr>
        <w:t xml:space="preserve">согласно </w:t>
      </w:r>
      <w:r w:rsidRPr="00697BE4">
        <w:rPr>
          <w:rFonts w:ascii="Times New Roman" w:hAnsi="Times New Roman" w:cs="Times New Roman"/>
          <w:sz w:val="28"/>
          <w:szCs w:val="28"/>
        </w:rPr>
        <w:t>дизайн</w:t>
      </w:r>
      <w:r w:rsidR="00202273">
        <w:rPr>
          <w:rFonts w:ascii="Times New Roman" w:hAnsi="Times New Roman" w:cs="Times New Roman"/>
          <w:sz w:val="28"/>
          <w:szCs w:val="28"/>
        </w:rPr>
        <w:t>а</w:t>
      </w:r>
      <w:r w:rsidRPr="00697BE4">
        <w:rPr>
          <w:rFonts w:ascii="Times New Roman" w:hAnsi="Times New Roman" w:cs="Times New Roman"/>
          <w:sz w:val="28"/>
          <w:szCs w:val="28"/>
        </w:rPr>
        <w:t xml:space="preserve"> </w:t>
      </w:r>
      <w:r w:rsidR="00F15E06">
        <w:rPr>
          <w:rFonts w:ascii="Times New Roman" w:hAnsi="Times New Roman" w:cs="Times New Roman"/>
          <w:sz w:val="28"/>
          <w:szCs w:val="28"/>
        </w:rPr>
        <w:t>нашего</w:t>
      </w:r>
      <w:r w:rsidR="00F15E06" w:rsidRPr="00697BE4">
        <w:rPr>
          <w:rFonts w:ascii="Times New Roman" w:hAnsi="Times New Roman" w:cs="Times New Roman"/>
          <w:sz w:val="28"/>
          <w:szCs w:val="28"/>
        </w:rPr>
        <w:t xml:space="preserve"> </w:t>
      </w:r>
      <w:r w:rsidRPr="00697BE4">
        <w:rPr>
          <w:rFonts w:ascii="Times New Roman" w:hAnsi="Times New Roman" w:cs="Times New Roman"/>
          <w:sz w:val="28"/>
          <w:szCs w:val="28"/>
        </w:rPr>
        <w:t>исследовани</w:t>
      </w:r>
      <w:r w:rsidR="00202273">
        <w:rPr>
          <w:rFonts w:ascii="Times New Roman" w:hAnsi="Times New Roman" w:cs="Times New Roman"/>
          <w:sz w:val="28"/>
          <w:szCs w:val="28"/>
        </w:rPr>
        <w:t>я по типу</w:t>
      </w:r>
      <w:r w:rsidRPr="00697BE4">
        <w:rPr>
          <w:rFonts w:ascii="Times New Roman" w:hAnsi="Times New Roman" w:cs="Times New Roman"/>
          <w:sz w:val="28"/>
          <w:szCs w:val="28"/>
        </w:rPr>
        <w:t xml:space="preserve"> </w:t>
      </w:r>
      <w:r w:rsidR="00202273">
        <w:rPr>
          <w:rFonts w:ascii="Times New Roman" w:hAnsi="Times New Roman" w:cs="Times New Roman"/>
          <w:sz w:val="28"/>
          <w:szCs w:val="28"/>
        </w:rPr>
        <w:t>«</w:t>
      </w:r>
      <w:r w:rsidRPr="00697BE4">
        <w:rPr>
          <w:rFonts w:ascii="Times New Roman" w:hAnsi="Times New Roman" w:cs="Times New Roman"/>
          <w:sz w:val="28"/>
          <w:szCs w:val="28"/>
        </w:rPr>
        <w:t>случай-контроль</w:t>
      </w:r>
      <w:r w:rsidR="00202273">
        <w:rPr>
          <w:rFonts w:ascii="Times New Roman" w:hAnsi="Times New Roman" w:cs="Times New Roman"/>
          <w:sz w:val="28"/>
          <w:szCs w:val="28"/>
        </w:rPr>
        <w:t>»</w:t>
      </w:r>
      <w:r w:rsidRPr="00697BE4">
        <w:rPr>
          <w:rFonts w:ascii="Times New Roman" w:hAnsi="Times New Roman" w:cs="Times New Roman"/>
          <w:sz w:val="28"/>
          <w:szCs w:val="28"/>
        </w:rPr>
        <w:t xml:space="preserve"> двусторонний уровень достоверности составил 95%, для обнаружения групповых различий была введена мощность 80%. Учитывая то, что распространенность инсулинорезистентности в общей популяции во всем мире составляет от 15,5% до 46,5% </w:t>
      </w:r>
      <w:r w:rsidR="005B7E9A">
        <w:rPr>
          <w:rFonts w:ascii="Times New Roman" w:hAnsi="Times New Roman" w:cs="Times New Roman"/>
          <w:sz w:val="28"/>
          <w:szCs w:val="28"/>
        </w:rPr>
        <w:fldChar w:fldCharType="begin" w:fldLock="1"/>
      </w:r>
      <w:r w:rsidR="00A42355">
        <w:rPr>
          <w:rFonts w:ascii="Times New Roman" w:hAnsi="Times New Roman" w:cs="Times New Roman"/>
          <w:sz w:val="28"/>
          <w:szCs w:val="28"/>
        </w:rPr>
        <w:instrText>ADDIN CSL_CITATION {"citationItems":[{"id":"ITEM-1","itemData":{"DOI":"10.1186/s12902-020-00558-9","ISSN":"1472-6823","PMID":"32522257","abstract":"Background: Worldwide, the prevalence of insulin resistance ranges from 15.5 to 46.5%, among adults. Lebanon reported one of the highest rates reaching 44.6%. The literature suggests an association between dairy product consumption and insulin resistance, however results are inconclusive. To our knowledge, no study examined this association in the Middle Eastern Region. The aim of the study was to investigate the prevalence of insulin resistance among a sample of Lebanese adults, to identify its risk factors depending on gender, and to evaluate the association between insulin resistance and dairy products consumption. Methods: A cross-sectional study was conducted among employees at Notre Dame University - Louaize. Four questionnaires were administered including a background and International Physical Activity Questionnaire short form questionnaires, food frequency questionnaire and a 24 h recall. Bioelectric Impedance Analysis (BIA) was used to measure percent body fat (PBF). Homeostatic Model Assessment for Insulin Resistance (HOMA-IR) was used to quantify insulin resistance. A person with HOMA-IR ≥ 2.5 was considered as insulin resistant. Statistical analyses were performed using the Statistical Package for Social Sciences version 23 for Windows. P &lt; 0.05 was considered statistically significant. Results: Out of 286 study participants, 38.0% were insulin resistant. Average dairy product intake in the total sample was 2.2 ± 1.0 servings per day. Among males, the odds of having insulin resistance were 3.9 times higher (95%CI 1.4-11.0; p = 0.009) for those having a risky waist circumference compared to those having a healthy waist circumference. Among females, being married (OR: 0.2, 95%CI 0.1-0.5; p = 0.002), PBF (OR: 1.2, 95%CI 1.0-1.3; p = 0.008) and hypertriglyceridemia (OR: 8.7, 95%CI: 2.1-35.9; p = 0.003) were associated with HOMA-IR, after controlling for confounders. Dairy intake was not associated with HOMA-IR neither among males (p = 0.777), nor among females (p = 0.968), after controlling for confounders. Conclusion: Dairy consumption was not associated with increased insulin resistance. More research focusing on the relationship between dairy intake and insulin resistance is needed, especially in the Arab and Middle-Eastern region. Future studies should examine the effect of different types of dairy products and the effect of different nutrients in dairy products on insulin resistance.","author":[{"dropping-particle":"","family":"Fahed","given":"Myriam","non-dropping-particle":"","parse-names":false,"suffix":""},{"dropping-particle":"","family":"Abou Jaoudeh","given":"Maya G.","non-dropping-particle":"","parse-names":false,"suffix":""},{"dropping-particle":"","family":"Merhi","given":"Samar","non-dropping-particle":"","parse-names":false,"suffix":""},{"dropping-particle":"","family":"Mosleh","given":"Jocelyne Matar Bou","non-dropping-particle":"","parse-names":false,"suffix":""},{"dropping-particle":"","family":"Ghadieh","given":"Rachelle","non-dropping-particle":"","parse-names":false,"suffix":""},{"dropping-particle":"","family":"Hayek","given":"Sibelle","non-dropping-particle":"Al","parse-names":false,"suffix":""},{"dropping-particle":"","family":"Hayek Fares","given":"Jessy E.","non-dropping-particle":"El","parse-names":false,"suffix":""}],"container-title":"BMC Endocrine Disorders","id":"ITEM-1","issue":"1","issued":{"date-parts":[["2020","12","10"]]},"page":"85","publisher":"BMC Endocrine Disorders","title":"Evaluation of risk factors for insulin resistance: a cross sectional study among employees at a private university in Lebanon","type":"article-journal","volume":"20"},"uris":["http://www.mendeley.com/documents/?uuid=e050db75-fdb0-43c1-be84-ee83e0719440"]}],"mendeley":{"formattedCitation":"[147]","plainTextFormattedCitation":"[147]","previouslyFormattedCitation":"[147]"},"properties":{"noteIndex":0},"schema":"https://github.com/citation-style-language/schema/raw/master/csl-citation.json"}</w:instrText>
      </w:r>
      <w:r w:rsidR="005B7E9A">
        <w:rPr>
          <w:rFonts w:ascii="Times New Roman" w:hAnsi="Times New Roman" w:cs="Times New Roman"/>
          <w:sz w:val="28"/>
          <w:szCs w:val="28"/>
        </w:rPr>
        <w:fldChar w:fldCharType="separate"/>
      </w:r>
      <w:r w:rsidR="005B7E9A" w:rsidRPr="005B7E9A">
        <w:rPr>
          <w:rFonts w:ascii="Times New Roman" w:hAnsi="Times New Roman" w:cs="Times New Roman"/>
          <w:noProof/>
          <w:sz w:val="28"/>
          <w:szCs w:val="28"/>
        </w:rPr>
        <w:t>[147]</w:t>
      </w:r>
      <w:r w:rsidR="005B7E9A">
        <w:rPr>
          <w:rFonts w:ascii="Times New Roman" w:hAnsi="Times New Roman" w:cs="Times New Roman"/>
          <w:sz w:val="28"/>
          <w:szCs w:val="28"/>
        </w:rPr>
        <w:fldChar w:fldCharType="end"/>
      </w:r>
      <w:r w:rsidR="005B7E9A">
        <w:rPr>
          <w:rFonts w:ascii="Times New Roman" w:hAnsi="Times New Roman" w:cs="Times New Roman"/>
          <w:sz w:val="28"/>
          <w:szCs w:val="28"/>
        </w:rPr>
        <w:t xml:space="preserve"> </w:t>
      </w:r>
      <w:r w:rsidRPr="00697BE4">
        <w:rPr>
          <w:rFonts w:ascii="Times New Roman" w:hAnsi="Times New Roman" w:cs="Times New Roman"/>
          <w:sz w:val="28"/>
          <w:szCs w:val="28"/>
        </w:rPr>
        <w:t xml:space="preserve">в контрольной группе процент выявления больных составил 13%, а в группе больных – 25%, и соотношение шансов автоматически составил 2,23. По данным расчета в Epi Info 7.0 </w:t>
      </w:r>
      <w:r w:rsidR="00E65C23">
        <w:rPr>
          <w:rFonts w:ascii="Times New Roman" w:hAnsi="Times New Roman" w:cs="Times New Roman"/>
          <w:sz w:val="28"/>
          <w:szCs w:val="28"/>
        </w:rPr>
        <w:t xml:space="preserve">при </w:t>
      </w:r>
      <w:r w:rsidR="00E65C23" w:rsidRPr="00697BE4">
        <w:rPr>
          <w:rFonts w:ascii="Times New Roman" w:hAnsi="Times New Roman" w:cs="Times New Roman"/>
          <w:sz w:val="28"/>
          <w:szCs w:val="28"/>
        </w:rPr>
        <w:t xml:space="preserve">соотношении </w:t>
      </w:r>
      <w:r w:rsidR="006564D4">
        <w:rPr>
          <w:rFonts w:ascii="Times New Roman" w:hAnsi="Times New Roman" w:cs="Times New Roman"/>
          <w:sz w:val="28"/>
          <w:szCs w:val="28"/>
        </w:rPr>
        <w:t>основной</w:t>
      </w:r>
      <w:r w:rsidR="00E65C23" w:rsidRPr="00697BE4">
        <w:rPr>
          <w:rFonts w:ascii="Times New Roman" w:hAnsi="Times New Roman" w:cs="Times New Roman"/>
          <w:sz w:val="28"/>
          <w:szCs w:val="28"/>
        </w:rPr>
        <w:t xml:space="preserve"> и контрольной групп 1:3</w:t>
      </w:r>
      <w:r w:rsidR="00E65C23">
        <w:rPr>
          <w:rFonts w:ascii="Times New Roman" w:hAnsi="Times New Roman" w:cs="Times New Roman"/>
          <w:sz w:val="28"/>
          <w:szCs w:val="28"/>
        </w:rPr>
        <w:t xml:space="preserve"> </w:t>
      </w:r>
      <w:r w:rsidRPr="00697BE4">
        <w:rPr>
          <w:rFonts w:ascii="Times New Roman" w:hAnsi="Times New Roman" w:cs="Times New Roman"/>
          <w:sz w:val="28"/>
          <w:szCs w:val="28"/>
        </w:rPr>
        <w:t xml:space="preserve">общее количество выборки должно было составить 464 </w:t>
      </w:r>
      <w:r w:rsidR="00143985">
        <w:rPr>
          <w:rFonts w:ascii="Times New Roman" w:hAnsi="Times New Roman" w:cs="Times New Roman"/>
          <w:sz w:val="28"/>
          <w:szCs w:val="28"/>
        </w:rPr>
        <w:t>участнико</w:t>
      </w:r>
      <w:r w:rsidRPr="00697BE4">
        <w:rPr>
          <w:rFonts w:ascii="Times New Roman" w:hAnsi="Times New Roman" w:cs="Times New Roman"/>
          <w:sz w:val="28"/>
          <w:szCs w:val="28"/>
        </w:rPr>
        <w:t xml:space="preserve">в, из них 116 </w:t>
      </w:r>
      <w:r w:rsidR="00143985">
        <w:rPr>
          <w:rFonts w:ascii="Times New Roman" w:hAnsi="Times New Roman" w:cs="Times New Roman"/>
          <w:sz w:val="28"/>
          <w:szCs w:val="28"/>
        </w:rPr>
        <w:t>участников</w:t>
      </w:r>
      <w:r w:rsidR="006564D4">
        <w:rPr>
          <w:rFonts w:ascii="Times New Roman" w:hAnsi="Times New Roman" w:cs="Times New Roman"/>
          <w:sz w:val="28"/>
          <w:szCs w:val="28"/>
        </w:rPr>
        <w:t xml:space="preserve"> основной группы</w:t>
      </w:r>
      <w:r w:rsidRPr="00697BE4">
        <w:rPr>
          <w:rFonts w:ascii="Times New Roman" w:hAnsi="Times New Roman" w:cs="Times New Roman"/>
          <w:sz w:val="28"/>
          <w:szCs w:val="28"/>
        </w:rPr>
        <w:t xml:space="preserve"> и 348 респондентов контрольной группы</w:t>
      </w:r>
      <w:r w:rsidR="00E65C23">
        <w:rPr>
          <w:rFonts w:ascii="Times New Roman" w:hAnsi="Times New Roman" w:cs="Times New Roman"/>
          <w:sz w:val="28"/>
          <w:szCs w:val="28"/>
        </w:rPr>
        <w:t xml:space="preserve">, </w:t>
      </w:r>
      <w:r w:rsidR="006564D4">
        <w:rPr>
          <w:rFonts w:ascii="Times New Roman" w:hAnsi="Times New Roman" w:cs="Times New Roman"/>
          <w:sz w:val="28"/>
          <w:szCs w:val="28"/>
        </w:rPr>
        <w:t xml:space="preserve">соответственно. </w:t>
      </w:r>
      <w:r w:rsidR="00F15E06">
        <w:rPr>
          <w:rFonts w:ascii="Times New Roman" w:hAnsi="Times New Roman" w:cs="Times New Roman"/>
          <w:sz w:val="28"/>
          <w:szCs w:val="28"/>
        </w:rPr>
        <w:t>При выборе</w:t>
      </w:r>
      <w:r w:rsidR="004F525C">
        <w:rPr>
          <w:rFonts w:ascii="Times New Roman" w:hAnsi="Times New Roman" w:cs="Times New Roman"/>
          <w:sz w:val="28"/>
          <w:szCs w:val="28"/>
        </w:rPr>
        <w:t xml:space="preserve"> </w:t>
      </w:r>
      <w:r w:rsidR="004F525C" w:rsidRPr="00E65C23">
        <w:rPr>
          <w:rFonts w:ascii="Times New Roman" w:hAnsi="Times New Roman" w:cs="Times New Roman"/>
          <w:sz w:val="28"/>
          <w:szCs w:val="28"/>
        </w:rPr>
        <w:t>соотношени</w:t>
      </w:r>
      <w:r w:rsidR="00F15E06">
        <w:rPr>
          <w:rFonts w:ascii="Times New Roman" w:hAnsi="Times New Roman" w:cs="Times New Roman"/>
          <w:sz w:val="28"/>
          <w:szCs w:val="28"/>
        </w:rPr>
        <w:t>я</w:t>
      </w:r>
      <w:r w:rsidR="004F525C" w:rsidRPr="00E65C23">
        <w:rPr>
          <w:rFonts w:ascii="Times New Roman" w:hAnsi="Times New Roman" w:cs="Times New Roman"/>
          <w:sz w:val="28"/>
          <w:szCs w:val="28"/>
        </w:rPr>
        <w:t xml:space="preserve"> </w:t>
      </w:r>
      <w:r w:rsidR="004F525C">
        <w:rPr>
          <w:rFonts w:ascii="Times New Roman" w:hAnsi="Times New Roman" w:cs="Times New Roman"/>
          <w:sz w:val="28"/>
          <w:szCs w:val="28"/>
        </w:rPr>
        <w:t>основной</w:t>
      </w:r>
      <w:r w:rsidR="004F525C" w:rsidRPr="00E65C23">
        <w:rPr>
          <w:rFonts w:ascii="Times New Roman" w:hAnsi="Times New Roman" w:cs="Times New Roman"/>
          <w:sz w:val="28"/>
          <w:szCs w:val="28"/>
        </w:rPr>
        <w:t xml:space="preserve"> и контрольной групп</w:t>
      </w:r>
      <w:r w:rsidR="004F525C">
        <w:rPr>
          <w:rFonts w:ascii="Times New Roman" w:hAnsi="Times New Roman" w:cs="Times New Roman"/>
          <w:sz w:val="28"/>
          <w:szCs w:val="28"/>
        </w:rPr>
        <w:t xml:space="preserve"> </w:t>
      </w:r>
      <w:r w:rsidR="00F15E06">
        <w:rPr>
          <w:rFonts w:ascii="Times New Roman" w:hAnsi="Times New Roman" w:cs="Times New Roman"/>
          <w:sz w:val="28"/>
          <w:szCs w:val="28"/>
        </w:rPr>
        <w:t>на</w:t>
      </w:r>
      <w:r w:rsidR="004F525C" w:rsidRPr="00E65C23">
        <w:rPr>
          <w:rFonts w:ascii="Times New Roman" w:hAnsi="Times New Roman" w:cs="Times New Roman"/>
          <w:sz w:val="28"/>
          <w:szCs w:val="28"/>
        </w:rPr>
        <w:t xml:space="preserve"> 1:4</w:t>
      </w:r>
      <w:r w:rsidR="004F525C">
        <w:rPr>
          <w:rFonts w:ascii="Times New Roman" w:hAnsi="Times New Roman" w:cs="Times New Roman"/>
          <w:sz w:val="28"/>
          <w:szCs w:val="28"/>
        </w:rPr>
        <w:t>, то</w:t>
      </w:r>
      <w:r w:rsidR="004F525C" w:rsidRPr="00E65C23">
        <w:rPr>
          <w:rFonts w:ascii="Times New Roman" w:hAnsi="Times New Roman" w:cs="Times New Roman"/>
          <w:sz w:val="28"/>
          <w:szCs w:val="28"/>
        </w:rPr>
        <w:t xml:space="preserve"> </w:t>
      </w:r>
      <w:r w:rsidR="00E65C23" w:rsidRPr="00E65C23">
        <w:rPr>
          <w:rFonts w:ascii="Times New Roman" w:hAnsi="Times New Roman" w:cs="Times New Roman"/>
          <w:sz w:val="28"/>
          <w:szCs w:val="28"/>
        </w:rPr>
        <w:t xml:space="preserve">общее количество выборки </w:t>
      </w:r>
      <w:r w:rsidR="004F525C">
        <w:rPr>
          <w:rFonts w:ascii="Times New Roman" w:hAnsi="Times New Roman" w:cs="Times New Roman"/>
          <w:sz w:val="28"/>
          <w:szCs w:val="28"/>
        </w:rPr>
        <w:t>должно было составить</w:t>
      </w:r>
      <w:r w:rsidR="00E65C23" w:rsidRPr="00E65C23">
        <w:rPr>
          <w:rFonts w:ascii="Times New Roman" w:hAnsi="Times New Roman" w:cs="Times New Roman"/>
          <w:sz w:val="28"/>
          <w:szCs w:val="28"/>
        </w:rPr>
        <w:t xml:space="preserve"> 537 </w:t>
      </w:r>
      <w:r w:rsidR="00143985">
        <w:rPr>
          <w:rFonts w:ascii="Times New Roman" w:hAnsi="Times New Roman" w:cs="Times New Roman"/>
          <w:sz w:val="28"/>
          <w:szCs w:val="28"/>
        </w:rPr>
        <w:t>участник</w:t>
      </w:r>
      <w:r w:rsidR="00E65C23" w:rsidRPr="00E65C23">
        <w:rPr>
          <w:rFonts w:ascii="Times New Roman" w:hAnsi="Times New Roman" w:cs="Times New Roman"/>
          <w:sz w:val="28"/>
          <w:szCs w:val="28"/>
        </w:rPr>
        <w:t xml:space="preserve">ов, из них 108 </w:t>
      </w:r>
      <w:r w:rsidR="00143985">
        <w:rPr>
          <w:rFonts w:ascii="Times New Roman" w:hAnsi="Times New Roman" w:cs="Times New Roman"/>
          <w:sz w:val="28"/>
          <w:szCs w:val="28"/>
        </w:rPr>
        <w:t>участник</w:t>
      </w:r>
      <w:r w:rsidR="006564D4">
        <w:rPr>
          <w:rFonts w:ascii="Times New Roman" w:hAnsi="Times New Roman" w:cs="Times New Roman"/>
          <w:sz w:val="28"/>
          <w:szCs w:val="28"/>
        </w:rPr>
        <w:t>ов основной группы</w:t>
      </w:r>
      <w:r w:rsidR="00E65C23" w:rsidRPr="00E65C23">
        <w:rPr>
          <w:rFonts w:ascii="Times New Roman" w:hAnsi="Times New Roman" w:cs="Times New Roman"/>
          <w:sz w:val="28"/>
          <w:szCs w:val="28"/>
        </w:rPr>
        <w:t xml:space="preserve"> и 429 респондентов контрольной группы</w:t>
      </w:r>
      <w:r w:rsidR="00F83FA9">
        <w:rPr>
          <w:rFonts w:ascii="Times New Roman" w:hAnsi="Times New Roman" w:cs="Times New Roman"/>
          <w:sz w:val="28"/>
          <w:szCs w:val="28"/>
        </w:rPr>
        <w:t>, соответственно</w:t>
      </w:r>
      <w:r w:rsidR="00E65C23" w:rsidRPr="00E65C23">
        <w:rPr>
          <w:rFonts w:ascii="Times New Roman" w:hAnsi="Times New Roman" w:cs="Times New Roman"/>
          <w:sz w:val="28"/>
          <w:szCs w:val="28"/>
        </w:rPr>
        <w:t xml:space="preserve">. </w:t>
      </w:r>
    </w:p>
    <w:p w:rsidR="00AB12B3" w:rsidRDefault="00AC5ED8" w:rsidP="00D44E92">
      <w:pPr>
        <w:spacing w:after="0"/>
        <w:ind w:firstLine="567"/>
        <w:jc w:val="both"/>
        <w:rPr>
          <w:rFonts w:ascii="Times New Roman" w:hAnsi="Times New Roman" w:cs="Times New Roman"/>
          <w:sz w:val="28"/>
          <w:szCs w:val="28"/>
        </w:rPr>
      </w:pPr>
      <w:r>
        <w:rPr>
          <w:rFonts w:ascii="Times New Roman" w:hAnsi="Times New Roman" w:cs="Times New Roman"/>
          <w:sz w:val="28"/>
          <w:szCs w:val="28"/>
        </w:rPr>
        <w:t>Проверялись сведения о родителях в свидетельстве о рождении пациента д</w:t>
      </w:r>
      <w:r w:rsidR="005B1C0D">
        <w:rPr>
          <w:rFonts w:ascii="Times New Roman" w:hAnsi="Times New Roman" w:cs="Times New Roman"/>
          <w:sz w:val="28"/>
          <w:szCs w:val="28"/>
        </w:rPr>
        <w:t xml:space="preserve">ля подтверждения </w:t>
      </w:r>
      <w:r w:rsidR="00242D9B">
        <w:rPr>
          <w:rFonts w:ascii="Times New Roman" w:hAnsi="Times New Roman" w:cs="Times New Roman"/>
          <w:sz w:val="28"/>
          <w:szCs w:val="28"/>
        </w:rPr>
        <w:t>его национальности</w:t>
      </w:r>
      <w:r w:rsidR="00AC343B">
        <w:rPr>
          <w:rFonts w:ascii="Times New Roman" w:hAnsi="Times New Roman" w:cs="Times New Roman"/>
          <w:sz w:val="28"/>
          <w:szCs w:val="28"/>
        </w:rPr>
        <w:t xml:space="preserve">. </w:t>
      </w:r>
      <w:r w:rsidR="00242D9B">
        <w:rPr>
          <w:rFonts w:ascii="Times New Roman" w:hAnsi="Times New Roman" w:cs="Times New Roman"/>
          <w:sz w:val="28"/>
          <w:szCs w:val="28"/>
        </w:rPr>
        <w:t xml:space="preserve">В случае принадлежности </w:t>
      </w:r>
      <w:r w:rsidR="00242D9B">
        <w:rPr>
          <w:rFonts w:ascii="Times New Roman" w:hAnsi="Times New Roman" w:cs="Times New Roman"/>
          <w:sz w:val="28"/>
          <w:szCs w:val="28"/>
        </w:rPr>
        <w:lastRenderedPageBreak/>
        <w:t xml:space="preserve">родителей к казахской национальности, участник исследования считался казахом. </w:t>
      </w:r>
      <w:r w:rsidR="009A2590">
        <w:rPr>
          <w:rFonts w:ascii="Times New Roman" w:hAnsi="Times New Roman" w:cs="Times New Roman"/>
          <w:sz w:val="28"/>
          <w:szCs w:val="28"/>
        </w:rPr>
        <w:t>Респонденты</w:t>
      </w:r>
      <w:r w:rsidR="00AB12B3">
        <w:rPr>
          <w:rFonts w:ascii="Times New Roman" w:hAnsi="Times New Roman" w:cs="Times New Roman"/>
          <w:sz w:val="28"/>
          <w:szCs w:val="28"/>
        </w:rPr>
        <w:t>, отвечающие критериям включения, и не имеющие какого-либо из критериев исключения, были приглашены для участия в опросе и обследовании.</w:t>
      </w:r>
    </w:p>
    <w:p w:rsidR="00CC2ECF" w:rsidRDefault="00CC2ECF" w:rsidP="00C21DD0">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Критерии включения в исследование: </w:t>
      </w:r>
    </w:p>
    <w:p w:rsidR="00CC2ECF" w:rsidRPr="00C21DD0" w:rsidRDefault="00CC2ECF" w:rsidP="00C21DD0">
      <w:pPr>
        <w:pStyle w:val="af4"/>
        <w:numPr>
          <w:ilvl w:val="0"/>
          <w:numId w:val="24"/>
        </w:numPr>
        <w:spacing w:after="0" w:line="240" w:lineRule="auto"/>
        <w:ind w:left="397"/>
        <w:jc w:val="both"/>
        <w:rPr>
          <w:rFonts w:ascii="Times New Roman" w:hAnsi="Times New Roman" w:cs="Times New Roman"/>
          <w:sz w:val="28"/>
          <w:szCs w:val="28"/>
        </w:rPr>
      </w:pPr>
      <w:r w:rsidRPr="00C21DD0">
        <w:rPr>
          <w:rFonts w:ascii="Times New Roman" w:hAnsi="Times New Roman" w:cs="Times New Roman"/>
          <w:sz w:val="28"/>
          <w:szCs w:val="28"/>
        </w:rPr>
        <w:t xml:space="preserve">лица мужского и женского пола в возрасте от 18 до 65 лет казахской национальности с подтвержденным диагнозом АГ или исключенным диагнозом АГ согласно Рекомендациям ЕSH/ESC 2018 </w:t>
      </w:r>
      <w:r w:rsidRPr="00C21DD0">
        <w:rPr>
          <w:rFonts w:ascii="Times New Roman" w:hAnsi="Times New Roman" w:cs="Times New Roman"/>
          <w:sz w:val="28"/>
          <w:szCs w:val="28"/>
        </w:rPr>
        <w:fldChar w:fldCharType="begin" w:fldLock="1"/>
      </w:r>
      <w:r w:rsidR="00A42355" w:rsidRPr="00C21DD0">
        <w:rPr>
          <w:rFonts w:ascii="Times New Roman" w:hAnsi="Times New Roman" w:cs="Times New Roman"/>
          <w:sz w:val="28"/>
          <w:szCs w:val="28"/>
        </w:rPr>
        <w:instrText>ADDIN CSL_CITATION {"citationItems":[{"id":"ITEM-1","itemData":{"DOI":"10.1097/HJH.0000000000001961","ISBN":"0000000000","ISSN":"0263-6352","PMID":"30379783","abstract":"Blood pressure, epidemiology and risk. Globally, over 1 billion people have hypertension. As populations age and adopt more sedentary lifestyles, the worldwide prevalence of hypertension will continue to rise towards 1.5 billion by 2025. Elevated blood pressure (BP) is the leading global contributor to premature death, accounting for almost 10 million deaths in 2015, 4.9 million due to ischaemic heart disease and 3.5 million due to stroke. Hypertension is also a major risk factor for heart failure, atrial fibrillation, chronic kidney disease (CKD), peripheral artery disease (PAD) and cognitive decline. 2. Definition of hypertension. The classification of BP and the definition of hypertension is unchanged from previous European guidelines, and is defined as an office SBP at least 140 mmHg and/or DBP at least 90 mmHg, which is equivalent to a 24-h ABPM average of at least 130/80 mmHg, or a home blood pressure monitoring (HBPM) average at least 135/ 85 mmHg. 3. Screening and diagnosis of hypertension. Hypertension is usually asymptomatic (hence the term 'silent killer'). Because of its high prevalence, screening programmes should be established to ensure that BP is measured in all adults, at least every 5 years and more frequently in people with a high-normal BP. When hypertension is suspected because of an elevated screening BP, the diagnosis of hypertension should be confirmed either by repeated office BP measurements, over a number of visits, or by out-of-office BP measurement using 24-h ABPM or by HBPM. 4. The importance of cardiovascular risk assessment and detection of HMOD. Other cardiovascular risk factors such as dyslipidaemia and metabolic syndrome frequently cluster with hypertension. Thus, unless the patient is already at high or very high risk due to established CVD, formal cardiovascular risk assessment is recommended using the SCORE system. It is important to recognize, however, that the presence of HMOD, especially left ventricular hypertrophy (LVH), chronic kidney disease (CKD) or advanced retinopathy, further increases the risk of cardiovascular morbidity and mortality, and should be screened for as part of risk assessment in hypertensive patients because the SCORE system alone may underestimate their risk. 5. Think - could this patient have secondary hypertension? For most people with hypertension, no underlying cause will be detected. Secondary (and potentially remediable) causes of hypertension are more likely to be present in people w…","author":[{"dropping-particle":"","family":"Williams","given":"Bryan","non-dropping-particle":"","parse-names":false,"suffix":""},{"dropping-particle":"","family":"Mancia","given":"Giuseppe","non-dropping-particle":"","parse-names":false,"suffix":""},{"dropping-particle":"","family":"Spiering","given":"Wilko","non-dropping-particle":"","parse-names":false,"suffix":""},{"dropping-particle":"","family":"Agabiti Rosei","given":"Enrico","non-dropping-particle":"","parse-names":false,"suffix":""},{"dropping-particle":"","family":"Azizi","given":"Michel","non-dropping-particle":"","parse-names":false,"suffix":""},{"dropping-particle":"","family":"Burnier","given":"Michel","non-dropping-particle":"","parse-names":false,"suffix":""},{"dropping-particle":"","family":"Clement","given":"Denis","non-dropping-particle":"","parse-names":false,"suffix":""},{"dropping-particle":"","family":"Coca","given":"Antonio","non-dropping-particle":"","parse-names":false,"suffix":""},{"dropping-particle":"","family":"Simone","given":"Giovanni","non-dropping-particle":"De","parse-names":false,"suffix":""},{"dropping-particle":"","family":"Dominiczak","given":"Anna","non-dropping-particle":"","parse-names":false,"suffix":""},{"dropping-particle":"","family":"Kahan","given":"Thomas","non-dropping-particle":"","parse-names":false,"suffix":""},{"dropping-particle":"","family":"Mahfoud","given":"Felix","non-dropping-particle":"","parse-names":false,"suffix":""},{"dropping-particle":"","family":"Redon","given":"Josep","non-dropping-particle":"","parse-names":false,"suffix":""},{"dropping-particle":"","family":"Ruilope","given":"Luis","non-dropping-particle":"","parse-names":false,"suffix":""},{"dropping-particle":"","family":"Zanchetti","given":"Alberto","non-dropping-particle":"","parse-names":false,"suffix":""},{"dropping-particle":"","family":"Kerins","given":"Mary","non-dropping-particle":"","parse-names":false,"suffix":""},{"dropping-particle":"","family":"Kjeldsen","given":"Sverre","non-dropping-particle":"","parse-names":false,"suffix":""},{"dropping-particle":"","family":"Kreutz","given":"Reinhold","non-dropping-particle":"","parse-names":false,"suffix":""},{"dropping-particle":"","family":"Laurent","given":"Stephane","non-dropping-particle":"","parse-names":false,"suffix":""},{"dropping-particle":"","family":"Lip","given":"Gregory Y.H.","non-dropping-particle":"","parse-names":false,"suffix":""},{"dropping-particle":"","family":"McManus","given":"Richard","non-dropping-particle":"","parse-names":false,"suffix":""},{"dropping-particle":"","family":"Narkiewicz","given":"Krzysztof","non-dropping-particle":"","parse-names":false,"suffix":""},{"dropping-particle":"","family":"Ruschitzka","given":"Frank","non-dropping-particle":"","parse-names":false,"suffix":""},{"dropping-particle":"","family":"Schmieder","given":"Roland","non-dropping-particle":"","parse-names":false,"suffix":""},{"dropping-particle":"","family":"Shlyakhto","given":"Evgeny","non-dropping-particle":"","parse-names":false,"suffix":""},{"dropping-particle":"","family":"Tsioufis","given":"Konstantinos","non-dropping-particle":"","parse-names":false,"suffix":""},{"dropping-particle":"","family":"Aboyans","given":"Victor","non-dropping-particle":"","parse-names":false,"suffix":""},{"dropping-particle":"","family":"Desormais","given":"Ileana","non-dropping-particle":"","parse-names":false,"suffix":""}],"container-title":"Journal of Hypertension","id":"ITEM-1","issue":"12","issued":{"date-parts":[["2018","12"]]},"page":"1953-2041","title":"2018 Practice Guidelines for the management of arterial hypertension of the European Society of Cardiology and the European Society of Hypertension","type":"article-journal","volume":"36"},"uris":["http://www.mendeley.com/documents/?uuid=5a3b9d5c-e1e6-414e-aefe-3ae5567a180d"]}],"mendeley":{"formattedCitation":"[148]","plainTextFormattedCitation":"[148]","previouslyFormattedCitation":"[148]"},"properties":{"noteIndex":0},"schema":"https://github.com/citation-style-language/schema/raw/master/csl-citation.json"}</w:instrText>
      </w:r>
      <w:r w:rsidRPr="00C21DD0">
        <w:rPr>
          <w:rFonts w:ascii="Times New Roman" w:hAnsi="Times New Roman" w:cs="Times New Roman"/>
          <w:sz w:val="28"/>
          <w:szCs w:val="28"/>
        </w:rPr>
        <w:fldChar w:fldCharType="separate"/>
      </w:r>
      <w:r w:rsidR="005B7E9A" w:rsidRPr="00C21DD0">
        <w:rPr>
          <w:rFonts w:ascii="Times New Roman" w:hAnsi="Times New Roman" w:cs="Times New Roman"/>
          <w:noProof/>
          <w:sz w:val="28"/>
          <w:szCs w:val="28"/>
        </w:rPr>
        <w:t>[148]</w:t>
      </w:r>
      <w:r w:rsidRPr="00C21DD0">
        <w:rPr>
          <w:rFonts w:ascii="Times New Roman" w:hAnsi="Times New Roman" w:cs="Times New Roman"/>
          <w:sz w:val="28"/>
          <w:szCs w:val="28"/>
        </w:rPr>
        <w:fldChar w:fldCharType="end"/>
      </w:r>
      <w:r w:rsidRPr="00C21DD0">
        <w:rPr>
          <w:rFonts w:ascii="Times New Roman" w:hAnsi="Times New Roman" w:cs="Times New Roman"/>
          <w:sz w:val="28"/>
          <w:szCs w:val="28"/>
        </w:rPr>
        <w:t>.</w:t>
      </w:r>
    </w:p>
    <w:p w:rsidR="00CC2ECF" w:rsidRDefault="00C21DD0" w:rsidP="00C21DD0">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CC2ECF">
        <w:rPr>
          <w:rFonts w:ascii="Times New Roman" w:hAnsi="Times New Roman" w:cs="Times New Roman"/>
          <w:sz w:val="28"/>
          <w:szCs w:val="28"/>
        </w:rPr>
        <w:t>Критерии исключения:</w:t>
      </w:r>
    </w:p>
    <w:p w:rsidR="00CC2ECF" w:rsidRPr="00C21DD0" w:rsidRDefault="00CC2ECF" w:rsidP="00C21DD0">
      <w:pPr>
        <w:pStyle w:val="af4"/>
        <w:numPr>
          <w:ilvl w:val="0"/>
          <w:numId w:val="24"/>
        </w:numPr>
        <w:spacing w:after="0" w:line="240" w:lineRule="auto"/>
        <w:ind w:left="397"/>
        <w:jc w:val="both"/>
        <w:rPr>
          <w:rFonts w:ascii="Times New Roman" w:hAnsi="Times New Roman" w:cs="Times New Roman"/>
          <w:sz w:val="28"/>
          <w:szCs w:val="28"/>
        </w:rPr>
      </w:pPr>
      <w:r w:rsidRPr="00C21DD0">
        <w:rPr>
          <w:rFonts w:ascii="Times New Roman" w:hAnsi="Times New Roman" w:cs="Times New Roman"/>
          <w:sz w:val="28"/>
          <w:szCs w:val="28"/>
        </w:rPr>
        <w:t>злокачественные новообразования;</w:t>
      </w:r>
    </w:p>
    <w:p w:rsidR="00CC2ECF" w:rsidRPr="00C21DD0" w:rsidRDefault="00CC2ECF" w:rsidP="00C21DD0">
      <w:pPr>
        <w:pStyle w:val="af4"/>
        <w:numPr>
          <w:ilvl w:val="0"/>
          <w:numId w:val="24"/>
        </w:numPr>
        <w:spacing w:after="0" w:line="240" w:lineRule="auto"/>
        <w:ind w:left="397"/>
        <w:jc w:val="both"/>
        <w:rPr>
          <w:rFonts w:ascii="Times New Roman" w:hAnsi="Times New Roman" w:cs="Times New Roman"/>
          <w:sz w:val="28"/>
          <w:szCs w:val="28"/>
        </w:rPr>
      </w:pPr>
      <w:r w:rsidRPr="00C21DD0">
        <w:rPr>
          <w:rFonts w:ascii="Times New Roman" w:hAnsi="Times New Roman" w:cs="Times New Roman"/>
          <w:sz w:val="28"/>
          <w:szCs w:val="28"/>
        </w:rPr>
        <w:t>сердечная и/или почечная недостаточность в декомпенсированной стадии;</w:t>
      </w:r>
    </w:p>
    <w:p w:rsidR="00CC2ECF" w:rsidRPr="00C21DD0" w:rsidRDefault="00CC2ECF" w:rsidP="00C21DD0">
      <w:pPr>
        <w:pStyle w:val="af4"/>
        <w:numPr>
          <w:ilvl w:val="0"/>
          <w:numId w:val="24"/>
        </w:numPr>
        <w:spacing w:after="0" w:line="240" w:lineRule="auto"/>
        <w:ind w:left="397"/>
        <w:jc w:val="both"/>
        <w:rPr>
          <w:rFonts w:ascii="Times New Roman" w:hAnsi="Times New Roman" w:cs="Times New Roman"/>
          <w:sz w:val="28"/>
          <w:szCs w:val="28"/>
        </w:rPr>
      </w:pPr>
      <w:r w:rsidRPr="00C21DD0">
        <w:rPr>
          <w:rFonts w:ascii="Times New Roman" w:hAnsi="Times New Roman" w:cs="Times New Roman"/>
          <w:sz w:val="28"/>
          <w:szCs w:val="28"/>
        </w:rPr>
        <w:t>беременность;</w:t>
      </w:r>
    </w:p>
    <w:p w:rsidR="00CC2ECF" w:rsidRPr="00C21DD0" w:rsidRDefault="00CC2ECF" w:rsidP="00C21DD0">
      <w:pPr>
        <w:pStyle w:val="af4"/>
        <w:numPr>
          <w:ilvl w:val="0"/>
          <w:numId w:val="24"/>
        </w:numPr>
        <w:spacing w:after="0" w:line="240" w:lineRule="auto"/>
        <w:ind w:left="397"/>
        <w:jc w:val="both"/>
        <w:rPr>
          <w:rFonts w:ascii="Times New Roman" w:hAnsi="Times New Roman" w:cs="Times New Roman"/>
          <w:sz w:val="28"/>
          <w:szCs w:val="28"/>
        </w:rPr>
      </w:pPr>
      <w:r w:rsidRPr="00C21DD0">
        <w:rPr>
          <w:rFonts w:ascii="Times New Roman" w:hAnsi="Times New Roman" w:cs="Times New Roman"/>
          <w:sz w:val="28"/>
          <w:szCs w:val="28"/>
        </w:rPr>
        <w:t xml:space="preserve">лактация. </w:t>
      </w:r>
    </w:p>
    <w:p w:rsidR="00084228" w:rsidRPr="004B6868" w:rsidRDefault="00CC2ECF" w:rsidP="003A7A03">
      <w:pPr>
        <w:spacing w:after="0" w:line="240" w:lineRule="auto"/>
        <w:ind w:firstLine="360"/>
        <w:jc w:val="both"/>
        <w:rPr>
          <w:rFonts w:ascii="Times New Roman" w:hAnsi="Times New Roman" w:cs="Times New Roman"/>
          <w:sz w:val="28"/>
          <w:szCs w:val="28"/>
        </w:rPr>
      </w:pPr>
      <w:r w:rsidRPr="004B6868">
        <w:rPr>
          <w:rFonts w:ascii="Times New Roman" w:hAnsi="Times New Roman" w:cs="Times New Roman"/>
          <w:sz w:val="28"/>
          <w:szCs w:val="28"/>
        </w:rPr>
        <w:t>Локальным</w:t>
      </w:r>
      <w:r>
        <w:rPr>
          <w:rFonts w:ascii="Times New Roman" w:hAnsi="Times New Roman" w:cs="Times New Roman"/>
          <w:sz w:val="28"/>
          <w:szCs w:val="28"/>
        </w:rPr>
        <w:t xml:space="preserve"> </w:t>
      </w:r>
      <w:r w:rsidRPr="004B6868">
        <w:rPr>
          <w:rFonts w:ascii="Times New Roman" w:hAnsi="Times New Roman" w:cs="Times New Roman"/>
          <w:sz w:val="28"/>
          <w:szCs w:val="28"/>
        </w:rPr>
        <w:t>этическим комитетом НАО МУС</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был </w:t>
      </w:r>
      <w:r w:rsidRPr="004B6868">
        <w:rPr>
          <w:rFonts w:ascii="Times New Roman" w:hAnsi="Times New Roman" w:cs="Times New Roman"/>
          <w:sz w:val="28"/>
          <w:szCs w:val="28"/>
        </w:rPr>
        <w:t xml:space="preserve">одобрен </w:t>
      </w:r>
      <w:r>
        <w:rPr>
          <w:rFonts w:ascii="Times New Roman" w:hAnsi="Times New Roman" w:cs="Times New Roman"/>
          <w:sz w:val="28"/>
          <w:szCs w:val="28"/>
          <w:lang w:val="kk-KZ"/>
        </w:rPr>
        <w:t>п</w:t>
      </w:r>
      <w:r w:rsidRPr="004B6868">
        <w:rPr>
          <w:rFonts w:ascii="Times New Roman" w:hAnsi="Times New Roman" w:cs="Times New Roman"/>
          <w:sz w:val="28"/>
          <w:szCs w:val="28"/>
        </w:rPr>
        <w:t>ротокол исследования (</w:t>
      </w:r>
      <w:r w:rsidR="00AF343A">
        <w:rPr>
          <w:rFonts w:ascii="Times New Roman" w:hAnsi="Times New Roman" w:cs="Times New Roman"/>
          <w:sz w:val="28"/>
          <w:szCs w:val="28"/>
        </w:rPr>
        <w:t>протокол №11 от 28.06.2019</w:t>
      </w:r>
      <w:r w:rsidRPr="004B6868">
        <w:rPr>
          <w:rFonts w:ascii="Times New Roman" w:hAnsi="Times New Roman" w:cs="Times New Roman"/>
          <w:sz w:val="28"/>
          <w:szCs w:val="28"/>
        </w:rPr>
        <w:t>), исследование проведено согласно принципами Хельсин</w:t>
      </w:r>
      <w:r w:rsidR="00DF3E85">
        <w:rPr>
          <w:rFonts w:ascii="Times New Roman" w:hAnsi="Times New Roman" w:cs="Times New Roman"/>
          <w:sz w:val="28"/>
          <w:szCs w:val="28"/>
        </w:rPr>
        <w:t>к</w:t>
      </w:r>
      <w:r w:rsidRPr="004B6868">
        <w:rPr>
          <w:rFonts w:ascii="Times New Roman" w:hAnsi="Times New Roman" w:cs="Times New Roman"/>
          <w:sz w:val="28"/>
          <w:szCs w:val="28"/>
        </w:rPr>
        <w:t xml:space="preserve">ской декларации </w:t>
      </w:r>
      <w:r>
        <w:rPr>
          <w:rFonts w:ascii="Times New Roman" w:hAnsi="Times New Roman" w:cs="Times New Roman"/>
          <w:sz w:val="28"/>
          <w:szCs w:val="28"/>
        </w:rPr>
        <w:t>В</w:t>
      </w:r>
      <w:r>
        <w:rPr>
          <w:rFonts w:ascii="Times New Roman" w:hAnsi="Times New Roman" w:cs="Times New Roman"/>
          <w:sz w:val="28"/>
          <w:szCs w:val="28"/>
          <w:lang w:val="kk-KZ"/>
        </w:rPr>
        <w:t xml:space="preserve">ОЗ </w:t>
      </w:r>
      <w:r>
        <w:rPr>
          <w:rFonts w:ascii="Times New Roman" w:hAnsi="Times New Roman" w:cs="Times New Roman"/>
          <w:sz w:val="28"/>
          <w:szCs w:val="28"/>
        </w:rPr>
        <w:fldChar w:fldCharType="begin" w:fldLock="1"/>
      </w:r>
      <w:r w:rsidR="006D6525">
        <w:rPr>
          <w:rFonts w:ascii="Times New Roman" w:hAnsi="Times New Roman" w:cs="Times New Roman"/>
          <w:sz w:val="28"/>
          <w:szCs w:val="28"/>
        </w:rPr>
        <w:instrText>ADDIN CSL_CITATION {"citationItems":[{"id":"ITEM-1","itemData":{"DOI":"10.1007/978-3-211-89836-9_367","ISSN":"0277-8459","PMID":"11642954","abstract":"Recommendations guiding physicians in biomedical research involving human subjects.","author":[{"dropping-particle":"","family":"World Medical Association","given":"","non-dropping-particle":"","parse-names":false,"suffix":""}],"container-title":"Law, medicine &amp; health care : a publication of the American Society of Law &amp; Medicine","id":"ITEM-1","issue":"3-4","issued":{"date-parts":[["2009"]]},"page":"264-5","publisher":"Springer Vienna","publisher-place":"Vienna","title":"Declaration of Helsinki.","type":"article-journal","volume":"19"},"uris":["http://www.mendeley.com/documents/?uuid=12734156-79c5-46ea-ad85-5086452cfe56"]}],"mendeley":{"formattedCitation":"[9]","manualFormatting":"[9, р. 373]","plainTextFormattedCitation":"[9]","previouslyFormattedCitation":"[9]"},"properties":{"noteIndex":0},"schema":"https://github.com/citation-style-language/schema/raw/master/csl-citation.json"}</w:instrText>
      </w:r>
      <w:r>
        <w:rPr>
          <w:rFonts w:ascii="Times New Roman" w:hAnsi="Times New Roman" w:cs="Times New Roman"/>
          <w:sz w:val="28"/>
          <w:szCs w:val="28"/>
        </w:rPr>
        <w:fldChar w:fldCharType="separate"/>
      </w:r>
      <w:r w:rsidR="006D6525" w:rsidRPr="006D6525">
        <w:rPr>
          <w:rFonts w:ascii="Times New Roman" w:hAnsi="Times New Roman" w:cs="Times New Roman"/>
          <w:noProof/>
          <w:sz w:val="28"/>
          <w:szCs w:val="28"/>
        </w:rPr>
        <w:t>[9</w:t>
      </w:r>
      <w:r w:rsidR="006D6525">
        <w:rPr>
          <w:rFonts w:ascii="Times New Roman" w:hAnsi="Times New Roman" w:cs="Times New Roman"/>
          <w:noProof/>
          <w:sz w:val="28"/>
          <w:szCs w:val="28"/>
        </w:rPr>
        <w:t>, р. 373</w:t>
      </w:r>
      <w:r w:rsidR="006D6525" w:rsidRPr="006D6525">
        <w:rPr>
          <w:rFonts w:ascii="Times New Roman" w:hAnsi="Times New Roman" w:cs="Times New Roman"/>
          <w:noProof/>
          <w:sz w:val="28"/>
          <w:szCs w:val="28"/>
        </w:rPr>
        <w:t>]</w:t>
      </w:r>
      <w:r>
        <w:rPr>
          <w:rFonts w:ascii="Times New Roman" w:hAnsi="Times New Roman" w:cs="Times New Roman"/>
          <w:sz w:val="28"/>
          <w:szCs w:val="28"/>
        </w:rPr>
        <w:fldChar w:fldCharType="end"/>
      </w:r>
      <w:r w:rsidRPr="00D64D11">
        <w:rPr>
          <w:rFonts w:ascii="Times New Roman" w:hAnsi="Times New Roman" w:cs="Times New Roman"/>
          <w:sz w:val="28"/>
          <w:szCs w:val="28"/>
        </w:rPr>
        <w:t>.</w:t>
      </w:r>
      <w:r w:rsidRPr="004B6868">
        <w:rPr>
          <w:rFonts w:ascii="Times New Roman" w:hAnsi="Times New Roman" w:cs="Times New Roman"/>
          <w:sz w:val="28"/>
          <w:szCs w:val="28"/>
        </w:rPr>
        <w:t xml:space="preserve"> Всем </w:t>
      </w:r>
      <w:r w:rsidR="00B03454">
        <w:rPr>
          <w:rFonts w:ascii="Times New Roman" w:hAnsi="Times New Roman" w:cs="Times New Roman"/>
          <w:sz w:val="28"/>
          <w:szCs w:val="28"/>
        </w:rPr>
        <w:t>респодент</w:t>
      </w:r>
      <w:r w:rsidRPr="004B6868">
        <w:rPr>
          <w:rFonts w:ascii="Times New Roman" w:hAnsi="Times New Roman" w:cs="Times New Roman"/>
          <w:sz w:val="28"/>
          <w:szCs w:val="28"/>
        </w:rPr>
        <w:t xml:space="preserve">ам была предоставлена информация о ходе исследования и предстоящих процедурах, все участники исследования подписали информированное письменное согласие. </w:t>
      </w:r>
    </w:p>
    <w:p w:rsidR="00CC2ECF" w:rsidRDefault="00CC2ECF" w:rsidP="00CC2EC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У всех участников измерял</w:t>
      </w:r>
      <w:r w:rsidR="00960F80">
        <w:rPr>
          <w:rFonts w:ascii="Times New Roman" w:hAnsi="Times New Roman" w:cs="Times New Roman"/>
          <w:sz w:val="28"/>
          <w:szCs w:val="28"/>
        </w:rPr>
        <w:t>и</w:t>
      </w:r>
      <w:r>
        <w:rPr>
          <w:rFonts w:ascii="Times New Roman" w:hAnsi="Times New Roman" w:cs="Times New Roman"/>
          <w:sz w:val="28"/>
          <w:szCs w:val="28"/>
        </w:rPr>
        <w:t>сь АД, рост, окружность талии и вес, рассчитывался ИМТ. При ИМТ&lt;24,9 кг/м</w:t>
      </w:r>
      <w:r w:rsidRPr="00FF7BB7">
        <w:rPr>
          <w:rFonts w:ascii="Times New Roman" w:hAnsi="Times New Roman" w:cs="Times New Roman"/>
          <w:sz w:val="28"/>
          <w:szCs w:val="28"/>
          <w:vertAlign w:val="superscript"/>
        </w:rPr>
        <w:t>2</w:t>
      </w:r>
      <w:r>
        <w:rPr>
          <w:rFonts w:ascii="Times New Roman" w:hAnsi="Times New Roman" w:cs="Times New Roman"/>
          <w:sz w:val="28"/>
          <w:szCs w:val="28"/>
        </w:rPr>
        <w:t xml:space="preserve"> считался </w:t>
      </w:r>
      <w:r>
        <w:rPr>
          <w:rFonts w:ascii="Times New Roman" w:hAnsi="Times New Roman" w:cs="Times New Roman"/>
          <w:sz w:val="28"/>
          <w:szCs w:val="28"/>
          <w:lang w:val="kk-KZ"/>
        </w:rPr>
        <w:t xml:space="preserve">как </w:t>
      </w:r>
      <w:r>
        <w:rPr>
          <w:rFonts w:ascii="Times New Roman" w:hAnsi="Times New Roman" w:cs="Times New Roman"/>
          <w:sz w:val="28"/>
          <w:szCs w:val="28"/>
        </w:rPr>
        <w:t>нормальный вес; при ИМТ≥25,0 кг/м</w:t>
      </w:r>
      <w:r w:rsidRPr="00FF7BB7">
        <w:rPr>
          <w:rFonts w:ascii="Times New Roman" w:hAnsi="Times New Roman" w:cs="Times New Roman"/>
          <w:sz w:val="28"/>
          <w:szCs w:val="28"/>
          <w:vertAlign w:val="superscript"/>
        </w:rPr>
        <w:t>2</w:t>
      </w:r>
      <w:r>
        <w:rPr>
          <w:rFonts w:ascii="Times New Roman" w:hAnsi="Times New Roman" w:cs="Times New Roman"/>
          <w:sz w:val="28"/>
          <w:szCs w:val="28"/>
        </w:rPr>
        <w:t xml:space="preserve"> до &lt;30,0 кг/м</w:t>
      </w:r>
      <w:r w:rsidRPr="00983550">
        <w:rPr>
          <w:rFonts w:ascii="Times New Roman" w:hAnsi="Times New Roman" w:cs="Times New Roman"/>
          <w:sz w:val="28"/>
          <w:szCs w:val="28"/>
          <w:vertAlign w:val="superscript"/>
        </w:rPr>
        <w:t>2</w:t>
      </w:r>
      <w:r>
        <w:rPr>
          <w:rFonts w:ascii="Times New Roman" w:hAnsi="Times New Roman" w:cs="Times New Roman"/>
          <w:sz w:val="28"/>
          <w:szCs w:val="28"/>
        </w:rPr>
        <w:t xml:space="preserve"> - избыточны</w:t>
      </w:r>
      <w:r>
        <w:rPr>
          <w:rFonts w:ascii="Times New Roman" w:hAnsi="Times New Roman" w:cs="Times New Roman"/>
          <w:sz w:val="28"/>
          <w:szCs w:val="28"/>
          <w:lang w:val="kk-KZ"/>
        </w:rPr>
        <w:t>й</w:t>
      </w:r>
      <w:r>
        <w:rPr>
          <w:rFonts w:ascii="Times New Roman" w:hAnsi="Times New Roman" w:cs="Times New Roman"/>
          <w:sz w:val="28"/>
          <w:szCs w:val="28"/>
        </w:rPr>
        <w:t>; при ИМТ≥30 кг/м</w:t>
      </w:r>
      <w:r w:rsidRPr="00FF7BB7">
        <w:rPr>
          <w:rFonts w:ascii="Times New Roman" w:hAnsi="Times New Roman" w:cs="Times New Roman"/>
          <w:sz w:val="28"/>
          <w:szCs w:val="28"/>
          <w:vertAlign w:val="superscript"/>
        </w:rPr>
        <w:t>2</w:t>
      </w:r>
      <w:r>
        <w:rPr>
          <w:rFonts w:ascii="Times New Roman" w:hAnsi="Times New Roman" w:cs="Times New Roman"/>
          <w:sz w:val="28"/>
          <w:szCs w:val="28"/>
        </w:rPr>
        <w:t xml:space="preserve"> выставлялся диагноз «ожирение» (</w:t>
      </w:r>
      <w:r w:rsidRPr="000B4CD0">
        <w:rPr>
          <w:rFonts w:ascii="Times New Roman" w:hAnsi="Times New Roman" w:cs="Times New Roman"/>
          <w:sz w:val="28"/>
          <w:szCs w:val="28"/>
        </w:rPr>
        <w:t>ESC</w:t>
      </w:r>
      <w:r>
        <w:rPr>
          <w:rFonts w:ascii="Century" w:hAnsi="Century" w:cs="Times New Roman"/>
          <w:sz w:val="28"/>
          <w:szCs w:val="28"/>
        </w:rPr>
        <w:t>/</w:t>
      </w:r>
      <w:r w:rsidRPr="000B4CD0">
        <w:rPr>
          <w:rFonts w:ascii="Times New Roman" w:hAnsi="Times New Roman" w:cs="Times New Roman"/>
          <w:sz w:val="28"/>
          <w:szCs w:val="28"/>
        </w:rPr>
        <w:t>EAS</w:t>
      </w:r>
      <w:r w:rsidRPr="0071514E">
        <w:rPr>
          <w:rFonts w:ascii="Times New Roman" w:hAnsi="Times New Roman" w:cs="Times New Roman"/>
          <w:sz w:val="28"/>
          <w:szCs w:val="28"/>
        </w:rPr>
        <w:t xml:space="preserve"> Guidelines</w:t>
      </w:r>
      <w:r>
        <w:rPr>
          <w:rFonts w:ascii="Times New Roman" w:hAnsi="Times New Roman" w:cs="Times New Roman"/>
          <w:sz w:val="28"/>
          <w:szCs w:val="28"/>
        </w:rPr>
        <w:t xml:space="preserve"> </w:t>
      </w:r>
      <w:r w:rsidRPr="0071514E">
        <w:rPr>
          <w:rFonts w:ascii="Times New Roman" w:hAnsi="Times New Roman" w:cs="Times New Roman"/>
          <w:sz w:val="28"/>
          <w:szCs w:val="28"/>
        </w:rPr>
        <w:t>for</w:t>
      </w:r>
      <w:r>
        <w:rPr>
          <w:rFonts w:ascii="Times New Roman" w:hAnsi="Times New Roman" w:cs="Times New Roman"/>
          <w:sz w:val="28"/>
          <w:szCs w:val="28"/>
        </w:rPr>
        <w:t xml:space="preserve"> </w:t>
      </w:r>
      <w:r w:rsidRPr="0071514E">
        <w:rPr>
          <w:rFonts w:ascii="Times New Roman" w:hAnsi="Times New Roman" w:cs="Times New Roman"/>
          <w:sz w:val="28"/>
          <w:szCs w:val="28"/>
        </w:rPr>
        <w:t>the</w:t>
      </w:r>
      <w:r>
        <w:rPr>
          <w:rFonts w:ascii="Times New Roman" w:hAnsi="Times New Roman" w:cs="Times New Roman"/>
          <w:sz w:val="28"/>
          <w:szCs w:val="28"/>
        </w:rPr>
        <w:t xml:space="preserve"> </w:t>
      </w:r>
      <w:r w:rsidRPr="0071514E">
        <w:rPr>
          <w:rFonts w:ascii="Times New Roman" w:hAnsi="Times New Roman" w:cs="Times New Roman"/>
          <w:sz w:val="28"/>
          <w:szCs w:val="28"/>
        </w:rPr>
        <w:t>Management</w:t>
      </w:r>
      <w:r>
        <w:rPr>
          <w:rFonts w:ascii="Times New Roman" w:hAnsi="Times New Roman" w:cs="Times New Roman"/>
          <w:sz w:val="28"/>
          <w:szCs w:val="28"/>
        </w:rPr>
        <w:t xml:space="preserve"> </w:t>
      </w:r>
      <w:r w:rsidRPr="0071514E">
        <w:rPr>
          <w:rFonts w:ascii="Times New Roman" w:hAnsi="Times New Roman" w:cs="Times New Roman"/>
          <w:sz w:val="28"/>
          <w:szCs w:val="28"/>
        </w:rPr>
        <w:t>of</w:t>
      </w:r>
      <w:r>
        <w:rPr>
          <w:rFonts w:ascii="Times New Roman" w:hAnsi="Times New Roman" w:cs="Times New Roman"/>
          <w:sz w:val="28"/>
          <w:szCs w:val="28"/>
        </w:rPr>
        <w:t xml:space="preserve"> </w:t>
      </w:r>
      <w:r w:rsidRPr="0071514E">
        <w:rPr>
          <w:rFonts w:ascii="Times New Roman" w:hAnsi="Times New Roman" w:cs="Times New Roman"/>
          <w:sz w:val="28"/>
          <w:szCs w:val="28"/>
        </w:rPr>
        <w:t>Dyslipidaemias</w:t>
      </w:r>
      <w:r>
        <w:rPr>
          <w:rFonts w:ascii="Century" w:hAnsi="Century" w:cs="Times New Roman"/>
          <w:sz w:val="28"/>
          <w:szCs w:val="28"/>
        </w:rPr>
        <w:t>,</w:t>
      </w:r>
      <w:r>
        <w:rPr>
          <w:rFonts w:ascii="Times New Roman" w:hAnsi="Times New Roman" w:cs="Times New Roman"/>
          <w:sz w:val="28"/>
          <w:szCs w:val="28"/>
        </w:rPr>
        <w:t xml:space="preserve"> 2016) </w:t>
      </w:r>
      <w:r>
        <w:rPr>
          <w:rFonts w:ascii="Times New Roman" w:hAnsi="Times New Roman" w:cs="Times New Roman"/>
          <w:sz w:val="28"/>
          <w:szCs w:val="28"/>
        </w:rPr>
        <w:fldChar w:fldCharType="begin" w:fldLock="1"/>
      </w:r>
      <w:r w:rsidR="00A42355">
        <w:rPr>
          <w:rFonts w:ascii="Times New Roman" w:hAnsi="Times New Roman" w:cs="Times New Roman"/>
          <w:sz w:val="28"/>
          <w:szCs w:val="28"/>
        </w:rPr>
        <w:instrText>ADDIN CSL_CITATION {"citationItems":[{"id":"ITEM-1","itemData":{"DOI":"10.1093/eurheartj/ehw272","ISBN":"1879-1484 (Electronic)\\r0021-9150 (Linking)","ISSN":"15229645","PMID":"21712404","abstract":"Cardiovascular disease (CVD) due to atherosclerosis of the arterial vessel wall and to thrombosis is the foremost cause of premature mortality and of disability-adjusted life years (DALYs) in Europe, and is also increasingly common in developing countries.1 In the European Union, the economic cost of CVD represents annually E192 billion1 in direct and indirect healthcare costs. The main clinical entities are coronary artery disease (CAD), ischaemic stroke, and peripheral arterial disease (PAD). The causes of these CVDs are multifactorial. Some of these factors relate to lifestyles, such as tobacco smoking, lack of physical activity, and dietary habits, and are thus modifiable. Other risk factors are also modifiable, such as elevated blood pressure, type 2 diabetes, and dyslipidaemias, or non-modifiable, such as age and male gender. These guidelines deal with the management of dyslipidaemias as an essential and integral part of CVD prevention. Prevention and treatment of dyslipidaemias should always be considered within the broader framework of CVD prevention, which is addressed in guidelines of the Joint European Societies’ Task forces on CVD prevention in clinical practice.2 – 5 The latest version of these guidelines was published in 20075; an update will become available in 2012. These Joint ESC/European Atherosclerosis Society (EAS) guidelines on the management of dyslipidaemias are complementary to the guidelines on CVD prevention in clinical practice and address not only physicians [e.g. general practitioners (GPs) and cardiologists] interested in CVD prevention, but also specialists from lipid clinics or metabolic units who are dealing with dyslipidaemias that are more difficult to classify and treat.","author":[{"dropping-particle":"","family":"Catapano","given":"Alberico L.","non-dropping-particle":"","parse-names":false,"suffix":""},{"dropping-particle":"","family":"Graham","given":"Ian","non-dropping-particle":"","parse-names":false,"suffix":""},{"dropping-particle":"","family":"Backer","given":"Guy","non-dropping-particle":"De","parse-names":false,"suffix":""},{"dropping-particle":"","family":"Wiklund","given":"Olov","non-dropping-particle":"","parse-names":false,"suffix":""},{"dropping-particle":"","family":"Chapman","given":"M. John","non-dropping-particle":"","parse-names":false,"suffix":""},{"dropping-particle":"","family":"Drexel","given":"Heinz","non-dropping-particle":"","parse-names":false,"suffix":""},{"dropping-particle":"","family":"Hoes","given":"Arno W.","non-dropping-particle":"","parse-names":false,"suffix":""},{"dropping-particle":"","family":"Jennings","given":"Catriona S.","non-dropping-particle":"","parse-names":false,"suffix":""},{"dropping-particle":"","family":"Landmesser","given":"Ulf","non-dropping-particle":"","parse-names":false,"suffix":""},{"dropping-particle":"","family":"Pedersen","given":"Terje R.","non-dropping-particle":"","parse-names":false,"suffix":""},{"dropping-particle":"","family":"Reiner","given":"Zeljko","non-dropping-particle":"","parse-names":false,"suffix":""},{"dropping-particle":"","family":"Riccardi","given":"Gabriele","non-dropping-particle":"","parse-names":false,"suffix":""},{"dropping-particle":"","family":"Taskinen","given":"Marja Riita","non-dropping-particle":"","parse-names":false,"suffix":""},{"dropping-particle":"","family":"Tokgozoglu","given":"Lale","non-dropping-particle":"","parse-names":false,"suffix":""},{"dropping-particle":"","family":"Verschuren","given":"W. M Monique","non-dropping-particle":"","parse-names":false,"suffix":""},{"dropping-particle":"","family":"Vlachopoulos","given":"Charalambos","non-dropping-particle":"","parse-names":false,"suffix":""},{"dropping-particle":"","family":"Wood","given":"David A.","non-dropping-particle":"","parse-names":false,"suffix":""},{"dropping-particle":"","family":"Zamorano","given":"Jose Luis","non-dropping-particle":"","parse-names":false,"suffix":""},{"dropping-particle":"","family":"Badimon","given":"Lina","non-dropping-particle":"","parse-names":false,"suffix":""},{"dropping-particle":"","family":"Funck-Brentano","given":"Christian","non-dropping-particle":"","parse-names":false,"suffix":""},{"dropping-particle":"","family":"Agewall","given":"Stefan","non-dropping-particle":"","parse-names":false,"suffix":""},{"dropping-particle":"","family":"Bar??n-Esquivias","given":"Gonzalo","non-dropping-particle":"","parse-names":false,"suffix":""},{"dropping-particle":"","family":"Bor??n","given":"Jan","non-dropping-particle":"","parse-names":false,"suffix":""},{"dropping-particle":"","family":"Bruckert","given":"Eric","non-dropping-particle":"","parse-names":false,"suffix":""},{"dropping-particle":"","family":"Cordero","given":"Alberto","non-dropping-particle":"","parse-names":false,"suffix":""},{"dropping-particle":"","family":"Corsini","given":"Alberto","non-dropping-particle":"","parse-names":false,"suffix":""},{"dropping-particle":"","family":"Giannuzzi","given":"Pantaleo","non-dropping-particle":"","parse-names":false,"suffix":""},{"dropping-particle":"","family":"Gueyffier","given":"Francois","non-dropping-particle":"","parse-names":false,"suffix":""},{"dropping-particle":"","family":"Krsta??i??","given":"Goran","non-dropping-particle":"","parse-names":false,"suffix":""},{"dropping-particle":"","family":"Lettino","given":"Maddalena","non-dropping-particle":"","parse-names":false,"suffix":""},{"dropping-particle":"","family":"Lionis","given":"Christos","non-dropping-particle":"","parse-names":false,"suffix":""},{"dropping-particle":"","family":"Lip","given":"Gregory Y H","non-dropping-particle":"","parse-names":false,"suffix":""},{"dropping-particle":"","family":"Marques-Vidal","given":"Pedro","non-dropping-particle":"","parse-names":false,"suffix":""},{"dropping-particle":"","family":"Milicic","given":"Davor","non-dropping-particle":"","parse-names":false,"suffix":""},{"dropping-particle":"","family":"Pedro-Botet","given":"Juan","non-dropping-particle":"","parse-names":false,"suffix":""},{"dropping-particle":"","family":"Piepoli","given":"Massimo F.","non-dropping-particle":"","parse-names":false,"suffix":""},{"dropping-particle":"","family":"Rigopoulos","given":"Angelos G.","non-dropping-particle":"","parse-names":false,"suffix":""},{"dropping-particle":"","family":"Ruschitzka","given":"Frank","non-dropping-particle":"","parse-names":false,"suffix":""},{"dropping-particle":"","family":"Tun??n","given":"Jose","non-dropping-particle":"","parse-names":false,"suffix":""},{"dropping-particle":"","family":"Eckardstein","given":"Arnold","non-dropping-particle":"Von","parse-names":false,"suffix":""},{"dropping-particle":"","family":"Vrablik","given":"Michal","non-dropping-particle":"","parse-names":false,"suffix":""},{"dropping-particle":"","family":"Weiss","given":"Thomas W.","non-dropping-particle":"","parse-names":false,"suffix":""},{"dropping-particle":"","family":"Williams","given":"Bryan","non-dropping-particle":"","parse-names":false,"suffix":""},{"dropping-particle":"","family":"Windecker","given":"Stephan","non-dropping-particle":"","parse-names":false,"suffix":""},{"dropping-particle":"","family":"Zimlichman","given":"Reuven","non-dropping-particle":"","parse-names":false,"suffix":""}],"container-title":"European Heart Journal","id":"ITEM-1","issue":"39","issued":{"date-parts":[["2016"]]},"page":"2999–3058","publisher":"European Society of Cardiology and European Atherosclerosis Association.","title":"2016 ESC/EAS Guidelines for the Management of Dyslipidaemias","type":"article","volume":"37"},"uris":["http://www.mendeley.com/documents/?uuid=edc0817c-2103-32b8-9b6f-da9ac250446f"]}],"mendeley":{"formattedCitation":"[149]","plainTextFormattedCitation":"[149]","previouslyFormattedCitation":"[149]"},"properties":{"noteIndex":0},"schema":"https://github.com/citation-style-language/schema/raw/master/csl-citation.json"}</w:instrText>
      </w:r>
      <w:r>
        <w:rPr>
          <w:rFonts w:ascii="Times New Roman" w:hAnsi="Times New Roman" w:cs="Times New Roman"/>
          <w:sz w:val="28"/>
          <w:szCs w:val="28"/>
        </w:rPr>
        <w:fldChar w:fldCharType="separate"/>
      </w:r>
      <w:r w:rsidR="005B7E9A" w:rsidRPr="005B7E9A">
        <w:rPr>
          <w:rFonts w:ascii="Times New Roman" w:hAnsi="Times New Roman" w:cs="Times New Roman"/>
          <w:noProof/>
          <w:sz w:val="28"/>
          <w:szCs w:val="28"/>
        </w:rPr>
        <w:t>[149]</w:t>
      </w:r>
      <w:r>
        <w:rPr>
          <w:rFonts w:ascii="Times New Roman" w:hAnsi="Times New Roman" w:cs="Times New Roman"/>
          <w:sz w:val="28"/>
          <w:szCs w:val="28"/>
        </w:rPr>
        <w:fldChar w:fldCharType="end"/>
      </w:r>
      <w:r>
        <w:rPr>
          <w:rFonts w:ascii="Century" w:hAnsi="Century" w:cs="Times New Roman"/>
          <w:sz w:val="28"/>
          <w:szCs w:val="28"/>
        </w:rPr>
        <w:t>.</w:t>
      </w:r>
      <w:r>
        <w:rPr>
          <w:rFonts w:ascii="Times New Roman" w:hAnsi="Times New Roman" w:cs="Times New Roman"/>
          <w:sz w:val="28"/>
          <w:szCs w:val="28"/>
        </w:rPr>
        <w:t xml:space="preserve"> Измерение АД проводилось согласно Рекомендациям ЕSH/ESC 2018 </w:t>
      </w:r>
      <w:r>
        <w:rPr>
          <w:rFonts w:ascii="Times New Roman" w:hAnsi="Times New Roman" w:cs="Times New Roman"/>
          <w:sz w:val="28"/>
          <w:szCs w:val="28"/>
        </w:rPr>
        <w:fldChar w:fldCharType="begin" w:fldLock="1"/>
      </w:r>
      <w:r w:rsidR="006D6525">
        <w:rPr>
          <w:rFonts w:ascii="Times New Roman" w:hAnsi="Times New Roman" w:cs="Times New Roman"/>
          <w:sz w:val="28"/>
          <w:szCs w:val="28"/>
        </w:rPr>
        <w:instrText>ADDIN CSL_CITATION {"citationItems":[{"id":"ITEM-1","itemData":{"DOI":"10.1097/HJH.0000000000001961","ISBN":"0000000000","ISSN":"0263-6352","PMID":"30379783","abstract":"Blood pressure, epidemiology and risk. Globally, over 1 billion people have hypertension. As populations age and adopt more sedentary lifestyles, the worldwide prevalence of hypertension will continue to rise towards 1.5 billion by 2025. Elevated blood pressure (BP) is the leading global contributor to premature death, accounting for almost 10 million deaths in 2015, 4.9 million due to ischaemic heart disease and 3.5 million due to stroke. Hypertension is also a major risk factor for heart failure, atrial fibrillation, chronic kidney disease (CKD), peripheral artery disease (PAD) and cognitive decline. 2. Definition of hypertension. The classification of BP and the definition of hypertension is unchanged from previous European guidelines, and is defined as an office SBP at least 140 mmHg and/or DBP at least 90 mmHg, which is equivalent to a 24-h ABPM average of at least 130/80 mmHg, or a home blood pressure monitoring (HBPM) average at least 135/ 85 mmHg. 3. Screening and diagnosis of hypertension. Hypertension is usually asymptomatic (hence the term 'silent killer'). Because of its high prevalence, screening programmes should be established to ensure that BP is measured in all adults, at least every 5 years and more frequently in people with a high-normal BP. When hypertension is suspected because of an elevated screening BP, the diagnosis of hypertension should be confirmed either by repeated office BP measurements, over a number of visits, or by out-of-office BP measurement using 24-h ABPM or by HBPM. 4. The importance of cardiovascular risk assessment and detection of HMOD. Other cardiovascular risk factors such as dyslipidaemia and metabolic syndrome frequently cluster with hypertension. Thus, unless the patient is already at high or very high risk due to established CVD, formal cardiovascular risk assessment is recommended using the SCORE system. It is important to recognize, however, that the presence of HMOD, especially left ventricular hypertrophy (LVH), chronic kidney disease (CKD) or advanced retinopathy, further increases the risk of cardiovascular morbidity and mortality, and should be screened for as part of risk assessment in hypertensive patients because the SCORE system alone may underestimate their risk. 5. Think - could this patient have secondary hypertension? For most people with hypertension, no underlying cause will be detected. Secondary (and potentially remediable) causes of hypertension are more likely to be present in people w…","author":[{"dropping-particle":"","family":"Williams","given":"Bryan","non-dropping-particle":"","parse-names":false,"suffix":""},{"dropping-particle":"","family":"Mancia","given":"Giuseppe","non-dropping-particle":"","parse-names":false,"suffix":""},{"dropping-particle":"","family":"Spiering","given":"Wilko","non-dropping-particle":"","parse-names":false,"suffix":""},{"dropping-particle":"","family":"Agabiti Rosei","given":"Enrico","non-dropping-particle":"","parse-names":false,"suffix":""},{"dropping-particle":"","family":"Azizi","given":"Michel","non-dropping-particle":"","parse-names":false,"suffix":""},{"dropping-particle":"","family":"Burnier","given":"Michel","non-dropping-particle":"","parse-names":false,"suffix":""},{"dropping-particle":"","family":"Clement","given":"Denis","non-dropping-particle":"","parse-names":false,"suffix":""},{"dropping-particle":"","family":"Coca","given":"Antonio","non-dropping-particle":"","parse-names":false,"suffix":""},{"dropping-particle":"","family":"Simone","given":"Giovanni","non-dropping-particle":"De","parse-names":false,"suffix":""},{"dropping-particle":"","family":"Dominiczak","given":"Anna","non-dropping-particle":"","parse-names":false,"suffix":""},{"dropping-particle":"","family":"Kahan","given":"Thomas","non-dropping-particle":"","parse-names":false,"suffix":""},{"dropping-particle":"","family":"Mahfoud","given":"Felix","non-dropping-particle":"","parse-names":false,"suffix":""},{"dropping-particle":"","family":"Redon","given":"Josep","non-dropping-particle":"","parse-names":false,"suffix":""},{"dropping-particle":"","family":"Ruilope","given":"Luis","non-dropping-particle":"","parse-names":false,"suffix":""},{"dropping-particle":"","family":"Zanchetti","given":"Alberto","non-dropping-particle":"","parse-names":false,"suffix":""},{"dropping-particle":"","family":"Kerins","given":"Mary","non-dropping-particle":"","parse-names":false,"suffix":""},{"dropping-particle":"","family":"Kjeldsen","given":"Sverre","non-dropping-particle":"","parse-names":false,"suffix":""},{"dropping-particle":"","family":"Kreutz","given":"Reinhold","non-dropping-particle":"","parse-names":false,"suffix":""},{"dropping-particle":"","family":"Laurent","given":"Stephane","non-dropping-particle":"","parse-names":false,"suffix":""},{"dropping-particle":"","family":"Lip","given":"Gregory Y.H.","non-dropping-particle":"","parse-names":false,"suffix":""},{"dropping-particle":"","family":"McManus","given":"Richard","non-dropping-particle":"","parse-names":false,"suffix":""},{"dropping-particle":"","family":"Narkiewicz","given":"Krzysztof","non-dropping-particle":"","parse-names":false,"suffix":""},{"dropping-particle":"","family":"Ruschitzka","given":"Frank","non-dropping-particle":"","parse-names":false,"suffix":""},{"dropping-particle":"","family":"Schmieder","given":"Roland","non-dropping-particle":"","parse-names":false,"suffix":""},{"dropping-particle":"","family":"Shlyakhto","given":"Evgeny","non-dropping-particle":"","parse-names":false,"suffix":""},{"dropping-particle":"","family":"Tsioufis","given":"Konstantinos","non-dropping-particle":"","parse-names":false,"suffix":""},{"dropping-particle":"","family":"Aboyans","given":"Victor","non-dropping-particle":"","parse-names":false,"suffix":""},{"dropping-particle":"","family":"Desormais","given":"Ileana","non-dropping-particle":"","parse-names":false,"suffix":""}],"container-title":"Journal of Hypertension","id":"ITEM-1","issue":"12","issued":{"date-parts":[["2018","12"]]},"page":"1953-2041","title":"2018 Practice Guidelines for the management of arterial hypertension of the European Society of Cardiology and the European Society of Hypertension","type":"article-journal","volume":"36"},"uris":["http://www.mendeley.com/documents/?uuid=5a3b9d5c-e1e6-414e-aefe-3ae5567a180d"]}],"mendeley":{"formattedCitation":"[148]","manualFormatting":"[148, р. 1960]","plainTextFormattedCitation":"[148]","previouslyFormattedCitation":"[148]"},"properties":{"noteIndex":0},"schema":"https://github.com/citation-style-language/schema/raw/master/csl-citation.json"}</w:instrText>
      </w:r>
      <w:r>
        <w:rPr>
          <w:rFonts w:ascii="Times New Roman" w:hAnsi="Times New Roman" w:cs="Times New Roman"/>
          <w:sz w:val="28"/>
          <w:szCs w:val="28"/>
        </w:rPr>
        <w:fldChar w:fldCharType="separate"/>
      </w:r>
      <w:r w:rsidR="006D6525" w:rsidRPr="006D6525">
        <w:rPr>
          <w:rFonts w:ascii="Times New Roman" w:hAnsi="Times New Roman" w:cs="Times New Roman"/>
          <w:noProof/>
          <w:sz w:val="28"/>
          <w:szCs w:val="28"/>
        </w:rPr>
        <w:t>[148</w:t>
      </w:r>
      <w:r w:rsidR="006D6525">
        <w:rPr>
          <w:rFonts w:ascii="Times New Roman" w:hAnsi="Times New Roman" w:cs="Times New Roman"/>
          <w:noProof/>
          <w:sz w:val="28"/>
          <w:szCs w:val="28"/>
        </w:rPr>
        <w:t>, р. 1960</w:t>
      </w:r>
      <w:r w:rsidR="006D6525" w:rsidRPr="006D6525">
        <w:rPr>
          <w:rFonts w:ascii="Times New Roman" w:hAnsi="Times New Roman" w:cs="Times New Roman"/>
          <w:noProof/>
          <w:sz w:val="28"/>
          <w:szCs w:val="28"/>
        </w:rPr>
        <w:t>]</w:t>
      </w:r>
      <w:r>
        <w:rPr>
          <w:rFonts w:ascii="Times New Roman" w:hAnsi="Times New Roman" w:cs="Times New Roman"/>
          <w:sz w:val="28"/>
          <w:szCs w:val="28"/>
        </w:rPr>
        <w:fldChar w:fldCharType="end"/>
      </w:r>
      <w:r>
        <w:rPr>
          <w:rFonts w:ascii="Times New Roman" w:hAnsi="Times New Roman" w:cs="Times New Roman"/>
          <w:sz w:val="28"/>
          <w:szCs w:val="28"/>
        </w:rPr>
        <w:t xml:space="preserve">. Перед измерением АД, </w:t>
      </w:r>
      <w:r w:rsidR="00C52AFD">
        <w:rPr>
          <w:rFonts w:ascii="Times New Roman" w:hAnsi="Times New Roman" w:cs="Times New Roman"/>
          <w:sz w:val="28"/>
          <w:szCs w:val="28"/>
        </w:rPr>
        <w:t>респондент</w:t>
      </w:r>
      <w:r>
        <w:rPr>
          <w:rFonts w:ascii="Times New Roman" w:hAnsi="Times New Roman" w:cs="Times New Roman"/>
          <w:sz w:val="28"/>
          <w:szCs w:val="28"/>
        </w:rPr>
        <w:t xml:space="preserve"> обязательно сидел несколько минут в спокойной обстановке. Далее измерение</w:t>
      </w:r>
      <w:r w:rsidR="000806D3">
        <w:rPr>
          <w:rFonts w:ascii="Times New Roman" w:hAnsi="Times New Roman" w:cs="Times New Roman"/>
          <w:sz w:val="28"/>
          <w:szCs w:val="28"/>
        </w:rPr>
        <w:t xml:space="preserve"> </w:t>
      </w:r>
      <w:r>
        <w:rPr>
          <w:rFonts w:ascii="Times New Roman" w:hAnsi="Times New Roman" w:cs="Times New Roman"/>
          <w:sz w:val="28"/>
          <w:szCs w:val="28"/>
        </w:rPr>
        <w:t xml:space="preserve">АД проводилось в положении сидя на обеих руках два раза с интервалом в 1-2 минуты, чтобы выявить его возможную разницу. Использовался аускультативный метод, при котором САД и ДАД фиксировались в фазы I и V (исчезновение) тонов Короткова, соответственно. При выявлении разницы ориентировались на более высокое значение АД </w:t>
      </w:r>
      <w:r>
        <w:rPr>
          <w:rFonts w:ascii="Times New Roman" w:hAnsi="Times New Roman" w:cs="Times New Roman"/>
          <w:sz w:val="28"/>
          <w:szCs w:val="28"/>
        </w:rPr>
        <w:fldChar w:fldCharType="begin" w:fldLock="1"/>
      </w:r>
      <w:r w:rsidR="006D6525">
        <w:rPr>
          <w:rFonts w:ascii="Times New Roman" w:hAnsi="Times New Roman" w:cs="Times New Roman"/>
          <w:sz w:val="28"/>
          <w:szCs w:val="28"/>
        </w:rPr>
        <w:instrText>ADDIN CSL_CITATION {"citationItems":[{"id":"ITEM-1","itemData":{"DOI":"10.1097/HJH.0000000000001961","ISBN":"0000000000","ISSN":"0263-6352","PMID":"30379783","abstract":"Blood pressure, epidemiology and risk. Globally, over 1 billion people have hypertension. As populations age and adopt more sedentary lifestyles, the worldwide prevalence of hypertension will continue to rise towards 1.5 billion by 2025. Elevated blood pressure (BP) is the leading global contributor to premature death, accounting for almost 10 million deaths in 2015, 4.9 million due to ischaemic heart disease and 3.5 million due to stroke. Hypertension is also a major risk factor for heart failure, atrial fibrillation, chronic kidney disease (CKD), peripheral artery disease (PAD) and cognitive decline. 2. Definition of hypertension. The classification of BP and the definition of hypertension is unchanged from previous European guidelines, and is defined as an office SBP at least 140 mmHg and/or DBP at least 90 mmHg, which is equivalent to a 24-h ABPM average of at least 130/80 mmHg, or a home blood pressure monitoring (HBPM) average at least 135/ 85 mmHg. 3. Screening and diagnosis of hypertension. Hypertension is usually asymptomatic (hence the term 'silent killer'). Because of its high prevalence, screening programmes should be established to ensure that BP is measured in all adults, at least every 5 years and more frequently in people with a high-normal BP. When hypertension is suspected because of an elevated screening BP, the diagnosis of hypertension should be confirmed either by repeated office BP measurements, over a number of visits, or by out-of-office BP measurement using 24-h ABPM or by HBPM. 4. The importance of cardiovascular risk assessment and detection of HMOD. Other cardiovascular risk factors such as dyslipidaemia and metabolic syndrome frequently cluster with hypertension. Thus, unless the patient is already at high or very high risk due to established CVD, formal cardiovascular risk assessment is recommended using the SCORE system. It is important to recognize, however, that the presence of HMOD, especially left ventricular hypertrophy (LVH), chronic kidney disease (CKD) or advanced retinopathy, further increases the risk of cardiovascular morbidity and mortality, and should be screened for as part of risk assessment in hypertensive patients because the SCORE system alone may underestimate their risk. 5. Think - could this patient have secondary hypertension? For most people with hypertension, no underlying cause will be detected. Secondary (and potentially remediable) causes of hypertension are more likely to be present in people w…","author":[{"dropping-particle":"","family":"Williams","given":"Bryan","non-dropping-particle":"","parse-names":false,"suffix":""},{"dropping-particle":"","family":"Mancia","given":"Giuseppe","non-dropping-particle":"","parse-names":false,"suffix":""},{"dropping-particle":"","family":"Spiering","given":"Wilko","non-dropping-particle":"","parse-names":false,"suffix":""},{"dropping-particle":"","family":"Agabiti Rosei","given":"Enrico","non-dropping-particle":"","parse-names":false,"suffix":""},{"dropping-particle":"","family":"Azizi","given":"Michel","non-dropping-particle":"","parse-names":false,"suffix":""},{"dropping-particle":"","family":"Burnier","given":"Michel","non-dropping-particle":"","parse-names":false,"suffix":""},{"dropping-particle":"","family":"Clement","given":"Denis","non-dropping-particle":"","parse-names":false,"suffix":""},{"dropping-particle":"","family":"Coca","given":"Antonio","non-dropping-particle":"","parse-names":false,"suffix":""},{"dropping-particle":"","family":"Simone","given":"Giovanni","non-dropping-particle":"De","parse-names":false,"suffix":""},{"dropping-particle":"","family":"Dominiczak","given":"Anna","non-dropping-particle":"","parse-names":false,"suffix":""},{"dropping-particle":"","family":"Kahan","given":"Thomas","non-dropping-particle":"","parse-names":false,"suffix":""},{"dropping-particle":"","family":"Mahfoud","given":"Felix","non-dropping-particle":"","parse-names":false,"suffix":""},{"dropping-particle":"","family":"Redon","given":"Josep","non-dropping-particle":"","parse-names":false,"suffix":""},{"dropping-particle":"","family":"Ruilope","given":"Luis","non-dropping-particle":"","parse-names":false,"suffix":""},{"dropping-particle":"","family":"Zanchetti","given":"Alberto","non-dropping-particle":"","parse-names":false,"suffix":""},{"dropping-particle":"","family":"Kerins","given":"Mary","non-dropping-particle":"","parse-names":false,"suffix":""},{"dropping-particle":"","family":"Kjeldsen","given":"Sverre","non-dropping-particle":"","parse-names":false,"suffix":""},{"dropping-particle":"","family":"Kreutz","given":"Reinhold","non-dropping-particle":"","parse-names":false,"suffix":""},{"dropping-particle":"","family":"Laurent","given":"Stephane","non-dropping-particle":"","parse-names":false,"suffix":""},{"dropping-particle":"","family":"Lip","given":"Gregory Y.H.","non-dropping-particle":"","parse-names":false,"suffix":""},{"dropping-particle":"","family":"McManus","given":"Richard","non-dropping-particle":"","parse-names":false,"suffix":""},{"dropping-particle":"","family":"Narkiewicz","given":"Krzysztof","non-dropping-particle":"","parse-names":false,"suffix":""},{"dropping-particle":"","family":"Ruschitzka","given":"Frank","non-dropping-particle":"","parse-names":false,"suffix":""},{"dropping-particle":"","family":"Schmieder","given":"Roland","non-dropping-particle":"","parse-names":false,"suffix":""},{"dropping-particle":"","family":"Shlyakhto","given":"Evgeny","non-dropping-particle":"","parse-names":false,"suffix":""},{"dropping-particle":"","family":"Tsioufis","given":"Konstantinos","non-dropping-particle":"","parse-names":false,"suffix":""},{"dropping-particle":"","family":"Aboyans","given":"Victor","non-dropping-particle":"","parse-names":false,"suffix":""},{"dropping-particle":"","family":"Desormais","given":"Ileana","non-dropping-particle":"","parse-names":false,"suffix":""}],"container-title":"Journal of Hypertension","id":"ITEM-1","issue":"12","issued":{"date-parts":[["2018","12"]]},"page":"1953-2041","title":"2018 Practice Guidelines for the management of arterial hypertension of the European Society of Cardiology and the European Society of Hypertension","type":"article-journal","volume":"36"},"uris":["http://www.mendeley.com/documents/?uuid=5a3b9d5c-e1e6-414e-aefe-3ae5567a180d"]}],"mendeley":{"formattedCitation":"[148]","manualFormatting":"[148, р. 1960]","plainTextFormattedCitation":"[148]","previouslyFormattedCitation":"[148]"},"properties":{"noteIndex":0},"schema":"https://github.com/citation-style-language/schema/raw/master/csl-citation.json"}</w:instrText>
      </w:r>
      <w:r>
        <w:rPr>
          <w:rFonts w:ascii="Times New Roman" w:hAnsi="Times New Roman" w:cs="Times New Roman"/>
          <w:sz w:val="28"/>
          <w:szCs w:val="28"/>
        </w:rPr>
        <w:fldChar w:fldCharType="separate"/>
      </w:r>
      <w:r w:rsidR="006D6525" w:rsidRPr="006D6525">
        <w:rPr>
          <w:rFonts w:ascii="Times New Roman" w:hAnsi="Times New Roman" w:cs="Times New Roman"/>
          <w:noProof/>
          <w:sz w:val="28"/>
          <w:szCs w:val="28"/>
        </w:rPr>
        <w:t>[148</w:t>
      </w:r>
      <w:r w:rsidR="006D6525">
        <w:rPr>
          <w:rFonts w:ascii="Times New Roman" w:hAnsi="Times New Roman" w:cs="Times New Roman"/>
          <w:noProof/>
          <w:sz w:val="28"/>
          <w:szCs w:val="28"/>
        </w:rPr>
        <w:t>, р. 1960</w:t>
      </w:r>
      <w:r w:rsidR="006D6525" w:rsidRPr="006D6525">
        <w:rPr>
          <w:rFonts w:ascii="Times New Roman" w:hAnsi="Times New Roman" w:cs="Times New Roman"/>
          <w:noProof/>
          <w:sz w:val="28"/>
          <w:szCs w:val="28"/>
        </w:rPr>
        <w:t>]</w:t>
      </w:r>
      <w:r>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AB12B3" w:rsidP="00AB12B3">
      <w:pPr>
        <w:spacing w:after="0" w:line="24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II этап </w:t>
      </w:r>
    </w:p>
    <w:p w:rsidR="00AB12B3" w:rsidRDefault="00AB12B3" w:rsidP="00AB12B3">
      <w:pPr>
        <w:spacing w:after="0" w:line="240" w:lineRule="auto"/>
        <w:ind w:firstLine="567"/>
        <w:jc w:val="both"/>
        <w:rPr>
          <w:rFonts w:ascii="Times New Roman" w:eastAsia="Times New Roman" w:hAnsi="Times New Roman" w:cs="Times New Roman"/>
          <w:sz w:val="28"/>
          <w:szCs w:val="28"/>
        </w:rPr>
      </w:pPr>
      <w:r>
        <w:rPr>
          <w:rFonts w:ascii="Times New Roman" w:hAnsi="Times New Roman" w:cs="Times New Roman"/>
          <w:sz w:val="28"/>
          <w:szCs w:val="28"/>
        </w:rPr>
        <w:t xml:space="preserve">Анкетирование </w:t>
      </w:r>
      <w:r w:rsidR="00D7361B">
        <w:rPr>
          <w:rFonts w:ascii="Times New Roman" w:hAnsi="Times New Roman" w:cs="Times New Roman"/>
          <w:sz w:val="28"/>
          <w:szCs w:val="28"/>
        </w:rPr>
        <w:t>участников исследования</w:t>
      </w:r>
      <w:r>
        <w:rPr>
          <w:rFonts w:ascii="Times New Roman" w:hAnsi="Times New Roman" w:cs="Times New Roman"/>
          <w:sz w:val="28"/>
          <w:szCs w:val="28"/>
        </w:rPr>
        <w:t>, получение информированного письменного согласия на участие в исследовании (согласно Хельсин</w:t>
      </w:r>
      <w:r w:rsidR="000806D3">
        <w:rPr>
          <w:rFonts w:ascii="Times New Roman" w:hAnsi="Times New Roman" w:cs="Times New Roman"/>
          <w:sz w:val="28"/>
          <w:szCs w:val="28"/>
        </w:rPr>
        <w:t>к</w:t>
      </w:r>
      <w:r>
        <w:rPr>
          <w:rFonts w:ascii="Times New Roman" w:hAnsi="Times New Roman" w:cs="Times New Roman"/>
          <w:sz w:val="28"/>
          <w:szCs w:val="28"/>
        </w:rPr>
        <w:t>ской декларации В</w:t>
      </w:r>
      <w:r w:rsidR="005B088A">
        <w:rPr>
          <w:rFonts w:ascii="Times New Roman" w:hAnsi="Times New Roman" w:cs="Times New Roman"/>
          <w:sz w:val="28"/>
          <w:szCs w:val="28"/>
          <w:lang w:val="kk-KZ"/>
        </w:rPr>
        <w:t>ОЗ</w:t>
      </w:r>
      <w:r>
        <w:rPr>
          <w:rFonts w:ascii="Times New Roman" w:hAnsi="Times New Roman" w:cs="Times New Roman"/>
          <w:sz w:val="28"/>
          <w:szCs w:val="28"/>
        </w:rPr>
        <w:t>)</w:t>
      </w:r>
      <w:r w:rsidR="003D6192">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6D6525">
        <w:rPr>
          <w:rFonts w:ascii="Times New Roman" w:hAnsi="Times New Roman" w:cs="Times New Roman"/>
          <w:sz w:val="28"/>
          <w:szCs w:val="28"/>
        </w:rPr>
        <w:instrText>ADDIN CSL_CITATION {"citationItems":[{"id":"ITEM-1","itemData":{"DOI":"10.1007/978-3-211-89836-9_367","ISSN":"0277-8459","PMID":"11642954","abstract":"Recommendations guiding physicians in biomedical research involving human subjects.","author":[{"dropping-particle":"","family":"World Medical Association","given":"","non-dropping-particle":"","parse-names":false,"suffix":""}],"container-title":"Law, medicine &amp; health care : a publication of the American Society of Law &amp; Medicine","id":"ITEM-1","issue":"3-4","issued":{"date-parts":[["2009"]]},"page":"264-5","publisher":"Springer Vienna","publisher-place":"Vienna","title":"Declaration of Helsinki.","type":"article-journal","volume":"19"},"uris":["http://www.mendeley.com/documents/?uuid=12734156-79c5-46ea-ad85-5086452cfe56"]}],"mendeley":{"formattedCitation":"[9]","manualFormatting":"[9, р. 373]","plainTextFormattedCitation":"[9]","previouslyFormattedCitation":"[9]"},"properties":{"noteIndex":0},"schema":"https://github.com/citation-style-language/schema/raw/master/csl-citation.json"}</w:instrText>
      </w:r>
      <w:r w:rsidR="00EA0E64">
        <w:rPr>
          <w:rFonts w:ascii="Times New Roman" w:hAnsi="Times New Roman" w:cs="Times New Roman"/>
          <w:sz w:val="28"/>
          <w:szCs w:val="28"/>
        </w:rPr>
        <w:fldChar w:fldCharType="separate"/>
      </w:r>
      <w:r w:rsidR="006D6525" w:rsidRPr="006D6525">
        <w:rPr>
          <w:rFonts w:ascii="Times New Roman" w:hAnsi="Times New Roman" w:cs="Times New Roman"/>
          <w:noProof/>
          <w:sz w:val="28"/>
          <w:szCs w:val="28"/>
        </w:rPr>
        <w:t>[9</w:t>
      </w:r>
      <w:r w:rsidR="006D6525">
        <w:rPr>
          <w:rFonts w:ascii="Times New Roman" w:hAnsi="Times New Roman" w:cs="Times New Roman"/>
          <w:noProof/>
          <w:sz w:val="28"/>
          <w:szCs w:val="28"/>
        </w:rPr>
        <w:t>, р. 373</w:t>
      </w:r>
      <w:r w:rsidR="006D6525" w:rsidRPr="006D6525">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r>
        <w:rPr>
          <w:rFonts w:ascii="Times New Roman" w:eastAsia="Times New Roman" w:hAnsi="Times New Roman" w:cs="Times New Roman"/>
          <w:sz w:val="28"/>
          <w:szCs w:val="28"/>
        </w:rPr>
        <w:t>Был</w:t>
      </w:r>
      <w:r w:rsidR="00E95E7F">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получен</w:t>
      </w:r>
      <w:r w:rsidR="00E95E7F">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информированное согласие пациентов на участие в исследовании.</w:t>
      </w:r>
    </w:p>
    <w:p w:rsidR="008A1AFE" w:rsidRDefault="00AB12B3" w:rsidP="008A1AF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Анкетирование </w:t>
      </w:r>
      <w:r w:rsidR="00C52AFD">
        <w:rPr>
          <w:rFonts w:ascii="Times New Roman" w:eastAsia="Times New Roman" w:hAnsi="Times New Roman" w:cs="Times New Roman"/>
          <w:sz w:val="28"/>
          <w:szCs w:val="28"/>
        </w:rPr>
        <w:t>участник</w:t>
      </w:r>
      <w:r w:rsidR="008A1AFE">
        <w:rPr>
          <w:rFonts w:ascii="Times New Roman" w:eastAsia="Times New Roman" w:hAnsi="Times New Roman" w:cs="Times New Roman"/>
          <w:sz w:val="28"/>
          <w:szCs w:val="28"/>
        </w:rPr>
        <w:t>ов проводилось по трем блокам</w:t>
      </w:r>
      <w:r w:rsidR="00624769">
        <w:rPr>
          <w:rFonts w:ascii="Times New Roman" w:eastAsia="Times New Roman" w:hAnsi="Times New Roman" w:cs="Times New Roman"/>
          <w:sz w:val="28"/>
          <w:szCs w:val="28"/>
        </w:rPr>
        <w:t xml:space="preserve"> </w:t>
      </w:r>
      <w:r w:rsidR="00624769">
        <w:rPr>
          <w:rFonts w:ascii="Times New Roman" w:eastAsia="Times New Roman" w:hAnsi="Times New Roman" w:cs="Times New Roman"/>
          <w:sz w:val="28"/>
          <w:szCs w:val="28"/>
        </w:rPr>
        <w:fldChar w:fldCharType="begin" w:fldLock="1"/>
      </w:r>
      <w:r w:rsidR="00624769">
        <w:rPr>
          <w:rFonts w:ascii="Times New Roman" w:eastAsia="Times New Roman" w:hAnsi="Times New Roman" w:cs="Times New Roman"/>
          <w:sz w:val="28"/>
          <w:szCs w:val="28"/>
        </w:rPr>
        <w:instrText>ADDIN CSL_CITATION {"citationItems":[{"id":"ITEM-1","itemData":{"author":[{"dropping-particle":"","family":"Нуртазина","given":"Алма У","non-dropping-particle":"","parse-names":false,"suffix":""},{"dropping-particle":"","family":"Аукенов","given":"Нурлан Е","non-dropping-particle":"","parse-names":false,"suffix":""},{"dropping-particle":"","family":"Шаханова","given":"Айжан Т","non-dropping-particle":"","parse-names":false,"suffix":""},{"dropping-particle":"","family":"Кожахметова","given":"Дана К","non-dropping-particle":"","parse-names":false,"suffix":""}],"container-title":"Свидетельство о государственной регистрации прав на объект авторского права","id":"ITEM-1","issued":{"date-parts":[["2018"]]},"page":"1-2","title":"Оценка факторов риска развития артериальной гипертензии и метаболического синдрома в казахской популяции на амбулаторном этапе","type":"article-journal"},"uris":["http://www.mendeley.com/documents/?uuid=27be54b1-2cf9-45d2-8753-9cc2bb706d2c"]}],"mendeley":{"formattedCitation":"[150]","plainTextFormattedCitation":"[150]","previouslyFormattedCitation":"[150]"},"properties":{"noteIndex":0},"schema":"https://github.com/citation-style-language/schema/raw/master/csl-citation.json"}</w:instrText>
      </w:r>
      <w:r w:rsidR="00624769">
        <w:rPr>
          <w:rFonts w:ascii="Times New Roman" w:eastAsia="Times New Roman" w:hAnsi="Times New Roman" w:cs="Times New Roman"/>
          <w:sz w:val="28"/>
          <w:szCs w:val="28"/>
        </w:rPr>
        <w:fldChar w:fldCharType="separate"/>
      </w:r>
      <w:r w:rsidR="00624769" w:rsidRPr="00624769">
        <w:rPr>
          <w:rFonts w:ascii="Times New Roman" w:eastAsia="Times New Roman" w:hAnsi="Times New Roman" w:cs="Times New Roman"/>
          <w:noProof/>
          <w:sz w:val="28"/>
          <w:szCs w:val="28"/>
        </w:rPr>
        <w:t>[150]</w:t>
      </w:r>
      <w:r w:rsidR="00624769">
        <w:rPr>
          <w:rFonts w:ascii="Times New Roman" w:eastAsia="Times New Roman" w:hAnsi="Times New Roman" w:cs="Times New Roman"/>
          <w:sz w:val="28"/>
          <w:szCs w:val="28"/>
        </w:rPr>
        <w:fldChar w:fldCharType="end"/>
      </w:r>
      <w:r w:rsidR="008A1AFE">
        <w:rPr>
          <w:rFonts w:ascii="Times New Roman" w:eastAsia="Times New Roman" w:hAnsi="Times New Roman" w:cs="Times New Roman"/>
          <w:sz w:val="28"/>
          <w:szCs w:val="28"/>
        </w:rPr>
        <w:t>:</w:t>
      </w:r>
    </w:p>
    <w:p w:rsidR="008A1AFE" w:rsidRDefault="00AB12B3" w:rsidP="008A1AFE">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1 – паспортные данные, измерение роста, веса с последующим расчетом </w:t>
      </w:r>
      <w:r w:rsidR="004F4D77">
        <w:rPr>
          <w:rFonts w:ascii="Times New Roman" w:eastAsia="Times New Roman" w:hAnsi="Times New Roman" w:cs="Times New Roman"/>
          <w:sz w:val="28"/>
          <w:szCs w:val="28"/>
        </w:rPr>
        <w:t>ИМТ</w:t>
      </w:r>
      <w:r>
        <w:rPr>
          <w:rFonts w:ascii="Times New Roman" w:eastAsia="Times New Roman" w:hAnsi="Times New Roman" w:cs="Times New Roman"/>
          <w:sz w:val="28"/>
          <w:szCs w:val="28"/>
        </w:rPr>
        <w:t>, окружности талии</w:t>
      </w:r>
      <w:r w:rsidR="001166B8">
        <w:rPr>
          <w:rFonts w:ascii="Century" w:hAnsi="Century" w:cs="Times New Roman"/>
          <w:sz w:val="28"/>
          <w:szCs w:val="28"/>
        </w:rPr>
        <w:t>,</w:t>
      </w:r>
      <w:r>
        <w:rPr>
          <w:rFonts w:ascii="Times New Roman" w:hAnsi="Times New Roman" w:cs="Times New Roman"/>
          <w:sz w:val="28"/>
          <w:szCs w:val="28"/>
        </w:rPr>
        <w:t xml:space="preserve"> </w:t>
      </w:r>
      <w:r>
        <w:rPr>
          <w:rFonts w:ascii="Times New Roman" w:eastAsia="Times New Roman" w:hAnsi="Times New Roman" w:cs="Times New Roman"/>
          <w:sz w:val="28"/>
          <w:szCs w:val="28"/>
        </w:rPr>
        <w:t>измерение АД по методу Короткова</w:t>
      </w:r>
      <w:r w:rsidR="001166B8">
        <w:rPr>
          <w:rFonts w:ascii="Century" w:eastAsia="Times New Roman" w:hAnsi="Century" w:cs="Times New Roman"/>
          <w:sz w:val="28"/>
          <w:szCs w:val="28"/>
        </w:rPr>
        <w:t>,</w:t>
      </w:r>
      <w:r>
        <w:rPr>
          <w:rFonts w:ascii="Times New Roman" w:eastAsia="Times New Roman" w:hAnsi="Times New Roman" w:cs="Times New Roman"/>
          <w:sz w:val="28"/>
          <w:szCs w:val="28"/>
        </w:rPr>
        <w:t xml:space="preserve"> подсчет пульса в покое</w:t>
      </w:r>
      <w:r w:rsidR="001166B8">
        <w:rPr>
          <w:rFonts w:ascii="Century" w:eastAsia="Times New Roman" w:hAnsi="Century" w:cs="Times New Roman"/>
          <w:sz w:val="28"/>
          <w:szCs w:val="28"/>
        </w:rPr>
        <w:t>,</w:t>
      </w:r>
      <w:r>
        <w:rPr>
          <w:rFonts w:ascii="Times New Roman" w:eastAsia="Times New Roman" w:hAnsi="Times New Roman" w:cs="Times New Roman"/>
          <w:sz w:val="28"/>
          <w:szCs w:val="28"/>
        </w:rPr>
        <w:t xml:space="preserve"> уровень образования</w:t>
      </w:r>
      <w:r w:rsidR="001166B8">
        <w:rPr>
          <w:rFonts w:ascii="Century" w:eastAsia="Times New Roman" w:hAnsi="Century" w:cs="Times New Roman"/>
          <w:sz w:val="28"/>
          <w:szCs w:val="28"/>
        </w:rPr>
        <w:t>,</w:t>
      </w:r>
      <w:r>
        <w:rPr>
          <w:rFonts w:ascii="Times New Roman" w:eastAsia="Times New Roman" w:hAnsi="Times New Roman" w:cs="Times New Roman"/>
          <w:sz w:val="28"/>
          <w:szCs w:val="28"/>
        </w:rPr>
        <w:t xml:space="preserve"> дохода</w:t>
      </w:r>
      <w:r w:rsidR="001166B8">
        <w:rPr>
          <w:rFonts w:ascii="Century" w:eastAsia="Times New Roman" w:hAnsi="Century" w:cs="Times New Roman"/>
          <w:sz w:val="28"/>
          <w:szCs w:val="28"/>
        </w:rPr>
        <w:t>.</w:t>
      </w:r>
      <w:r>
        <w:rPr>
          <w:rFonts w:ascii="Times New Roman" w:eastAsia="Times New Roman" w:hAnsi="Times New Roman" w:cs="Times New Roman"/>
          <w:sz w:val="28"/>
          <w:szCs w:val="28"/>
        </w:rPr>
        <w:t xml:space="preserve"> </w:t>
      </w:r>
    </w:p>
    <w:p w:rsidR="008A1AFE" w:rsidRDefault="008A1AFE" w:rsidP="008A1AFE">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2 </w:t>
      </w:r>
      <w:r w:rsidR="00AB12B3">
        <w:rPr>
          <w:rFonts w:ascii="Times New Roman" w:eastAsia="Times New Roman" w:hAnsi="Times New Roman" w:cs="Times New Roman"/>
          <w:sz w:val="28"/>
          <w:szCs w:val="28"/>
        </w:rPr>
        <w:t>– анамнестические данные, в том числе вредные привычки (курение, употребление алкоголя, низкая физическая активность) и отягощенная наследственность по ССЗ (ИБС, АГ, инсульт) и по СД.</w:t>
      </w:r>
    </w:p>
    <w:p w:rsidR="00AB12B3" w:rsidRDefault="008A1AFE" w:rsidP="008A1AF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lastRenderedPageBreak/>
        <w:t xml:space="preserve">3 </w:t>
      </w:r>
      <w:r w:rsidR="00AB12B3">
        <w:rPr>
          <w:rFonts w:ascii="Times New Roman" w:hAnsi="Times New Roman" w:cs="Times New Roman"/>
          <w:sz w:val="28"/>
          <w:szCs w:val="28"/>
        </w:rPr>
        <w:t>– анкетирование.</w:t>
      </w:r>
    </w:p>
    <w:p w:rsidR="00AB12B3" w:rsidRDefault="00AB12B3" w:rsidP="00AB12B3">
      <w:pPr>
        <w:spacing w:after="0" w:line="240" w:lineRule="auto"/>
        <w:ind w:firstLine="567"/>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Анкеты прилагаются (приложение </w:t>
      </w:r>
      <w:r w:rsidR="002445C8">
        <w:rPr>
          <w:rFonts w:ascii="Times New Roman" w:eastAsia="Times New Roman" w:hAnsi="Times New Roman" w:cs="Times New Roman"/>
          <w:sz w:val="28"/>
          <w:szCs w:val="28"/>
        </w:rPr>
        <w:t>В</w:t>
      </w:r>
      <w:r w:rsidRPr="00F02584">
        <w:rPr>
          <w:rFonts w:ascii="Times New Roman" w:eastAsia="Times New Roman" w:hAnsi="Times New Roman" w:cs="Times New Roman"/>
          <w:sz w:val="28"/>
          <w:szCs w:val="28"/>
        </w:rPr>
        <w:t xml:space="preserve">). </w:t>
      </w:r>
    </w:p>
    <w:p w:rsidR="00AB12B3" w:rsidRDefault="00AB12B3" w:rsidP="00AB12B3">
      <w:pPr>
        <w:spacing w:after="0" w:line="24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III этап</w:t>
      </w:r>
    </w:p>
    <w:p w:rsidR="00CC2ECF" w:rsidRDefault="00CC2ECF" w:rsidP="00CC2EC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Отобранные участники направлялись на лабораторное обследование на определение уровней инсулина, апоА1, апоВ в сыворотке крови, которое проводилось в КДЛ «Олимп», являющейся субъектом, аккредитованным согласно стандартам ISO 15189:2012. Определение уровня глюкозы, ОХС, ЛПНП, ЛПВП и ТГ проводилось в </w:t>
      </w:r>
      <w:r w:rsidR="004C5DC6">
        <w:rPr>
          <w:rFonts w:ascii="Times New Roman" w:hAnsi="Times New Roman"/>
          <w:sz w:val="28"/>
          <w:szCs w:val="28"/>
        </w:rPr>
        <w:t>Центре научно-исследовательской лаборатории (ЦНИЛ)</w:t>
      </w:r>
      <w:r>
        <w:rPr>
          <w:rFonts w:ascii="Times New Roman" w:hAnsi="Times New Roman" w:cs="Times New Roman"/>
          <w:sz w:val="28"/>
          <w:szCs w:val="28"/>
        </w:rPr>
        <w:t xml:space="preserve"> НАО МУС.</w:t>
      </w:r>
    </w:p>
    <w:p w:rsidR="00CC2ECF" w:rsidRDefault="00CC2ECF" w:rsidP="00CC2EC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Предварительно </w:t>
      </w:r>
      <w:r w:rsidR="004F525C">
        <w:rPr>
          <w:rFonts w:ascii="Times New Roman" w:hAnsi="Times New Roman" w:cs="Times New Roman"/>
          <w:sz w:val="28"/>
          <w:szCs w:val="28"/>
        </w:rPr>
        <w:t>участникам</w:t>
      </w:r>
      <w:r w:rsidR="0075054A">
        <w:rPr>
          <w:rFonts w:ascii="Times New Roman" w:hAnsi="Times New Roman" w:cs="Times New Roman"/>
          <w:sz w:val="28"/>
          <w:szCs w:val="28"/>
        </w:rPr>
        <w:t xml:space="preserve"> исследования</w:t>
      </w:r>
      <w:r>
        <w:rPr>
          <w:rFonts w:ascii="Times New Roman" w:hAnsi="Times New Roman" w:cs="Times New Roman"/>
          <w:sz w:val="28"/>
          <w:szCs w:val="28"/>
        </w:rPr>
        <w:t xml:space="preserve"> объясняли условия подготовки к анализам:</w:t>
      </w:r>
    </w:p>
    <w:p w:rsidR="00CC2ECF" w:rsidRDefault="00CC2ECF" w:rsidP="00CC2EC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исключение прием жирной, жареной, острой пищи, кофе и алкоголя за 3 суток; </w:t>
      </w:r>
    </w:p>
    <w:p w:rsidR="00CC2ECF" w:rsidRDefault="00CC2ECF" w:rsidP="00CC2EC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Последний прием пищи был за 8-12 часов до забора крови в лаборатории; </w:t>
      </w:r>
    </w:p>
    <w:p w:rsidR="00CC2ECF" w:rsidRDefault="00CC2ECF" w:rsidP="00CC2EC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Пациенты воздержались от курения как минимум в течения 60-120 минут до забора крови;</w:t>
      </w:r>
    </w:p>
    <w:p w:rsidR="00CC2ECF" w:rsidRDefault="00CC2ECF" w:rsidP="00CC2EC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Избегали тяжелых физических нагрузок в течение 8 часов до проведения исследования; </w:t>
      </w:r>
    </w:p>
    <w:p w:rsidR="00CC2ECF" w:rsidRDefault="00CC2ECF" w:rsidP="00CC2EC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Не чистить зубы в день сдачи анализа;</w:t>
      </w:r>
    </w:p>
    <w:p w:rsidR="00CC2ECF" w:rsidRDefault="00CC2ECF" w:rsidP="00CC2EC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С утра не принимать никаких лекарственных средств;</w:t>
      </w:r>
    </w:p>
    <w:p w:rsidR="00CC2ECF" w:rsidRPr="00EA21E0" w:rsidRDefault="00CC2ECF" w:rsidP="00CC2EC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Перед проведением исследования пациент должен быть психологически спокоен.</w:t>
      </w:r>
    </w:p>
    <w:p w:rsidR="00AB12B3" w:rsidRDefault="00ED5E26" w:rsidP="00AB12B3">
      <w:pPr>
        <w:spacing w:after="0" w:line="24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IV этап</w:t>
      </w:r>
    </w:p>
    <w:p w:rsidR="00276A5E" w:rsidRDefault="00276A5E" w:rsidP="00276A5E">
      <w:pPr>
        <w:pStyle w:val="Standarduser"/>
        <w:ind w:firstLine="567"/>
        <w:jc w:val="both"/>
        <w:rPr>
          <w:sz w:val="28"/>
          <w:szCs w:val="28"/>
        </w:rPr>
      </w:pPr>
      <w:r>
        <w:rPr>
          <w:sz w:val="28"/>
          <w:szCs w:val="28"/>
        </w:rPr>
        <w:t>Забор образцов цельной крови проводился у всех участников исследования путем венепункции утром натощак. Образцы сыворотки были разделены центрифугированием, далее материал хранился при -80°С до проведения исследования.</w:t>
      </w:r>
    </w:p>
    <w:p w:rsidR="00CC2ECF" w:rsidRDefault="00CC2ECF" w:rsidP="00CC2ECF">
      <w:pPr>
        <w:pStyle w:val="Standarduser"/>
        <w:ind w:firstLine="567"/>
        <w:jc w:val="both"/>
        <w:rPr>
          <w:sz w:val="28"/>
          <w:szCs w:val="28"/>
        </w:rPr>
      </w:pPr>
      <w:r>
        <w:rPr>
          <w:sz w:val="28"/>
          <w:szCs w:val="28"/>
        </w:rPr>
        <w:t xml:space="preserve">Были определены полиморфизмы генов </w:t>
      </w:r>
      <w:r>
        <w:rPr>
          <w:i/>
          <w:sz w:val="28"/>
          <w:szCs w:val="28"/>
        </w:rPr>
        <w:t xml:space="preserve">LPL Ser447Ter (rs328), ADRB2 Gln27Glu (rs1042714), AGT Thr174Met (rs4762), AGTR1 A1166C (rs5186) </w:t>
      </w:r>
      <w:r>
        <w:rPr>
          <w:spacing w:val="2"/>
          <w:sz w:val="28"/>
          <w:szCs w:val="28"/>
        </w:rPr>
        <w:t>методом ПЦР в реальном времени</w:t>
      </w:r>
      <w:r>
        <w:rPr>
          <w:sz w:val="28"/>
          <w:szCs w:val="28"/>
        </w:rPr>
        <w:t>. Проводили лабораторное обследование, включающее определение уров</w:t>
      </w:r>
      <w:r w:rsidR="001B5411">
        <w:rPr>
          <w:sz w:val="28"/>
          <w:szCs w:val="28"/>
        </w:rPr>
        <w:t>ней</w:t>
      </w:r>
      <w:r>
        <w:rPr>
          <w:sz w:val="28"/>
          <w:szCs w:val="28"/>
        </w:rPr>
        <w:t xml:space="preserve"> ОХС, ЛПНП, ТГ, ЛПВП, глюкоз</w:t>
      </w:r>
      <w:r w:rsidR="001B5411">
        <w:rPr>
          <w:sz w:val="28"/>
          <w:szCs w:val="28"/>
        </w:rPr>
        <w:t>ы</w:t>
      </w:r>
      <w:r>
        <w:rPr>
          <w:sz w:val="28"/>
          <w:szCs w:val="28"/>
        </w:rPr>
        <w:t xml:space="preserve"> натощак, </w:t>
      </w:r>
      <w:r w:rsidR="004D1657">
        <w:rPr>
          <w:sz w:val="28"/>
          <w:szCs w:val="28"/>
        </w:rPr>
        <w:t>инсулин</w:t>
      </w:r>
      <w:r w:rsidR="001B5411">
        <w:rPr>
          <w:sz w:val="28"/>
          <w:szCs w:val="28"/>
        </w:rPr>
        <w:t>а</w:t>
      </w:r>
      <w:r w:rsidR="004D1657">
        <w:rPr>
          <w:sz w:val="28"/>
          <w:szCs w:val="28"/>
        </w:rPr>
        <w:t xml:space="preserve">, </w:t>
      </w:r>
      <w:r>
        <w:rPr>
          <w:sz w:val="28"/>
          <w:szCs w:val="28"/>
        </w:rPr>
        <w:t>апоА1 и апоВ в сыворотке крови.</w:t>
      </w:r>
    </w:p>
    <w:p w:rsidR="00CC2ECF" w:rsidRPr="00BC3DC7" w:rsidRDefault="00CC2ECF" w:rsidP="00CC2ECF">
      <w:pPr>
        <w:spacing w:after="0" w:line="240" w:lineRule="auto"/>
        <w:ind w:firstLine="567"/>
        <w:jc w:val="both"/>
        <w:rPr>
          <w:rFonts w:ascii="Times New Roman" w:eastAsia="Times New Roman" w:hAnsi="Times New Roman" w:cs="Times New Roman"/>
          <w:i/>
          <w:sz w:val="28"/>
          <w:szCs w:val="28"/>
        </w:rPr>
      </w:pPr>
      <w:r w:rsidRPr="00BC3DC7">
        <w:rPr>
          <w:rFonts w:ascii="Times New Roman" w:eastAsia="Times New Roman" w:hAnsi="Times New Roman" w:cs="Times New Roman"/>
          <w:i/>
          <w:sz w:val="28"/>
          <w:szCs w:val="28"/>
        </w:rPr>
        <w:t>V этап</w:t>
      </w:r>
    </w:p>
    <w:p w:rsidR="00AB12B3" w:rsidRDefault="00AB12B3" w:rsidP="00AB12B3">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Полученные данные были кодированы и вн</w:t>
      </w:r>
      <w:r w:rsidR="003A57A1">
        <w:rPr>
          <w:rFonts w:ascii="Times New Roman" w:eastAsia="Times New Roman" w:hAnsi="Times New Roman" w:cs="Times New Roman"/>
          <w:sz w:val="28"/>
          <w:szCs w:val="28"/>
        </w:rPr>
        <w:t>есены</w:t>
      </w:r>
      <w:r>
        <w:rPr>
          <w:rFonts w:ascii="Times New Roman" w:eastAsia="Times New Roman" w:hAnsi="Times New Roman" w:cs="Times New Roman"/>
          <w:sz w:val="28"/>
          <w:szCs w:val="28"/>
        </w:rPr>
        <w:t xml:space="preserve"> в единую базу, доступ к которой имел исследователь</w:t>
      </w:r>
      <w:r w:rsidR="003A57A1">
        <w:rPr>
          <w:rFonts w:ascii="Times New Roman" w:eastAsia="Times New Roman" w:hAnsi="Times New Roman" w:cs="Times New Roman"/>
          <w:sz w:val="28"/>
          <w:szCs w:val="28"/>
        </w:rPr>
        <w:t>, ответственный за электронную базу данных</w:t>
      </w:r>
      <w:r>
        <w:rPr>
          <w:rFonts w:ascii="Times New Roman" w:eastAsia="Times New Roman" w:hAnsi="Times New Roman" w:cs="Times New Roman"/>
          <w:sz w:val="28"/>
          <w:szCs w:val="28"/>
        </w:rPr>
        <w:t xml:space="preserve"> и руководитель исследования. </w:t>
      </w:r>
    </w:p>
    <w:p w:rsidR="00AB12B3" w:rsidRPr="00BC3DC7" w:rsidRDefault="00AB12B3" w:rsidP="00AB12B3">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Статистическая обработка результатов проводилось с использованием пакета </w:t>
      </w:r>
      <w:r>
        <w:rPr>
          <w:rFonts w:ascii="Times New Roman" w:hAnsi="Times New Roman" w:cs="Times New Roman"/>
          <w:sz w:val="28"/>
          <w:szCs w:val="28"/>
        </w:rPr>
        <w:t>IBM SPSS Statistics</w:t>
      </w:r>
      <w:r w:rsidR="00875A87">
        <w:rPr>
          <w:rFonts w:ascii="Times New Roman" w:hAnsi="Times New Roman" w:cs="Times New Roman"/>
          <w:sz w:val="28"/>
          <w:szCs w:val="28"/>
        </w:rPr>
        <w:t xml:space="preserve"> </w:t>
      </w:r>
      <w:r>
        <w:rPr>
          <w:rFonts w:ascii="Times New Roman" w:hAnsi="Times New Roman" w:cs="Times New Roman"/>
          <w:sz w:val="28"/>
          <w:szCs w:val="28"/>
        </w:rPr>
        <w:t>Version 20 (International</w:t>
      </w:r>
      <w:r w:rsidR="00875A87">
        <w:rPr>
          <w:rFonts w:ascii="Times New Roman" w:hAnsi="Times New Roman" w:cs="Times New Roman"/>
          <w:sz w:val="28"/>
          <w:szCs w:val="28"/>
        </w:rPr>
        <w:t xml:space="preserve"> </w:t>
      </w:r>
      <w:r>
        <w:rPr>
          <w:rFonts w:ascii="Times New Roman" w:hAnsi="Times New Roman" w:cs="Times New Roman"/>
          <w:sz w:val="28"/>
          <w:szCs w:val="28"/>
        </w:rPr>
        <w:t>Business</w:t>
      </w:r>
      <w:r w:rsidR="00875A87">
        <w:rPr>
          <w:rFonts w:ascii="Times New Roman" w:hAnsi="Times New Roman" w:cs="Times New Roman"/>
          <w:sz w:val="28"/>
          <w:szCs w:val="28"/>
        </w:rPr>
        <w:t xml:space="preserve"> </w:t>
      </w:r>
      <w:r>
        <w:rPr>
          <w:rFonts w:ascii="Times New Roman" w:hAnsi="Times New Roman" w:cs="Times New Roman"/>
          <w:sz w:val="28"/>
          <w:szCs w:val="28"/>
        </w:rPr>
        <w:t>Machines</w:t>
      </w:r>
      <w:r w:rsidR="00875A87">
        <w:rPr>
          <w:rFonts w:ascii="Times New Roman" w:hAnsi="Times New Roman" w:cs="Times New Roman"/>
          <w:sz w:val="28"/>
          <w:szCs w:val="28"/>
        </w:rPr>
        <w:t xml:space="preserve"> </w:t>
      </w:r>
      <w:r>
        <w:rPr>
          <w:rFonts w:ascii="Times New Roman" w:hAnsi="Times New Roman" w:cs="Times New Roman"/>
          <w:sz w:val="28"/>
          <w:szCs w:val="28"/>
        </w:rPr>
        <w:t>Corp., Армонк, Нью-Йорк, США</w:t>
      </w:r>
      <w:r w:rsidR="00AB67EC">
        <w:rPr>
          <w:rFonts w:ascii="Times New Roman" w:hAnsi="Times New Roman" w:cs="Times New Roman"/>
          <w:sz w:val="28"/>
          <w:szCs w:val="28"/>
        </w:rPr>
        <w:t>, 2011 год</w:t>
      </w:r>
      <w:r>
        <w:rPr>
          <w:rFonts w:ascii="Times New Roman" w:hAnsi="Times New Roman" w:cs="Times New Roman"/>
          <w:sz w:val="28"/>
          <w:szCs w:val="28"/>
        </w:rPr>
        <w:t xml:space="preserve">) и </w:t>
      </w:r>
      <w:r w:rsidRPr="00BC3DC7">
        <w:rPr>
          <w:rFonts w:ascii="Times New Roman" w:hAnsi="Times New Roman" w:cs="Times New Roman"/>
          <w:sz w:val="28"/>
          <w:szCs w:val="28"/>
        </w:rPr>
        <w:t>SNPStat</w:t>
      </w:r>
      <w:r w:rsidR="00AB67EC">
        <w:rPr>
          <w:rFonts w:ascii="Times New Roman" w:hAnsi="Times New Roman" w:cs="Times New Roman"/>
          <w:sz w:val="28"/>
          <w:szCs w:val="28"/>
        </w:rPr>
        <w:t xml:space="preserve"> версия 2.2.1 </w:t>
      </w:r>
      <w:r w:rsidRPr="00BC3DC7">
        <w:rPr>
          <w:rFonts w:ascii="Times New Roman" w:hAnsi="Times New Roman" w:cs="Times New Roman"/>
          <w:sz w:val="28"/>
          <w:szCs w:val="28"/>
        </w:rPr>
        <w:t>(</w:t>
      </w:r>
      <w:hyperlink r:id="rId19" w:history="1">
        <w:r w:rsidRPr="00BC3DC7">
          <w:rPr>
            <w:rStyle w:val="a3"/>
            <w:rFonts w:ascii="Times New Roman" w:hAnsi="Times New Roman" w:cs="Times New Roman"/>
            <w:sz w:val="28"/>
            <w:szCs w:val="28"/>
          </w:rPr>
          <w:t>SNPStats: yourwebtoolfor SNP analysis</w:t>
        </w:r>
      </w:hyperlink>
      <w:r w:rsidRPr="00BC3DC7">
        <w:rPr>
          <w:rFonts w:ascii="Times New Roman" w:hAnsi="Times New Roman" w:cs="Times New Roman"/>
          <w:sz w:val="28"/>
          <w:szCs w:val="28"/>
        </w:rPr>
        <w:t>)</w:t>
      </w:r>
      <w:r w:rsidRPr="00BC3DC7">
        <w:rPr>
          <w:rFonts w:ascii="Times New Roman" w:eastAsia="Times New Roman" w:hAnsi="Times New Roman" w:cs="Times New Roman"/>
          <w:sz w:val="28"/>
          <w:szCs w:val="28"/>
        </w:rPr>
        <w:t xml:space="preserve">. </w:t>
      </w:r>
    </w:p>
    <w:p w:rsidR="0041189E" w:rsidRDefault="0041189E" w:rsidP="00AB12B3">
      <w:pPr>
        <w:spacing w:after="0" w:line="240" w:lineRule="auto"/>
        <w:ind w:firstLine="708"/>
        <w:jc w:val="both"/>
        <w:rPr>
          <w:rFonts w:ascii="Times New Roman" w:hAnsi="Times New Roman"/>
          <w:b/>
          <w:sz w:val="28"/>
          <w:szCs w:val="28"/>
          <w:lang w:val="kk-KZ"/>
        </w:rPr>
      </w:pPr>
    </w:p>
    <w:p w:rsidR="0041189E" w:rsidRDefault="0041189E" w:rsidP="00AB12B3">
      <w:pPr>
        <w:spacing w:after="0" w:line="240" w:lineRule="auto"/>
        <w:ind w:firstLine="708"/>
        <w:jc w:val="both"/>
        <w:rPr>
          <w:rFonts w:ascii="Times New Roman" w:hAnsi="Times New Roman"/>
          <w:b/>
          <w:sz w:val="28"/>
          <w:szCs w:val="28"/>
        </w:rPr>
        <w:sectPr w:rsidR="0041189E">
          <w:pgSz w:w="11906" w:h="16838"/>
          <w:pgMar w:top="1134" w:right="850" w:bottom="1134" w:left="1701" w:header="708" w:footer="708" w:gutter="0"/>
          <w:cols w:space="720"/>
        </w:sectPr>
      </w:pPr>
    </w:p>
    <w:p w:rsidR="00AB12B3" w:rsidRDefault="00AB12B3" w:rsidP="00AB12B3">
      <w:pPr>
        <w:spacing w:after="0" w:line="240" w:lineRule="auto"/>
        <w:ind w:firstLine="708"/>
        <w:jc w:val="both"/>
        <w:rPr>
          <w:rFonts w:ascii="Times New Roman" w:hAnsi="Times New Roman"/>
          <w:b/>
          <w:sz w:val="28"/>
          <w:szCs w:val="28"/>
        </w:rPr>
      </w:pPr>
      <w:r>
        <w:rPr>
          <w:rFonts w:ascii="Times New Roman" w:hAnsi="Times New Roman"/>
          <w:b/>
          <w:sz w:val="28"/>
          <w:szCs w:val="28"/>
        </w:rPr>
        <w:lastRenderedPageBreak/>
        <w:t>2.2 Методы исследования</w:t>
      </w:r>
    </w:p>
    <w:p w:rsidR="00AB12B3" w:rsidRDefault="00AB12B3" w:rsidP="00AB12B3">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sz w:val="28"/>
          <w:szCs w:val="28"/>
        </w:rPr>
        <w:t>2.2.1 Методика выделения ДНК из образцов цельной крови и определение концентрации ДНК</w:t>
      </w:r>
    </w:p>
    <w:p w:rsidR="00AB12B3" w:rsidRDefault="00AB12B3" w:rsidP="00AB12B3">
      <w:pPr>
        <w:spacing w:after="0" w:line="240" w:lineRule="auto"/>
        <w:ind w:firstLine="708"/>
        <w:jc w:val="both"/>
        <w:rPr>
          <w:rFonts w:ascii="Times New Roman" w:hAnsi="Times New Roman"/>
          <w:sz w:val="28"/>
          <w:szCs w:val="28"/>
        </w:rPr>
      </w:pPr>
      <w:r>
        <w:rPr>
          <w:rFonts w:ascii="Times New Roman" w:hAnsi="Times New Roman" w:cs="Times New Roman"/>
          <w:sz w:val="28"/>
          <w:szCs w:val="28"/>
        </w:rPr>
        <w:t>Для проведения генетических исследований у всех участников заб</w:t>
      </w:r>
      <w:r w:rsidR="00623510">
        <w:rPr>
          <w:rFonts w:ascii="Times New Roman" w:hAnsi="Times New Roman" w:cs="Times New Roman"/>
          <w:sz w:val="28"/>
          <w:szCs w:val="28"/>
        </w:rPr>
        <w:t xml:space="preserve">ор </w:t>
      </w:r>
      <w:r>
        <w:rPr>
          <w:rFonts w:ascii="Times New Roman" w:hAnsi="Times New Roman" w:cs="Times New Roman"/>
          <w:sz w:val="28"/>
          <w:szCs w:val="28"/>
        </w:rPr>
        <w:t>кров</w:t>
      </w:r>
      <w:r w:rsidR="00623510">
        <w:rPr>
          <w:rFonts w:ascii="Times New Roman" w:hAnsi="Times New Roman" w:cs="Times New Roman"/>
          <w:sz w:val="28"/>
          <w:szCs w:val="28"/>
        </w:rPr>
        <w:t>и проводился</w:t>
      </w:r>
      <w:r>
        <w:rPr>
          <w:rFonts w:ascii="Times New Roman" w:hAnsi="Times New Roman" w:cs="Times New Roman"/>
          <w:sz w:val="28"/>
          <w:szCs w:val="28"/>
        </w:rPr>
        <w:t xml:space="preserve"> в вакуумные пробирки с ЭДТА. С помощью готовых коммерческих наборов Gene</w:t>
      </w:r>
      <w:r w:rsidR="00D262F4">
        <w:rPr>
          <w:rFonts w:ascii="Times New Roman" w:hAnsi="Times New Roman" w:cs="Times New Roman"/>
          <w:sz w:val="28"/>
          <w:szCs w:val="28"/>
        </w:rPr>
        <w:t xml:space="preserve"> </w:t>
      </w:r>
      <w:r>
        <w:rPr>
          <w:rFonts w:ascii="Times New Roman" w:hAnsi="Times New Roman" w:cs="Times New Roman"/>
          <w:sz w:val="28"/>
          <w:szCs w:val="28"/>
        </w:rPr>
        <w:t>JET</w:t>
      </w:r>
      <w:r w:rsidR="00D262F4">
        <w:rPr>
          <w:rFonts w:ascii="Times New Roman" w:hAnsi="Times New Roman" w:cs="Times New Roman"/>
          <w:sz w:val="28"/>
          <w:szCs w:val="28"/>
        </w:rPr>
        <w:t xml:space="preserve"> </w:t>
      </w:r>
      <w:r>
        <w:rPr>
          <w:rFonts w:ascii="Times New Roman" w:hAnsi="Times New Roman" w:cs="Times New Roman"/>
          <w:sz w:val="28"/>
          <w:szCs w:val="28"/>
        </w:rPr>
        <w:t>Minikit (Thermo</w:t>
      </w:r>
      <w:r w:rsidR="00D262F4">
        <w:rPr>
          <w:rFonts w:ascii="Times New Roman" w:hAnsi="Times New Roman" w:cs="Times New Roman"/>
          <w:sz w:val="28"/>
          <w:szCs w:val="28"/>
        </w:rPr>
        <w:t xml:space="preserve"> </w:t>
      </w:r>
      <w:r>
        <w:rPr>
          <w:rFonts w:ascii="Times New Roman" w:hAnsi="Times New Roman" w:cs="Times New Roman"/>
          <w:sz w:val="28"/>
          <w:szCs w:val="28"/>
        </w:rPr>
        <w:t>Scientific, Vilnius, Lietuva) выделяли геномную ДНК из образцов крови (50 мкл) согласно инструкции производителя. В пробирку типа эпиндорф объемом 1,5 мл набира</w:t>
      </w:r>
      <w:r w:rsidR="0032592C">
        <w:rPr>
          <w:rFonts w:ascii="Times New Roman" w:hAnsi="Times New Roman" w:cs="Times New Roman"/>
          <w:sz w:val="28"/>
          <w:szCs w:val="28"/>
        </w:rPr>
        <w:t>ли</w:t>
      </w:r>
      <w:r>
        <w:rPr>
          <w:rFonts w:ascii="Times New Roman" w:hAnsi="Times New Roman" w:cs="Times New Roman"/>
          <w:sz w:val="28"/>
          <w:szCs w:val="28"/>
        </w:rPr>
        <w:t xml:space="preserve"> цельную кровь в объеме 200 мкл, которая до этого была разведена изотоническим раствором (0,9%) натрия хлорида. В пробирку к крови </w:t>
      </w:r>
      <w:r w:rsidRPr="0032592C">
        <w:rPr>
          <w:rFonts w:ascii="Times New Roman" w:hAnsi="Times New Roman" w:cs="Times New Roman"/>
          <w:color w:val="000000" w:themeColor="text1"/>
          <w:sz w:val="28"/>
          <w:szCs w:val="28"/>
        </w:rPr>
        <w:t>добавля</w:t>
      </w:r>
      <w:r w:rsidR="0032592C" w:rsidRPr="0032592C">
        <w:rPr>
          <w:rFonts w:ascii="Times New Roman" w:hAnsi="Times New Roman" w:cs="Times New Roman"/>
          <w:color w:val="000000" w:themeColor="text1"/>
          <w:sz w:val="28"/>
          <w:szCs w:val="28"/>
        </w:rPr>
        <w:t>ли</w:t>
      </w:r>
      <w:r w:rsidR="00CE2C2C">
        <w:rPr>
          <w:rFonts w:ascii="Times New Roman" w:hAnsi="Times New Roman" w:cs="Times New Roman"/>
          <w:color w:val="000000" w:themeColor="text1"/>
          <w:sz w:val="28"/>
          <w:szCs w:val="28"/>
        </w:rPr>
        <w:t xml:space="preserve"> </w:t>
      </w:r>
      <w:r>
        <w:rPr>
          <w:rFonts w:ascii="Times New Roman" w:hAnsi="Times New Roman" w:cs="Times New Roman"/>
          <w:sz w:val="28"/>
          <w:szCs w:val="28"/>
        </w:rPr>
        <w:t>400 мкл</w:t>
      </w:r>
      <w:r w:rsidR="00D262F4">
        <w:rPr>
          <w:rFonts w:ascii="Times New Roman" w:hAnsi="Times New Roman" w:cs="Times New Roman"/>
          <w:sz w:val="28"/>
          <w:szCs w:val="28"/>
        </w:rPr>
        <w:t xml:space="preserve"> </w:t>
      </w:r>
      <w:r>
        <w:rPr>
          <w:rFonts w:ascii="Times New Roman" w:hAnsi="Times New Roman" w:cs="Times New Roman"/>
          <w:sz w:val="28"/>
          <w:szCs w:val="28"/>
        </w:rPr>
        <w:t>Лизисного раствора и 20 мкл</w:t>
      </w:r>
      <w:r w:rsidR="0073581F">
        <w:rPr>
          <w:rFonts w:ascii="Times New Roman" w:hAnsi="Times New Roman" w:cs="Times New Roman"/>
          <w:sz w:val="28"/>
          <w:szCs w:val="28"/>
        </w:rPr>
        <w:t xml:space="preserve"> </w:t>
      </w:r>
      <w:r>
        <w:rPr>
          <w:rFonts w:ascii="Times New Roman" w:hAnsi="Times New Roman" w:cs="Times New Roman"/>
          <w:sz w:val="28"/>
          <w:szCs w:val="28"/>
        </w:rPr>
        <w:t xml:space="preserve">протеиназы К. Для получения однородной суспензии тщательно </w:t>
      </w:r>
      <w:r w:rsidRPr="0032592C">
        <w:rPr>
          <w:rFonts w:ascii="Times New Roman" w:hAnsi="Times New Roman" w:cs="Times New Roman"/>
          <w:color w:val="000000" w:themeColor="text1"/>
          <w:sz w:val="28"/>
          <w:szCs w:val="28"/>
        </w:rPr>
        <w:t>перемешива</w:t>
      </w:r>
      <w:r w:rsidR="0032592C" w:rsidRPr="0032592C">
        <w:rPr>
          <w:rFonts w:ascii="Times New Roman" w:hAnsi="Times New Roman" w:cs="Times New Roman"/>
          <w:color w:val="000000" w:themeColor="text1"/>
          <w:sz w:val="28"/>
          <w:szCs w:val="28"/>
        </w:rPr>
        <w:t>ли</w:t>
      </w:r>
      <w:r w:rsidRPr="0032592C">
        <w:rPr>
          <w:rFonts w:ascii="Times New Roman" w:hAnsi="Times New Roman" w:cs="Times New Roman"/>
          <w:color w:val="000000" w:themeColor="text1"/>
          <w:sz w:val="28"/>
          <w:szCs w:val="28"/>
        </w:rPr>
        <w:t xml:space="preserve"> и встряхива</w:t>
      </w:r>
      <w:r w:rsidR="0032592C" w:rsidRPr="0032592C">
        <w:rPr>
          <w:rFonts w:ascii="Times New Roman" w:hAnsi="Times New Roman" w:cs="Times New Roman"/>
          <w:color w:val="000000" w:themeColor="text1"/>
          <w:sz w:val="28"/>
          <w:szCs w:val="28"/>
        </w:rPr>
        <w:t>ли</w:t>
      </w:r>
      <w:r>
        <w:rPr>
          <w:rFonts w:ascii="Times New Roman" w:hAnsi="Times New Roman" w:cs="Times New Roman"/>
          <w:sz w:val="28"/>
          <w:szCs w:val="28"/>
        </w:rPr>
        <w:t xml:space="preserve"> на вортексе в те</w:t>
      </w:r>
      <w:r w:rsidR="0032592C">
        <w:rPr>
          <w:rFonts w:ascii="Times New Roman" w:hAnsi="Times New Roman" w:cs="Times New Roman"/>
          <w:sz w:val="28"/>
          <w:szCs w:val="28"/>
        </w:rPr>
        <w:t>чение 15 секунд. Далее нагревали</w:t>
      </w:r>
      <w:r>
        <w:rPr>
          <w:rFonts w:ascii="Times New Roman" w:hAnsi="Times New Roman" w:cs="Times New Roman"/>
          <w:sz w:val="28"/>
          <w:szCs w:val="28"/>
        </w:rPr>
        <w:t xml:space="preserve"> пробирки в термос</w:t>
      </w:r>
      <w:r w:rsidR="0032592C">
        <w:rPr>
          <w:rFonts w:ascii="Times New Roman" w:hAnsi="Times New Roman" w:cs="Times New Roman"/>
          <w:sz w:val="28"/>
          <w:szCs w:val="28"/>
        </w:rPr>
        <w:t>тате в течение 10 минут при 56°</w:t>
      </w:r>
      <w:r>
        <w:rPr>
          <w:rFonts w:ascii="Times New Roman" w:hAnsi="Times New Roman" w:cs="Times New Roman"/>
          <w:sz w:val="28"/>
          <w:szCs w:val="28"/>
        </w:rPr>
        <w:t>С</w:t>
      </w:r>
      <w:r w:rsidR="00A90200">
        <w:rPr>
          <w:rFonts w:ascii="Times New Roman" w:hAnsi="Times New Roman" w:cs="Times New Roman"/>
          <w:sz w:val="28"/>
          <w:szCs w:val="28"/>
        </w:rPr>
        <w:t xml:space="preserve"> с последующим</w:t>
      </w:r>
      <w:r w:rsidR="00D262F4">
        <w:rPr>
          <w:rFonts w:ascii="Times New Roman" w:hAnsi="Times New Roman" w:cs="Times New Roman"/>
          <w:sz w:val="28"/>
          <w:szCs w:val="28"/>
        </w:rPr>
        <w:t xml:space="preserve"> </w:t>
      </w:r>
      <w:r w:rsidR="0011104A">
        <w:rPr>
          <w:rFonts w:ascii="Times New Roman" w:hAnsi="Times New Roman" w:cs="Times New Roman"/>
          <w:sz w:val="28"/>
          <w:szCs w:val="28"/>
        </w:rPr>
        <w:t>при</w:t>
      </w:r>
      <w:r w:rsidR="00A90200">
        <w:rPr>
          <w:rFonts w:ascii="Times New Roman" w:hAnsi="Times New Roman" w:cs="Times New Roman"/>
          <w:color w:val="000000" w:themeColor="text1"/>
          <w:sz w:val="28"/>
          <w:szCs w:val="28"/>
        </w:rPr>
        <w:t>бавлением</w:t>
      </w:r>
      <w:r w:rsidR="00D262F4">
        <w:rPr>
          <w:rFonts w:ascii="Times New Roman" w:hAnsi="Times New Roman" w:cs="Times New Roman"/>
          <w:color w:val="000000" w:themeColor="text1"/>
          <w:sz w:val="28"/>
          <w:szCs w:val="28"/>
        </w:rPr>
        <w:t xml:space="preserve"> </w:t>
      </w:r>
      <w:r>
        <w:rPr>
          <w:rFonts w:ascii="Times New Roman" w:hAnsi="Times New Roman" w:cs="Times New Roman"/>
          <w:sz w:val="28"/>
          <w:szCs w:val="28"/>
        </w:rPr>
        <w:t>200 мкл 99,5% этанол и встряхива</w:t>
      </w:r>
      <w:r w:rsidR="00A90200">
        <w:rPr>
          <w:rFonts w:ascii="Times New Roman" w:hAnsi="Times New Roman" w:cs="Times New Roman"/>
          <w:sz w:val="28"/>
          <w:szCs w:val="28"/>
        </w:rPr>
        <w:t>ли</w:t>
      </w:r>
      <w:r>
        <w:rPr>
          <w:rFonts w:ascii="Times New Roman" w:hAnsi="Times New Roman" w:cs="Times New Roman"/>
          <w:sz w:val="28"/>
          <w:szCs w:val="28"/>
        </w:rPr>
        <w:t xml:space="preserve"> на вортексе. Для осаждения ДНК все содержимое пробирки </w:t>
      </w:r>
      <w:r w:rsidRPr="0032592C">
        <w:rPr>
          <w:rFonts w:ascii="Times New Roman" w:hAnsi="Times New Roman" w:cs="Times New Roman"/>
          <w:color w:val="000000" w:themeColor="text1"/>
          <w:sz w:val="28"/>
          <w:szCs w:val="28"/>
        </w:rPr>
        <w:t>переноси</w:t>
      </w:r>
      <w:r w:rsidR="0032592C" w:rsidRPr="0032592C">
        <w:rPr>
          <w:rFonts w:ascii="Times New Roman" w:hAnsi="Times New Roman" w:cs="Times New Roman"/>
          <w:color w:val="000000" w:themeColor="text1"/>
          <w:sz w:val="28"/>
          <w:szCs w:val="28"/>
        </w:rPr>
        <w:t>ли</w:t>
      </w:r>
      <w:r w:rsidR="00937E0A">
        <w:rPr>
          <w:rFonts w:ascii="Times New Roman" w:hAnsi="Times New Roman" w:cs="Times New Roman"/>
          <w:color w:val="000000" w:themeColor="text1"/>
          <w:sz w:val="28"/>
          <w:szCs w:val="28"/>
        </w:rPr>
        <w:t xml:space="preserve"> </w:t>
      </w:r>
      <w:r>
        <w:rPr>
          <w:rFonts w:ascii="Times New Roman" w:hAnsi="Times New Roman" w:cs="Times New Roman"/>
          <w:sz w:val="28"/>
          <w:szCs w:val="28"/>
        </w:rPr>
        <w:t xml:space="preserve">в пробирки с фильтром по типу эпиндорф и центрифугируем при 6000 оборотов 1,5 минуты. </w:t>
      </w:r>
      <w:r w:rsidR="0011104A">
        <w:rPr>
          <w:rFonts w:ascii="Times New Roman" w:hAnsi="Times New Roman" w:cs="Times New Roman"/>
          <w:sz w:val="28"/>
          <w:szCs w:val="28"/>
        </w:rPr>
        <w:t>Следом присоединяли</w:t>
      </w:r>
      <w:r>
        <w:rPr>
          <w:rFonts w:ascii="Times New Roman" w:hAnsi="Times New Roman" w:cs="Times New Roman"/>
          <w:sz w:val="28"/>
          <w:szCs w:val="28"/>
        </w:rPr>
        <w:t xml:space="preserve"> 500 мкл промывочного буфера I </w:t>
      </w:r>
      <w:r w:rsidR="00E61C54">
        <w:rPr>
          <w:rFonts w:ascii="Times New Roman" w:hAnsi="Times New Roman" w:cs="Times New Roman"/>
          <w:sz w:val="28"/>
          <w:szCs w:val="28"/>
        </w:rPr>
        <w:t>с дополнительным</w:t>
      </w:r>
      <w:r w:rsidR="00D262F4">
        <w:rPr>
          <w:rFonts w:ascii="Times New Roman" w:hAnsi="Times New Roman" w:cs="Times New Roman"/>
          <w:sz w:val="28"/>
          <w:szCs w:val="28"/>
        </w:rPr>
        <w:t xml:space="preserve"> </w:t>
      </w:r>
      <w:r w:rsidRPr="00E20BEF">
        <w:rPr>
          <w:rFonts w:ascii="Times New Roman" w:hAnsi="Times New Roman" w:cs="Times New Roman"/>
          <w:sz w:val="28"/>
          <w:szCs w:val="28"/>
        </w:rPr>
        <w:t>центрифугир</w:t>
      </w:r>
      <w:r w:rsidR="00E20BEF">
        <w:rPr>
          <w:rFonts w:ascii="Times New Roman" w:hAnsi="Times New Roman" w:cs="Times New Roman"/>
          <w:sz w:val="28"/>
          <w:szCs w:val="28"/>
        </w:rPr>
        <w:t>ова</w:t>
      </w:r>
      <w:r w:rsidR="00E61C54">
        <w:rPr>
          <w:rFonts w:ascii="Times New Roman" w:hAnsi="Times New Roman" w:cs="Times New Roman"/>
          <w:sz w:val="28"/>
          <w:szCs w:val="28"/>
        </w:rPr>
        <w:t>нием</w:t>
      </w:r>
      <w:r>
        <w:rPr>
          <w:rFonts w:ascii="Times New Roman" w:hAnsi="Times New Roman" w:cs="Times New Roman"/>
          <w:sz w:val="28"/>
          <w:szCs w:val="28"/>
        </w:rPr>
        <w:t xml:space="preserve"> при скорости 6000 об/мин в течение 1,5 минуты. По</w:t>
      </w:r>
      <w:r w:rsidR="00AF4A5D">
        <w:rPr>
          <w:rFonts w:ascii="Times New Roman" w:hAnsi="Times New Roman" w:cs="Times New Roman"/>
          <w:sz w:val="28"/>
          <w:szCs w:val="28"/>
        </w:rPr>
        <w:t>зднее п</w:t>
      </w:r>
      <w:r w:rsidR="003F37A5">
        <w:rPr>
          <w:rFonts w:ascii="Times New Roman" w:hAnsi="Times New Roman" w:cs="Times New Roman"/>
          <w:sz w:val="28"/>
          <w:szCs w:val="28"/>
        </w:rPr>
        <w:t>рибавля</w:t>
      </w:r>
      <w:r w:rsidR="00AF4A5D">
        <w:rPr>
          <w:rFonts w:ascii="Times New Roman" w:hAnsi="Times New Roman" w:cs="Times New Roman"/>
          <w:sz w:val="28"/>
          <w:szCs w:val="28"/>
        </w:rPr>
        <w:t>ли</w:t>
      </w:r>
      <w:r w:rsidR="00D262F4">
        <w:rPr>
          <w:rFonts w:ascii="Times New Roman" w:hAnsi="Times New Roman" w:cs="Times New Roman"/>
          <w:sz w:val="28"/>
          <w:szCs w:val="28"/>
        </w:rPr>
        <w:t xml:space="preserve"> </w:t>
      </w:r>
      <w:r w:rsidR="00AF4A5D">
        <w:rPr>
          <w:rFonts w:ascii="Times New Roman" w:hAnsi="Times New Roman" w:cs="Times New Roman"/>
          <w:sz w:val="28"/>
          <w:szCs w:val="28"/>
        </w:rPr>
        <w:t>промывочный</w:t>
      </w:r>
      <w:r>
        <w:rPr>
          <w:rFonts w:ascii="Times New Roman" w:hAnsi="Times New Roman" w:cs="Times New Roman"/>
          <w:sz w:val="28"/>
          <w:szCs w:val="28"/>
        </w:rPr>
        <w:t xml:space="preserve"> буфер II в объеме 500 мкл и </w:t>
      </w:r>
      <w:r w:rsidR="009D71B0">
        <w:rPr>
          <w:rFonts w:ascii="Times New Roman" w:hAnsi="Times New Roman" w:cs="Times New Roman"/>
          <w:sz w:val="28"/>
          <w:szCs w:val="28"/>
        </w:rPr>
        <w:t>центрифуировали</w:t>
      </w:r>
      <w:r>
        <w:rPr>
          <w:rFonts w:ascii="Times New Roman" w:hAnsi="Times New Roman" w:cs="Times New Roman"/>
          <w:sz w:val="28"/>
          <w:szCs w:val="28"/>
        </w:rPr>
        <w:t xml:space="preserve"> при скорост</w:t>
      </w:r>
      <w:r w:rsidR="009D71B0">
        <w:rPr>
          <w:rFonts w:ascii="Times New Roman" w:hAnsi="Times New Roman" w:cs="Times New Roman"/>
          <w:sz w:val="28"/>
          <w:szCs w:val="28"/>
        </w:rPr>
        <w:t>и</w:t>
      </w:r>
      <w:r>
        <w:rPr>
          <w:rFonts w:ascii="Times New Roman" w:hAnsi="Times New Roman" w:cs="Times New Roman"/>
          <w:sz w:val="28"/>
          <w:szCs w:val="28"/>
        </w:rPr>
        <w:t xml:space="preserve"> не менее</w:t>
      </w:r>
      <w:r w:rsidR="00E61C54">
        <w:rPr>
          <w:rFonts w:ascii="Times New Roman" w:hAnsi="Times New Roman" w:cs="Times New Roman"/>
          <w:sz w:val="28"/>
          <w:szCs w:val="28"/>
        </w:rPr>
        <w:t xml:space="preserve"> 13000 об/мин в течение 4 минут и в течени</w:t>
      </w:r>
      <w:r w:rsidR="001C1A63">
        <w:rPr>
          <w:rFonts w:ascii="Times New Roman" w:hAnsi="Times New Roman" w:cs="Times New Roman"/>
          <w:sz w:val="28"/>
          <w:szCs w:val="28"/>
        </w:rPr>
        <w:t>е</w:t>
      </w:r>
      <w:r w:rsidR="00E61C54">
        <w:rPr>
          <w:rFonts w:ascii="Times New Roman" w:hAnsi="Times New Roman" w:cs="Times New Roman"/>
          <w:sz w:val="28"/>
          <w:szCs w:val="28"/>
        </w:rPr>
        <w:t xml:space="preserve"> 2–х минут на</w:t>
      </w:r>
      <w:r>
        <w:rPr>
          <w:rFonts w:ascii="Times New Roman" w:hAnsi="Times New Roman" w:cs="Times New Roman"/>
          <w:sz w:val="28"/>
          <w:szCs w:val="28"/>
        </w:rPr>
        <w:t xml:space="preserve"> скорост</w:t>
      </w:r>
      <w:r w:rsidR="00E61C54">
        <w:rPr>
          <w:rFonts w:ascii="Times New Roman" w:hAnsi="Times New Roman" w:cs="Times New Roman"/>
          <w:sz w:val="28"/>
          <w:szCs w:val="28"/>
        </w:rPr>
        <w:t>и</w:t>
      </w:r>
      <w:r>
        <w:rPr>
          <w:rFonts w:ascii="Times New Roman" w:hAnsi="Times New Roman" w:cs="Times New Roman"/>
          <w:sz w:val="28"/>
          <w:szCs w:val="28"/>
        </w:rPr>
        <w:t xml:space="preserve"> до 6000 об/мин</w:t>
      </w:r>
      <w:r w:rsidR="00E61C54">
        <w:rPr>
          <w:rFonts w:ascii="Times New Roman" w:hAnsi="Times New Roman" w:cs="Times New Roman"/>
          <w:sz w:val="28"/>
          <w:szCs w:val="28"/>
        </w:rPr>
        <w:t>.</w:t>
      </w:r>
      <w:r>
        <w:rPr>
          <w:rFonts w:ascii="Times New Roman" w:hAnsi="Times New Roman" w:cs="Times New Roman"/>
          <w:sz w:val="28"/>
          <w:szCs w:val="28"/>
        </w:rPr>
        <w:t xml:space="preserve"> и продолжа</w:t>
      </w:r>
      <w:r w:rsidR="00C02D9D">
        <w:rPr>
          <w:rFonts w:ascii="Times New Roman" w:hAnsi="Times New Roman" w:cs="Times New Roman"/>
          <w:sz w:val="28"/>
          <w:szCs w:val="28"/>
        </w:rPr>
        <w:t>ли</w:t>
      </w:r>
      <w:r>
        <w:rPr>
          <w:rFonts w:ascii="Times New Roman" w:hAnsi="Times New Roman" w:cs="Times New Roman"/>
          <w:sz w:val="28"/>
          <w:szCs w:val="28"/>
        </w:rPr>
        <w:t xml:space="preserve"> центрифугировать еще 2 минуты. </w:t>
      </w:r>
      <w:r w:rsidR="00E61C54">
        <w:rPr>
          <w:rFonts w:ascii="Times New Roman" w:hAnsi="Times New Roman" w:cs="Times New Roman"/>
          <w:sz w:val="28"/>
          <w:szCs w:val="28"/>
        </w:rPr>
        <w:t xml:space="preserve">После подготовки нового ряда </w:t>
      </w:r>
      <w:r>
        <w:rPr>
          <w:rFonts w:ascii="Times New Roman" w:hAnsi="Times New Roman" w:cs="Times New Roman"/>
          <w:sz w:val="28"/>
          <w:szCs w:val="28"/>
        </w:rPr>
        <w:t xml:space="preserve">пробирок по типу эпиндорф и в пробирку </w:t>
      </w:r>
      <w:r w:rsidRPr="00E61C54">
        <w:rPr>
          <w:rFonts w:ascii="Times New Roman" w:hAnsi="Times New Roman" w:cs="Times New Roman"/>
          <w:color w:val="000000" w:themeColor="text1"/>
          <w:sz w:val="28"/>
          <w:szCs w:val="28"/>
        </w:rPr>
        <w:t>переноси</w:t>
      </w:r>
      <w:r w:rsidR="00E61C54" w:rsidRPr="00E61C54">
        <w:rPr>
          <w:rFonts w:ascii="Times New Roman" w:hAnsi="Times New Roman" w:cs="Times New Roman"/>
          <w:color w:val="000000" w:themeColor="text1"/>
          <w:sz w:val="28"/>
          <w:szCs w:val="28"/>
        </w:rPr>
        <w:t>ли</w:t>
      </w:r>
      <w:r w:rsidR="00D262F4">
        <w:rPr>
          <w:rFonts w:ascii="Times New Roman" w:hAnsi="Times New Roman" w:cs="Times New Roman"/>
          <w:color w:val="000000" w:themeColor="text1"/>
          <w:sz w:val="28"/>
          <w:szCs w:val="28"/>
        </w:rPr>
        <w:t xml:space="preserve"> </w:t>
      </w:r>
      <w:r w:rsidR="00E61C54">
        <w:rPr>
          <w:rFonts w:ascii="Times New Roman" w:hAnsi="Times New Roman" w:cs="Times New Roman"/>
          <w:sz w:val="28"/>
          <w:szCs w:val="28"/>
        </w:rPr>
        <w:t xml:space="preserve">фильтр с ДНК, с </w:t>
      </w:r>
      <w:r>
        <w:rPr>
          <w:rFonts w:ascii="Times New Roman" w:hAnsi="Times New Roman" w:cs="Times New Roman"/>
          <w:sz w:val="28"/>
          <w:szCs w:val="28"/>
        </w:rPr>
        <w:t>добавл</w:t>
      </w:r>
      <w:r w:rsidR="00E61C54">
        <w:rPr>
          <w:rFonts w:ascii="Times New Roman" w:hAnsi="Times New Roman" w:cs="Times New Roman"/>
          <w:sz w:val="28"/>
          <w:szCs w:val="28"/>
        </w:rPr>
        <w:t>ени</w:t>
      </w:r>
      <w:r>
        <w:rPr>
          <w:rFonts w:ascii="Times New Roman" w:hAnsi="Times New Roman" w:cs="Times New Roman"/>
          <w:sz w:val="28"/>
          <w:szCs w:val="28"/>
        </w:rPr>
        <w:t>ем 100 мкл</w:t>
      </w:r>
      <w:r w:rsidR="00D262F4">
        <w:rPr>
          <w:rFonts w:ascii="Times New Roman" w:hAnsi="Times New Roman" w:cs="Times New Roman"/>
          <w:sz w:val="28"/>
          <w:szCs w:val="28"/>
        </w:rPr>
        <w:t xml:space="preserve"> </w:t>
      </w:r>
      <w:r>
        <w:rPr>
          <w:rFonts w:ascii="Times New Roman" w:hAnsi="Times New Roman" w:cs="Times New Roman"/>
          <w:sz w:val="28"/>
          <w:szCs w:val="28"/>
        </w:rPr>
        <w:t>Elution</w:t>
      </w:r>
      <w:r w:rsidR="00D262F4">
        <w:rPr>
          <w:rFonts w:ascii="Times New Roman" w:hAnsi="Times New Roman" w:cs="Times New Roman"/>
          <w:sz w:val="28"/>
          <w:szCs w:val="28"/>
        </w:rPr>
        <w:t xml:space="preserve"> </w:t>
      </w:r>
      <w:r>
        <w:rPr>
          <w:rFonts w:ascii="Times New Roman" w:hAnsi="Times New Roman" w:cs="Times New Roman"/>
          <w:sz w:val="28"/>
          <w:szCs w:val="28"/>
        </w:rPr>
        <w:t>Buffer, что</w:t>
      </w:r>
      <w:r w:rsidR="00E61C54">
        <w:rPr>
          <w:rFonts w:ascii="Times New Roman" w:hAnsi="Times New Roman" w:cs="Times New Roman"/>
          <w:sz w:val="28"/>
          <w:szCs w:val="28"/>
        </w:rPr>
        <w:t>бы</w:t>
      </w:r>
      <w:r>
        <w:rPr>
          <w:rFonts w:ascii="Times New Roman" w:hAnsi="Times New Roman" w:cs="Times New Roman"/>
          <w:sz w:val="28"/>
          <w:szCs w:val="28"/>
        </w:rPr>
        <w:t xml:space="preserve"> он попал в центр фильтра. </w:t>
      </w:r>
      <w:r w:rsidR="00E61C54">
        <w:rPr>
          <w:rFonts w:ascii="Times New Roman" w:hAnsi="Times New Roman" w:cs="Times New Roman"/>
          <w:sz w:val="28"/>
          <w:szCs w:val="28"/>
        </w:rPr>
        <w:t>Инкубация</w:t>
      </w:r>
      <w:r w:rsidR="00D262F4">
        <w:rPr>
          <w:rFonts w:ascii="Times New Roman" w:hAnsi="Times New Roman" w:cs="Times New Roman"/>
          <w:sz w:val="28"/>
          <w:szCs w:val="28"/>
        </w:rPr>
        <w:t xml:space="preserve"> </w:t>
      </w:r>
      <w:r w:rsidR="00E61C54">
        <w:rPr>
          <w:rFonts w:ascii="Times New Roman" w:hAnsi="Times New Roman" w:cs="Times New Roman"/>
          <w:sz w:val="28"/>
          <w:szCs w:val="28"/>
        </w:rPr>
        <w:t>в течение 2 минут</w:t>
      </w:r>
      <w:r w:rsidR="00C9565B">
        <w:rPr>
          <w:rFonts w:ascii="Times New Roman" w:hAnsi="Times New Roman" w:cs="Times New Roman"/>
          <w:sz w:val="28"/>
          <w:szCs w:val="28"/>
        </w:rPr>
        <w:t xml:space="preserve"> </w:t>
      </w:r>
      <w:r w:rsidR="00E61C54" w:rsidRPr="00E61C54">
        <w:rPr>
          <w:rFonts w:ascii="Times New Roman" w:hAnsi="Times New Roman" w:cs="Times New Roman"/>
          <w:color w:val="000000" w:themeColor="text1"/>
          <w:sz w:val="28"/>
          <w:szCs w:val="28"/>
        </w:rPr>
        <w:t>сопровождалось</w:t>
      </w:r>
      <w:r w:rsidR="00C9565B">
        <w:rPr>
          <w:rFonts w:ascii="Times New Roman" w:hAnsi="Times New Roman" w:cs="Times New Roman"/>
          <w:color w:val="000000" w:themeColor="text1"/>
          <w:sz w:val="28"/>
          <w:szCs w:val="28"/>
        </w:rPr>
        <w:t xml:space="preserve"> </w:t>
      </w:r>
      <w:r w:rsidR="00E61C54">
        <w:rPr>
          <w:rFonts w:ascii="Times New Roman" w:hAnsi="Times New Roman" w:cs="Times New Roman"/>
          <w:sz w:val="28"/>
          <w:szCs w:val="28"/>
        </w:rPr>
        <w:t>центрифугированием в течение 1,5 минут при 6000 об/мин</w:t>
      </w:r>
      <w:r>
        <w:rPr>
          <w:rFonts w:ascii="Times New Roman" w:hAnsi="Times New Roman" w:cs="Times New Roman"/>
          <w:sz w:val="28"/>
          <w:szCs w:val="28"/>
        </w:rPr>
        <w:t xml:space="preserve">. </w:t>
      </w:r>
      <w:r w:rsidR="003A255D" w:rsidRPr="003A255D">
        <w:rPr>
          <w:rFonts w:ascii="Times New Roman" w:hAnsi="Times New Roman" w:cs="Times New Roman"/>
          <w:color w:val="000000" w:themeColor="text1"/>
          <w:sz w:val="28"/>
          <w:szCs w:val="28"/>
        </w:rPr>
        <w:t>Пробиркам с полученным</w:t>
      </w:r>
      <w:r>
        <w:rPr>
          <w:rFonts w:ascii="Times New Roman" w:hAnsi="Times New Roman" w:cs="Times New Roman"/>
          <w:sz w:val="28"/>
          <w:szCs w:val="28"/>
        </w:rPr>
        <w:t xml:space="preserve"> ДНК</w:t>
      </w:r>
      <w:r w:rsidR="003A255D">
        <w:rPr>
          <w:rFonts w:ascii="Times New Roman" w:hAnsi="Times New Roman" w:cs="Times New Roman"/>
          <w:sz w:val="28"/>
          <w:szCs w:val="28"/>
        </w:rPr>
        <w:t xml:space="preserve"> присваивался код</w:t>
      </w:r>
      <w:r>
        <w:rPr>
          <w:rFonts w:ascii="Times New Roman" w:hAnsi="Times New Roman" w:cs="Times New Roman"/>
          <w:sz w:val="28"/>
          <w:szCs w:val="28"/>
        </w:rPr>
        <w:t>.</w:t>
      </w:r>
      <w:r w:rsidR="00D262F4">
        <w:rPr>
          <w:rFonts w:ascii="Times New Roman" w:hAnsi="Times New Roman" w:cs="Times New Roman"/>
          <w:sz w:val="28"/>
          <w:szCs w:val="28"/>
        </w:rPr>
        <w:t xml:space="preserve"> </w:t>
      </w:r>
      <w:r>
        <w:rPr>
          <w:rFonts w:ascii="Times New Roman" w:hAnsi="Times New Roman" w:cs="Times New Roman"/>
          <w:sz w:val="28"/>
          <w:szCs w:val="28"/>
        </w:rPr>
        <w:t>В</w:t>
      </w:r>
      <w:r w:rsidR="003A255D">
        <w:rPr>
          <w:rFonts w:ascii="Times New Roman" w:hAnsi="Times New Roman" w:cs="Times New Roman"/>
          <w:sz w:val="28"/>
          <w:szCs w:val="28"/>
        </w:rPr>
        <w:t>се</w:t>
      </w:r>
      <w:r>
        <w:rPr>
          <w:rFonts w:ascii="Times New Roman" w:hAnsi="Times New Roman" w:cs="Times New Roman"/>
          <w:sz w:val="28"/>
          <w:szCs w:val="28"/>
        </w:rPr>
        <w:t xml:space="preserve"> пробирки </w:t>
      </w:r>
      <w:r w:rsidR="003A255D">
        <w:rPr>
          <w:rFonts w:ascii="Times New Roman" w:hAnsi="Times New Roman" w:cs="Times New Roman"/>
          <w:sz w:val="28"/>
          <w:szCs w:val="28"/>
        </w:rPr>
        <w:t xml:space="preserve">с </w:t>
      </w:r>
      <w:r>
        <w:rPr>
          <w:rFonts w:ascii="Times New Roman" w:hAnsi="Times New Roman" w:cs="Times New Roman"/>
          <w:sz w:val="28"/>
          <w:szCs w:val="28"/>
        </w:rPr>
        <w:t>выделенны</w:t>
      </w:r>
      <w:r w:rsidR="003A255D">
        <w:rPr>
          <w:rFonts w:ascii="Times New Roman" w:hAnsi="Times New Roman" w:cs="Times New Roman"/>
          <w:sz w:val="28"/>
          <w:szCs w:val="28"/>
        </w:rPr>
        <w:t>м</w:t>
      </w:r>
      <w:r>
        <w:rPr>
          <w:rFonts w:ascii="Times New Roman" w:hAnsi="Times New Roman" w:cs="Times New Roman"/>
          <w:sz w:val="28"/>
          <w:szCs w:val="28"/>
        </w:rPr>
        <w:t xml:space="preserve"> ДНК замораживались и хранились при -20° С.</w:t>
      </w:r>
    </w:p>
    <w:p w:rsidR="00AB12B3" w:rsidRDefault="00AB12B3" w:rsidP="00AB12B3">
      <w:pPr>
        <w:spacing w:after="0" w:line="240" w:lineRule="auto"/>
        <w:ind w:firstLine="708"/>
        <w:jc w:val="both"/>
        <w:rPr>
          <w:rFonts w:ascii="Times New Roman" w:hAnsi="Times New Roman"/>
          <w:sz w:val="28"/>
          <w:szCs w:val="28"/>
        </w:rPr>
      </w:pPr>
      <w:r>
        <w:rPr>
          <w:rFonts w:ascii="Times New Roman" w:hAnsi="Times New Roman" w:cs="Times New Roman"/>
          <w:sz w:val="28"/>
          <w:szCs w:val="28"/>
        </w:rPr>
        <w:t xml:space="preserve">Для оценки концентрации и </w:t>
      </w:r>
      <w:r w:rsidR="00262572">
        <w:rPr>
          <w:rFonts w:ascii="Times New Roman" w:hAnsi="Times New Roman" w:cs="Times New Roman"/>
          <w:sz w:val="28"/>
          <w:szCs w:val="28"/>
        </w:rPr>
        <w:t xml:space="preserve">степень </w:t>
      </w:r>
      <w:r>
        <w:rPr>
          <w:rFonts w:ascii="Times New Roman" w:hAnsi="Times New Roman" w:cs="Times New Roman"/>
          <w:sz w:val="28"/>
          <w:szCs w:val="28"/>
        </w:rPr>
        <w:t>чистот</w:t>
      </w:r>
      <w:r w:rsidR="00262572">
        <w:rPr>
          <w:rFonts w:ascii="Times New Roman" w:hAnsi="Times New Roman" w:cs="Times New Roman"/>
          <w:sz w:val="28"/>
          <w:szCs w:val="28"/>
        </w:rPr>
        <w:t>ы</w:t>
      </w:r>
      <w:r>
        <w:rPr>
          <w:rFonts w:ascii="Times New Roman" w:hAnsi="Times New Roman" w:cs="Times New Roman"/>
          <w:sz w:val="28"/>
          <w:szCs w:val="28"/>
        </w:rPr>
        <w:t xml:space="preserve"> выделенных ДНК использовался флюрометр</w:t>
      </w:r>
      <w:r w:rsidR="00E922AA">
        <w:rPr>
          <w:rFonts w:ascii="Times New Roman" w:hAnsi="Times New Roman" w:cs="Times New Roman"/>
          <w:sz w:val="28"/>
          <w:szCs w:val="28"/>
        </w:rPr>
        <w:t xml:space="preserve"> </w:t>
      </w:r>
      <w:r>
        <w:rPr>
          <w:rFonts w:ascii="Times New Roman" w:hAnsi="Times New Roman" w:cs="Times New Roman"/>
          <w:sz w:val="28"/>
          <w:szCs w:val="28"/>
        </w:rPr>
        <w:t>Qubit 4 (Thermo</w:t>
      </w:r>
      <w:r w:rsidR="00D57289">
        <w:rPr>
          <w:rFonts w:ascii="Times New Roman" w:hAnsi="Times New Roman" w:cs="Times New Roman"/>
          <w:sz w:val="28"/>
          <w:szCs w:val="28"/>
        </w:rPr>
        <w:t xml:space="preserve"> </w:t>
      </w:r>
      <w:r>
        <w:rPr>
          <w:rFonts w:ascii="Times New Roman" w:hAnsi="Times New Roman" w:cs="Times New Roman"/>
          <w:sz w:val="28"/>
          <w:szCs w:val="28"/>
        </w:rPr>
        <w:t xml:space="preserve">Scientific, Waltham, MA, USA). </w:t>
      </w:r>
      <w:r>
        <w:rPr>
          <w:rFonts w:ascii="Times New Roman" w:hAnsi="Times New Roman"/>
          <w:sz w:val="28"/>
          <w:szCs w:val="28"/>
        </w:rPr>
        <w:t>Для оценки концентрации ДНК сначала готови</w:t>
      </w:r>
      <w:r w:rsidR="003A255D">
        <w:rPr>
          <w:rFonts w:ascii="Times New Roman" w:hAnsi="Times New Roman"/>
          <w:sz w:val="28"/>
          <w:szCs w:val="28"/>
        </w:rPr>
        <w:t>ли</w:t>
      </w:r>
      <w:r>
        <w:rPr>
          <w:rFonts w:ascii="Times New Roman" w:hAnsi="Times New Roman"/>
          <w:sz w:val="28"/>
          <w:szCs w:val="28"/>
        </w:rPr>
        <w:t xml:space="preserve"> «рабочий раствор», где концентрация растворенного реагента Qubit в буфере Qubit должно быть в пределах 1:200. Для этого </w:t>
      </w:r>
      <w:r w:rsidR="00D678E4">
        <w:rPr>
          <w:rFonts w:ascii="Times New Roman" w:hAnsi="Times New Roman"/>
          <w:sz w:val="28"/>
          <w:szCs w:val="28"/>
        </w:rPr>
        <w:t>смешивали</w:t>
      </w:r>
      <w:r>
        <w:rPr>
          <w:rFonts w:ascii="Times New Roman" w:hAnsi="Times New Roman"/>
          <w:sz w:val="28"/>
          <w:szCs w:val="28"/>
        </w:rPr>
        <w:t xml:space="preserve"> на 199 мкл буфера </w:t>
      </w:r>
      <w:r>
        <w:rPr>
          <w:rFonts w:ascii="Times New Roman" w:hAnsi="Times New Roman" w:cs="Times New Roman"/>
          <w:sz w:val="28"/>
          <w:szCs w:val="28"/>
        </w:rPr>
        <w:t>Qubit 1 мкл реагента Qubit</w:t>
      </w:r>
      <w:r w:rsidR="009A0C3B">
        <w:rPr>
          <w:rFonts w:ascii="Times New Roman" w:hAnsi="Times New Roman" w:cs="Times New Roman"/>
          <w:sz w:val="28"/>
          <w:szCs w:val="28"/>
          <w:lang w:val="kk-KZ"/>
        </w:rPr>
        <w:t xml:space="preserve"> </w:t>
      </w:r>
      <w:r w:rsidR="00D678E4">
        <w:rPr>
          <w:rFonts w:ascii="Times New Roman" w:hAnsi="Times New Roman" w:cs="Times New Roman"/>
          <w:sz w:val="28"/>
          <w:szCs w:val="28"/>
        </w:rPr>
        <w:t>с последующем размещиванием</w:t>
      </w:r>
      <w:r>
        <w:rPr>
          <w:rFonts w:ascii="Times New Roman" w:hAnsi="Times New Roman" w:cs="Times New Roman"/>
          <w:sz w:val="28"/>
          <w:szCs w:val="28"/>
        </w:rPr>
        <w:t xml:space="preserve"> при комнатной температуре. </w:t>
      </w:r>
      <w:r>
        <w:rPr>
          <w:rFonts w:ascii="Times New Roman" w:hAnsi="Times New Roman"/>
          <w:sz w:val="28"/>
          <w:szCs w:val="28"/>
        </w:rPr>
        <w:t>В одну пробирку по типу эпиндорф</w:t>
      </w:r>
      <w:r w:rsidR="00D57289">
        <w:rPr>
          <w:rFonts w:ascii="Times New Roman" w:hAnsi="Times New Roman"/>
          <w:sz w:val="28"/>
          <w:szCs w:val="28"/>
        </w:rPr>
        <w:t xml:space="preserve"> </w:t>
      </w:r>
      <w:r w:rsidRPr="003A255D">
        <w:rPr>
          <w:rFonts w:ascii="Times New Roman" w:hAnsi="Times New Roman"/>
          <w:color w:val="000000" w:themeColor="text1"/>
          <w:sz w:val="28"/>
          <w:szCs w:val="28"/>
        </w:rPr>
        <w:t>добавля</w:t>
      </w:r>
      <w:r w:rsidR="003A255D" w:rsidRPr="003A255D">
        <w:rPr>
          <w:rFonts w:ascii="Times New Roman" w:hAnsi="Times New Roman"/>
          <w:color w:val="000000" w:themeColor="text1"/>
          <w:sz w:val="28"/>
          <w:szCs w:val="28"/>
        </w:rPr>
        <w:t>ли</w:t>
      </w:r>
      <w:r>
        <w:rPr>
          <w:rFonts w:ascii="Times New Roman" w:hAnsi="Times New Roman"/>
          <w:sz w:val="28"/>
          <w:szCs w:val="28"/>
        </w:rPr>
        <w:t xml:space="preserve"> 190 мкл «рабочего раствора» и 10 мкл стандарта и в другую пробирку добавля</w:t>
      </w:r>
      <w:r w:rsidR="00982650">
        <w:rPr>
          <w:rFonts w:ascii="Times New Roman" w:hAnsi="Times New Roman"/>
          <w:sz w:val="28"/>
          <w:szCs w:val="28"/>
        </w:rPr>
        <w:t>ли</w:t>
      </w:r>
      <w:r>
        <w:rPr>
          <w:rFonts w:ascii="Times New Roman" w:hAnsi="Times New Roman"/>
          <w:sz w:val="28"/>
          <w:szCs w:val="28"/>
        </w:rPr>
        <w:t xml:space="preserve"> 190 мкл «рабочего раств</w:t>
      </w:r>
      <w:r w:rsidR="00900A1F">
        <w:rPr>
          <w:rFonts w:ascii="Times New Roman" w:hAnsi="Times New Roman"/>
          <w:sz w:val="28"/>
          <w:szCs w:val="28"/>
        </w:rPr>
        <w:t>ора» и 10 мкл образца ДНК. Затем</w:t>
      </w:r>
      <w:r w:rsidR="00D57289">
        <w:rPr>
          <w:rFonts w:ascii="Times New Roman" w:hAnsi="Times New Roman"/>
          <w:sz w:val="28"/>
          <w:szCs w:val="28"/>
        </w:rPr>
        <w:t xml:space="preserve"> </w:t>
      </w:r>
      <w:r w:rsidRPr="003A255D">
        <w:rPr>
          <w:rFonts w:ascii="Times New Roman" w:hAnsi="Times New Roman"/>
          <w:color w:val="000000" w:themeColor="text1"/>
          <w:sz w:val="28"/>
          <w:szCs w:val="28"/>
        </w:rPr>
        <w:t>встряхива</w:t>
      </w:r>
      <w:r w:rsidR="003A255D" w:rsidRPr="003A255D">
        <w:rPr>
          <w:rFonts w:ascii="Times New Roman" w:hAnsi="Times New Roman"/>
          <w:color w:val="000000" w:themeColor="text1"/>
          <w:sz w:val="28"/>
          <w:szCs w:val="28"/>
        </w:rPr>
        <w:t>ли</w:t>
      </w:r>
      <w:r>
        <w:rPr>
          <w:rFonts w:ascii="Times New Roman" w:hAnsi="Times New Roman"/>
          <w:sz w:val="28"/>
          <w:szCs w:val="28"/>
        </w:rPr>
        <w:t xml:space="preserve"> вс</w:t>
      </w:r>
      <w:r w:rsidR="00852AE4">
        <w:rPr>
          <w:rFonts w:ascii="Times New Roman" w:hAnsi="Times New Roman"/>
          <w:sz w:val="28"/>
          <w:szCs w:val="28"/>
        </w:rPr>
        <w:t>е пробирки на вортексе в течение</w:t>
      </w:r>
      <w:r>
        <w:rPr>
          <w:rFonts w:ascii="Times New Roman" w:hAnsi="Times New Roman"/>
          <w:sz w:val="28"/>
          <w:szCs w:val="28"/>
        </w:rPr>
        <w:t xml:space="preserve"> 2-3 секунд и оставля</w:t>
      </w:r>
      <w:r w:rsidR="00982650">
        <w:rPr>
          <w:rFonts w:ascii="Times New Roman" w:hAnsi="Times New Roman"/>
          <w:sz w:val="28"/>
          <w:szCs w:val="28"/>
        </w:rPr>
        <w:t>ли</w:t>
      </w:r>
      <w:r>
        <w:rPr>
          <w:rFonts w:ascii="Times New Roman" w:hAnsi="Times New Roman"/>
          <w:sz w:val="28"/>
          <w:szCs w:val="28"/>
        </w:rPr>
        <w:t xml:space="preserve"> на инкубацию при комнатной температуре в течение 2 минут. Далее </w:t>
      </w:r>
      <w:r w:rsidRPr="003A255D">
        <w:rPr>
          <w:rFonts w:ascii="Times New Roman" w:hAnsi="Times New Roman"/>
          <w:color w:val="000000" w:themeColor="text1"/>
          <w:sz w:val="28"/>
          <w:szCs w:val="28"/>
        </w:rPr>
        <w:t>стави</w:t>
      </w:r>
      <w:r w:rsidR="003A255D" w:rsidRPr="003A255D">
        <w:rPr>
          <w:rFonts w:ascii="Times New Roman" w:hAnsi="Times New Roman"/>
          <w:color w:val="000000" w:themeColor="text1"/>
          <w:sz w:val="28"/>
          <w:szCs w:val="28"/>
        </w:rPr>
        <w:t>ли</w:t>
      </w:r>
      <w:r>
        <w:rPr>
          <w:rFonts w:ascii="Times New Roman" w:hAnsi="Times New Roman"/>
          <w:sz w:val="28"/>
          <w:szCs w:val="28"/>
        </w:rPr>
        <w:t xml:space="preserve"> пробирку по одной в ячейку флюрометра</w:t>
      </w:r>
      <w:r w:rsidR="00E00A6C">
        <w:rPr>
          <w:rFonts w:ascii="Times New Roman" w:hAnsi="Times New Roman"/>
          <w:sz w:val="28"/>
          <w:szCs w:val="28"/>
        </w:rPr>
        <w:t xml:space="preserve"> </w:t>
      </w:r>
      <w:r>
        <w:rPr>
          <w:rFonts w:ascii="Times New Roman" w:hAnsi="Times New Roman" w:cs="Times New Roman"/>
          <w:sz w:val="28"/>
          <w:szCs w:val="28"/>
        </w:rPr>
        <w:t xml:space="preserve">Qubit 4 и с дисплея </w:t>
      </w:r>
      <w:r w:rsidRPr="003A255D">
        <w:rPr>
          <w:rFonts w:ascii="Times New Roman" w:hAnsi="Times New Roman" w:cs="Times New Roman"/>
          <w:color w:val="000000" w:themeColor="text1"/>
          <w:sz w:val="28"/>
          <w:szCs w:val="28"/>
        </w:rPr>
        <w:t>записыва</w:t>
      </w:r>
      <w:r w:rsidR="003A255D" w:rsidRPr="003A255D">
        <w:rPr>
          <w:rFonts w:ascii="Times New Roman" w:hAnsi="Times New Roman" w:cs="Times New Roman"/>
          <w:color w:val="000000" w:themeColor="text1"/>
          <w:sz w:val="28"/>
          <w:szCs w:val="28"/>
        </w:rPr>
        <w:t>ли</w:t>
      </w:r>
      <w:r>
        <w:rPr>
          <w:rFonts w:ascii="Times New Roman" w:hAnsi="Times New Roman" w:cs="Times New Roman"/>
          <w:sz w:val="28"/>
          <w:szCs w:val="28"/>
        </w:rPr>
        <w:t xml:space="preserve"> показания флюрометра.</w:t>
      </w:r>
    </w:p>
    <w:p w:rsidR="0041189E" w:rsidRDefault="0041189E" w:rsidP="00AB12B3">
      <w:pPr>
        <w:spacing w:after="0" w:line="240" w:lineRule="auto"/>
        <w:ind w:firstLine="708"/>
        <w:jc w:val="both"/>
        <w:rPr>
          <w:rFonts w:ascii="Times New Roman" w:hAnsi="Times New Roman"/>
          <w:sz w:val="28"/>
          <w:szCs w:val="28"/>
          <w:lang w:val="kk-KZ"/>
        </w:rPr>
      </w:pPr>
    </w:p>
    <w:p w:rsidR="00AB12B3" w:rsidRPr="0041189E" w:rsidRDefault="00AB12B3" w:rsidP="00AB12B3">
      <w:pPr>
        <w:spacing w:after="0" w:line="240" w:lineRule="auto"/>
        <w:ind w:firstLine="708"/>
        <w:jc w:val="both"/>
        <w:rPr>
          <w:rFonts w:ascii="Times New Roman" w:hAnsi="Times New Roman"/>
          <w:sz w:val="28"/>
          <w:szCs w:val="28"/>
          <w:lang w:val="kk-KZ"/>
        </w:rPr>
      </w:pPr>
      <w:r w:rsidRPr="0041189E">
        <w:rPr>
          <w:rFonts w:ascii="Times New Roman" w:hAnsi="Times New Roman"/>
          <w:sz w:val="28"/>
          <w:szCs w:val="28"/>
          <w:lang w:val="kk-KZ"/>
        </w:rPr>
        <w:t xml:space="preserve">2.2.2 Генотипирование полиморфизмов генов </w:t>
      </w:r>
      <w:r w:rsidRPr="0041189E">
        <w:rPr>
          <w:rFonts w:ascii="Times New Roman" w:hAnsi="Times New Roman"/>
          <w:i/>
          <w:sz w:val="28"/>
          <w:szCs w:val="28"/>
          <w:lang w:val="kk-KZ"/>
        </w:rPr>
        <w:t xml:space="preserve">LPL </w:t>
      </w:r>
      <w:r w:rsidRPr="0041189E">
        <w:rPr>
          <w:rFonts w:ascii="Times New Roman" w:hAnsi="Times New Roman"/>
          <w:sz w:val="28"/>
          <w:szCs w:val="28"/>
          <w:lang w:val="kk-KZ"/>
        </w:rPr>
        <w:t>Ser447Ter (rs328),</w:t>
      </w:r>
      <w:r w:rsidRPr="0041189E">
        <w:rPr>
          <w:rFonts w:ascii="Times New Roman" w:hAnsi="Times New Roman"/>
          <w:i/>
          <w:sz w:val="28"/>
          <w:szCs w:val="28"/>
          <w:lang w:val="kk-KZ"/>
        </w:rPr>
        <w:t xml:space="preserve"> ADRB2 </w:t>
      </w:r>
      <w:r w:rsidRPr="0041189E">
        <w:rPr>
          <w:rFonts w:ascii="Times New Roman" w:hAnsi="Times New Roman"/>
          <w:sz w:val="28"/>
          <w:szCs w:val="28"/>
          <w:lang w:val="kk-KZ"/>
        </w:rPr>
        <w:t>Gln27Glu (rs1042714),</w:t>
      </w:r>
      <w:r w:rsidRPr="0041189E">
        <w:rPr>
          <w:rFonts w:ascii="Times New Roman" w:hAnsi="Times New Roman"/>
          <w:i/>
          <w:sz w:val="28"/>
          <w:szCs w:val="28"/>
          <w:lang w:val="kk-KZ"/>
        </w:rPr>
        <w:t xml:space="preserve"> AGT </w:t>
      </w:r>
      <w:r w:rsidRPr="0041189E">
        <w:rPr>
          <w:rFonts w:ascii="Times New Roman" w:hAnsi="Times New Roman"/>
          <w:sz w:val="28"/>
          <w:szCs w:val="28"/>
          <w:lang w:val="kk-KZ"/>
        </w:rPr>
        <w:t xml:space="preserve">Thr174Met (rs4762), </w:t>
      </w:r>
      <w:r w:rsidRPr="0041189E">
        <w:rPr>
          <w:rFonts w:ascii="Times New Roman" w:hAnsi="Times New Roman"/>
          <w:i/>
          <w:sz w:val="28"/>
          <w:szCs w:val="28"/>
          <w:lang w:val="kk-KZ"/>
        </w:rPr>
        <w:t xml:space="preserve">AGTR1 </w:t>
      </w:r>
      <w:r w:rsidRPr="0041189E">
        <w:rPr>
          <w:rFonts w:ascii="Times New Roman" w:hAnsi="Times New Roman"/>
          <w:sz w:val="28"/>
          <w:szCs w:val="28"/>
          <w:lang w:val="kk-KZ"/>
        </w:rPr>
        <w:t>A1166C (rs5186)</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Генотипирование четырех полиморфизмов </w:t>
      </w:r>
      <w:r>
        <w:rPr>
          <w:rFonts w:ascii="Times New Roman" w:hAnsi="Times New Roman"/>
          <w:i/>
          <w:sz w:val="28"/>
          <w:szCs w:val="28"/>
        </w:rPr>
        <w:t xml:space="preserve">LPL </w:t>
      </w:r>
      <w:r w:rsidRPr="004C46D6">
        <w:rPr>
          <w:rFonts w:ascii="Times New Roman" w:hAnsi="Times New Roman"/>
          <w:sz w:val="28"/>
          <w:szCs w:val="28"/>
        </w:rPr>
        <w:t>Ser447Ter (rs328),</w:t>
      </w:r>
      <w:r>
        <w:rPr>
          <w:rFonts w:ascii="Times New Roman" w:hAnsi="Times New Roman"/>
          <w:i/>
          <w:sz w:val="28"/>
          <w:szCs w:val="28"/>
        </w:rPr>
        <w:t xml:space="preserve"> ADRB2 </w:t>
      </w:r>
      <w:r w:rsidRPr="004C46D6">
        <w:rPr>
          <w:rFonts w:ascii="Times New Roman" w:hAnsi="Times New Roman"/>
          <w:sz w:val="28"/>
          <w:szCs w:val="28"/>
        </w:rPr>
        <w:t>Gln27Glu (rs1042714),</w:t>
      </w:r>
      <w:r>
        <w:rPr>
          <w:rFonts w:ascii="Times New Roman" w:hAnsi="Times New Roman"/>
          <w:i/>
          <w:sz w:val="28"/>
          <w:szCs w:val="28"/>
        </w:rPr>
        <w:t xml:space="preserve"> AGT </w:t>
      </w:r>
      <w:r w:rsidRPr="004C46D6">
        <w:rPr>
          <w:rFonts w:ascii="Times New Roman" w:hAnsi="Times New Roman"/>
          <w:sz w:val="28"/>
          <w:szCs w:val="28"/>
        </w:rPr>
        <w:t>Thr174Met (rs4762),</w:t>
      </w:r>
      <w:r>
        <w:rPr>
          <w:rFonts w:ascii="Times New Roman" w:hAnsi="Times New Roman"/>
          <w:i/>
          <w:sz w:val="28"/>
          <w:szCs w:val="28"/>
        </w:rPr>
        <w:t xml:space="preserve"> AGTR1 </w:t>
      </w:r>
      <w:r w:rsidRPr="004C46D6">
        <w:rPr>
          <w:rFonts w:ascii="Times New Roman" w:hAnsi="Times New Roman"/>
          <w:sz w:val="28"/>
          <w:szCs w:val="28"/>
        </w:rPr>
        <w:t xml:space="preserve">A1166C (rs5186) </w:t>
      </w:r>
      <w:r>
        <w:rPr>
          <w:rFonts w:ascii="Times New Roman" w:hAnsi="Times New Roman"/>
          <w:sz w:val="28"/>
          <w:szCs w:val="28"/>
        </w:rPr>
        <w:t xml:space="preserve">в режиме ПЦР в реальном времени проводилось на базе </w:t>
      </w:r>
      <w:r>
        <w:rPr>
          <w:rFonts w:ascii="Times New Roman" w:hAnsi="Times New Roman" w:cs="Times New Roman"/>
          <w:sz w:val="28"/>
          <w:szCs w:val="28"/>
        </w:rPr>
        <w:t>Лаборатории коллективного пользования НАО «Медицинского университета Караганды» (Приложени</w:t>
      </w:r>
      <w:r w:rsidR="00CC4358">
        <w:rPr>
          <w:rFonts w:ascii="Times New Roman" w:hAnsi="Times New Roman" w:cs="Times New Roman"/>
          <w:sz w:val="28"/>
          <w:szCs w:val="28"/>
        </w:rPr>
        <w:t>я</w:t>
      </w:r>
      <w:r w:rsidR="008250A6">
        <w:rPr>
          <w:rFonts w:ascii="Times New Roman" w:hAnsi="Times New Roman" w:cs="Times New Roman"/>
          <w:sz w:val="28"/>
          <w:szCs w:val="28"/>
          <w:lang w:val="kk-KZ"/>
        </w:rPr>
        <w:t xml:space="preserve"> А</w:t>
      </w:r>
      <w:r w:rsidR="002445C8">
        <w:rPr>
          <w:rFonts w:ascii="Times New Roman" w:hAnsi="Times New Roman" w:cs="Times New Roman"/>
          <w:sz w:val="28"/>
          <w:szCs w:val="28"/>
          <w:lang w:val="kk-KZ"/>
        </w:rPr>
        <w:t>, Б</w:t>
      </w:r>
      <w:r>
        <w:rPr>
          <w:rFonts w:ascii="Times New Roman" w:hAnsi="Times New Roman" w:cs="Times New Roman"/>
          <w:sz w:val="28"/>
          <w:szCs w:val="28"/>
        </w:rPr>
        <w:t>).</w:t>
      </w:r>
      <w:r w:rsidR="00D57289">
        <w:rPr>
          <w:rFonts w:ascii="Times New Roman" w:hAnsi="Times New Roman" w:cs="Times New Roman"/>
          <w:sz w:val="28"/>
          <w:szCs w:val="28"/>
        </w:rPr>
        <w:t xml:space="preserve"> </w:t>
      </w:r>
      <w:r w:rsidR="00C2537F">
        <w:rPr>
          <w:rFonts w:ascii="Times New Roman" w:hAnsi="Times New Roman" w:cs="Times New Roman"/>
          <w:sz w:val="28"/>
          <w:szCs w:val="28"/>
        </w:rPr>
        <w:t>Амплификация и г</w:t>
      </w:r>
      <w:r w:rsidR="00210428">
        <w:rPr>
          <w:rFonts w:ascii="Times New Roman" w:hAnsi="Times New Roman" w:cs="Times New Roman"/>
          <w:sz w:val="28"/>
          <w:szCs w:val="28"/>
        </w:rPr>
        <w:t>енотипирование четырех полиморфизмов генов проводились согласно протоколу производителя.</w:t>
      </w: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D01590">
        <w:rPr>
          <w:rFonts w:ascii="Times New Roman" w:hAnsi="Times New Roman" w:cs="Times New Roman"/>
          <w:sz w:val="28"/>
          <w:szCs w:val="28"/>
        </w:rPr>
        <w:t xml:space="preserve">Амплификация проведена на платформе </w:t>
      </w:r>
      <w:r>
        <w:rPr>
          <w:rFonts w:ascii="Times New Roman" w:hAnsi="Times New Roman" w:cs="Times New Roman"/>
          <w:sz w:val="28"/>
          <w:szCs w:val="28"/>
        </w:rPr>
        <w:t xml:space="preserve">CFX 96 (BioRad, CA, USA). </w:t>
      </w:r>
      <w:r w:rsidR="00D01590">
        <w:rPr>
          <w:rFonts w:ascii="Times New Roman" w:hAnsi="Times New Roman" w:cs="Times New Roman"/>
          <w:sz w:val="28"/>
          <w:szCs w:val="28"/>
        </w:rPr>
        <w:t xml:space="preserve">Исследование </w:t>
      </w:r>
      <w:r>
        <w:rPr>
          <w:rFonts w:ascii="Times New Roman" w:hAnsi="Times New Roman" w:cs="Times New Roman"/>
          <w:sz w:val="28"/>
          <w:szCs w:val="28"/>
        </w:rPr>
        <w:t xml:space="preserve">проводили </w:t>
      </w:r>
      <w:r w:rsidR="00D01590">
        <w:rPr>
          <w:rFonts w:ascii="Times New Roman" w:hAnsi="Times New Roman" w:cs="Times New Roman"/>
          <w:sz w:val="28"/>
          <w:szCs w:val="28"/>
        </w:rPr>
        <w:t>на</w:t>
      </w:r>
      <w:r>
        <w:rPr>
          <w:rFonts w:ascii="Times New Roman" w:hAnsi="Times New Roman" w:cs="Times New Roman"/>
          <w:sz w:val="28"/>
          <w:szCs w:val="28"/>
        </w:rPr>
        <w:t xml:space="preserve"> 460 образцах </w:t>
      </w:r>
      <w:r w:rsidR="00D01590">
        <w:rPr>
          <w:rFonts w:ascii="Times New Roman" w:hAnsi="Times New Roman" w:cs="Times New Roman"/>
          <w:sz w:val="28"/>
          <w:szCs w:val="28"/>
        </w:rPr>
        <w:t xml:space="preserve">геномной ДНК </w:t>
      </w:r>
      <w:r>
        <w:rPr>
          <w:rFonts w:ascii="Times New Roman" w:hAnsi="Times New Roman" w:cs="Times New Roman"/>
          <w:sz w:val="28"/>
          <w:szCs w:val="28"/>
        </w:rPr>
        <w:t>с использованием готовых смешанных праймеров и зондов Taq</w:t>
      </w:r>
      <w:r w:rsidR="001D35B0">
        <w:rPr>
          <w:rFonts w:ascii="Times New Roman" w:hAnsi="Times New Roman" w:cs="Times New Roman"/>
          <w:sz w:val="28"/>
          <w:szCs w:val="28"/>
        </w:rPr>
        <w:t xml:space="preserve"> </w:t>
      </w:r>
      <w:r>
        <w:rPr>
          <w:rFonts w:ascii="Times New Roman" w:hAnsi="Times New Roman" w:cs="Times New Roman"/>
          <w:sz w:val="28"/>
          <w:szCs w:val="28"/>
        </w:rPr>
        <w:t>Man, где присутствие реагента Taq</w:t>
      </w:r>
      <w:r w:rsidR="001D35B0">
        <w:rPr>
          <w:rFonts w:ascii="Times New Roman" w:hAnsi="Times New Roman" w:cs="Times New Roman"/>
          <w:sz w:val="28"/>
          <w:szCs w:val="28"/>
        </w:rPr>
        <w:t xml:space="preserve"> </w:t>
      </w:r>
      <w:r>
        <w:rPr>
          <w:rFonts w:ascii="Times New Roman" w:hAnsi="Times New Roman" w:cs="Times New Roman"/>
          <w:sz w:val="28"/>
          <w:szCs w:val="28"/>
        </w:rPr>
        <w:t>Man</w:t>
      </w:r>
      <w:r w:rsidR="001D35B0">
        <w:rPr>
          <w:rFonts w:ascii="Times New Roman" w:hAnsi="Times New Roman" w:cs="Times New Roman"/>
          <w:sz w:val="28"/>
          <w:szCs w:val="28"/>
        </w:rPr>
        <w:t xml:space="preserve"> </w:t>
      </w:r>
      <w:r>
        <w:rPr>
          <w:rFonts w:ascii="Times New Roman" w:hAnsi="Times New Roman" w:cs="Times New Roman"/>
          <w:sz w:val="28"/>
          <w:szCs w:val="28"/>
        </w:rPr>
        <w:t>Genotyping</w:t>
      </w:r>
      <w:r w:rsidR="001D35B0">
        <w:rPr>
          <w:rFonts w:ascii="Times New Roman" w:hAnsi="Times New Roman" w:cs="Times New Roman"/>
          <w:sz w:val="28"/>
          <w:szCs w:val="28"/>
        </w:rPr>
        <w:t xml:space="preserve"> </w:t>
      </w:r>
      <w:r>
        <w:rPr>
          <w:rFonts w:ascii="Times New Roman" w:hAnsi="Times New Roman" w:cs="Times New Roman"/>
          <w:sz w:val="28"/>
          <w:szCs w:val="28"/>
        </w:rPr>
        <w:t xml:space="preserve">Mastermix составляло 20 мкл, 5 мкл ДНК, в общем объеме 25 мкл в 96-луночном планшете.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Реагент для </w:t>
      </w:r>
      <w:r>
        <w:rPr>
          <w:rFonts w:ascii="Times New Roman" w:hAnsi="Times New Roman" w:cs="Times New Roman"/>
          <w:i/>
          <w:sz w:val="28"/>
          <w:szCs w:val="28"/>
        </w:rPr>
        <w:t xml:space="preserve">LPL </w:t>
      </w:r>
      <w:r w:rsidRPr="004C46D6">
        <w:rPr>
          <w:rFonts w:ascii="Times New Roman" w:hAnsi="Times New Roman" w:cs="Times New Roman"/>
          <w:sz w:val="28"/>
          <w:szCs w:val="28"/>
        </w:rPr>
        <w:t>Ser447Ter (rs328)</w:t>
      </w:r>
      <w:r>
        <w:rPr>
          <w:rFonts w:ascii="Times New Roman" w:hAnsi="Times New Roman" w:cs="Times New Roman"/>
          <w:sz w:val="28"/>
          <w:szCs w:val="28"/>
        </w:rPr>
        <w:t xml:space="preserve"> был производства Литех, Москва, Россия. Для полиморфизма </w:t>
      </w:r>
      <w:r>
        <w:rPr>
          <w:rFonts w:ascii="Times New Roman" w:hAnsi="Times New Roman" w:cs="Times New Roman"/>
          <w:i/>
          <w:sz w:val="28"/>
          <w:szCs w:val="28"/>
        </w:rPr>
        <w:t xml:space="preserve">LPL </w:t>
      </w:r>
      <w:r w:rsidRPr="004C46D6">
        <w:rPr>
          <w:rFonts w:ascii="Times New Roman" w:hAnsi="Times New Roman" w:cs="Times New Roman"/>
          <w:sz w:val="28"/>
          <w:szCs w:val="28"/>
        </w:rPr>
        <w:t>Ser447Ter (rs328)</w:t>
      </w:r>
      <w:r>
        <w:rPr>
          <w:rFonts w:ascii="Times New Roman" w:hAnsi="Times New Roman" w:cs="Times New Roman"/>
          <w:sz w:val="28"/>
          <w:szCs w:val="28"/>
        </w:rPr>
        <w:t xml:space="preserve"> применялась программа амплификации </w:t>
      </w:r>
      <w:r w:rsidR="00E61584">
        <w:rPr>
          <w:rFonts w:ascii="Times New Roman" w:hAnsi="Times New Roman" w:cs="Times New Roman"/>
          <w:sz w:val="28"/>
          <w:szCs w:val="28"/>
        </w:rPr>
        <w:t>с</w:t>
      </w:r>
      <w:r>
        <w:rPr>
          <w:rFonts w:ascii="Times New Roman" w:hAnsi="Times New Roman" w:cs="Times New Roman"/>
          <w:sz w:val="28"/>
          <w:szCs w:val="28"/>
        </w:rPr>
        <w:t xml:space="preserve"> этап</w:t>
      </w:r>
      <w:r w:rsidR="00E61584">
        <w:rPr>
          <w:rFonts w:ascii="Times New Roman" w:hAnsi="Times New Roman" w:cs="Times New Roman"/>
          <w:sz w:val="28"/>
          <w:szCs w:val="28"/>
        </w:rPr>
        <w:t>ом</w:t>
      </w:r>
      <w:r>
        <w:rPr>
          <w:rFonts w:ascii="Times New Roman" w:hAnsi="Times New Roman" w:cs="Times New Roman"/>
          <w:sz w:val="28"/>
          <w:szCs w:val="28"/>
        </w:rPr>
        <w:t xml:space="preserve"> предварительной денатурации 93° C в течение 1 минуты и последующие 35 циклов реакции при 93° C в течение 10 секунд, 64° C в течение 10 сек</w:t>
      </w:r>
      <w:r w:rsidR="00210428">
        <w:rPr>
          <w:rFonts w:ascii="Times New Roman" w:hAnsi="Times New Roman" w:cs="Times New Roman"/>
          <w:sz w:val="28"/>
          <w:szCs w:val="28"/>
        </w:rPr>
        <w:t>унд и 72° C в течение 20 секунд.</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Реагенты для </w:t>
      </w:r>
      <w:r>
        <w:rPr>
          <w:rFonts w:ascii="Times New Roman" w:hAnsi="Times New Roman" w:cs="Times New Roman"/>
          <w:i/>
          <w:sz w:val="28"/>
          <w:szCs w:val="28"/>
        </w:rPr>
        <w:t xml:space="preserve">ADRB2 </w:t>
      </w:r>
      <w:r w:rsidRPr="004C46D6">
        <w:rPr>
          <w:rFonts w:ascii="Times New Roman" w:hAnsi="Times New Roman" w:cs="Times New Roman"/>
          <w:sz w:val="28"/>
          <w:szCs w:val="28"/>
        </w:rPr>
        <w:t>Gln27Glu (rs1042714),</w:t>
      </w:r>
      <w:r>
        <w:rPr>
          <w:rFonts w:ascii="Times New Roman" w:hAnsi="Times New Roman" w:cs="Times New Roman"/>
          <w:i/>
          <w:sz w:val="28"/>
          <w:szCs w:val="28"/>
        </w:rPr>
        <w:t xml:space="preserve"> AGT </w:t>
      </w:r>
      <w:r w:rsidRPr="004C46D6">
        <w:rPr>
          <w:rFonts w:ascii="Times New Roman" w:hAnsi="Times New Roman" w:cs="Times New Roman"/>
          <w:sz w:val="28"/>
          <w:szCs w:val="28"/>
        </w:rPr>
        <w:t>Thr174Met (rs4762),</w:t>
      </w:r>
      <w:r>
        <w:rPr>
          <w:rFonts w:ascii="Times New Roman" w:hAnsi="Times New Roman" w:cs="Times New Roman"/>
          <w:i/>
          <w:sz w:val="28"/>
          <w:szCs w:val="28"/>
        </w:rPr>
        <w:t xml:space="preserve"> AGTR1 </w:t>
      </w:r>
      <w:r w:rsidRPr="004C46D6">
        <w:rPr>
          <w:rFonts w:ascii="Times New Roman" w:hAnsi="Times New Roman" w:cs="Times New Roman"/>
          <w:sz w:val="28"/>
          <w:szCs w:val="28"/>
        </w:rPr>
        <w:t>A1166C (rs5186)</w:t>
      </w:r>
      <w:r>
        <w:rPr>
          <w:rFonts w:ascii="Times New Roman" w:hAnsi="Times New Roman" w:cs="Times New Roman"/>
          <w:sz w:val="28"/>
          <w:szCs w:val="28"/>
        </w:rPr>
        <w:t xml:space="preserve"> были производства Synthol, Москва, Россия. Программа амплификации включала стадию предварительной денатурации при 95° C в течение 3 минут и последующие 48 циклов реакции при 95° C в течение 15 секунд и 63° C в течение 40 секунд для трех SNP </w:t>
      </w:r>
      <w:r>
        <w:rPr>
          <w:rFonts w:ascii="Times New Roman" w:hAnsi="Times New Roman" w:cs="Times New Roman"/>
          <w:i/>
          <w:sz w:val="28"/>
          <w:szCs w:val="28"/>
        </w:rPr>
        <w:t xml:space="preserve">(ADRB2 </w:t>
      </w:r>
      <w:r w:rsidRPr="004C46D6">
        <w:rPr>
          <w:rFonts w:ascii="Times New Roman" w:hAnsi="Times New Roman" w:cs="Times New Roman"/>
          <w:sz w:val="28"/>
          <w:szCs w:val="28"/>
        </w:rPr>
        <w:t>Gln27Glu (rs1042714),</w:t>
      </w:r>
      <w:r>
        <w:rPr>
          <w:rFonts w:ascii="Times New Roman" w:hAnsi="Times New Roman" w:cs="Times New Roman"/>
          <w:i/>
          <w:sz w:val="28"/>
          <w:szCs w:val="28"/>
        </w:rPr>
        <w:t xml:space="preserve"> AGT </w:t>
      </w:r>
      <w:r w:rsidRPr="004C46D6">
        <w:rPr>
          <w:rFonts w:ascii="Times New Roman" w:hAnsi="Times New Roman" w:cs="Times New Roman"/>
          <w:sz w:val="28"/>
          <w:szCs w:val="28"/>
        </w:rPr>
        <w:t>Thr174Met (rs4762),</w:t>
      </w:r>
      <w:r>
        <w:rPr>
          <w:rFonts w:ascii="Times New Roman" w:hAnsi="Times New Roman" w:cs="Times New Roman"/>
          <w:i/>
          <w:sz w:val="28"/>
          <w:szCs w:val="28"/>
        </w:rPr>
        <w:t xml:space="preserve"> AGTR1 </w:t>
      </w:r>
      <w:r w:rsidR="003005C7">
        <w:rPr>
          <w:rFonts w:ascii="Times New Roman" w:hAnsi="Times New Roman" w:cs="Times New Roman"/>
          <w:sz w:val="28"/>
          <w:szCs w:val="28"/>
        </w:rPr>
        <w:t>A1166C (rs5186))</w:t>
      </w:r>
      <w:r>
        <w:rPr>
          <w:rFonts w:ascii="Times New Roman" w:hAnsi="Times New Roman" w:cs="Times New Roman"/>
          <w:sz w:val="28"/>
          <w:szCs w:val="28"/>
        </w:rPr>
        <w:t xml:space="preserve">. </w:t>
      </w:r>
    </w:p>
    <w:p w:rsidR="00AB12B3" w:rsidRDefault="00AB12B3" w:rsidP="00AB12B3">
      <w:pPr>
        <w:spacing w:after="0" w:line="240" w:lineRule="auto"/>
        <w:ind w:firstLine="708"/>
        <w:jc w:val="both"/>
        <w:rPr>
          <w:rFonts w:ascii="Times New Roman" w:hAnsi="Times New Roman"/>
          <w:sz w:val="28"/>
          <w:szCs w:val="28"/>
        </w:rPr>
      </w:pPr>
      <w:r>
        <w:rPr>
          <w:rFonts w:ascii="Times New Roman" w:hAnsi="Times New Roman"/>
          <w:sz w:val="28"/>
          <w:szCs w:val="28"/>
        </w:rPr>
        <w:t xml:space="preserve">Для каждого изучаемого полиморфизма предварительно были выявлены гомозиготные и гетерозиготные образцы – стандарты </w:t>
      </w:r>
      <w:r>
        <w:rPr>
          <w:rFonts w:ascii="Times New Roman" w:hAnsi="Times New Roman" w:cs="Times New Roman"/>
          <w:sz w:val="28"/>
          <w:szCs w:val="28"/>
        </w:rPr>
        <w:t>по данны</w:t>
      </w:r>
      <w:r w:rsidR="003005C7">
        <w:rPr>
          <w:rFonts w:ascii="Times New Roman" w:hAnsi="Times New Roman" w:cs="Times New Roman"/>
          <w:sz w:val="28"/>
          <w:szCs w:val="28"/>
        </w:rPr>
        <w:t>м</w:t>
      </w:r>
      <w:r>
        <w:rPr>
          <w:rFonts w:ascii="Times New Roman" w:hAnsi="Times New Roman" w:cs="Times New Roman"/>
          <w:sz w:val="28"/>
          <w:szCs w:val="28"/>
        </w:rPr>
        <w:t xml:space="preserve"> проекта 1000 Genomes</w:t>
      </w:r>
      <w:r w:rsidR="001D35B0">
        <w:rPr>
          <w:rFonts w:ascii="Times New Roman" w:hAnsi="Times New Roman" w:cs="Times New Roman"/>
          <w:sz w:val="28"/>
          <w:szCs w:val="28"/>
        </w:rPr>
        <w:t xml:space="preserve"> </w:t>
      </w:r>
      <w:r>
        <w:rPr>
          <w:rFonts w:ascii="Times New Roman" w:hAnsi="Times New Roman" w:cs="Times New Roman"/>
          <w:sz w:val="28"/>
          <w:szCs w:val="28"/>
        </w:rPr>
        <w:t>Browser</w:t>
      </w:r>
      <w:r w:rsidR="0073581F">
        <w:rPr>
          <w:rFonts w:ascii="Times New Roman" w:hAnsi="Times New Roman" w:cs="Times New Roman"/>
          <w:sz w:val="28"/>
          <w:szCs w:val="28"/>
        </w:rPr>
        <w:t xml:space="preserve"> </w:t>
      </w:r>
      <w:r w:rsidRPr="00EE7BE0">
        <w:rPr>
          <w:rFonts w:ascii="Times New Roman" w:hAnsi="Times New Roman" w:cs="Times New Roman"/>
          <w:sz w:val="28"/>
          <w:szCs w:val="28"/>
        </w:rPr>
        <w:t>(</w:t>
      </w:r>
      <w:hyperlink r:id="rId20" w:history="1">
        <w:r w:rsidRPr="00EE7BE0">
          <w:rPr>
            <w:rStyle w:val="a3"/>
            <w:rFonts w:ascii="Times New Roman" w:hAnsi="Times New Roman" w:cs="Times New Roman"/>
            <w:sz w:val="28"/>
            <w:szCs w:val="28"/>
          </w:rPr>
          <w:t>https://www.ncbi.nlm.nih.gov</w:t>
        </w:r>
      </w:hyperlink>
      <w:r w:rsidRPr="00EE7BE0">
        <w:rPr>
          <w:rFonts w:ascii="Times New Roman" w:hAnsi="Times New Roman" w:cs="Times New Roman"/>
          <w:sz w:val="28"/>
          <w:szCs w:val="28"/>
        </w:rPr>
        <w:t>)</w:t>
      </w:r>
      <w:r w:rsidR="009F0C9C">
        <w:rPr>
          <w:rFonts w:ascii="Century" w:hAnsi="Century" w:cs="Times New Roman"/>
          <w:sz w:val="28"/>
          <w:szCs w:val="28"/>
        </w:rPr>
        <w:t>.</w:t>
      </w:r>
      <w:r>
        <w:rPr>
          <w:rFonts w:ascii="Times New Roman" w:hAnsi="Times New Roman"/>
          <w:sz w:val="28"/>
          <w:szCs w:val="28"/>
        </w:rPr>
        <w:t xml:space="preserve"> Последовательность праймеров (5</w:t>
      </w:r>
      <w:r>
        <w:rPr>
          <w:rFonts w:ascii="Times New Roman" w:hAnsi="Times New Roman" w:cs="Times New Roman"/>
          <w:b/>
          <w:sz w:val="28"/>
          <w:szCs w:val="28"/>
        </w:rPr>
        <w:t>ʼ→</w:t>
      </w:r>
      <w:r>
        <w:rPr>
          <w:rFonts w:ascii="Times New Roman" w:hAnsi="Times New Roman"/>
          <w:sz w:val="28"/>
          <w:szCs w:val="28"/>
        </w:rPr>
        <w:t>3</w:t>
      </w:r>
      <w:r>
        <w:rPr>
          <w:rFonts w:ascii="Times New Roman" w:hAnsi="Times New Roman" w:cs="Times New Roman"/>
          <w:b/>
          <w:sz w:val="28"/>
          <w:szCs w:val="28"/>
        </w:rPr>
        <w:t>ʼ</w:t>
      </w:r>
      <w:r>
        <w:rPr>
          <w:rFonts w:ascii="Times New Roman" w:hAnsi="Times New Roman"/>
          <w:sz w:val="28"/>
          <w:szCs w:val="28"/>
        </w:rPr>
        <w:t>) были такие:</w:t>
      </w:r>
    </w:p>
    <w:p w:rsidR="00AB12B3" w:rsidRPr="00F91780" w:rsidRDefault="00AB12B3" w:rsidP="00AB12B3">
      <w:pPr>
        <w:spacing w:after="0" w:line="240" w:lineRule="auto"/>
        <w:jc w:val="both"/>
        <w:rPr>
          <w:rFonts w:ascii="Times New Roman" w:hAnsi="Times New Roman" w:cs="Times New Roman"/>
          <w:sz w:val="28"/>
          <w:szCs w:val="28"/>
        </w:rPr>
      </w:pPr>
      <w:r w:rsidRPr="004C46D6">
        <w:rPr>
          <w:rFonts w:ascii="Times New Roman" w:hAnsi="Times New Roman" w:cs="Times New Roman"/>
          <w:i/>
          <w:sz w:val="28"/>
          <w:szCs w:val="28"/>
          <w:lang w:val="en-US"/>
        </w:rPr>
        <w:t>LPL</w:t>
      </w:r>
      <w:r w:rsidR="00200846" w:rsidRPr="00F91780">
        <w:rPr>
          <w:rFonts w:ascii="Times New Roman" w:hAnsi="Times New Roman" w:cs="Times New Roman"/>
          <w:i/>
          <w:sz w:val="28"/>
          <w:szCs w:val="28"/>
        </w:rPr>
        <w:t xml:space="preserve"> </w:t>
      </w:r>
      <w:r w:rsidRPr="004C46D6">
        <w:rPr>
          <w:rFonts w:ascii="Times New Roman" w:hAnsi="Times New Roman" w:cs="Times New Roman"/>
          <w:sz w:val="28"/>
          <w:szCs w:val="28"/>
          <w:lang w:val="en-US"/>
        </w:rPr>
        <w:t>Ser</w:t>
      </w:r>
      <w:r w:rsidRPr="00F91780">
        <w:rPr>
          <w:rFonts w:ascii="Times New Roman" w:hAnsi="Times New Roman" w:cs="Times New Roman"/>
          <w:sz w:val="28"/>
          <w:szCs w:val="28"/>
        </w:rPr>
        <w:t>447</w:t>
      </w:r>
      <w:r w:rsidRPr="004C46D6">
        <w:rPr>
          <w:rFonts w:ascii="Times New Roman" w:hAnsi="Times New Roman" w:cs="Times New Roman"/>
          <w:sz w:val="28"/>
          <w:szCs w:val="28"/>
          <w:lang w:val="en-US"/>
        </w:rPr>
        <w:t>Ter</w:t>
      </w:r>
      <w:r w:rsidRPr="00F91780">
        <w:rPr>
          <w:rFonts w:ascii="Times New Roman" w:hAnsi="Times New Roman" w:cs="Times New Roman"/>
          <w:sz w:val="28"/>
          <w:szCs w:val="28"/>
        </w:rPr>
        <w:t xml:space="preserve"> (</w:t>
      </w:r>
      <w:r w:rsidRPr="004C46D6">
        <w:rPr>
          <w:rFonts w:ascii="Times New Roman" w:hAnsi="Times New Roman" w:cs="Times New Roman"/>
          <w:sz w:val="28"/>
          <w:szCs w:val="28"/>
          <w:lang w:val="en-US"/>
        </w:rPr>
        <w:t>rs</w:t>
      </w:r>
      <w:r w:rsidRPr="00F91780">
        <w:rPr>
          <w:rFonts w:ascii="Times New Roman" w:hAnsi="Times New Roman" w:cs="Times New Roman"/>
          <w:sz w:val="28"/>
          <w:szCs w:val="28"/>
        </w:rPr>
        <w:t>328)</w:t>
      </w:r>
      <w:r w:rsidR="001D35B0" w:rsidRPr="00F91780">
        <w:rPr>
          <w:rFonts w:ascii="Times New Roman" w:hAnsi="Times New Roman" w:cs="Times New Roman"/>
          <w:sz w:val="28"/>
          <w:szCs w:val="28"/>
        </w:rPr>
        <w:t xml:space="preserve"> </w:t>
      </w:r>
      <w:r w:rsidRPr="004C46D6">
        <w:rPr>
          <w:rFonts w:ascii="Times New Roman" w:hAnsi="Times New Roman" w:cs="Times New Roman"/>
          <w:sz w:val="28"/>
          <w:szCs w:val="28"/>
          <w:lang w:val="en-US"/>
        </w:rPr>
        <w:t>FAATAAGAAGTCAGGCTGGTGA</w:t>
      </w:r>
      <w:r w:rsidRPr="00F91780">
        <w:rPr>
          <w:rFonts w:ascii="Times New Roman" w:hAnsi="Times New Roman" w:cs="Times New Roman"/>
          <w:sz w:val="28"/>
          <w:szCs w:val="28"/>
        </w:rPr>
        <w:t xml:space="preserve"> (</w:t>
      </w:r>
      <w:r>
        <w:rPr>
          <w:rFonts w:ascii="Times New Roman" w:hAnsi="Times New Roman" w:cs="Times New Roman"/>
          <w:sz w:val="28"/>
          <w:szCs w:val="28"/>
        </w:rPr>
        <w:t>прямой</w:t>
      </w:r>
      <w:r w:rsidRPr="00F91780">
        <w:rPr>
          <w:rFonts w:ascii="Times New Roman" w:hAnsi="Times New Roman" w:cs="Times New Roman"/>
          <w:sz w:val="28"/>
          <w:szCs w:val="28"/>
        </w:rPr>
        <w:t>)</w:t>
      </w:r>
    </w:p>
    <w:p w:rsidR="00AB12B3" w:rsidRPr="00200846" w:rsidRDefault="00AB12B3" w:rsidP="00AB12B3">
      <w:pPr>
        <w:spacing w:after="0" w:line="240" w:lineRule="auto"/>
        <w:jc w:val="both"/>
        <w:rPr>
          <w:rFonts w:ascii="Times New Roman" w:hAnsi="Times New Roman"/>
          <w:sz w:val="28"/>
          <w:szCs w:val="28"/>
          <w:lang w:val="en-US"/>
        </w:rPr>
      </w:pPr>
      <w:r>
        <w:rPr>
          <w:rFonts w:ascii="Times New Roman" w:hAnsi="Times New Roman" w:cs="Times New Roman"/>
          <w:i/>
          <w:sz w:val="28"/>
          <w:szCs w:val="28"/>
          <w:lang w:val="en-US"/>
        </w:rPr>
        <w:t>LPL</w:t>
      </w:r>
      <w:r w:rsidR="00200846" w:rsidRPr="00200846">
        <w:rPr>
          <w:rFonts w:ascii="Times New Roman" w:hAnsi="Times New Roman" w:cs="Times New Roman"/>
          <w:i/>
          <w:sz w:val="28"/>
          <w:szCs w:val="28"/>
          <w:lang w:val="en-US"/>
        </w:rPr>
        <w:t xml:space="preserve"> </w:t>
      </w:r>
      <w:r w:rsidRPr="004C46D6">
        <w:rPr>
          <w:rFonts w:ascii="Times New Roman" w:hAnsi="Times New Roman" w:cs="Times New Roman"/>
          <w:sz w:val="28"/>
          <w:szCs w:val="28"/>
          <w:lang w:val="en-US"/>
        </w:rPr>
        <w:t>Ser</w:t>
      </w:r>
      <w:r w:rsidRPr="00200846">
        <w:rPr>
          <w:rFonts w:ascii="Times New Roman" w:hAnsi="Times New Roman" w:cs="Times New Roman"/>
          <w:sz w:val="28"/>
          <w:szCs w:val="28"/>
          <w:lang w:val="en-US"/>
        </w:rPr>
        <w:t>447</w:t>
      </w:r>
      <w:r w:rsidRPr="004C46D6">
        <w:rPr>
          <w:rFonts w:ascii="Times New Roman" w:hAnsi="Times New Roman" w:cs="Times New Roman"/>
          <w:sz w:val="28"/>
          <w:szCs w:val="28"/>
          <w:lang w:val="en-US"/>
        </w:rPr>
        <w:t>Ter</w:t>
      </w:r>
      <w:r w:rsidRPr="00200846">
        <w:rPr>
          <w:rFonts w:ascii="Times New Roman" w:hAnsi="Times New Roman" w:cs="Times New Roman"/>
          <w:sz w:val="28"/>
          <w:szCs w:val="28"/>
          <w:lang w:val="en-US"/>
        </w:rPr>
        <w:t xml:space="preserve"> (</w:t>
      </w:r>
      <w:r w:rsidRPr="004C46D6">
        <w:rPr>
          <w:rFonts w:ascii="Times New Roman" w:hAnsi="Times New Roman" w:cs="Times New Roman"/>
          <w:sz w:val="28"/>
          <w:szCs w:val="28"/>
          <w:lang w:val="en-US"/>
        </w:rPr>
        <w:t>rs</w:t>
      </w:r>
      <w:r w:rsidRPr="00200846">
        <w:rPr>
          <w:rFonts w:ascii="Times New Roman" w:hAnsi="Times New Roman" w:cs="Times New Roman"/>
          <w:sz w:val="28"/>
          <w:szCs w:val="28"/>
          <w:lang w:val="en-US"/>
        </w:rPr>
        <w:t>328</w:t>
      </w:r>
      <w:r w:rsidR="004C46D6" w:rsidRPr="00200846">
        <w:rPr>
          <w:rFonts w:ascii="Times New Roman" w:hAnsi="Times New Roman" w:cs="Times New Roman"/>
          <w:sz w:val="28"/>
          <w:szCs w:val="28"/>
          <w:lang w:val="en-US"/>
        </w:rPr>
        <w:t>)</w:t>
      </w:r>
      <w:r w:rsidR="0081748B" w:rsidRPr="00200846">
        <w:rPr>
          <w:rFonts w:ascii="Times New Roman" w:hAnsi="Times New Roman" w:cs="Times New Roman"/>
          <w:sz w:val="28"/>
          <w:szCs w:val="28"/>
          <w:lang w:val="en-US"/>
        </w:rPr>
        <w:t xml:space="preserve"> </w:t>
      </w:r>
      <w:r>
        <w:rPr>
          <w:rFonts w:ascii="Times New Roman" w:hAnsi="Times New Roman"/>
          <w:sz w:val="28"/>
          <w:szCs w:val="28"/>
          <w:lang w:val="en-US"/>
        </w:rPr>
        <w:t>RTTATTCTTCAGTCCGACCACT</w:t>
      </w:r>
      <w:r w:rsidRPr="00200846">
        <w:rPr>
          <w:rFonts w:ascii="Times New Roman" w:hAnsi="Times New Roman"/>
          <w:sz w:val="28"/>
          <w:szCs w:val="28"/>
          <w:lang w:val="en-US"/>
        </w:rPr>
        <w:t xml:space="preserve"> (</w:t>
      </w:r>
      <w:r>
        <w:rPr>
          <w:rFonts w:ascii="Times New Roman" w:hAnsi="Times New Roman"/>
          <w:sz w:val="28"/>
          <w:szCs w:val="28"/>
        </w:rPr>
        <w:t>обратный</w:t>
      </w:r>
      <w:r w:rsidRPr="00200846">
        <w:rPr>
          <w:rFonts w:ascii="Times New Roman" w:hAnsi="Times New Roman"/>
          <w:sz w:val="28"/>
          <w:szCs w:val="28"/>
          <w:lang w:val="en-US"/>
        </w:rPr>
        <w:t>)</w:t>
      </w:r>
    </w:p>
    <w:p w:rsidR="00AB12B3" w:rsidRPr="00F91780" w:rsidRDefault="00AB12B3" w:rsidP="00AB12B3">
      <w:pPr>
        <w:spacing w:after="0" w:line="240" w:lineRule="auto"/>
        <w:jc w:val="both"/>
        <w:rPr>
          <w:rFonts w:ascii="Times New Roman" w:hAnsi="Times New Roman" w:cs="Times New Roman"/>
          <w:sz w:val="28"/>
          <w:szCs w:val="28"/>
          <w:lang w:val="en-US"/>
        </w:rPr>
      </w:pPr>
      <w:r>
        <w:rPr>
          <w:rFonts w:ascii="Times New Roman" w:hAnsi="Times New Roman" w:cs="Times New Roman"/>
          <w:i/>
          <w:sz w:val="28"/>
          <w:szCs w:val="28"/>
          <w:lang w:val="en-US"/>
        </w:rPr>
        <w:t>ADRB</w:t>
      </w:r>
      <w:r w:rsidRPr="00F91780">
        <w:rPr>
          <w:rFonts w:ascii="Times New Roman" w:hAnsi="Times New Roman" w:cs="Times New Roman"/>
          <w:i/>
          <w:sz w:val="28"/>
          <w:szCs w:val="28"/>
          <w:lang w:val="en-US"/>
        </w:rPr>
        <w:t xml:space="preserve">2 </w:t>
      </w:r>
      <w:r w:rsidRPr="004C46D6">
        <w:rPr>
          <w:rFonts w:ascii="Times New Roman" w:hAnsi="Times New Roman" w:cs="Times New Roman"/>
          <w:sz w:val="28"/>
          <w:szCs w:val="28"/>
          <w:lang w:val="en-US"/>
        </w:rPr>
        <w:t>Gln</w:t>
      </w:r>
      <w:r w:rsidRPr="00F91780">
        <w:rPr>
          <w:rFonts w:ascii="Times New Roman" w:hAnsi="Times New Roman" w:cs="Times New Roman"/>
          <w:sz w:val="28"/>
          <w:szCs w:val="28"/>
          <w:lang w:val="en-US"/>
        </w:rPr>
        <w:t>27</w:t>
      </w:r>
      <w:r w:rsidRPr="004C46D6">
        <w:rPr>
          <w:rFonts w:ascii="Times New Roman" w:hAnsi="Times New Roman" w:cs="Times New Roman"/>
          <w:sz w:val="28"/>
          <w:szCs w:val="28"/>
          <w:lang w:val="en-US"/>
        </w:rPr>
        <w:t>Glu</w:t>
      </w:r>
      <w:r w:rsidRPr="00F91780">
        <w:rPr>
          <w:rFonts w:ascii="Times New Roman" w:hAnsi="Times New Roman" w:cs="Times New Roman"/>
          <w:sz w:val="28"/>
          <w:szCs w:val="28"/>
          <w:lang w:val="en-US"/>
        </w:rPr>
        <w:t xml:space="preserve"> (</w:t>
      </w:r>
      <w:r w:rsidRPr="004C46D6">
        <w:rPr>
          <w:rFonts w:ascii="Times New Roman" w:hAnsi="Times New Roman" w:cs="Times New Roman"/>
          <w:sz w:val="28"/>
          <w:szCs w:val="28"/>
          <w:lang w:val="en-US"/>
        </w:rPr>
        <w:t>rs</w:t>
      </w:r>
      <w:r w:rsidRPr="00F91780">
        <w:rPr>
          <w:rFonts w:ascii="Times New Roman" w:hAnsi="Times New Roman" w:cs="Times New Roman"/>
          <w:sz w:val="28"/>
          <w:szCs w:val="28"/>
          <w:lang w:val="en-US"/>
        </w:rPr>
        <w:t>1042714)</w:t>
      </w:r>
      <w:r w:rsidR="0081748B" w:rsidRPr="00F91780">
        <w:rPr>
          <w:rFonts w:ascii="Times New Roman" w:hAnsi="Times New Roman" w:cs="Times New Roman"/>
          <w:sz w:val="28"/>
          <w:szCs w:val="28"/>
          <w:lang w:val="en-US"/>
        </w:rPr>
        <w:t xml:space="preserve"> </w:t>
      </w:r>
      <w:r>
        <w:rPr>
          <w:rFonts w:ascii="Times New Roman" w:hAnsi="Times New Roman" w:cs="Times New Roman"/>
          <w:sz w:val="28"/>
          <w:szCs w:val="28"/>
          <w:lang w:val="en-US"/>
        </w:rPr>
        <w:t>FCGTCACGCAGGAAAGGGACGA</w:t>
      </w:r>
      <w:r w:rsidRPr="00F91780">
        <w:rPr>
          <w:rFonts w:ascii="Times New Roman" w:hAnsi="Times New Roman" w:cs="Times New Roman"/>
          <w:sz w:val="28"/>
          <w:szCs w:val="28"/>
          <w:lang w:val="en-US"/>
        </w:rPr>
        <w:t xml:space="preserve"> (</w:t>
      </w:r>
      <w:r>
        <w:rPr>
          <w:rFonts w:ascii="Times New Roman" w:hAnsi="Times New Roman" w:cs="Times New Roman"/>
          <w:sz w:val="28"/>
          <w:szCs w:val="28"/>
        </w:rPr>
        <w:t>прямой</w:t>
      </w:r>
      <w:r w:rsidRPr="00F91780">
        <w:rPr>
          <w:rFonts w:ascii="Times New Roman" w:hAnsi="Times New Roman" w:cs="Times New Roman"/>
          <w:sz w:val="28"/>
          <w:szCs w:val="28"/>
          <w:lang w:val="en-US"/>
        </w:rPr>
        <w:t>)</w:t>
      </w:r>
    </w:p>
    <w:p w:rsidR="00AB12B3" w:rsidRPr="00F91780" w:rsidRDefault="00AB12B3" w:rsidP="00AB12B3">
      <w:pPr>
        <w:spacing w:after="0" w:line="240" w:lineRule="auto"/>
        <w:jc w:val="both"/>
        <w:rPr>
          <w:rFonts w:ascii="Times New Roman" w:hAnsi="Times New Roman"/>
          <w:sz w:val="28"/>
          <w:szCs w:val="28"/>
          <w:lang w:val="en-US"/>
        </w:rPr>
      </w:pPr>
      <w:r>
        <w:rPr>
          <w:rFonts w:ascii="Times New Roman" w:hAnsi="Times New Roman" w:cs="Times New Roman"/>
          <w:i/>
          <w:sz w:val="28"/>
          <w:szCs w:val="28"/>
          <w:lang w:val="en-US"/>
        </w:rPr>
        <w:t>ADRB</w:t>
      </w:r>
      <w:r w:rsidRPr="00F91780">
        <w:rPr>
          <w:rFonts w:ascii="Times New Roman" w:hAnsi="Times New Roman" w:cs="Times New Roman"/>
          <w:i/>
          <w:sz w:val="28"/>
          <w:szCs w:val="28"/>
          <w:lang w:val="en-US"/>
        </w:rPr>
        <w:t xml:space="preserve">2 </w:t>
      </w:r>
      <w:r w:rsidRPr="004C46D6">
        <w:rPr>
          <w:rFonts w:ascii="Times New Roman" w:hAnsi="Times New Roman" w:cs="Times New Roman"/>
          <w:sz w:val="28"/>
          <w:szCs w:val="28"/>
          <w:lang w:val="en-US"/>
        </w:rPr>
        <w:t>Gln</w:t>
      </w:r>
      <w:r w:rsidRPr="00F91780">
        <w:rPr>
          <w:rFonts w:ascii="Times New Roman" w:hAnsi="Times New Roman" w:cs="Times New Roman"/>
          <w:sz w:val="28"/>
          <w:szCs w:val="28"/>
          <w:lang w:val="en-US"/>
        </w:rPr>
        <w:t>27</w:t>
      </w:r>
      <w:r w:rsidRPr="004C46D6">
        <w:rPr>
          <w:rFonts w:ascii="Times New Roman" w:hAnsi="Times New Roman" w:cs="Times New Roman"/>
          <w:sz w:val="28"/>
          <w:szCs w:val="28"/>
          <w:lang w:val="en-US"/>
        </w:rPr>
        <w:t>Glu</w:t>
      </w:r>
      <w:r w:rsidRPr="00F91780">
        <w:rPr>
          <w:rFonts w:ascii="Times New Roman" w:hAnsi="Times New Roman" w:cs="Times New Roman"/>
          <w:sz w:val="28"/>
          <w:szCs w:val="28"/>
          <w:lang w:val="en-US"/>
        </w:rPr>
        <w:t xml:space="preserve"> (</w:t>
      </w:r>
      <w:r w:rsidRPr="004C46D6">
        <w:rPr>
          <w:rFonts w:ascii="Times New Roman" w:hAnsi="Times New Roman" w:cs="Times New Roman"/>
          <w:sz w:val="28"/>
          <w:szCs w:val="28"/>
          <w:lang w:val="en-US"/>
        </w:rPr>
        <w:t>rs</w:t>
      </w:r>
      <w:r w:rsidRPr="00F91780">
        <w:rPr>
          <w:rFonts w:ascii="Times New Roman" w:hAnsi="Times New Roman" w:cs="Times New Roman"/>
          <w:sz w:val="28"/>
          <w:szCs w:val="28"/>
          <w:lang w:val="en-US"/>
        </w:rPr>
        <w:t>1042714)</w:t>
      </w:r>
      <w:r w:rsidR="0081748B" w:rsidRPr="00F91780">
        <w:rPr>
          <w:rFonts w:ascii="Times New Roman" w:hAnsi="Times New Roman" w:cs="Times New Roman"/>
          <w:sz w:val="28"/>
          <w:szCs w:val="28"/>
          <w:lang w:val="en-US"/>
        </w:rPr>
        <w:t xml:space="preserve"> </w:t>
      </w:r>
      <w:r>
        <w:rPr>
          <w:rFonts w:ascii="Times New Roman" w:hAnsi="Times New Roman"/>
          <w:sz w:val="28"/>
          <w:szCs w:val="28"/>
          <w:lang w:val="en-US"/>
        </w:rPr>
        <w:t>RGCAGTGCGTCCTTTCCCTGCT</w:t>
      </w:r>
      <w:r w:rsidRPr="00F91780">
        <w:rPr>
          <w:rFonts w:ascii="Times New Roman" w:hAnsi="Times New Roman"/>
          <w:sz w:val="28"/>
          <w:szCs w:val="28"/>
          <w:lang w:val="en-US"/>
        </w:rPr>
        <w:t xml:space="preserve"> (</w:t>
      </w:r>
      <w:r>
        <w:rPr>
          <w:rFonts w:ascii="Times New Roman" w:hAnsi="Times New Roman"/>
          <w:sz w:val="28"/>
          <w:szCs w:val="28"/>
        </w:rPr>
        <w:t>обратный</w:t>
      </w:r>
      <w:r w:rsidRPr="00F91780">
        <w:rPr>
          <w:rFonts w:ascii="Times New Roman" w:hAnsi="Times New Roman"/>
          <w:sz w:val="28"/>
          <w:szCs w:val="28"/>
          <w:lang w:val="en-US"/>
        </w:rPr>
        <w:t>)</w:t>
      </w:r>
    </w:p>
    <w:p w:rsidR="00AB12B3" w:rsidRPr="00F91780" w:rsidRDefault="00AB12B3" w:rsidP="00AB12B3">
      <w:pPr>
        <w:spacing w:after="0" w:line="240" w:lineRule="auto"/>
        <w:jc w:val="both"/>
        <w:rPr>
          <w:rFonts w:ascii="Times New Roman" w:hAnsi="Times New Roman" w:cs="Times New Roman"/>
          <w:sz w:val="28"/>
          <w:szCs w:val="28"/>
          <w:lang w:val="en-US"/>
        </w:rPr>
      </w:pPr>
      <w:r>
        <w:rPr>
          <w:rFonts w:ascii="Times New Roman" w:hAnsi="Times New Roman" w:cs="Times New Roman"/>
          <w:i/>
          <w:sz w:val="28"/>
          <w:szCs w:val="28"/>
          <w:lang w:val="en-US"/>
        </w:rPr>
        <w:t>AGT</w:t>
      </w:r>
      <w:r w:rsidR="00200846" w:rsidRPr="00F91780">
        <w:rPr>
          <w:rFonts w:ascii="Times New Roman" w:hAnsi="Times New Roman" w:cs="Times New Roman"/>
          <w:i/>
          <w:sz w:val="28"/>
          <w:szCs w:val="28"/>
          <w:lang w:val="en-US"/>
        </w:rPr>
        <w:t xml:space="preserve"> </w:t>
      </w:r>
      <w:r w:rsidRPr="004C46D6">
        <w:rPr>
          <w:rFonts w:ascii="Times New Roman" w:hAnsi="Times New Roman" w:cs="Times New Roman"/>
          <w:sz w:val="28"/>
          <w:szCs w:val="28"/>
          <w:lang w:val="en-US"/>
        </w:rPr>
        <w:t>Thr</w:t>
      </w:r>
      <w:r w:rsidRPr="00F91780">
        <w:rPr>
          <w:rFonts w:ascii="Times New Roman" w:hAnsi="Times New Roman" w:cs="Times New Roman"/>
          <w:sz w:val="28"/>
          <w:szCs w:val="28"/>
          <w:lang w:val="en-US"/>
        </w:rPr>
        <w:t>174</w:t>
      </w:r>
      <w:r w:rsidRPr="004C46D6">
        <w:rPr>
          <w:rFonts w:ascii="Times New Roman" w:hAnsi="Times New Roman" w:cs="Times New Roman"/>
          <w:sz w:val="28"/>
          <w:szCs w:val="28"/>
          <w:lang w:val="en-US"/>
        </w:rPr>
        <w:t>Met</w:t>
      </w:r>
      <w:r w:rsidRPr="00F91780">
        <w:rPr>
          <w:rFonts w:ascii="Times New Roman" w:hAnsi="Times New Roman" w:cs="Times New Roman"/>
          <w:sz w:val="28"/>
          <w:szCs w:val="28"/>
          <w:lang w:val="en-US"/>
        </w:rPr>
        <w:t xml:space="preserve"> (</w:t>
      </w:r>
      <w:r w:rsidRPr="004C46D6">
        <w:rPr>
          <w:rFonts w:ascii="Times New Roman" w:hAnsi="Times New Roman" w:cs="Times New Roman"/>
          <w:sz w:val="28"/>
          <w:szCs w:val="28"/>
          <w:lang w:val="en-US"/>
        </w:rPr>
        <w:t>rs</w:t>
      </w:r>
      <w:r w:rsidRPr="00F91780">
        <w:rPr>
          <w:rFonts w:ascii="Times New Roman" w:hAnsi="Times New Roman" w:cs="Times New Roman"/>
          <w:sz w:val="28"/>
          <w:szCs w:val="28"/>
          <w:lang w:val="en-US"/>
        </w:rPr>
        <w:t>4762)</w:t>
      </w:r>
      <w:r w:rsidR="0081748B" w:rsidRPr="00F91780">
        <w:rPr>
          <w:rFonts w:ascii="Times New Roman" w:hAnsi="Times New Roman" w:cs="Times New Roman"/>
          <w:sz w:val="28"/>
          <w:szCs w:val="28"/>
          <w:lang w:val="en-US"/>
        </w:rPr>
        <w:t xml:space="preserve"> </w:t>
      </w:r>
      <w:r>
        <w:rPr>
          <w:rFonts w:ascii="Times New Roman" w:hAnsi="Times New Roman" w:cs="Times New Roman"/>
          <w:sz w:val="28"/>
          <w:szCs w:val="28"/>
          <w:lang w:val="en-US"/>
        </w:rPr>
        <w:t>F</w:t>
      </w:r>
      <w:r>
        <w:rPr>
          <w:rFonts w:ascii="Times New Roman" w:hAnsi="Times New Roman"/>
          <w:sz w:val="28"/>
          <w:szCs w:val="28"/>
          <w:lang w:val="en-US"/>
        </w:rPr>
        <w:t>GCCCACCACCGTGGACAGCAG</w:t>
      </w:r>
      <w:r w:rsidR="00200846" w:rsidRPr="00F91780">
        <w:rPr>
          <w:rFonts w:ascii="Times New Roman" w:hAnsi="Times New Roman"/>
          <w:sz w:val="28"/>
          <w:szCs w:val="28"/>
          <w:lang w:val="en-US"/>
        </w:rPr>
        <w:t xml:space="preserve"> </w:t>
      </w:r>
      <w:r w:rsidRPr="00F91780">
        <w:rPr>
          <w:rFonts w:ascii="Times New Roman" w:hAnsi="Times New Roman" w:cs="Times New Roman"/>
          <w:sz w:val="28"/>
          <w:szCs w:val="28"/>
          <w:lang w:val="en-US"/>
        </w:rPr>
        <w:t>(</w:t>
      </w:r>
      <w:r>
        <w:rPr>
          <w:rFonts w:ascii="Times New Roman" w:hAnsi="Times New Roman" w:cs="Times New Roman"/>
          <w:sz w:val="28"/>
          <w:szCs w:val="28"/>
        </w:rPr>
        <w:t>прямой</w:t>
      </w:r>
      <w:r w:rsidRPr="00F91780">
        <w:rPr>
          <w:rFonts w:ascii="Times New Roman" w:hAnsi="Times New Roman" w:cs="Times New Roman"/>
          <w:sz w:val="28"/>
          <w:szCs w:val="28"/>
          <w:lang w:val="en-US"/>
        </w:rPr>
        <w:t>)</w:t>
      </w:r>
    </w:p>
    <w:p w:rsidR="00AB12B3" w:rsidRPr="00F91780" w:rsidRDefault="00AB12B3" w:rsidP="00AB12B3">
      <w:pPr>
        <w:spacing w:after="0" w:line="240" w:lineRule="auto"/>
        <w:jc w:val="both"/>
        <w:rPr>
          <w:rFonts w:ascii="Times New Roman" w:hAnsi="Times New Roman"/>
          <w:sz w:val="28"/>
          <w:szCs w:val="28"/>
          <w:lang w:val="en-US"/>
        </w:rPr>
      </w:pPr>
      <w:r>
        <w:rPr>
          <w:rFonts w:ascii="Times New Roman" w:hAnsi="Times New Roman" w:cs="Times New Roman"/>
          <w:i/>
          <w:sz w:val="28"/>
          <w:szCs w:val="28"/>
          <w:lang w:val="en-US"/>
        </w:rPr>
        <w:t>AGT</w:t>
      </w:r>
      <w:r w:rsidR="00200846" w:rsidRPr="00F91780">
        <w:rPr>
          <w:rFonts w:ascii="Times New Roman" w:hAnsi="Times New Roman" w:cs="Times New Roman"/>
          <w:i/>
          <w:sz w:val="28"/>
          <w:szCs w:val="28"/>
          <w:lang w:val="en-US"/>
        </w:rPr>
        <w:t xml:space="preserve"> </w:t>
      </w:r>
      <w:r w:rsidRPr="004C46D6">
        <w:rPr>
          <w:rFonts w:ascii="Times New Roman" w:hAnsi="Times New Roman" w:cs="Times New Roman"/>
          <w:sz w:val="28"/>
          <w:szCs w:val="28"/>
          <w:lang w:val="en-US"/>
        </w:rPr>
        <w:t>Thr</w:t>
      </w:r>
      <w:r w:rsidRPr="00F91780">
        <w:rPr>
          <w:rFonts w:ascii="Times New Roman" w:hAnsi="Times New Roman" w:cs="Times New Roman"/>
          <w:sz w:val="28"/>
          <w:szCs w:val="28"/>
          <w:lang w:val="en-US"/>
        </w:rPr>
        <w:t>174</w:t>
      </w:r>
      <w:r w:rsidRPr="004C46D6">
        <w:rPr>
          <w:rFonts w:ascii="Times New Roman" w:hAnsi="Times New Roman" w:cs="Times New Roman"/>
          <w:sz w:val="28"/>
          <w:szCs w:val="28"/>
          <w:lang w:val="en-US"/>
        </w:rPr>
        <w:t>Met</w:t>
      </w:r>
      <w:r w:rsidRPr="00F91780">
        <w:rPr>
          <w:rFonts w:ascii="Times New Roman" w:hAnsi="Times New Roman" w:cs="Times New Roman"/>
          <w:sz w:val="28"/>
          <w:szCs w:val="28"/>
          <w:lang w:val="en-US"/>
        </w:rPr>
        <w:t xml:space="preserve"> (</w:t>
      </w:r>
      <w:r w:rsidRPr="004C46D6">
        <w:rPr>
          <w:rFonts w:ascii="Times New Roman" w:hAnsi="Times New Roman" w:cs="Times New Roman"/>
          <w:sz w:val="28"/>
          <w:szCs w:val="28"/>
          <w:lang w:val="en-US"/>
        </w:rPr>
        <w:t>rs</w:t>
      </w:r>
      <w:r w:rsidRPr="00F91780">
        <w:rPr>
          <w:rFonts w:ascii="Times New Roman" w:hAnsi="Times New Roman" w:cs="Times New Roman"/>
          <w:sz w:val="28"/>
          <w:szCs w:val="28"/>
          <w:lang w:val="en-US"/>
        </w:rPr>
        <w:t>4762)</w:t>
      </w:r>
      <w:r w:rsidR="0081748B" w:rsidRPr="00F91780">
        <w:rPr>
          <w:rFonts w:ascii="Times New Roman" w:hAnsi="Times New Roman" w:cs="Times New Roman"/>
          <w:sz w:val="28"/>
          <w:szCs w:val="28"/>
          <w:lang w:val="en-US"/>
        </w:rPr>
        <w:t xml:space="preserve"> </w:t>
      </w:r>
      <w:r>
        <w:rPr>
          <w:rFonts w:ascii="Times New Roman" w:hAnsi="Times New Roman" w:cs="Times New Roman"/>
          <w:sz w:val="28"/>
          <w:szCs w:val="28"/>
          <w:lang w:val="en-US"/>
        </w:rPr>
        <w:t>R</w:t>
      </w:r>
      <w:r>
        <w:rPr>
          <w:rFonts w:ascii="Times New Roman" w:hAnsi="Times New Roman"/>
          <w:sz w:val="28"/>
          <w:szCs w:val="28"/>
          <w:lang w:val="en-US"/>
        </w:rPr>
        <w:t>CGGGTGGTGGCACCTGTCGTC</w:t>
      </w:r>
      <w:r w:rsidRPr="00F91780">
        <w:rPr>
          <w:rFonts w:ascii="Times New Roman" w:hAnsi="Times New Roman"/>
          <w:sz w:val="28"/>
          <w:szCs w:val="28"/>
          <w:lang w:val="en-US"/>
        </w:rPr>
        <w:t xml:space="preserve"> (</w:t>
      </w:r>
      <w:r>
        <w:rPr>
          <w:rFonts w:ascii="Times New Roman" w:hAnsi="Times New Roman"/>
          <w:sz w:val="28"/>
          <w:szCs w:val="28"/>
        </w:rPr>
        <w:t>обратный</w:t>
      </w:r>
      <w:r w:rsidRPr="00F91780">
        <w:rPr>
          <w:rFonts w:ascii="Times New Roman" w:hAnsi="Times New Roman"/>
          <w:sz w:val="28"/>
          <w:szCs w:val="28"/>
          <w:lang w:val="en-US"/>
        </w:rPr>
        <w:t>)</w:t>
      </w:r>
    </w:p>
    <w:p w:rsidR="00AB12B3" w:rsidRPr="00F91780" w:rsidRDefault="00AB12B3" w:rsidP="00AB12B3">
      <w:pPr>
        <w:spacing w:after="0" w:line="240" w:lineRule="auto"/>
        <w:jc w:val="both"/>
        <w:rPr>
          <w:rFonts w:ascii="Times New Roman" w:hAnsi="Times New Roman" w:cs="Times New Roman"/>
          <w:sz w:val="28"/>
          <w:szCs w:val="28"/>
          <w:lang w:val="en-US"/>
        </w:rPr>
      </w:pPr>
      <w:r>
        <w:rPr>
          <w:rFonts w:ascii="Times New Roman" w:hAnsi="Times New Roman" w:cs="Times New Roman"/>
          <w:i/>
          <w:sz w:val="28"/>
          <w:szCs w:val="28"/>
          <w:lang w:val="en-US"/>
        </w:rPr>
        <w:t>AGTR</w:t>
      </w:r>
      <w:r w:rsidRPr="00F91780">
        <w:rPr>
          <w:rFonts w:ascii="Times New Roman" w:hAnsi="Times New Roman" w:cs="Times New Roman"/>
          <w:i/>
          <w:sz w:val="28"/>
          <w:szCs w:val="28"/>
          <w:lang w:val="en-US"/>
        </w:rPr>
        <w:t xml:space="preserve">1 </w:t>
      </w:r>
      <w:r w:rsidRPr="004C46D6">
        <w:rPr>
          <w:rFonts w:ascii="Times New Roman" w:hAnsi="Times New Roman" w:cs="Times New Roman"/>
          <w:sz w:val="28"/>
          <w:szCs w:val="28"/>
          <w:lang w:val="en-US"/>
        </w:rPr>
        <w:t>A</w:t>
      </w:r>
      <w:r w:rsidRPr="00F91780">
        <w:rPr>
          <w:rFonts w:ascii="Times New Roman" w:hAnsi="Times New Roman" w:cs="Times New Roman"/>
          <w:sz w:val="28"/>
          <w:szCs w:val="28"/>
          <w:lang w:val="en-US"/>
        </w:rPr>
        <w:t>1166</w:t>
      </w:r>
      <w:r w:rsidRPr="004C46D6">
        <w:rPr>
          <w:rFonts w:ascii="Times New Roman" w:hAnsi="Times New Roman" w:cs="Times New Roman"/>
          <w:sz w:val="28"/>
          <w:szCs w:val="28"/>
          <w:lang w:val="en-US"/>
        </w:rPr>
        <w:t>C</w:t>
      </w:r>
      <w:r w:rsidRPr="00F91780">
        <w:rPr>
          <w:rFonts w:ascii="Times New Roman" w:hAnsi="Times New Roman" w:cs="Times New Roman"/>
          <w:sz w:val="28"/>
          <w:szCs w:val="28"/>
          <w:lang w:val="en-US"/>
        </w:rPr>
        <w:t xml:space="preserve"> (</w:t>
      </w:r>
      <w:r w:rsidRPr="004C46D6">
        <w:rPr>
          <w:rFonts w:ascii="Times New Roman" w:hAnsi="Times New Roman" w:cs="Times New Roman"/>
          <w:sz w:val="28"/>
          <w:szCs w:val="28"/>
          <w:lang w:val="en-US"/>
        </w:rPr>
        <w:t>rs</w:t>
      </w:r>
      <w:r w:rsidRPr="00F91780">
        <w:rPr>
          <w:rFonts w:ascii="Times New Roman" w:hAnsi="Times New Roman" w:cs="Times New Roman"/>
          <w:sz w:val="28"/>
          <w:szCs w:val="28"/>
          <w:lang w:val="en-US"/>
        </w:rPr>
        <w:t>5186)</w:t>
      </w:r>
      <w:r w:rsidR="0081748B" w:rsidRPr="00F91780">
        <w:rPr>
          <w:rFonts w:ascii="Times New Roman" w:hAnsi="Times New Roman" w:cs="Times New Roman"/>
          <w:sz w:val="28"/>
          <w:szCs w:val="28"/>
          <w:lang w:val="en-US"/>
        </w:rPr>
        <w:t xml:space="preserve"> </w:t>
      </w:r>
      <w:r>
        <w:rPr>
          <w:rFonts w:ascii="Times New Roman" w:hAnsi="Times New Roman" w:cs="Times New Roman"/>
          <w:sz w:val="28"/>
          <w:szCs w:val="28"/>
          <w:lang w:val="en-US"/>
        </w:rPr>
        <w:t>FCCAAATGAGCATTAGCTACTT</w:t>
      </w:r>
      <w:r w:rsidRPr="00F91780">
        <w:rPr>
          <w:rFonts w:ascii="Times New Roman" w:hAnsi="Times New Roman" w:cs="Times New Roman"/>
          <w:sz w:val="28"/>
          <w:szCs w:val="28"/>
          <w:lang w:val="en-US"/>
        </w:rPr>
        <w:t xml:space="preserve"> (</w:t>
      </w:r>
      <w:r>
        <w:rPr>
          <w:rFonts w:ascii="Times New Roman" w:hAnsi="Times New Roman" w:cs="Times New Roman"/>
          <w:sz w:val="28"/>
          <w:szCs w:val="28"/>
        </w:rPr>
        <w:t>прямой</w:t>
      </w:r>
      <w:r w:rsidRPr="00F91780">
        <w:rPr>
          <w:rFonts w:ascii="Times New Roman" w:hAnsi="Times New Roman" w:cs="Times New Roman"/>
          <w:sz w:val="28"/>
          <w:szCs w:val="28"/>
          <w:lang w:val="en-US"/>
        </w:rPr>
        <w:t>)</w:t>
      </w:r>
    </w:p>
    <w:p w:rsidR="00AB12B3" w:rsidRPr="00F91780" w:rsidRDefault="00AB12B3" w:rsidP="00AB12B3">
      <w:pPr>
        <w:spacing w:after="0" w:line="240" w:lineRule="auto"/>
        <w:jc w:val="both"/>
        <w:rPr>
          <w:rFonts w:ascii="Times New Roman" w:hAnsi="Times New Roman"/>
          <w:sz w:val="28"/>
          <w:szCs w:val="28"/>
          <w:lang w:val="en-US"/>
        </w:rPr>
      </w:pPr>
      <w:r>
        <w:rPr>
          <w:rFonts w:ascii="Times New Roman" w:hAnsi="Times New Roman" w:cs="Times New Roman"/>
          <w:i/>
          <w:sz w:val="28"/>
          <w:szCs w:val="28"/>
          <w:lang w:val="en-US"/>
        </w:rPr>
        <w:t>AGTR</w:t>
      </w:r>
      <w:r w:rsidRPr="00F91780">
        <w:rPr>
          <w:rFonts w:ascii="Times New Roman" w:hAnsi="Times New Roman" w:cs="Times New Roman"/>
          <w:i/>
          <w:sz w:val="28"/>
          <w:szCs w:val="28"/>
          <w:lang w:val="en-US"/>
        </w:rPr>
        <w:t xml:space="preserve">1 </w:t>
      </w:r>
      <w:r w:rsidRPr="004C46D6">
        <w:rPr>
          <w:rFonts w:ascii="Times New Roman" w:hAnsi="Times New Roman" w:cs="Times New Roman"/>
          <w:sz w:val="28"/>
          <w:szCs w:val="28"/>
          <w:lang w:val="en-US"/>
        </w:rPr>
        <w:t>A</w:t>
      </w:r>
      <w:r w:rsidRPr="00F91780">
        <w:rPr>
          <w:rFonts w:ascii="Times New Roman" w:hAnsi="Times New Roman" w:cs="Times New Roman"/>
          <w:sz w:val="28"/>
          <w:szCs w:val="28"/>
          <w:lang w:val="en-US"/>
        </w:rPr>
        <w:t>1166</w:t>
      </w:r>
      <w:r w:rsidRPr="004C46D6">
        <w:rPr>
          <w:rFonts w:ascii="Times New Roman" w:hAnsi="Times New Roman" w:cs="Times New Roman"/>
          <w:sz w:val="28"/>
          <w:szCs w:val="28"/>
          <w:lang w:val="en-US"/>
        </w:rPr>
        <w:t>C</w:t>
      </w:r>
      <w:r w:rsidRPr="00F91780">
        <w:rPr>
          <w:rFonts w:ascii="Times New Roman" w:hAnsi="Times New Roman" w:cs="Times New Roman"/>
          <w:sz w:val="28"/>
          <w:szCs w:val="28"/>
          <w:lang w:val="en-US"/>
        </w:rPr>
        <w:t xml:space="preserve"> (</w:t>
      </w:r>
      <w:r w:rsidRPr="004C46D6">
        <w:rPr>
          <w:rFonts w:ascii="Times New Roman" w:hAnsi="Times New Roman" w:cs="Times New Roman"/>
          <w:sz w:val="28"/>
          <w:szCs w:val="28"/>
          <w:lang w:val="en-US"/>
        </w:rPr>
        <w:t>rs</w:t>
      </w:r>
      <w:r w:rsidRPr="00F91780">
        <w:rPr>
          <w:rFonts w:ascii="Times New Roman" w:hAnsi="Times New Roman" w:cs="Times New Roman"/>
          <w:sz w:val="28"/>
          <w:szCs w:val="28"/>
          <w:lang w:val="en-US"/>
        </w:rPr>
        <w:t>5186</w:t>
      </w:r>
      <w:r w:rsidRPr="00F91780">
        <w:rPr>
          <w:rFonts w:ascii="Times New Roman" w:hAnsi="Times New Roman" w:cs="Times New Roman"/>
          <w:i/>
          <w:sz w:val="28"/>
          <w:szCs w:val="28"/>
          <w:lang w:val="en-US"/>
        </w:rPr>
        <w:t>)</w:t>
      </w:r>
      <w:r w:rsidR="0081748B" w:rsidRPr="00F91780">
        <w:rPr>
          <w:rFonts w:ascii="Times New Roman" w:hAnsi="Times New Roman" w:cs="Times New Roman"/>
          <w:i/>
          <w:sz w:val="28"/>
          <w:szCs w:val="28"/>
          <w:lang w:val="en-US"/>
        </w:rPr>
        <w:t xml:space="preserve"> </w:t>
      </w:r>
      <w:r>
        <w:rPr>
          <w:rFonts w:ascii="Times New Roman" w:hAnsi="Times New Roman"/>
          <w:sz w:val="28"/>
          <w:szCs w:val="28"/>
          <w:lang w:val="en-US"/>
        </w:rPr>
        <w:t>RGGTTTACTCGTAATCGATGAA</w:t>
      </w:r>
      <w:r w:rsidRPr="00F91780">
        <w:rPr>
          <w:rFonts w:ascii="Times New Roman" w:hAnsi="Times New Roman"/>
          <w:sz w:val="28"/>
          <w:szCs w:val="28"/>
          <w:lang w:val="en-US"/>
        </w:rPr>
        <w:t xml:space="preserve"> (</w:t>
      </w:r>
      <w:r>
        <w:rPr>
          <w:rFonts w:ascii="Times New Roman" w:hAnsi="Times New Roman"/>
          <w:sz w:val="28"/>
          <w:szCs w:val="28"/>
        </w:rPr>
        <w:t>обратный</w:t>
      </w:r>
      <w:r w:rsidRPr="00F91780">
        <w:rPr>
          <w:rFonts w:ascii="Times New Roman" w:hAnsi="Times New Roman"/>
          <w:sz w:val="28"/>
          <w:szCs w:val="28"/>
          <w:lang w:val="en-US"/>
        </w:rPr>
        <w:t>).</w:t>
      </w:r>
    </w:p>
    <w:p w:rsidR="00AB12B3" w:rsidRPr="000A2140" w:rsidRDefault="00AB12B3" w:rsidP="00AB12B3">
      <w:pPr>
        <w:spacing w:after="0" w:line="240" w:lineRule="auto"/>
        <w:ind w:firstLine="708"/>
        <w:jc w:val="both"/>
        <w:rPr>
          <w:rFonts w:ascii="Times New Roman" w:hAnsi="Times New Roman" w:cs="Times New Roman"/>
          <w:sz w:val="28"/>
          <w:szCs w:val="28"/>
        </w:rPr>
      </w:pPr>
      <w:r w:rsidRPr="000A2140">
        <w:rPr>
          <w:rFonts w:ascii="Times New Roman" w:hAnsi="Times New Roman" w:cs="Times New Roman"/>
          <w:sz w:val="28"/>
          <w:szCs w:val="28"/>
        </w:rPr>
        <w:t>Для проведения амплификации для выявления полиморфизма Ser447Ter (rs328)</w:t>
      </w:r>
      <w:r w:rsidR="00FF174B" w:rsidRPr="000A2140">
        <w:rPr>
          <w:rFonts w:ascii="Times New Roman" w:hAnsi="Times New Roman" w:cs="Times New Roman"/>
          <w:sz w:val="28"/>
          <w:szCs w:val="28"/>
        </w:rPr>
        <w:t xml:space="preserve"> </w:t>
      </w:r>
      <w:r w:rsidRPr="000A2140">
        <w:rPr>
          <w:rFonts w:ascii="Times New Roman" w:hAnsi="Times New Roman" w:cs="Times New Roman"/>
          <w:sz w:val="28"/>
          <w:szCs w:val="28"/>
        </w:rPr>
        <w:t xml:space="preserve">гена </w:t>
      </w:r>
      <w:r w:rsidRPr="000A2140">
        <w:rPr>
          <w:rFonts w:ascii="Times New Roman" w:hAnsi="Times New Roman" w:cs="Times New Roman"/>
          <w:i/>
          <w:sz w:val="28"/>
          <w:szCs w:val="28"/>
        </w:rPr>
        <w:t xml:space="preserve">LPL </w:t>
      </w:r>
      <w:r w:rsidRPr="000A2140">
        <w:rPr>
          <w:rFonts w:ascii="Times New Roman" w:hAnsi="Times New Roman" w:cs="Times New Roman"/>
          <w:sz w:val="28"/>
          <w:szCs w:val="28"/>
        </w:rPr>
        <w:t xml:space="preserve">приготовили пробирки с оптическими крышками вместимостью 2,0 мл в соответствии с количеством анализируемых проб с учетом положительных и отрицательных контролей. </w:t>
      </w:r>
      <w:r w:rsidR="00BF5296" w:rsidRPr="000A2140">
        <w:rPr>
          <w:rFonts w:ascii="Times New Roman" w:hAnsi="Times New Roman" w:cs="Times New Roman"/>
          <w:sz w:val="28"/>
          <w:szCs w:val="28"/>
        </w:rPr>
        <w:t>Готовили</w:t>
      </w:r>
      <w:r w:rsidR="00FF174B" w:rsidRPr="000A2140">
        <w:rPr>
          <w:rFonts w:ascii="Times New Roman" w:hAnsi="Times New Roman" w:cs="Times New Roman"/>
          <w:sz w:val="28"/>
          <w:szCs w:val="28"/>
        </w:rPr>
        <w:t xml:space="preserve"> </w:t>
      </w:r>
      <w:r w:rsidR="00BF5296" w:rsidRPr="000A2140">
        <w:rPr>
          <w:rFonts w:ascii="Times New Roman" w:hAnsi="Times New Roman" w:cs="Times New Roman"/>
          <w:sz w:val="28"/>
          <w:szCs w:val="28"/>
        </w:rPr>
        <w:t>2 пробирки д</w:t>
      </w:r>
      <w:r w:rsidRPr="000A2140">
        <w:rPr>
          <w:rFonts w:ascii="Times New Roman" w:hAnsi="Times New Roman" w:cs="Times New Roman"/>
          <w:sz w:val="28"/>
          <w:szCs w:val="28"/>
        </w:rPr>
        <w:t xml:space="preserve">ля каждой пробы: Аллель 1 и Аллель 2. </w:t>
      </w:r>
      <w:r w:rsidR="00BF5296" w:rsidRPr="000A2140">
        <w:rPr>
          <w:rFonts w:ascii="Times New Roman" w:hAnsi="Times New Roman" w:cs="Times New Roman"/>
          <w:sz w:val="28"/>
          <w:szCs w:val="28"/>
        </w:rPr>
        <w:t>Извлекали из морозильника комплект реагентов для ПЦР з</w:t>
      </w:r>
      <w:r w:rsidRPr="000A2140">
        <w:rPr>
          <w:rFonts w:ascii="Times New Roman" w:hAnsi="Times New Roman" w:cs="Times New Roman"/>
          <w:sz w:val="28"/>
          <w:szCs w:val="28"/>
        </w:rPr>
        <w:t xml:space="preserve">а 20 – 30 минут до приготовления рабочей амплификационной смеси и после полной разморозки </w:t>
      </w:r>
      <w:r w:rsidR="000B4405">
        <w:rPr>
          <w:rFonts w:ascii="Times New Roman" w:hAnsi="Times New Roman" w:cs="Times New Roman"/>
          <w:sz w:val="28"/>
          <w:szCs w:val="28"/>
        </w:rPr>
        <w:t>рабочих растворов и буферов</w:t>
      </w:r>
      <w:r w:rsidRPr="000A2140">
        <w:rPr>
          <w:rFonts w:ascii="Times New Roman" w:hAnsi="Times New Roman" w:cs="Times New Roman"/>
          <w:sz w:val="28"/>
          <w:szCs w:val="28"/>
        </w:rPr>
        <w:t xml:space="preserve"> тщательно перемешива</w:t>
      </w:r>
      <w:r w:rsidR="00C02D9D" w:rsidRPr="000A2140">
        <w:rPr>
          <w:rFonts w:ascii="Times New Roman" w:hAnsi="Times New Roman" w:cs="Times New Roman"/>
          <w:sz w:val="28"/>
          <w:szCs w:val="28"/>
        </w:rPr>
        <w:t>л</w:t>
      </w:r>
      <w:r w:rsidRPr="000A2140">
        <w:rPr>
          <w:rFonts w:ascii="Times New Roman" w:hAnsi="Times New Roman" w:cs="Times New Roman"/>
          <w:sz w:val="28"/>
          <w:szCs w:val="28"/>
        </w:rPr>
        <w:t>ся путем переворачивания пробирки. Перемеши</w:t>
      </w:r>
      <w:r w:rsidR="003F3034" w:rsidRPr="000A2140">
        <w:rPr>
          <w:rFonts w:ascii="Times New Roman" w:hAnsi="Times New Roman" w:cs="Times New Roman"/>
          <w:sz w:val="28"/>
          <w:szCs w:val="28"/>
        </w:rPr>
        <w:t>вание реакционной смеси проводили</w:t>
      </w:r>
      <w:r w:rsidRPr="000A2140">
        <w:rPr>
          <w:rFonts w:ascii="Times New Roman" w:hAnsi="Times New Roman" w:cs="Times New Roman"/>
          <w:sz w:val="28"/>
          <w:szCs w:val="28"/>
        </w:rPr>
        <w:t xml:space="preserve"> с помощью вортекса. </w:t>
      </w:r>
      <w:r w:rsidR="00BF5296" w:rsidRPr="000A2140">
        <w:rPr>
          <w:rFonts w:ascii="Times New Roman" w:hAnsi="Times New Roman" w:cs="Times New Roman"/>
          <w:sz w:val="28"/>
          <w:szCs w:val="28"/>
        </w:rPr>
        <w:t>Готовили</w:t>
      </w:r>
      <w:r w:rsidR="00FF174B" w:rsidRPr="000A2140">
        <w:rPr>
          <w:rFonts w:ascii="Times New Roman" w:hAnsi="Times New Roman" w:cs="Times New Roman"/>
          <w:sz w:val="28"/>
          <w:szCs w:val="28"/>
        </w:rPr>
        <w:t xml:space="preserve"> </w:t>
      </w:r>
      <w:r w:rsidR="00BF5296" w:rsidRPr="000A2140">
        <w:rPr>
          <w:rFonts w:ascii="Times New Roman" w:hAnsi="Times New Roman" w:cs="Times New Roman"/>
          <w:sz w:val="28"/>
          <w:szCs w:val="28"/>
        </w:rPr>
        <w:t>рабочую смесь и</w:t>
      </w:r>
      <w:r w:rsidRPr="000A2140">
        <w:rPr>
          <w:rFonts w:ascii="Times New Roman" w:hAnsi="Times New Roman" w:cs="Times New Roman"/>
          <w:sz w:val="28"/>
          <w:szCs w:val="28"/>
        </w:rPr>
        <w:t>з расчета на 1 пробу по составу: 17</w:t>
      </w:r>
      <w:r w:rsidR="0058054C" w:rsidRPr="000A2140">
        <w:rPr>
          <w:rFonts w:ascii="Times New Roman" w:hAnsi="Times New Roman" w:cs="Times New Roman"/>
          <w:sz w:val="28"/>
          <w:szCs w:val="28"/>
        </w:rPr>
        <w:t>,</w:t>
      </w:r>
      <w:r w:rsidRPr="000A2140">
        <w:rPr>
          <w:rFonts w:ascii="Times New Roman" w:hAnsi="Times New Roman" w:cs="Times New Roman"/>
          <w:sz w:val="28"/>
          <w:szCs w:val="28"/>
        </w:rPr>
        <w:t>5 мкл разбавителя</w:t>
      </w:r>
      <w:r w:rsidR="0058054C" w:rsidRPr="000A2140">
        <w:rPr>
          <w:rFonts w:ascii="Times New Roman" w:hAnsi="Times New Roman" w:cs="Times New Roman"/>
          <w:sz w:val="28"/>
          <w:szCs w:val="28"/>
        </w:rPr>
        <w:t>;</w:t>
      </w:r>
      <w:r w:rsidRPr="000A2140">
        <w:rPr>
          <w:rFonts w:ascii="Times New Roman" w:hAnsi="Times New Roman" w:cs="Times New Roman"/>
          <w:sz w:val="28"/>
          <w:szCs w:val="28"/>
        </w:rPr>
        <w:t xml:space="preserve"> 2</w:t>
      </w:r>
      <w:r w:rsidR="0058054C" w:rsidRPr="000A2140">
        <w:rPr>
          <w:rFonts w:ascii="Times New Roman" w:hAnsi="Times New Roman" w:cs="Times New Roman"/>
          <w:sz w:val="28"/>
          <w:szCs w:val="28"/>
        </w:rPr>
        <w:t>,</w:t>
      </w:r>
      <w:r w:rsidRPr="000A2140">
        <w:rPr>
          <w:rFonts w:ascii="Times New Roman" w:hAnsi="Times New Roman" w:cs="Times New Roman"/>
          <w:sz w:val="28"/>
          <w:szCs w:val="28"/>
        </w:rPr>
        <w:t>5 мкл реакционной смеси</w:t>
      </w:r>
      <w:r w:rsidR="0058054C" w:rsidRPr="000A2140">
        <w:rPr>
          <w:rFonts w:ascii="Times New Roman" w:hAnsi="Times New Roman" w:cs="Times New Roman"/>
          <w:sz w:val="28"/>
          <w:szCs w:val="28"/>
        </w:rPr>
        <w:t>;</w:t>
      </w:r>
      <w:r w:rsidRPr="000A2140">
        <w:rPr>
          <w:rFonts w:ascii="Times New Roman" w:hAnsi="Times New Roman" w:cs="Times New Roman"/>
          <w:sz w:val="28"/>
          <w:szCs w:val="28"/>
        </w:rPr>
        <w:t xml:space="preserve"> 0</w:t>
      </w:r>
      <w:r w:rsidR="0058054C" w:rsidRPr="000A2140">
        <w:rPr>
          <w:rFonts w:ascii="Times New Roman" w:hAnsi="Times New Roman" w:cs="Times New Roman"/>
          <w:sz w:val="28"/>
          <w:szCs w:val="28"/>
        </w:rPr>
        <w:t>,</w:t>
      </w:r>
      <w:r w:rsidRPr="000A2140">
        <w:rPr>
          <w:rFonts w:ascii="Times New Roman" w:hAnsi="Times New Roman" w:cs="Times New Roman"/>
          <w:sz w:val="28"/>
          <w:szCs w:val="28"/>
        </w:rPr>
        <w:t>2 мкл красителя SYBR Green</w:t>
      </w:r>
      <w:r w:rsidR="0058054C" w:rsidRPr="000A2140">
        <w:rPr>
          <w:rFonts w:ascii="Times New Roman" w:hAnsi="Times New Roman" w:cs="Times New Roman"/>
          <w:sz w:val="28"/>
          <w:szCs w:val="28"/>
        </w:rPr>
        <w:t>;</w:t>
      </w:r>
      <w:r w:rsidRPr="000A2140">
        <w:rPr>
          <w:rFonts w:ascii="Times New Roman" w:hAnsi="Times New Roman" w:cs="Times New Roman"/>
          <w:sz w:val="28"/>
          <w:szCs w:val="28"/>
        </w:rPr>
        <w:t xml:space="preserve"> 0</w:t>
      </w:r>
      <w:r w:rsidR="0058054C" w:rsidRPr="000A2140">
        <w:rPr>
          <w:rFonts w:ascii="Times New Roman" w:hAnsi="Times New Roman" w:cs="Times New Roman"/>
          <w:sz w:val="28"/>
          <w:szCs w:val="28"/>
        </w:rPr>
        <w:t>,</w:t>
      </w:r>
      <w:r w:rsidRPr="000A2140">
        <w:rPr>
          <w:rFonts w:ascii="Times New Roman" w:hAnsi="Times New Roman" w:cs="Times New Roman"/>
          <w:sz w:val="28"/>
          <w:szCs w:val="28"/>
        </w:rPr>
        <w:t xml:space="preserve">2 </w:t>
      </w:r>
      <w:r w:rsidRPr="000A2140">
        <w:rPr>
          <w:rFonts w:ascii="Times New Roman" w:hAnsi="Times New Roman" w:cs="Times New Roman"/>
          <w:sz w:val="28"/>
          <w:szCs w:val="28"/>
        </w:rPr>
        <w:lastRenderedPageBreak/>
        <w:t>мкл</w:t>
      </w:r>
      <w:r w:rsidR="00FF174B" w:rsidRPr="000A2140">
        <w:rPr>
          <w:rFonts w:ascii="Times New Roman" w:hAnsi="Times New Roman" w:cs="Times New Roman"/>
          <w:sz w:val="28"/>
          <w:szCs w:val="28"/>
        </w:rPr>
        <w:t xml:space="preserve"> </w:t>
      </w:r>
      <w:r w:rsidRPr="000A2140">
        <w:rPr>
          <w:rFonts w:ascii="Times New Roman" w:hAnsi="Times New Roman" w:cs="Times New Roman"/>
          <w:sz w:val="28"/>
          <w:szCs w:val="28"/>
        </w:rPr>
        <w:t>Taq – полимеразы</w:t>
      </w:r>
      <w:r w:rsidR="0058054C" w:rsidRPr="000A2140">
        <w:rPr>
          <w:rFonts w:ascii="Times New Roman" w:hAnsi="Times New Roman" w:cs="Times New Roman"/>
          <w:sz w:val="28"/>
          <w:szCs w:val="28"/>
        </w:rPr>
        <w:t>.</w:t>
      </w:r>
      <w:r w:rsidRPr="000A2140">
        <w:rPr>
          <w:rFonts w:ascii="Times New Roman" w:hAnsi="Times New Roman" w:cs="Times New Roman"/>
          <w:sz w:val="28"/>
          <w:szCs w:val="28"/>
        </w:rPr>
        <w:t xml:space="preserve"> </w:t>
      </w:r>
      <w:r w:rsidR="00BF5296" w:rsidRPr="000A2140">
        <w:rPr>
          <w:rFonts w:ascii="Times New Roman" w:hAnsi="Times New Roman" w:cs="Times New Roman"/>
          <w:sz w:val="28"/>
          <w:szCs w:val="28"/>
        </w:rPr>
        <w:t>Смесь</w:t>
      </w:r>
      <w:r w:rsidR="00FF174B" w:rsidRPr="000A2140">
        <w:rPr>
          <w:rFonts w:ascii="Times New Roman" w:hAnsi="Times New Roman" w:cs="Times New Roman"/>
          <w:sz w:val="28"/>
          <w:szCs w:val="28"/>
        </w:rPr>
        <w:t xml:space="preserve"> </w:t>
      </w:r>
      <w:r w:rsidR="00BF5296" w:rsidRPr="000A2140">
        <w:rPr>
          <w:rFonts w:ascii="Times New Roman" w:hAnsi="Times New Roman" w:cs="Times New Roman"/>
          <w:sz w:val="28"/>
          <w:szCs w:val="28"/>
        </w:rPr>
        <w:t>перемешивали до</w:t>
      </w:r>
      <w:r w:rsidRPr="000A2140">
        <w:rPr>
          <w:rFonts w:ascii="Times New Roman" w:hAnsi="Times New Roman" w:cs="Times New Roman"/>
          <w:sz w:val="28"/>
          <w:szCs w:val="28"/>
        </w:rPr>
        <w:t xml:space="preserve"> добавлени</w:t>
      </w:r>
      <w:r w:rsidR="00BF5296" w:rsidRPr="000A2140">
        <w:rPr>
          <w:rFonts w:ascii="Times New Roman" w:hAnsi="Times New Roman" w:cs="Times New Roman"/>
          <w:sz w:val="28"/>
          <w:szCs w:val="28"/>
        </w:rPr>
        <w:t>я</w:t>
      </w:r>
      <w:r w:rsidRPr="000A2140">
        <w:rPr>
          <w:rFonts w:ascii="Times New Roman" w:hAnsi="Times New Roman" w:cs="Times New Roman"/>
          <w:sz w:val="28"/>
          <w:szCs w:val="28"/>
        </w:rPr>
        <w:t xml:space="preserve"> Taq – полимеразы</w:t>
      </w:r>
      <w:r w:rsidR="0058054C" w:rsidRPr="000A2140">
        <w:rPr>
          <w:rFonts w:ascii="Times New Roman" w:hAnsi="Times New Roman" w:cs="Times New Roman"/>
          <w:sz w:val="28"/>
          <w:szCs w:val="28"/>
        </w:rPr>
        <w:t>.</w:t>
      </w:r>
      <w:r w:rsidRPr="000A2140">
        <w:rPr>
          <w:rFonts w:ascii="Times New Roman" w:hAnsi="Times New Roman" w:cs="Times New Roman"/>
          <w:sz w:val="28"/>
          <w:szCs w:val="28"/>
        </w:rPr>
        <w:t xml:space="preserve"> </w:t>
      </w:r>
      <w:r w:rsidR="00007E54">
        <w:rPr>
          <w:rFonts w:ascii="Times New Roman" w:hAnsi="Times New Roman" w:cs="Times New Roman"/>
          <w:sz w:val="28"/>
          <w:szCs w:val="28"/>
        </w:rPr>
        <w:t>Для каждой аллели готовилась отдельная смесь</w:t>
      </w:r>
      <w:r w:rsidR="0058054C" w:rsidRPr="000A2140">
        <w:rPr>
          <w:rFonts w:ascii="Times New Roman" w:hAnsi="Times New Roman" w:cs="Times New Roman"/>
          <w:sz w:val="28"/>
          <w:szCs w:val="28"/>
        </w:rPr>
        <w:t>.</w:t>
      </w:r>
      <w:r w:rsidRPr="000A2140">
        <w:rPr>
          <w:rFonts w:ascii="Times New Roman" w:hAnsi="Times New Roman" w:cs="Times New Roman"/>
          <w:sz w:val="28"/>
          <w:szCs w:val="28"/>
        </w:rPr>
        <w:t xml:space="preserve"> </w:t>
      </w:r>
      <w:r w:rsidR="00BF5296" w:rsidRPr="000A2140">
        <w:rPr>
          <w:rFonts w:ascii="Times New Roman" w:hAnsi="Times New Roman" w:cs="Times New Roman"/>
          <w:sz w:val="28"/>
          <w:szCs w:val="28"/>
        </w:rPr>
        <w:t>После</w:t>
      </w:r>
      <w:r w:rsidR="00FF174B" w:rsidRPr="000A2140">
        <w:rPr>
          <w:rFonts w:ascii="Times New Roman" w:hAnsi="Times New Roman" w:cs="Times New Roman"/>
          <w:sz w:val="28"/>
          <w:szCs w:val="28"/>
        </w:rPr>
        <w:t xml:space="preserve"> </w:t>
      </w:r>
      <w:r w:rsidR="00BF5296" w:rsidRPr="000A2140">
        <w:rPr>
          <w:rFonts w:ascii="Times New Roman" w:hAnsi="Times New Roman" w:cs="Times New Roman"/>
          <w:sz w:val="28"/>
          <w:szCs w:val="28"/>
        </w:rPr>
        <w:t>добавления Taq – полимеразы</w:t>
      </w:r>
      <w:r w:rsidR="0073581F" w:rsidRPr="000A2140">
        <w:rPr>
          <w:rFonts w:ascii="Times New Roman" w:hAnsi="Times New Roman" w:cs="Times New Roman"/>
          <w:sz w:val="28"/>
          <w:szCs w:val="28"/>
        </w:rPr>
        <w:t xml:space="preserve"> </w:t>
      </w:r>
      <w:r w:rsidR="00BF5296" w:rsidRPr="000A2140">
        <w:rPr>
          <w:rFonts w:ascii="Times New Roman" w:hAnsi="Times New Roman" w:cs="Times New Roman"/>
          <w:sz w:val="28"/>
          <w:szCs w:val="28"/>
        </w:rPr>
        <w:t>тщательно перемешивали смесь путем</w:t>
      </w:r>
      <w:r w:rsidR="0058054C" w:rsidRPr="000A2140">
        <w:rPr>
          <w:rFonts w:ascii="Times New Roman" w:hAnsi="Times New Roman" w:cs="Times New Roman"/>
          <w:sz w:val="28"/>
          <w:szCs w:val="28"/>
        </w:rPr>
        <w:t xml:space="preserve"> </w:t>
      </w:r>
      <w:r w:rsidR="00BF5296" w:rsidRPr="000A2140">
        <w:rPr>
          <w:rFonts w:ascii="Times New Roman" w:hAnsi="Times New Roman" w:cs="Times New Roman"/>
          <w:sz w:val="28"/>
          <w:szCs w:val="28"/>
        </w:rPr>
        <w:t>пипетирования</w:t>
      </w:r>
      <w:r w:rsidR="00311220" w:rsidRPr="000A2140">
        <w:rPr>
          <w:rFonts w:ascii="Times New Roman" w:hAnsi="Times New Roman" w:cs="Times New Roman"/>
          <w:sz w:val="28"/>
          <w:szCs w:val="28"/>
        </w:rPr>
        <w:t>.</w:t>
      </w:r>
      <w:r w:rsidRPr="000A2140">
        <w:rPr>
          <w:rFonts w:ascii="Times New Roman" w:hAnsi="Times New Roman" w:cs="Times New Roman"/>
          <w:sz w:val="28"/>
          <w:szCs w:val="28"/>
        </w:rPr>
        <w:t xml:space="preserve"> Далее </w:t>
      </w:r>
      <w:r w:rsidR="00007E54">
        <w:rPr>
          <w:rFonts w:ascii="Times New Roman" w:hAnsi="Times New Roman" w:cs="Times New Roman"/>
          <w:sz w:val="28"/>
          <w:szCs w:val="28"/>
        </w:rPr>
        <w:t>раскапывали</w:t>
      </w:r>
      <w:r w:rsidRPr="000A2140">
        <w:rPr>
          <w:rFonts w:ascii="Times New Roman" w:hAnsi="Times New Roman" w:cs="Times New Roman"/>
          <w:sz w:val="28"/>
          <w:szCs w:val="28"/>
        </w:rPr>
        <w:t xml:space="preserve"> рабочую амплификационную смесь в каждую пробирку</w:t>
      </w:r>
      <w:r w:rsidR="00311220" w:rsidRPr="000A2140">
        <w:rPr>
          <w:rFonts w:ascii="Times New Roman" w:hAnsi="Times New Roman" w:cs="Times New Roman"/>
          <w:sz w:val="28"/>
          <w:szCs w:val="28"/>
        </w:rPr>
        <w:t>.</w:t>
      </w:r>
      <w:r w:rsidRPr="000A2140">
        <w:rPr>
          <w:rFonts w:ascii="Times New Roman" w:hAnsi="Times New Roman" w:cs="Times New Roman"/>
          <w:sz w:val="28"/>
          <w:szCs w:val="28"/>
        </w:rPr>
        <w:t xml:space="preserve"> </w:t>
      </w:r>
      <w:r w:rsidR="00BF5296" w:rsidRPr="000A2140">
        <w:rPr>
          <w:rFonts w:ascii="Times New Roman" w:hAnsi="Times New Roman" w:cs="Times New Roman"/>
          <w:sz w:val="28"/>
          <w:szCs w:val="28"/>
        </w:rPr>
        <w:t>Затем</w:t>
      </w:r>
      <w:r w:rsidRPr="000A2140">
        <w:rPr>
          <w:rFonts w:ascii="Times New Roman" w:hAnsi="Times New Roman" w:cs="Times New Roman"/>
          <w:sz w:val="28"/>
          <w:szCs w:val="28"/>
        </w:rPr>
        <w:t xml:space="preserve"> вносили </w:t>
      </w:r>
      <w:r w:rsidR="00007E54">
        <w:rPr>
          <w:rFonts w:ascii="Times New Roman" w:hAnsi="Times New Roman" w:cs="Times New Roman"/>
          <w:sz w:val="28"/>
          <w:szCs w:val="28"/>
        </w:rPr>
        <w:t xml:space="preserve">по </w:t>
      </w:r>
      <w:r w:rsidRPr="000A2140">
        <w:rPr>
          <w:rFonts w:ascii="Times New Roman" w:hAnsi="Times New Roman" w:cs="Times New Roman"/>
          <w:sz w:val="28"/>
          <w:szCs w:val="28"/>
        </w:rPr>
        <w:t>5 мкл</w:t>
      </w:r>
      <w:r w:rsidR="00007E54">
        <w:rPr>
          <w:rFonts w:ascii="Times New Roman" w:hAnsi="Times New Roman" w:cs="Times New Roman"/>
          <w:sz w:val="28"/>
          <w:szCs w:val="28"/>
        </w:rPr>
        <w:t xml:space="preserve"> исследуемого</w:t>
      </w:r>
      <w:r w:rsidRPr="000A2140">
        <w:rPr>
          <w:rFonts w:ascii="Times New Roman" w:hAnsi="Times New Roman" w:cs="Times New Roman"/>
          <w:sz w:val="28"/>
          <w:szCs w:val="28"/>
        </w:rPr>
        <w:t xml:space="preserve"> ДНК образца</w:t>
      </w:r>
      <w:r w:rsidR="00007E54">
        <w:rPr>
          <w:rFonts w:ascii="Times New Roman" w:hAnsi="Times New Roman" w:cs="Times New Roman"/>
          <w:sz w:val="28"/>
          <w:szCs w:val="28"/>
        </w:rPr>
        <w:t>в пробирки с ПЦР смесью для двух аллелей</w:t>
      </w:r>
      <w:r w:rsidR="00311220" w:rsidRPr="000A2140">
        <w:rPr>
          <w:rFonts w:ascii="Times New Roman" w:hAnsi="Times New Roman" w:cs="Times New Roman"/>
          <w:sz w:val="28"/>
          <w:szCs w:val="28"/>
        </w:rPr>
        <w:t>.</w:t>
      </w:r>
      <w:r w:rsidRPr="000A2140">
        <w:rPr>
          <w:rFonts w:ascii="Times New Roman" w:hAnsi="Times New Roman" w:cs="Times New Roman"/>
          <w:sz w:val="28"/>
          <w:szCs w:val="28"/>
        </w:rPr>
        <w:t xml:space="preserve"> </w:t>
      </w:r>
      <w:r w:rsidR="00007E54">
        <w:rPr>
          <w:rFonts w:ascii="Times New Roman" w:hAnsi="Times New Roman" w:cs="Times New Roman"/>
          <w:sz w:val="28"/>
          <w:szCs w:val="28"/>
        </w:rPr>
        <w:t>В качестве отрицательного контроля использовалась ПЦР смесь без матрицы</w:t>
      </w:r>
      <w:r w:rsidR="00311220" w:rsidRPr="000A2140">
        <w:rPr>
          <w:rFonts w:ascii="Times New Roman" w:hAnsi="Times New Roman" w:cs="Times New Roman"/>
          <w:sz w:val="28"/>
          <w:szCs w:val="28"/>
        </w:rPr>
        <w:t>.</w:t>
      </w:r>
      <w:r w:rsidRPr="000A2140">
        <w:rPr>
          <w:rFonts w:ascii="Times New Roman" w:hAnsi="Times New Roman" w:cs="Times New Roman"/>
          <w:sz w:val="28"/>
          <w:szCs w:val="28"/>
        </w:rPr>
        <w:t xml:space="preserve"> </w:t>
      </w:r>
      <w:r w:rsidR="00007E54">
        <w:rPr>
          <w:rFonts w:ascii="Times New Roman" w:hAnsi="Times New Roman" w:cs="Times New Roman"/>
          <w:sz w:val="28"/>
          <w:szCs w:val="28"/>
        </w:rPr>
        <w:t>Также согласно инструкции в исследование был включен положительный контроль на каждый аллель</w:t>
      </w:r>
      <w:r w:rsidR="00311220" w:rsidRPr="000A2140">
        <w:rPr>
          <w:rFonts w:ascii="Times New Roman" w:hAnsi="Times New Roman" w:cs="Times New Roman"/>
          <w:sz w:val="28"/>
          <w:szCs w:val="28"/>
        </w:rPr>
        <w:t>.</w:t>
      </w:r>
    </w:p>
    <w:p w:rsidR="00AB12B3" w:rsidRPr="000D6DBA" w:rsidRDefault="001741D8" w:rsidP="00AB12B3">
      <w:pPr>
        <w:spacing w:after="0" w:line="240" w:lineRule="auto"/>
        <w:ind w:firstLine="708"/>
        <w:jc w:val="both"/>
        <w:rPr>
          <w:rFonts w:ascii="Times New Roman" w:hAnsi="Times New Roman" w:cs="Times New Roman"/>
          <w:strike/>
          <w:sz w:val="28"/>
          <w:szCs w:val="28"/>
        </w:rPr>
      </w:pPr>
      <w:r>
        <w:rPr>
          <w:rFonts w:ascii="Times New Roman" w:hAnsi="Times New Roman" w:cs="Times New Roman"/>
          <w:sz w:val="28"/>
          <w:szCs w:val="28"/>
        </w:rPr>
        <w:t>После закрытия п</w:t>
      </w:r>
      <w:r w:rsidR="00AB12B3">
        <w:rPr>
          <w:rFonts w:ascii="Times New Roman" w:hAnsi="Times New Roman" w:cs="Times New Roman"/>
          <w:sz w:val="28"/>
          <w:szCs w:val="28"/>
        </w:rPr>
        <w:t xml:space="preserve">робирки </w:t>
      </w:r>
      <w:r>
        <w:rPr>
          <w:rFonts w:ascii="Times New Roman" w:hAnsi="Times New Roman" w:cs="Times New Roman"/>
          <w:sz w:val="28"/>
          <w:szCs w:val="28"/>
        </w:rPr>
        <w:t>перемешивали</w:t>
      </w:r>
      <w:r w:rsidR="00311220">
        <w:rPr>
          <w:rFonts w:ascii="Times New Roman" w:hAnsi="Times New Roman" w:cs="Times New Roman"/>
          <w:sz w:val="28"/>
          <w:szCs w:val="28"/>
        </w:rPr>
        <w:t xml:space="preserve"> </w:t>
      </w:r>
      <w:r w:rsidR="00AB12B3">
        <w:rPr>
          <w:rFonts w:ascii="Times New Roman" w:hAnsi="Times New Roman" w:cs="Times New Roman"/>
          <w:sz w:val="28"/>
          <w:szCs w:val="28"/>
        </w:rPr>
        <w:t>в течение 3-6 минут на вортексе при скорости 1500 – 3000 об/мин при комнатной температуре</w:t>
      </w:r>
      <w:r w:rsidR="00311220">
        <w:rPr>
          <w:rFonts w:ascii="Century" w:hAnsi="Century" w:cs="Times New Roman"/>
          <w:sz w:val="28"/>
          <w:szCs w:val="28"/>
        </w:rPr>
        <w:t>.</w:t>
      </w:r>
      <w:r w:rsidR="00AB12B3">
        <w:rPr>
          <w:rFonts w:ascii="Times New Roman" w:hAnsi="Times New Roman" w:cs="Times New Roman"/>
          <w:sz w:val="28"/>
          <w:szCs w:val="28"/>
        </w:rPr>
        <w:t xml:space="preserve"> </w:t>
      </w:r>
      <w:r w:rsidR="003F3034">
        <w:rPr>
          <w:rFonts w:ascii="Times New Roman" w:hAnsi="Times New Roman" w:cs="Times New Roman"/>
          <w:sz w:val="28"/>
          <w:szCs w:val="28"/>
        </w:rPr>
        <w:t>Вслед за этим</w:t>
      </w:r>
      <w:r w:rsidR="00311220">
        <w:rPr>
          <w:rFonts w:ascii="Times New Roman" w:hAnsi="Times New Roman" w:cs="Times New Roman"/>
          <w:sz w:val="28"/>
          <w:szCs w:val="28"/>
        </w:rPr>
        <w:t xml:space="preserve"> </w:t>
      </w:r>
      <w:r w:rsidR="003F3034" w:rsidRPr="003F3034">
        <w:rPr>
          <w:rFonts w:ascii="Times New Roman" w:hAnsi="Times New Roman" w:cs="Times New Roman"/>
          <w:sz w:val="28"/>
          <w:szCs w:val="28"/>
        </w:rPr>
        <w:t xml:space="preserve">был </w:t>
      </w:r>
      <w:r w:rsidR="003F3034">
        <w:rPr>
          <w:rFonts w:ascii="Times New Roman" w:hAnsi="Times New Roman" w:cs="Times New Roman"/>
          <w:sz w:val="28"/>
          <w:szCs w:val="28"/>
        </w:rPr>
        <w:t>создан</w:t>
      </w:r>
      <w:r w:rsidR="00AB12B3" w:rsidRPr="003F3034">
        <w:rPr>
          <w:rFonts w:ascii="Times New Roman" w:hAnsi="Times New Roman" w:cs="Times New Roman"/>
          <w:sz w:val="28"/>
          <w:szCs w:val="28"/>
        </w:rPr>
        <w:t xml:space="preserve"> протокол расположения образцов</w:t>
      </w:r>
      <w:r w:rsidR="00311220">
        <w:rPr>
          <w:rFonts w:ascii="Century" w:hAnsi="Century" w:cs="Times New Roman"/>
          <w:sz w:val="28"/>
          <w:szCs w:val="28"/>
        </w:rPr>
        <w:t>.</w:t>
      </w:r>
      <w:r w:rsidR="00FF174B">
        <w:rPr>
          <w:rFonts w:ascii="Times New Roman" w:hAnsi="Times New Roman" w:cs="Times New Roman"/>
          <w:sz w:val="28"/>
          <w:szCs w:val="28"/>
        </w:rPr>
        <w:t xml:space="preserve"> </w:t>
      </w:r>
      <w:r>
        <w:rPr>
          <w:rFonts w:ascii="Times New Roman" w:hAnsi="Times New Roman" w:cs="Times New Roman"/>
          <w:sz w:val="28"/>
          <w:szCs w:val="28"/>
        </w:rPr>
        <w:t>Прибор</w:t>
      </w:r>
      <w:r w:rsidR="00FF174B">
        <w:rPr>
          <w:rFonts w:ascii="Times New Roman" w:hAnsi="Times New Roman" w:cs="Times New Roman"/>
          <w:sz w:val="28"/>
          <w:szCs w:val="28"/>
        </w:rPr>
        <w:t xml:space="preserve"> </w:t>
      </w:r>
      <w:r>
        <w:rPr>
          <w:rFonts w:ascii="Times New Roman" w:hAnsi="Times New Roman" w:cs="Times New Roman"/>
          <w:sz w:val="28"/>
          <w:szCs w:val="28"/>
        </w:rPr>
        <w:t>автоматически осуществлял р</w:t>
      </w:r>
      <w:r w:rsidR="003F3034">
        <w:rPr>
          <w:rFonts w:ascii="Times New Roman" w:hAnsi="Times New Roman" w:cs="Times New Roman"/>
          <w:sz w:val="28"/>
          <w:szCs w:val="28"/>
        </w:rPr>
        <w:t>аспозна</w:t>
      </w:r>
      <w:r>
        <w:rPr>
          <w:rFonts w:ascii="Times New Roman" w:hAnsi="Times New Roman" w:cs="Times New Roman"/>
          <w:sz w:val="28"/>
          <w:szCs w:val="28"/>
        </w:rPr>
        <w:t>ние</w:t>
      </w:r>
      <w:r w:rsidR="0073581F">
        <w:rPr>
          <w:rFonts w:ascii="Times New Roman" w:hAnsi="Times New Roman" w:cs="Times New Roman"/>
          <w:sz w:val="28"/>
          <w:szCs w:val="28"/>
        </w:rPr>
        <w:t xml:space="preserve"> </w:t>
      </w:r>
      <w:r w:rsidR="00AB12B3">
        <w:rPr>
          <w:rFonts w:ascii="Times New Roman" w:hAnsi="Times New Roman" w:cs="Times New Roman"/>
          <w:sz w:val="28"/>
          <w:szCs w:val="28"/>
        </w:rPr>
        <w:t>продукт</w:t>
      </w:r>
      <w:r>
        <w:rPr>
          <w:rFonts w:ascii="Times New Roman" w:hAnsi="Times New Roman" w:cs="Times New Roman"/>
          <w:sz w:val="28"/>
          <w:szCs w:val="28"/>
        </w:rPr>
        <w:t>ов</w:t>
      </w:r>
      <w:r w:rsidR="00AB12B3">
        <w:rPr>
          <w:rFonts w:ascii="Times New Roman" w:hAnsi="Times New Roman" w:cs="Times New Roman"/>
          <w:sz w:val="28"/>
          <w:szCs w:val="28"/>
        </w:rPr>
        <w:t xml:space="preserve"> амплификации в каждом цикле </w:t>
      </w:r>
      <w:r w:rsidR="003F3034">
        <w:rPr>
          <w:rFonts w:ascii="Times New Roman" w:hAnsi="Times New Roman" w:cs="Times New Roman"/>
          <w:sz w:val="28"/>
          <w:szCs w:val="28"/>
        </w:rPr>
        <w:t xml:space="preserve">с последующим формированием кривых накоплении </w:t>
      </w:r>
      <w:r w:rsidR="00AB12B3">
        <w:rPr>
          <w:rFonts w:ascii="Times New Roman" w:hAnsi="Times New Roman" w:cs="Times New Roman"/>
          <w:sz w:val="28"/>
          <w:szCs w:val="28"/>
        </w:rPr>
        <w:t>амплификации</w:t>
      </w:r>
      <w:r w:rsidR="00311220">
        <w:rPr>
          <w:rFonts w:ascii="Century" w:hAnsi="Century" w:cs="Times New Roman"/>
          <w:sz w:val="28"/>
          <w:szCs w:val="28"/>
        </w:rPr>
        <w:t>.</w:t>
      </w:r>
    </w:p>
    <w:p w:rsidR="00AB12B3" w:rsidRDefault="008F772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w:t>
      </w:r>
      <w:r w:rsidR="00AB12B3">
        <w:rPr>
          <w:rFonts w:ascii="Times New Roman" w:hAnsi="Times New Roman" w:cs="Times New Roman"/>
          <w:sz w:val="28"/>
          <w:szCs w:val="28"/>
        </w:rPr>
        <w:t>робирки</w:t>
      </w:r>
      <w:r w:rsidR="007341CA">
        <w:rPr>
          <w:rFonts w:ascii="Times New Roman" w:hAnsi="Times New Roman" w:cs="Times New Roman"/>
          <w:sz w:val="28"/>
          <w:szCs w:val="28"/>
        </w:rPr>
        <w:t xml:space="preserve"> </w:t>
      </w:r>
      <w:r w:rsidR="00AB12B3">
        <w:rPr>
          <w:rFonts w:ascii="Times New Roman" w:hAnsi="Times New Roman" w:cs="Times New Roman"/>
          <w:sz w:val="28"/>
          <w:szCs w:val="28"/>
        </w:rPr>
        <w:t>вносились в амплификатор CFX 96 (BioRad, CA, USA)</w:t>
      </w:r>
      <w:r>
        <w:rPr>
          <w:rFonts w:ascii="Times New Roman" w:hAnsi="Times New Roman" w:cs="Times New Roman"/>
          <w:sz w:val="28"/>
          <w:szCs w:val="28"/>
        </w:rPr>
        <w:t xml:space="preserve"> для</w:t>
      </w:r>
      <w:r w:rsidR="007341CA">
        <w:rPr>
          <w:rFonts w:ascii="Times New Roman" w:hAnsi="Times New Roman" w:cs="Times New Roman"/>
          <w:sz w:val="28"/>
          <w:szCs w:val="28"/>
        </w:rPr>
        <w:t xml:space="preserve"> </w:t>
      </w:r>
      <w:r>
        <w:rPr>
          <w:rFonts w:ascii="Times New Roman" w:hAnsi="Times New Roman" w:cs="Times New Roman"/>
          <w:sz w:val="28"/>
          <w:szCs w:val="28"/>
        </w:rPr>
        <w:t>амплификации</w:t>
      </w:r>
      <w:r w:rsidR="00AB12B3">
        <w:rPr>
          <w:rFonts w:ascii="Times New Roman" w:hAnsi="Times New Roman" w:cs="Times New Roman"/>
          <w:sz w:val="28"/>
          <w:szCs w:val="28"/>
        </w:rPr>
        <w:t xml:space="preserve"> по следующей программе: этап предварительной денатурации 93° C в течение 1 минуты и последующие 35 циклов реакции при 93° C в течение 10 секунд, 64° C в течение 10 секунд и 72° C в течение 20 секунд, согласно протоколу производителя.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Результат считался положительным, если значение FAM Ct образца был ниже 27 и отрицательным, если значение FAM Ct был выше 27</w:t>
      </w:r>
      <w:r w:rsidR="0003196B">
        <w:rPr>
          <w:rFonts w:ascii="Times New Roman" w:hAnsi="Times New Roman" w:cs="Times New Roman"/>
          <w:sz w:val="28"/>
          <w:szCs w:val="28"/>
        </w:rPr>
        <w:t xml:space="preserve"> (таблица 1)</w:t>
      </w:r>
      <w:r>
        <w:rPr>
          <w:rFonts w:ascii="Times New Roman" w:hAnsi="Times New Roman" w:cs="Times New Roman"/>
          <w:sz w:val="28"/>
          <w:szCs w:val="28"/>
        </w:rPr>
        <w:t>.</w:t>
      </w:r>
    </w:p>
    <w:p w:rsidR="00F325E7" w:rsidRDefault="00F325E7" w:rsidP="00AB12B3">
      <w:pPr>
        <w:spacing w:after="0" w:line="240" w:lineRule="auto"/>
        <w:ind w:firstLine="708"/>
        <w:jc w:val="both"/>
        <w:rPr>
          <w:rFonts w:ascii="Times New Roman" w:hAnsi="Times New Roman" w:cs="Times New Roman"/>
          <w:sz w:val="28"/>
          <w:szCs w:val="28"/>
        </w:rPr>
      </w:pPr>
    </w:p>
    <w:p w:rsidR="00AB12B3" w:rsidRDefault="00F325E7" w:rsidP="003441A2">
      <w:pPr>
        <w:spacing w:after="0" w:line="240" w:lineRule="auto"/>
        <w:jc w:val="both"/>
        <w:rPr>
          <w:rFonts w:ascii="Times New Roman" w:hAnsi="Times New Roman" w:cs="Times New Roman"/>
          <w:i/>
          <w:sz w:val="28"/>
          <w:szCs w:val="28"/>
          <w:lang w:val="kk-KZ"/>
        </w:rPr>
      </w:pPr>
      <w:r>
        <w:rPr>
          <w:rFonts w:ascii="Times New Roman" w:hAnsi="Times New Roman" w:cs="Times New Roman"/>
          <w:sz w:val="28"/>
          <w:szCs w:val="28"/>
        </w:rPr>
        <w:t>Таблица 1</w:t>
      </w:r>
      <w:r w:rsidR="003441A2">
        <w:rPr>
          <w:rFonts w:ascii="Times New Roman" w:hAnsi="Times New Roman" w:cs="Times New Roman"/>
          <w:sz w:val="28"/>
          <w:szCs w:val="28"/>
          <w:lang w:val="kk-KZ"/>
        </w:rPr>
        <w:t xml:space="preserve"> -</w:t>
      </w:r>
      <w:r w:rsidR="00AB12B3">
        <w:rPr>
          <w:rFonts w:ascii="Times New Roman" w:hAnsi="Times New Roman" w:cs="Times New Roman"/>
          <w:sz w:val="28"/>
          <w:szCs w:val="28"/>
        </w:rPr>
        <w:t xml:space="preserve"> Интерпретация результатов генотипирования полиморфизма </w:t>
      </w:r>
      <w:r w:rsidR="00AB12B3" w:rsidRPr="004C46D6">
        <w:rPr>
          <w:rFonts w:ascii="Times New Roman" w:hAnsi="Times New Roman" w:cs="Times New Roman"/>
          <w:sz w:val="28"/>
          <w:szCs w:val="28"/>
        </w:rPr>
        <w:t xml:space="preserve">Ser447Ter (rs328) </w:t>
      </w:r>
      <w:r w:rsidR="00AB12B3">
        <w:rPr>
          <w:rFonts w:ascii="Times New Roman" w:hAnsi="Times New Roman" w:cs="Times New Roman"/>
          <w:sz w:val="28"/>
          <w:szCs w:val="28"/>
        </w:rPr>
        <w:t xml:space="preserve">гена </w:t>
      </w:r>
      <w:r w:rsidR="00AB12B3">
        <w:rPr>
          <w:rFonts w:ascii="Times New Roman" w:hAnsi="Times New Roman" w:cs="Times New Roman"/>
          <w:i/>
          <w:sz w:val="28"/>
          <w:szCs w:val="28"/>
        </w:rPr>
        <w:t>LPL</w:t>
      </w:r>
    </w:p>
    <w:p w:rsidR="009D3251" w:rsidRPr="009D3251" w:rsidRDefault="009D3251" w:rsidP="003441A2">
      <w:pPr>
        <w:spacing w:after="0" w:line="240" w:lineRule="auto"/>
        <w:jc w:val="both"/>
        <w:rPr>
          <w:rFonts w:ascii="Times New Roman" w:hAnsi="Times New Roman" w:cs="Times New Roman"/>
          <w:sz w:val="28"/>
          <w:szCs w:val="28"/>
          <w:lang w:val="kk-KZ"/>
        </w:rPr>
      </w:pPr>
    </w:p>
    <w:tbl>
      <w:tblPr>
        <w:tblStyle w:val="af7"/>
        <w:tblW w:w="0" w:type="auto"/>
        <w:tblInd w:w="108" w:type="dxa"/>
        <w:tblLook w:val="04A0" w:firstRow="1" w:lastRow="0" w:firstColumn="1" w:lastColumn="0" w:noHBand="0" w:noVBand="1"/>
      </w:tblPr>
      <w:tblGrid>
        <w:gridCol w:w="2184"/>
        <w:gridCol w:w="1446"/>
        <w:gridCol w:w="1447"/>
        <w:gridCol w:w="4386"/>
      </w:tblGrid>
      <w:tr w:rsidR="00AB12B3" w:rsidTr="00643F28">
        <w:tc>
          <w:tcPr>
            <w:tcW w:w="2184" w:type="dxa"/>
            <w:tcBorders>
              <w:top w:val="single" w:sz="4" w:space="0" w:color="auto"/>
              <w:left w:val="single" w:sz="4" w:space="0" w:color="auto"/>
              <w:bottom w:val="single" w:sz="4" w:space="0" w:color="auto"/>
              <w:right w:val="single" w:sz="4" w:space="0" w:color="auto"/>
            </w:tcBorders>
          </w:tcPr>
          <w:p w:rsidR="00AB12B3" w:rsidRPr="009D3251" w:rsidRDefault="009D3251" w:rsidP="006D6525">
            <w:pPr>
              <w:jc w:val="center"/>
              <w:rPr>
                <w:rFonts w:ascii="Times New Roman" w:hAnsi="Times New Roman"/>
                <w:sz w:val="28"/>
                <w:szCs w:val="28"/>
                <w:lang w:val="kk-KZ"/>
              </w:rPr>
            </w:pPr>
            <w:r>
              <w:rPr>
                <w:rFonts w:ascii="Times New Roman" w:hAnsi="Times New Roman"/>
                <w:sz w:val="28"/>
                <w:szCs w:val="28"/>
                <w:lang w:val="kk-KZ"/>
              </w:rPr>
              <w:t>-</w:t>
            </w:r>
          </w:p>
        </w:tc>
        <w:tc>
          <w:tcPr>
            <w:tcW w:w="1446" w:type="dxa"/>
            <w:tcBorders>
              <w:top w:val="single" w:sz="4" w:space="0" w:color="auto"/>
              <w:left w:val="single" w:sz="4" w:space="0" w:color="auto"/>
              <w:bottom w:val="single" w:sz="4" w:space="0" w:color="auto"/>
              <w:right w:val="single" w:sz="4" w:space="0" w:color="auto"/>
            </w:tcBorders>
            <w:hideMark/>
          </w:tcPr>
          <w:p w:rsidR="00AB12B3" w:rsidRPr="009D3251" w:rsidRDefault="00AB12B3">
            <w:pPr>
              <w:jc w:val="center"/>
              <w:rPr>
                <w:rFonts w:ascii="Times New Roman" w:hAnsi="Times New Roman"/>
                <w:sz w:val="28"/>
                <w:szCs w:val="28"/>
              </w:rPr>
            </w:pPr>
            <w:r w:rsidRPr="009D3251">
              <w:rPr>
                <w:rFonts w:ascii="Times New Roman" w:hAnsi="Times New Roman"/>
                <w:sz w:val="28"/>
                <w:szCs w:val="28"/>
              </w:rPr>
              <w:t>Аллель 1</w:t>
            </w:r>
          </w:p>
        </w:tc>
        <w:tc>
          <w:tcPr>
            <w:tcW w:w="1447" w:type="dxa"/>
            <w:tcBorders>
              <w:top w:val="single" w:sz="4" w:space="0" w:color="auto"/>
              <w:left w:val="single" w:sz="4" w:space="0" w:color="auto"/>
              <w:bottom w:val="single" w:sz="4" w:space="0" w:color="auto"/>
              <w:right w:val="single" w:sz="4" w:space="0" w:color="auto"/>
            </w:tcBorders>
            <w:hideMark/>
          </w:tcPr>
          <w:p w:rsidR="00AB12B3" w:rsidRPr="009D3251" w:rsidRDefault="00AB12B3">
            <w:pPr>
              <w:jc w:val="center"/>
              <w:rPr>
                <w:rFonts w:ascii="Times New Roman" w:hAnsi="Times New Roman"/>
                <w:sz w:val="28"/>
                <w:szCs w:val="28"/>
              </w:rPr>
            </w:pPr>
            <w:r w:rsidRPr="009D3251">
              <w:rPr>
                <w:rFonts w:ascii="Times New Roman" w:hAnsi="Times New Roman"/>
                <w:sz w:val="28"/>
                <w:szCs w:val="28"/>
              </w:rPr>
              <w:t>Аллель 2</w:t>
            </w:r>
          </w:p>
        </w:tc>
        <w:tc>
          <w:tcPr>
            <w:tcW w:w="4386" w:type="dxa"/>
            <w:tcBorders>
              <w:top w:val="single" w:sz="4" w:space="0" w:color="auto"/>
              <w:left w:val="single" w:sz="4" w:space="0" w:color="auto"/>
              <w:bottom w:val="single" w:sz="4" w:space="0" w:color="auto"/>
              <w:right w:val="single" w:sz="4" w:space="0" w:color="auto"/>
            </w:tcBorders>
            <w:hideMark/>
          </w:tcPr>
          <w:p w:rsidR="00AB12B3" w:rsidRPr="009D3251" w:rsidRDefault="00AB12B3">
            <w:pPr>
              <w:jc w:val="center"/>
              <w:rPr>
                <w:rFonts w:ascii="Times New Roman" w:hAnsi="Times New Roman"/>
                <w:sz w:val="28"/>
                <w:szCs w:val="28"/>
              </w:rPr>
            </w:pPr>
            <w:r w:rsidRPr="009D3251">
              <w:rPr>
                <w:rFonts w:ascii="Times New Roman" w:hAnsi="Times New Roman"/>
                <w:sz w:val="28"/>
                <w:szCs w:val="28"/>
              </w:rPr>
              <w:t xml:space="preserve">Результат </w:t>
            </w:r>
          </w:p>
        </w:tc>
      </w:tr>
      <w:tr w:rsidR="00AB12B3" w:rsidTr="00643F28">
        <w:tc>
          <w:tcPr>
            <w:tcW w:w="218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Положительный контрольный образец</w:t>
            </w:r>
          </w:p>
        </w:tc>
        <w:tc>
          <w:tcPr>
            <w:tcW w:w="144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144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4386"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Специфическая реакция прошла</w:t>
            </w:r>
          </w:p>
        </w:tc>
      </w:tr>
      <w:tr w:rsidR="00AB12B3" w:rsidTr="00643F28">
        <w:tc>
          <w:tcPr>
            <w:tcW w:w="0" w:type="auto"/>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44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144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4386"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Несрабатывание смеси Аллель 1</w:t>
            </w:r>
          </w:p>
        </w:tc>
      </w:tr>
      <w:tr w:rsidR="00AB12B3" w:rsidTr="00643F28">
        <w:tc>
          <w:tcPr>
            <w:tcW w:w="0" w:type="auto"/>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44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144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4386"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Несрабатывание смеси Аллель 2</w:t>
            </w:r>
          </w:p>
        </w:tc>
      </w:tr>
      <w:tr w:rsidR="00AB12B3" w:rsidTr="00643F28">
        <w:tc>
          <w:tcPr>
            <w:tcW w:w="0" w:type="auto"/>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44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144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4386"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Амплификация не прошла в обеих смесях</w:t>
            </w:r>
          </w:p>
        </w:tc>
      </w:tr>
      <w:tr w:rsidR="00AB12B3" w:rsidTr="00643F28">
        <w:tc>
          <w:tcPr>
            <w:tcW w:w="218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Отрицательный контрольный образец</w:t>
            </w:r>
          </w:p>
        </w:tc>
        <w:tc>
          <w:tcPr>
            <w:tcW w:w="144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144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4386"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Специфическая контаминация отсутствует, уровень праймер</w:t>
            </w:r>
            <w:r w:rsidR="00F740B1">
              <w:rPr>
                <w:rFonts w:ascii="Times New Roman" w:hAnsi="Times New Roman"/>
                <w:sz w:val="28"/>
                <w:szCs w:val="28"/>
              </w:rPr>
              <w:t xml:space="preserve"> </w:t>
            </w:r>
            <w:r w:rsidR="00C16F07">
              <w:rPr>
                <w:rFonts w:ascii="Times New Roman" w:hAnsi="Times New Roman"/>
                <w:sz w:val="28"/>
                <w:szCs w:val="28"/>
              </w:rPr>
              <w:t>–</w:t>
            </w:r>
            <w:r>
              <w:rPr>
                <w:rFonts w:ascii="Times New Roman" w:hAnsi="Times New Roman"/>
                <w:sz w:val="28"/>
                <w:szCs w:val="28"/>
              </w:rPr>
              <w:t>димеров в пределах нормы</w:t>
            </w:r>
          </w:p>
        </w:tc>
      </w:tr>
      <w:tr w:rsidR="00AB12B3" w:rsidTr="00643F28">
        <w:tc>
          <w:tcPr>
            <w:tcW w:w="218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Анализируемый образец</w:t>
            </w:r>
          </w:p>
        </w:tc>
        <w:tc>
          <w:tcPr>
            <w:tcW w:w="144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144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4386"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Гомозигота по Аллели 1</w:t>
            </w:r>
          </w:p>
        </w:tc>
      </w:tr>
      <w:tr w:rsidR="00AB12B3" w:rsidTr="00643F28">
        <w:tc>
          <w:tcPr>
            <w:tcW w:w="0" w:type="auto"/>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44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144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4386" w:type="dxa"/>
            <w:tcBorders>
              <w:top w:val="single" w:sz="4" w:space="0" w:color="auto"/>
              <w:left w:val="single" w:sz="4" w:space="0" w:color="auto"/>
              <w:bottom w:val="single" w:sz="4" w:space="0" w:color="auto"/>
              <w:right w:val="single" w:sz="4" w:space="0" w:color="auto"/>
            </w:tcBorders>
            <w:hideMark/>
          </w:tcPr>
          <w:p w:rsidR="00AB12B3" w:rsidRDefault="00AB12B3">
            <w:r>
              <w:rPr>
                <w:rFonts w:ascii="Times New Roman" w:hAnsi="Times New Roman"/>
                <w:sz w:val="28"/>
                <w:szCs w:val="28"/>
              </w:rPr>
              <w:t>Гомозигота по Аллели 2</w:t>
            </w:r>
          </w:p>
        </w:tc>
      </w:tr>
      <w:tr w:rsidR="00AB12B3" w:rsidTr="00643F28">
        <w:tc>
          <w:tcPr>
            <w:tcW w:w="0" w:type="auto"/>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44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144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4386" w:type="dxa"/>
            <w:tcBorders>
              <w:top w:val="single" w:sz="4" w:space="0" w:color="auto"/>
              <w:left w:val="single" w:sz="4" w:space="0" w:color="auto"/>
              <w:bottom w:val="single" w:sz="4" w:space="0" w:color="auto"/>
              <w:right w:val="single" w:sz="4" w:space="0" w:color="auto"/>
            </w:tcBorders>
            <w:hideMark/>
          </w:tcPr>
          <w:p w:rsidR="00AB12B3" w:rsidRDefault="00AB12B3">
            <w:r>
              <w:rPr>
                <w:rFonts w:ascii="Times New Roman" w:hAnsi="Times New Roman"/>
                <w:sz w:val="28"/>
                <w:szCs w:val="28"/>
              </w:rPr>
              <w:t>Гетерозигота</w:t>
            </w:r>
          </w:p>
        </w:tc>
      </w:tr>
      <w:tr w:rsidR="00AB12B3" w:rsidTr="00643F28">
        <w:tc>
          <w:tcPr>
            <w:tcW w:w="0" w:type="auto"/>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44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144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w:t>
            </w:r>
          </w:p>
        </w:tc>
        <w:tc>
          <w:tcPr>
            <w:tcW w:w="4386"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Амплификация не прошла</w:t>
            </w:r>
          </w:p>
        </w:tc>
      </w:tr>
    </w:tbl>
    <w:p w:rsidR="00007E54" w:rsidRDefault="00007E54" w:rsidP="00AB12B3">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проведения амплификации трех SNP </w:t>
      </w:r>
      <w:r>
        <w:rPr>
          <w:rFonts w:ascii="Times New Roman" w:hAnsi="Times New Roman" w:cs="Times New Roman"/>
          <w:i/>
          <w:sz w:val="28"/>
          <w:szCs w:val="28"/>
        </w:rPr>
        <w:t xml:space="preserve">(ADRB2 </w:t>
      </w:r>
      <w:r w:rsidRPr="004C46D6">
        <w:rPr>
          <w:rFonts w:ascii="Times New Roman" w:hAnsi="Times New Roman" w:cs="Times New Roman"/>
          <w:sz w:val="28"/>
          <w:szCs w:val="28"/>
        </w:rPr>
        <w:t>Gln27Glu (rs1042714),</w:t>
      </w:r>
      <w:r>
        <w:rPr>
          <w:rFonts w:ascii="Times New Roman" w:hAnsi="Times New Roman" w:cs="Times New Roman"/>
          <w:i/>
          <w:sz w:val="28"/>
          <w:szCs w:val="28"/>
        </w:rPr>
        <w:t xml:space="preserve"> AGT </w:t>
      </w:r>
      <w:r w:rsidRPr="004C46D6">
        <w:rPr>
          <w:rFonts w:ascii="Times New Roman" w:hAnsi="Times New Roman" w:cs="Times New Roman"/>
          <w:sz w:val="28"/>
          <w:szCs w:val="28"/>
        </w:rPr>
        <w:t>Thr174Met (rs4762),</w:t>
      </w:r>
      <w:r>
        <w:rPr>
          <w:rFonts w:ascii="Times New Roman" w:hAnsi="Times New Roman" w:cs="Times New Roman"/>
          <w:i/>
          <w:sz w:val="28"/>
          <w:szCs w:val="28"/>
        </w:rPr>
        <w:t xml:space="preserve"> AGTR1 </w:t>
      </w:r>
      <w:r w:rsidRPr="004C46D6">
        <w:rPr>
          <w:rFonts w:ascii="Times New Roman" w:hAnsi="Times New Roman" w:cs="Times New Roman"/>
          <w:sz w:val="28"/>
          <w:szCs w:val="28"/>
        </w:rPr>
        <w:t>A1166C (rs5186))</w:t>
      </w:r>
      <w:r>
        <w:rPr>
          <w:rFonts w:ascii="Times New Roman" w:hAnsi="Times New Roman" w:cs="Times New Roman"/>
          <w:sz w:val="28"/>
          <w:szCs w:val="28"/>
        </w:rPr>
        <w:t xml:space="preserve"> рассчитали необходимый объем компонентов</w:t>
      </w:r>
      <w:r w:rsidR="001630DC">
        <w:rPr>
          <w:rFonts w:ascii="Century" w:hAnsi="Century" w:cs="Times New Roman"/>
          <w:sz w:val="28"/>
          <w:szCs w:val="28"/>
        </w:rPr>
        <w:t>,</w:t>
      </w:r>
      <w:r>
        <w:rPr>
          <w:rFonts w:ascii="Times New Roman" w:hAnsi="Times New Roman" w:cs="Times New Roman"/>
          <w:sz w:val="28"/>
          <w:szCs w:val="28"/>
        </w:rPr>
        <w:t xml:space="preserve"> исходя из количества исследуемых образцов плюс 4 (три положительных контрольных и один отрицательный </w:t>
      </w:r>
      <w:r>
        <w:rPr>
          <w:rFonts w:ascii="Times New Roman" w:hAnsi="Times New Roman" w:cs="Times New Roman"/>
          <w:sz w:val="28"/>
          <w:szCs w:val="28"/>
        </w:rPr>
        <w:lastRenderedPageBreak/>
        <w:t>контрольный образец)</w:t>
      </w:r>
      <w:r w:rsidR="001630DC">
        <w:rPr>
          <w:rFonts w:ascii="Century" w:hAnsi="Century" w:cs="Times New Roman"/>
          <w:sz w:val="28"/>
          <w:szCs w:val="28"/>
        </w:rPr>
        <w:t>.</w:t>
      </w:r>
      <w:r>
        <w:rPr>
          <w:rFonts w:ascii="Times New Roman" w:hAnsi="Times New Roman" w:cs="Times New Roman"/>
          <w:sz w:val="28"/>
          <w:szCs w:val="28"/>
        </w:rPr>
        <w:t xml:space="preserve"> После разморозки реагентов готовили смесь компонентов из расчета на 1 пробу по составу</w:t>
      </w:r>
      <w:r w:rsidR="001630DC">
        <w:rPr>
          <w:rFonts w:ascii="Century" w:hAnsi="Century" w:cs="Times New Roman"/>
          <w:sz w:val="28"/>
          <w:szCs w:val="28"/>
        </w:rPr>
        <w:t>:</w:t>
      </w:r>
      <w:r>
        <w:rPr>
          <w:rFonts w:ascii="Times New Roman" w:hAnsi="Times New Roman" w:cs="Times New Roman"/>
          <w:sz w:val="28"/>
          <w:szCs w:val="28"/>
        </w:rPr>
        <w:t xml:space="preserve"> 10 мкл реакционной смеси</w:t>
      </w:r>
      <w:r w:rsidR="001630DC">
        <w:rPr>
          <w:rFonts w:ascii="Century" w:hAnsi="Century" w:cs="Times New Roman"/>
          <w:sz w:val="28"/>
          <w:szCs w:val="28"/>
        </w:rPr>
        <w:t>;</w:t>
      </w:r>
      <w:r>
        <w:rPr>
          <w:rFonts w:ascii="Times New Roman" w:hAnsi="Times New Roman" w:cs="Times New Roman"/>
          <w:sz w:val="28"/>
          <w:szCs w:val="28"/>
        </w:rPr>
        <w:t xml:space="preserve"> 10 мкл разбавителя</w:t>
      </w:r>
      <w:r w:rsidR="001630DC">
        <w:rPr>
          <w:rFonts w:ascii="Century" w:hAnsi="Century" w:cs="Times New Roman"/>
          <w:sz w:val="28"/>
          <w:szCs w:val="28"/>
        </w:rPr>
        <w:t>;</w:t>
      </w:r>
      <w:r>
        <w:rPr>
          <w:rFonts w:ascii="Times New Roman" w:hAnsi="Times New Roman" w:cs="Times New Roman"/>
          <w:sz w:val="28"/>
          <w:szCs w:val="28"/>
        </w:rPr>
        <w:t xml:space="preserve"> 0</w:t>
      </w:r>
      <w:r w:rsidR="001630DC">
        <w:rPr>
          <w:rFonts w:ascii="Century" w:hAnsi="Century" w:cs="Times New Roman"/>
          <w:sz w:val="28"/>
          <w:szCs w:val="28"/>
        </w:rPr>
        <w:t>,</w:t>
      </w:r>
      <w:r>
        <w:rPr>
          <w:rFonts w:ascii="Times New Roman" w:hAnsi="Times New Roman" w:cs="Times New Roman"/>
          <w:sz w:val="28"/>
          <w:szCs w:val="28"/>
        </w:rPr>
        <w:t>5 мкл</w:t>
      </w:r>
      <w:r w:rsidR="00DD10A0">
        <w:rPr>
          <w:rFonts w:ascii="Times New Roman" w:hAnsi="Times New Roman" w:cs="Times New Roman"/>
          <w:sz w:val="28"/>
          <w:szCs w:val="28"/>
        </w:rPr>
        <w:t xml:space="preserve"> </w:t>
      </w:r>
      <w:r>
        <w:rPr>
          <w:rFonts w:ascii="Times New Roman" w:hAnsi="Times New Roman" w:cs="Times New Roman"/>
          <w:sz w:val="28"/>
          <w:szCs w:val="28"/>
        </w:rPr>
        <w:t>Taq – полимеразы</w:t>
      </w:r>
      <w:r w:rsidR="001630DC">
        <w:rPr>
          <w:rFonts w:ascii="Century" w:hAnsi="Century" w:cs="Times New Roman"/>
          <w:sz w:val="28"/>
          <w:szCs w:val="28"/>
        </w:rPr>
        <w:t>.</w:t>
      </w:r>
      <w:r>
        <w:rPr>
          <w:rFonts w:ascii="Times New Roman" w:hAnsi="Times New Roman" w:cs="Times New Roman"/>
          <w:sz w:val="28"/>
          <w:szCs w:val="28"/>
        </w:rPr>
        <w:t xml:space="preserve"> После все перемеша</w:t>
      </w:r>
      <w:r w:rsidR="00B71C67">
        <w:rPr>
          <w:rFonts w:ascii="Times New Roman" w:hAnsi="Times New Roman" w:cs="Times New Roman"/>
          <w:sz w:val="28"/>
          <w:szCs w:val="28"/>
        </w:rPr>
        <w:t>ли</w:t>
      </w:r>
      <w:r>
        <w:rPr>
          <w:rFonts w:ascii="Times New Roman" w:hAnsi="Times New Roman" w:cs="Times New Roman"/>
          <w:sz w:val="28"/>
          <w:szCs w:val="28"/>
        </w:rPr>
        <w:t xml:space="preserve"> с помощью вортекса. </w:t>
      </w:r>
      <w:r w:rsidR="00007E54">
        <w:rPr>
          <w:rFonts w:ascii="Times New Roman" w:hAnsi="Times New Roman" w:cs="Times New Roman"/>
          <w:sz w:val="28"/>
          <w:szCs w:val="28"/>
        </w:rPr>
        <w:t xml:space="preserve">Заренее </w:t>
      </w:r>
      <w:r>
        <w:rPr>
          <w:rFonts w:ascii="Times New Roman" w:hAnsi="Times New Roman" w:cs="Times New Roman"/>
          <w:sz w:val="28"/>
          <w:szCs w:val="28"/>
        </w:rPr>
        <w:t xml:space="preserve">готовили пробирки с маркировкой. В каждую пробирку вносили смесь компонентов в объеме 20 мкл, </w:t>
      </w:r>
      <w:r w:rsidR="00007E54">
        <w:rPr>
          <w:rFonts w:ascii="Times New Roman" w:hAnsi="Times New Roman" w:cs="Times New Roman"/>
          <w:sz w:val="28"/>
          <w:szCs w:val="28"/>
        </w:rPr>
        <w:t>далее</w:t>
      </w:r>
      <w:r>
        <w:rPr>
          <w:rFonts w:ascii="Times New Roman" w:hAnsi="Times New Roman" w:cs="Times New Roman"/>
          <w:sz w:val="28"/>
          <w:szCs w:val="28"/>
        </w:rPr>
        <w:t xml:space="preserve"> в каждую пробирку </w:t>
      </w:r>
      <w:r w:rsidR="00B71C67">
        <w:rPr>
          <w:rFonts w:ascii="Times New Roman" w:hAnsi="Times New Roman" w:cs="Times New Roman"/>
          <w:sz w:val="28"/>
          <w:szCs w:val="28"/>
        </w:rPr>
        <w:t>прибавляли</w:t>
      </w:r>
      <w:r>
        <w:rPr>
          <w:rFonts w:ascii="Times New Roman" w:hAnsi="Times New Roman" w:cs="Times New Roman"/>
          <w:sz w:val="28"/>
          <w:szCs w:val="28"/>
        </w:rPr>
        <w:t xml:space="preserve"> контрольные и исследуемые образцы в объеме 5 мкл в соответствии с маркировкой. Плотно закрыв крышки пробирок, </w:t>
      </w:r>
      <w:r w:rsidR="00B71C67">
        <w:rPr>
          <w:rFonts w:ascii="Times New Roman" w:hAnsi="Times New Roman" w:cs="Times New Roman"/>
          <w:sz w:val="28"/>
          <w:szCs w:val="28"/>
        </w:rPr>
        <w:t>после центрифугирования в течение 2-3 минут</w:t>
      </w:r>
      <w:r>
        <w:rPr>
          <w:rFonts w:ascii="Times New Roman" w:hAnsi="Times New Roman" w:cs="Times New Roman"/>
          <w:sz w:val="28"/>
          <w:szCs w:val="28"/>
        </w:rPr>
        <w:t xml:space="preserve"> пробирки помещали</w:t>
      </w:r>
      <w:r w:rsidR="000D6DBA" w:rsidRPr="00B71C67">
        <w:rPr>
          <w:rFonts w:ascii="Times New Roman" w:hAnsi="Times New Roman" w:cs="Times New Roman"/>
          <w:sz w:val="28"/>
          <w:szCs w:val="28"/>
        </w:rPr>
        <w:t>сь</w:t>
      </w:r>
      <w:r>
        <w:rPr>
          <w:rFonts w:ascii="Times New Roman" w:hAnsi="Times New Roman" w:cs="Times New Roman"/>
          <w:sz w:val="28"/>
          <w:szCs w:val="28"/>
        </w:rPr>
        <w:t xml:space="preserve"> в амплификатор CFX 96 (BioRad, CA, USA).</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Для создания протокола исследования открывали программу Bio-Rad, выбирали File → New → Protocol, задавали программу амплификации, где стадия предварительной денатурации при 95° C в течение 3 минут и последующие 48 циклов реакции при 95° C в течение 15 секунд и 63° C в течение 40 секунд. Задавали рабочий объем реакции – 25 мкл. Нажимали File → SaveAs, давали имя файлу «SNP-protocol» и сохраняли файл с расширением -.prcl.</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Для проведения реакции ПЦР в программе Bio-Rad выбирали File → New →Run. Во вкладке Protocol выбирали (Select</w:t>
      </w:r>
      <w:r w:rsidR="00751696">
        <w:rPr>
          <w:rFonts w:ascii="Times New Roman" w:hAnsi="Times New Roman" w:cs="Times New Roman"/>
          <w:sz w:val="28"/>
          <w:szCs w:val="28"/>
        </w:rPr>
        <w:t xml:space="preserve"> </w:t>
      </w:r>
      <w:r>
        <w:rPr>
          <w:rFonts w:ascii="Times New Roman" w:hAnsi="Times New Roman" w:cs="Times New Roman"/>
          <w:sz w:val="28"/>
          <w:szCs w:val="28"/>
        </w:rPr>
        <w:t>Existing) сохраненный ранее протокол «SNP-protocol.prcl». Дале</w:t>
      </w:r>
      <w:r w:rsidR="003168CC">
        <w:rPr>
          <w:rFonts w:ascii="Times New Roman" w:hAnsi="Times New Roman" w:cs="Times New Roman"/>
          <w:sz w:val="28"/>
          <w:szCs w:val="28"/>
        </w:rPr>
        <w:t>е во вкладке Plate создали новый</w:t>
      </w:r>
      <w:r w:rsidR="00751696">
        <w:rPr>
          <w:rFonts w:ascii="Times New Roman" w:hAnsi="Times New Roman" w:cs="Times New Roman"/>
          <w:sz w:val="28"/>
          <w:szCs w:val="28"/>
        </w:rPr>
        <w:t xml:space="preserve"> </w:t>
      </w:r>
      <w:r w:rsidR="008803CC">
        <w:rPr>
          <w:rFonts w:ascii="Times New Roman" w:hAnsi="Times New Roman" w:cs="Times New Roman"/>
          <w:sz w:val="28"/>
          <w:szCs w:val="28"/>
        </w:rPr>
        <w:t>планшет</w:t>
      </w:r>
      <w:r>
        <w:rPr>
          <w:rFonts w:ascii="Times New Roman" w:hAnsi="Times New Roman" w:cs="Times New Roman"/>
          <w:sz w:val="28"/>
          <w:szCs w:val="28"/>
        </w:rPr>
        <w:t>, вносили сведения об образцах и красителях. Для этого в окне Workshop выбрали Plate, затем в поле Selected</w:t>
      </w:r>
      <w:r w:rsidR="00DD10A0">
        <w:rPr>
          <w:rFonts w:ascii="Times New Roman" w:hAnsi="Times New Roman" w:cs="Times New Roman"/>
          <w:sz w:val="28"/>
          <w:szCs w:val="28"/>
        </w:rPr>
        <w:t xml:space="preserve"> </w:t>
      </w:r>
      <w:r>
        <w:rPr>
          <w:rFonts w:ascii="Times New Roman" w:hAnsi="Times New Roman" w:cs="Times New Roman"/>
          <w:sz w:val="28"/>
          <w:szCs w:val="28"/>
        </w:rPr>
        <w:t>Plate</w:t>
      </w:r>
      <w:r w:rsidR="00DD10A0">
        <w:rPr>
          <w:rFonts w:ascii="Times New Roman" w:hAnsi="Times New Roman" w:cs="Times New Roman"/>
          <w:sz w:val="28"/>
          <w:szCs w:val="28"/>
        </w:rPr>
        <w:t xml:space="preserve"> </w:t>
      </w:r>
      <w:r>
        <w:rPr>
          <w:rFonts w:ascii="Times New Roman" w:hAnsi="Times New Roman" w:cs="Times New Roman"/>
          <w:sz w:val="28"/>
          <w:szCs w:val="28"/>
        </w:rPr>
        <w:t>Setup выбрали опцию Create</w:t>
      </w:r>
      <w:r w:rsidR="00DD10A0">
        <w:rPr>
          <w:rFonts w:ascii="Times New Roman" w:hAnsi="Times New Roman" w:cs="Times New Roman"/>
          <w:sz w:val="28"/>
          <w:szCs w:val="28"/>
        </w:rPr>
        <w:t xml:space="preserve"> </w:t>
      </w:r>
      <w:r>
        <w:rPr>
          <w:rFonts w:ascii="Times New Roman" w:hAnsi="Times New Roman" w:cs="Times New Roman"/>
          <w:sz w:val="28"/>
          <w:szCs w:val="28"/>
        </w:rPr>
        <w:t>New. Выбирали флуорофоры (Select</w:t>
      </w:r>
      <w:r w:rsidR="00DD10A0">
        <w:rPr>
          <w:rFonts w:ascii="Times New Roman" w:hAnsi="Times New Roman" w:cs="Times New Roman"/>
          <w:sz w:val="28"/>
          <w:szCs w:val="28"/>
        </w:rPr>
        <w:t xml:space="preserve"> </w:t>
      </w:r>
      <w:r>
        <w:rPr>
          <w:rFonts w:ascii="Times New Roman" w:hAnsi="Times New Roman" w:cs="Times New Roman"/>
          <w:sz w:val="28"/>
          <w:szCs w:val="28"/>
        </w:rPr>
        <w:t>Fluorophores)</w:t>
      </w:r>
      <w:r w:rsidRPr="00577D6C">
        <w:rPr>
          <w:rFonts w:ascii="Century" w:hAnsi="Century" w:cs="Times New Roman"/>
          <w:sz w:val="28"/>
          <w:szCs w:val="28"/>
        </w:rPr>
        <w:t>:</w:t>
      </w:r>
      <w:r>
        <w:rPr>
          <w:rFonts w:ascii="Times New Roman" w:hAnsi="Times New Roman" w:cs="Times New Roman"/>
          <w:sz w:val="28"/>
          <w:szCs w:val="28"/>
        </w:rPr>
        <w:t xml:space="preserve"> FAM, HEX. В зависимо</w:t>
      </w:r>
      <w:r w:rsidR="008803CC">
        <w:rPr>
          <w:rFonts w:ascii="Times New Roman" w:hAnsi="Times New Roman" w:cs="Times New Roman"/>
          <w:sz w:val="28"/>
          <w:szCs w:val="28"/>
        </w:rPr>
        <w:t>с</w:t>
      </w:r>
      <w:r>
        <w:rPr>
          <w:rFonts w:ascii="Times New Roman" w:hAnsi="Times New Roman" w:cs="Times New Roman"/>
          <w:sz w:val="28"/>
          <w:szCs w:val="28"/>
        </w:rPr>
        <w:t>ти от количества образцов выделили на</w:t>
      </w:r>
      <w:r w:rsidR="008803CC">
        <w:rPr>
          <w:rFonts w:ascii="Times New Roman" w:hAnsi="Times New Roman" w:cs="Times New Roman"/>
          <w:sz w:val="28"/>
          <w:szCs w:val="28"/>
        </w:rPr>
        <w:t xml:space="preserve"> планшете</w:t>
      </w:r>
      <w:r>
        <w:rPr>
          <w:rFonts w:ascii="Times New Roman" w:hAnsi="Times New Roman" w:cs="Times New Roman"/>
          <w:sz w:val="28"/>
          <w:szCs w:val="28"/>
        </w:rPr>
        <w:t xml:space="preserve"> рабочую зону, выбрали тип образцов (Sample</w:t>
      </w:r>
      <w:r w:rsidR="00DD10A0">
        <w:rPr>
          <w:rFonts w:ascii="Times New Roman" w:hAnsi="Times New Roman" w:cs="Times New Roman"/>
          <w:sz w:val="28"/>
          <w:szCs w:val="28"/>
        </w:rPr>
        <w:t xml:space="preserve"> </w:t>
      </w:r>
      <w:r>
        <w:rPr>
          <w:rFonts w:ascii="Times New Roman" w:hAnsi="Times New Roman" w:cs="Times New Roman"/>
          <w:sz w:val="28"/>
          <w:szCs w:val="28"/>
        </w:rPr>
        <w:t>Type) и поставить галочки в полях около флуорофоров FAM, HEX и сохранили</w:t>
      </w:r>
      <w:r w:rsidR="003168CC">
        <w:rPr>
          <w:rFonts w:ascii="Times New Roman" w:hAnsi="Times New Roman" w:cs="Times New Roman"/>
          <w:sz w:val="28"/>
          <w:szCs w:val="28"/>
        </w:rPr>
        <w:t xml:space="preserve"> планшет</w:t>
      </w:r>
      <w:r>
        <w:rPr>
          <w:rFonts w:ascii="Times New Roman" w:hAnsi="Times New Roman" w:cs="Times New Roman"/>
          <w:sz w:val="28"/>
          <w:szCs w:val="28"/>
        </w:rPr>
        <w:t>. Закрыли амплификатор нажатием клавиши Close</w:t>
      </w:r>
      <w:r w:rsidR="00DD10A0">
        <w:rPr>
          <w:rFonts w:ascii="Times New Roman" w:hAnsi="Times New Roman" w:cs="Times New Roman"/>
          <w:sz w:val="28"/>
          <w:szCs w:val="28"/>
        </w:rPr>
        <w:t xml:space="preserve"> </w:t>
      </w:r>
      <w:r>
        <w:rPr>
          <w:rFonts w:ascii="Times New Roman" w:hAnsi="Times New Roman" w:cs="Times New Roman"/>
          <w:sz w:val="28"/>
          <w:szCs w:val="28"/>
        </w:rPr>
        <w:t>Lid. Для начала реакции ПЦР нажимали клавиши Start</w:t>
      </w:r>
      <w:r w:rsidR="00DD10A0">
        <w:rPr>
          <w:rFonts w:ascii="Times New Roman" w:hAnsi="Times New Roman" w:cs="Times New Roman"/>
          <w:sz w:val="28"/>
          <w:szCs w:val="28"/>
        </w:rPr>
        <w:t xml:space="preserve"> </w:t>
      </w:r>
      <w:r>
        <w:rPr>
          <w:rFonts w:ascii="Times New Roman" w:hAnsi="Times New Roman" w:cs="Times New Roman"/>
          <w:sz w:val="28"/>
          <w:szCs w:val="28"/>
        </w:rPr>
        <w:t xml:space="preserve">Run.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Для интерпретации результатов выбирали вкладку Quantification в программе Bio-Rad, выбирали канал FAM. Выделяли положительные контроли и поднимали пороговую линию примерно на 30% от сигнала гетерозиготы. Такие же действия делали для канала HEX. Затем</w:t>
      </w:r>
      <w:r w:rsidR="00C523F7">
        <w:rPr>
          <w:rFonts w:ascii="Times New Roman" w:hAnsi="Times New Roman" w:cs="Times New Roman"/>
          <w:sz w:val="28"/>
          <w:szCs w:val="28"/>
        </w:rPr>
        <w:t xml:space="preserve"> обозначи</w:t>
      </w:r>
      <w:r w:rsidR="0007185D">
        <w:rPr>
          <w:rFonts w:ascii="Times New Roman" w:hAnsi="Times New Roman" w:cs="Times New Roman"/>
          <w:sz w:val="28"/>
          <w:szCs w:val="28"/>
        </w:rPr>
        <w:t>ли</w:t>
      </w:r>
      <w:r>
        <w:rPr>
          <w:rFonts w:ascii="Times New Roman" w:hAnsi="Times New Roman" w:cs="Times New Roman"/>
          <w:sz w:val="28"/>
          <w:szCs w:val="28"/>
        </w:rPr>
        <w:t xml:space="preserve"> оба </w:t>
      </w:r>
      <w:r w:rsidR="0007185D">
        <w:rPr>
          <w:rFonts w:ascii="Times New Roman" w:hAnsi="Times New Roman" w:cs="Times New Roman"/>
          <w:sz w:val="28"/>
          <w:szCs w:val="28"/>
        </w:rPr>
        <w:t>канала,</w:t>
      </w:r>
      <w:r w:rsidR="00DD10A0">
        <w:rPr>
          <w:rFonts w:ascii="Times New Roman" w:hAnsi="Times New Roman" w:cs="Times New Roman"/>
          <w:sz w:val="28"/>
          <w:szCs w:val="28"/>
        </w:rPr>
        <w:t xml:space="preserve"> </w:t>
      </w:r>
      <w:r w:rsidR="0007185D">
        <w:rPr>
          <w:rFonts w:ascii="Times New Roman" w:hAnsi="Times New Roman" w:cs="Times New Roman"/>
          <w:sz w:val="28"/>
          <w:szCs w:val="28"/>
        </w:rPr>
        <w:t xml:space="preserve">и </w:t>
      </w:r>
      <w:r>
        <w:rPr>
          <w:rFonts w:ascii="Times New Roman" w:hAnsi="Times New Roman" w:cs="Times New Roman"/>
          <w:sz w:val="28"/>
          <w:szCs w:val="28"/>
        </w:rPr>
        <w:t xml:space="preserve">сразу </w:t>
      </w:r>
      <w:r w:rsidRPr="00C523F7">
        <w:rPr>
          <w:rFonts w:ascii="Times New Roman" w:hAnsi="Times New Roman" w:cs="Times New Roman"/>
          <w:sz w:val="28"/>
          <w:szCs w:val="28"/>
        </w:rPr>
        <w:t>выделили</w:t>
      </w:r>
      <w:r>
        <w:rPr>
          <w:rFonts w:ascii="Times New Roman" w:hAnsi="Times New Roman" w:cs="Times New Roman"/>
          <w:sz w:val="28"/>
          <w:szCs w:val="28"/>
        </w:rPr>
        <w:t xml:space="preserve"> все образцы. После </w:t>
      </w:r>
      <w:r w:rsidR="007843B2">
        <w:rPr>
          <w:rFonts w:ascii="Times New Roman" w:hAnsi="Times New Roman" w:cs="Times New Roman"/>
          <w:sz w:val="28"/>
          <w:szCs w:val="28"/>
        </w:rPr>
        <w:t>отмечали</w:t>
      </w:r>
      <w:r>
        <w:rPr>
          <w:rFonts w:ascii="Times New Roman" w:hAnsi="Times New Roman" w:cs="Times New Roman"/>
          <w:sz w:val="28"/>
          <w:szCs w:val="28"/>
        </w:rPr>
        <w:t xml:space="preserve"> таблицы с результатами и, щелкнув по ней правой кнопкой мышки, выбрали Export</w:t>
      </w:r>
      <w:r w:rsidR="00DD10A0">
        <w:rPr>
          <w:rFonts w:ascii="Times New Roman" w:hAnsi="Times New Roman" w:cs="Times New Roman"/>
          <w:sz w:val="28"/>
          <w:szCs w:val="28"/>
        </w:rPr>
        <w:t xml:space="preserve"> </w:t>
      </w:r>
      <w:r>
        <w:rPr>
          <w:rFonts w:ascii="Times New Roman" w:hAnsi="Times New Roman" w:cs="Times New Roman"/>
          <w:sz w:val="28"/>
          <w:szCs w:val="28"/>
        </w:rPr>
        <w:t>to</w:t>
      </w:r>
      <w:r w:rsidR="00DD10A0">
        <w:rPr>
          <w:rFonts w:ascii="Times New Roman" w:hAnsi="Times New Roman" w:cs="Times New Roman"/>
          <w:sz w:val="28"/>
          <w:szCs w:val="28"/>
        </w:rPr>
        <w:t xml:space="preserve"> </w:t>
      </w:r>
      <w:r>
        <w:rPr>
          <w:rFonts w:ascii="Times New Roman" w:hAnsi="Times New Roman" w:cs="Times New Roman"/>
          <w:sz w:val="28"/>
          <w:szCs w:val="28"/>
        </w:rPr>
        <w:t>Excel</w:t>
      </w:r>
      <w:r w:rsidR="0003196B">
        <w:rPr>
          <w:rFonts w:ascii="Times New Roman" w:hAnsi="Times New Roman" w:cs="Times New Roman"/>
          <w:sz w:val="28"/>
          <w:szCs w:val="28"/>
        </w:rPr>
        <w:t xml:space="preserve"> (таблица 2)</w:t>
      </w:r>
      <w:r>
        <w:rPr>
          <w:rFonts w:ascii="Times New Roman" w:hAnsi="Times New Roman" w:cs="Times New Roman"/>
          <w:sz w:val="28"/>
          <w:szCs w:val="28"/>
        </w:rPr>
        <w:t xml:space="preserve">. </w:t>
      </w:r>
    </w:p>
    <w:p w:rsidR="0041189E" w:rsidRDefault="0041189E" w:rsidP="003441A2">
      <w:pPr>
        <w:spacing w:after="0" w:line="240" w:lineRule="auto"/>
        <w:jc w:val="both"/>
        <w:rPr>
          <w:rFonts w:ascii="Times New Roman" w:hAnsi="Times New Roman" w:cs="Times New Roman"/>
          <w:sz w:val="28"/>
          <w:szCs w:val="28"/>
          <w:lang w:val="kk-KZ"/>
        </w:rPr>
      </w:pPr>
    </w:p>
    <w:p w:rsidR="00AB12B3" w:rsidRDefault="00AB12B3" w:rsidP="003441A2">
      <w:pPr>
        <w:spacing w:after="0" w:line="240" w:lineRule="auto"/>
        <w:jc w:val="both"/>
        <w:rPr>
          <w:rFonts w:ascii="Times New Roman" w:hAnsi="Times New Roman" w:cs="Times New Roman"/>
          <w:sz w:val="28"/>
          <w:szCs w:val="28"/>
          <w:lang w:val="kk-KZ"/>
        </w:rPr>
      </w:pPr>
      <w:r w:rsidRPr="00F51E39">
        <w:rPr>
          <w:rFonts w:ascii="Times New Roman" w:hAnsi="Times New Roman" w:cs="Times New Roman"/>
          <w:sz w:val="28"/>
          <w:szCs w:val="28"/>
          <w:lang w:val="kk-KZ"/>
        </w:rPr>
        <w:t xml:space="preserve">Таблица </w:t>
      </w:r>
      <w:r w:rsidR="00F325E7" w:rsidRPr="00F51E39">
        <w:rPr>
          <w:rFonts w:ascii="Times New Roman" w:hAnsi="Times New Roman" w:cs="Times New Roman"/>
          <w:sz w:val="28"/>
          <w:szCs w:val="28"/>
          <w:lang w:val="kk-KZ"/>
        </w:rPr>
        <w:t>2</w:t>
      </w:r>
      <w:r w:rsidR="003441A2">
        <w:rPr>
          <w:rFonts w:ascii="Times New Roman" w:hAnsi="Times New Roman" w:cs="Times New Roman"/>
          <w:sz w:val="28"/>
          <w:szCs w:val="28"/>
          <w:lang w:val="kk-KZ"/>
        </w:rPr>
        <w:t xml:space="preserve">- </w:t>
      </w:r>
      <w:r w:rsidR="008704FD" w:rsidRPr="00F51E39">
        <w:rPr>
          <w:rFonts w:ascii="Times New Roman" w:hAnsi="Times New Roman" w:cs="Times New Roman"/>
          <w:sz w:val="28"/>
          <w:szCs w:val="28"/>
          <w:lang w:val="kk-KZ"/>
        </w:rPr>
        <w:t>Интерпретация</w:t>
      </w:r>
      <w:r w:rsidRPr="00F51E39">
        <w:rPr>
          <w:rFonts w:ascii="Times New Roman" w:hAnsi="Times New Roman" w:cs="Times New Roman"/>
          <w:sz w:val="28"/>
          <w:szCs w:val="28"/>
          <w:lang w:val="kk-KZ"/>
        </w:rPr>
        <w:t xml:space="preserve"> результатов </w:t>
      </w:r>
      <w:r w:rsidRPr="00F51E39">
        <w:rPr>
          <w:rFonts w:ascii="Times New Roman" w:hAnsi="Times New Roman" w:cs="Times New Roman"/>
          <w:i/>
          <w:sz w:val="28"/>
          <w:szCs w:val="28"/>
          <w:lang w:val="kk-KZ"/>
        </w:rPr>
        <w:t xml:space="preserve">ADRB2 </w:t>
      </w:r>
      <w:r w:rsidRPr="00F51E39">
        <w:rPr>
          <w:rFonts w:ascii="Times New Roman" w:hAnsi="Times New Roman" w:cs="Times New Roman"/>
          <w:sz w:val="28"/>
          <w:szCs w:val="28"/>
          <w:lang w:val="kk-KZ"/>
        </w:rPr>
        <w:t>Gln27Glu (rs1042714),</w:t>
      </w:r>
      <w:r w:rsidRPr="00F51E39">
        <w:rPr>
          <w:rFonts w:ascii="Times New Roman" w:hAnsi="Times New Roman" w:cs="Times New Roman"/>
          <w:i/>
          <w:sz w:val="28"/>
          <w:szCs w:val="28"/>
          <w:lang w:val="kk-KZ"/>
        </w:rPr>
        <w:t xml:space="preserve"> AGT </w:t>
      </w:r>
      <w:r w:rsidRPr="00F51E39">
        <w:rPr>
          <w:rFonts w:ascii="Times New Roman" w:hAnsi="Times New Roman" w:cs="Times New Roman"/>
          <w:sz w:val="28"/>
          <w:szCs w:val="28"/>
          <w:lang w:val="kk-KZ"/>
        </w:rPr>
        <w:t>Thr174Met (rs4762),</w:t>
      </w:r>
      <w:r w:rsidRPr="00F51E39">
        <w:rPr>
          <w:rFonts w:ascii="Times New Roman" w:hAnsi="Times New Roman" w:cs="Times New Roman"/>
          <w:i/>
          <w:sz w:val="28"/>
          <w:szCs w:val="28"/>
          <w:lang w:val="kk-KZ"/>
        </w:rPr>
        <w:t xml:space="preserve"> AGTR1 </w:t>
      </w:r>
      <w:r w:rsidRPr="00F51E39">
        <w:rPr>
          <w:rFonts w:ascii="Times New Roman" w:hAnsi="Times New Roman" w:cs="Times New Roman"/>
          <w:sz w:val="28"/>
          <w:szCs w:val="28"/>
          <w:lang w:val="kk-KZ"/>
        </w:rPr>
        <w:t>A1166C (rs5186)</w:t>
      </w:r>
    </w:p>
    <w:p w:rsidR="009D3251" w:rsidRPr="009D3251" w:rsidRDefault="009D3251" w:rsidP="003441A2">
      <w:pPr>
        <w:spacing w:after="0" w:line="240" w:lineRule="auto"/>
        <w:jc w:val="both"/>
        <w:rPr>
          <w:rFonts w:ascii="Times New Roman" w:hAnsi="Times New Roman" w:cs="Times New Roman"/>
          <w:i/>
          <w:sz w:val="28"/>
          <w:szCs w:val="28"/>
          <w:lang w:val="kk-KZ"/>
        </w:rPr>
      </w:pPr>
    </w:p>
    <w:tbl>
      <w:tblPr>
        <w:tblStyle w:val="af7"/>
        <w:tblW w:w="0" w:type="auto"/>
        <w:tblInd w:w="108" w:type="dxa"/>
        <w:tblLook w:val="04A0" w:firstRow="1" w:lastRow="0" w:firstColumn="1" w:lastColumn="0" w:noHBand="0" w:noVBand="1"/>
      </w:tblPr>
      <w:tblGrid>
        <w:gridCol w:w="2835"/>
        <w:gridCol w:w="2835"/>
        <w:gridCol w:w="3793"/>
      </w:tblGrid>
      <w:tr w:rsidR="00AB12B3" w:rsidTr="00AB12B3">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Гомозигота Аллель 1</w:t>
            </w:r>
          </w:p>
          <w:p w:rsidR="00AB12B3" w:rsidRDefault="00AB12B3">
            <w:pPr>
              <w:jc w:val="both"/>
              <w:rPr>
                <w:rFonts w:ascii="Times New Roman" w:hAnsi="Times New Roman"/>
                <w:sz w:val="28"/>
                <w:szCs w:val="28"/>
              </w:rPr>
            </w:pPr>
            <w:r>
              <w:rPr>
                <w:rFonts w:ascii="Times New Roman" w:hAnsi="Times New Roman"/>
                <w:sz w:val="28"/>
                <w:szCs w:val="28"/>
              </w:rPr>
              <w:t xml:space="preserve">(FAM) </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Аллель 1</w:t>
            </w:r>
          </w:p>
        </w:tc>
        <w:tc>
          <w:tcPr>
            <w:tcW w:w="379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Генотип Аллель 1/ Аллель 1</w:t>
            </w:r>
          </w:p>
        </w:tc>
      </w:tr>
      <w:tr w:rsidR="00AB12B3" w:rsidTr="00AB12B3">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Гетерозигота</w:t>
            </w:r>
          </w:p>
          <w:p w:rsidR="00AB12B3" w:rsidRDefault="00AB12B3">
            <w:pPr>
              <w:jc w:val="both"/>
              <w:rPr>
                <w:rFonts w:ascii="Times New Roman" w:hAnsi="Times New Roman"/>
                <w:sz w:val="28"/>
                <w:szCs w:val="28"/>
              </w:rPr>
            </w:pPr>
            <w:r>
              <w:rPr>
                <w:rFonts w:ascii="Times New Roman" w:hAnsi="Times New Roman"/>
                <w:sz w:val="28"/>
                <w:szCs w:val="28"/>
              </w:rPr>
              <w:t>(FAM + HEX)</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Аллель 1 + Аллель 2</w:t>
            </w:r>
          </w:p>
        </w:tc>
        <w:tc>
          <w:tcPr>
            <w:tcW w:w="379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Гетерозиготный генотип</w:t>
            </w:r>
          </w:p>
        </w:tc>
      </w:tr>
      <w:tr w:rsidR="00AB12B3" w:rsidTr="00AB12B3">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Гомозигота Аллель 2</w:t>
            </w:r>
          </w:p>
          <w:p w:rsidR="00AB12B3" w:rsidRDefault="00AB12B3">
            <w:pPr>
              <w:jc w:val="both"/>
              <w:rPr>
                <w:rFonts w:ascii="Times New Roman" w:hAnsi="Times New Roman"/>
                <w:sz w:val="28"/>
                <w:szCs w:val="28"/>
              </w:rPr>
            </w:pPr>
            <w:r>
              <w:rPr>
                <w:rFonts w:ascii="Times New Roman" w:hAnsi="Times New Roman"/>
                <w:sz w:val="28"/>
                <w:szCs w:val="28"/>
              </w:rPr>
              <w:t>(HEX)</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Аллель 2</w:t>
            </w:r>
          </w:p>
        </w:tc>
        <w:tc>
          <w:tcPr>
            <w:tcW w:w="379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Генотип Аллель 2/ Аллель 2</w:t>
            </w:r>
          </w:p>
        </w:tc>
      </w:tr>
    </w:tbl>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sz w:val="28"/>
          <w:szCs w:val="28"/>
        </w:rPr>
        <w:lastRenderedPageBreak/>
        <w:t xml:space="preserve">2.2.3 </w:t>
      </w:r>
      <w:r w:rsidR="00D3504E">
        <w:rPr>
          <w:rFonts w:ascii="Times New Roman" w:hAnsi="Times New Roman"/>
          <w:sz w:val="28"/>
          <w:szCs w:val="28"/>
        </w:rPr>
        <w:t>И</w:t>
      </w:r>
      <w:r>
        <w:rPr>
          <w:rFonts w:ascii="Times New Roman" w:hAnsi="Times New Roman"/>
          <w:sz w:val="28"/>
          <w:szCs w:val="28"/>
        </w:rPr>
        <w:t xml:space="preserve">сследование </w:t>
      </w:r>
      <w:r w:rsidR="00D3504E">
        <w:rPr>
          <w:rFonts w:ascii="Times New Roman" w:hAnsi="Times New Roman"/>
          <w:sz w:val="28"/>
          <w:szCs w:val="28"/>
        </w:rPr>
        <w:t xml:space="preserve">биохимических показателей </w:t>
      </w:r>
      <w:r>
        <w:rPr>
          <w:rFonts w:ascii="Times New Roman" w:hAnsi="Times New Roman"/>
          <w:sz w:val="28"/>
          <w:szCs w:val="28"/>
        </w:rPr>
        <w:t>крови</w:t>
      </w:r>
    </w:p>
    <w:p w:rsidR="0007185D"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 базе ЦНИЛ НАО МУС проведено определение уровней глюкозы, ОХС, ЛПВП, ЛПНП, ТГ. Определение уровн</w:t>
      </w:r>
      <w:r w:rsidR="007C0F57">
        <w:rPr>
          <w:rFonts w:ascii="Times New Roman" w:hAnsi="Times New Roman" w:cs="Times New Roman"/>
          <w:sz w:val="28"/>
          <w:szCs w:val="28"/>
        </w:rPr>
        <w:t>я</w:t>
      </w:r>
      <w:r>
        <w:rPr>
          <w:rFonts w:ascii="Times New Roman" w:hAnsi="Times New Roman" w:cs="Times New Roman"/>
          <w:sz w:val="28"/>
          <w:szCs w:val="28"/>
        </w:rPr>
        <w:t xml:space="preserve"> глюкозы, ОХС, ЛПВП, ЛПНП, ТГ был</w:t>
      </w:r>
      <w:r w:rsidR="007C0F57">
        <w:rPr>
          <w:rFonts w:ascii="Times New Roman" w:hAnsi="Times New Roman" w:cs="Times New Roman"/>
          <w:sz w:val="28"/>
          <w:szCs w:val="28"/>
        </w:rPr>
        <w:t>о</w:t>
      </w:r>
      <w:r>
        <w:rPr>
          <w:rFonts w:ascii="Times New Roman" w:hAnsi="Times New Roman" w:cs="Times New Roman"/>
          <w:sz w:val="28"/>
          <w:szCs w:val="28"/>
        </w:rPr>
        <w:t xml:space="preserve"> выполнен</w:t>
      </w:r>
      <w:r w:rsidR="007C0F57">
        <w:rPr>
          <w:rFonts w:ascii="Times New Roman" w:hAnsi="Times New Roman" w:cs="Times New Roman"/>
          <w:sz w:val="28"/>
          <w:szCs w:val="28"/>
        </w:rPr>
        <w:t>о</w:t>
      </w:r>
      <w:r>
        <w:rPr>
          <w:rFonts w:ascii="Times New Roman" w:hAnsi="Times New Roman" w:cs="Times New Roman"/>
          <w:sz w:val="28"/>
          <w:szCs w:val="28"/>
        </w:rPr>
        <w:t xml:space="preserve"> на цифровом спектрофотометре PD-303S, </w:t>
      </w:r>
      <w:r w:rsidR="007C0F57">
        <w:rPr>
          <w:rFonts w:ascii="Times New Roman" w:hAnsi="Times New Roman" w:cs="Times New Roman"/>
          <w:sz w:val="28"/>
          <w:szCs w:val="28"/>
        </w:rPr>
        <w:t>производитель</w:t>
      </w:r>
      <w:r>
        <w:rPr>
          <w:rFonts w:ascii="Times New Roman" w:hAnsi="Times New Roman" w:cs="Times New Roman"/>
          <w:sz w:val="28"/>
          <w:szCs w:val="28"/>
        </w:rPr>
        <w:t xml:space="preserve"> Apel. При определении уровня ОХС и глюкозы применялись реагенты BioSystems</w:t>
      </w:r>
      <w:r w:rsidR="00645FFE">
        <w:rPr>
          <w:rFonts w:ascii="Times New Roman" w:hAnsi="Times New Roman" w:cs="Times New Roman"/>
          <w:sz w:val="28"/>
          <w:szCs w:val="28"/>
        </w:rPr>
        <w:t xml:space="preserve"> </w:t>
      </w:r>
      <w:r>
        <w:rPr>
          <w:rFonts w:ascii="Times New Roman" w:hAnsi="Times New Roman" w:cs="Times New Roman"/>
          <w:sz w:val="28"/>
          <w:szCs w:val="28"/>
        </w:rPr>
        <w:t>Cholesterol и Glucose. Определение уровней ЛПВП проводилось реагентами производителей BioSystems и Human</w:t>
      </w:r>
      <w:r w:rsidR="00645FFE">
        <w:rPr>
          <w:rFonts w:ascii="Times New Roman" w:hAnsi="Times New Roman" w:cs="Times New Roman"/>
          <w:sz w:val="28"/>
          <w:szCs w:val="28"/>
        </w:rPr>
        <w:t xml:space="preserve"> </w:t>
      </w:r>
      <w:r>
        <w:rPr>
          <w:rFonts w:ascii="Times New Roman" w:hAnsi="Times New Roman" w:cs="Times New Roman"/>
          <w:sz w:val="28"/>
          <w:szCs w:val="28"/>
        </w:rPr>
        <w:t>GmbH HDL согласно инструкции изготовителей. Уровни ЛПНП определялись реагентами Human</w:t>
      </w:r>
      <w:r w:rsidR="00645FFE">
        <w:rPr>
          <w:rFonts w:ascii="Times New Roman" w:hAnsi="Times New Roman" w:cs="Times New Roman"/>
          <w:sz w:val="28"/>
          <w:szCs w:val="28"/>
        </w:rPr>
        <w:t xml:space="preserve"> </w:t>
      </w:r>
      <w:r>
        <w:rPr>
          <w:rFonts w:ascii="Times New Roman" w:hAnsi="Times New Roman" w:cs="Times New Roman"/>
          <w:sz w:val="28"/>
          <w:szCs w:val="28"/>
        </w:rPr>
        <w:t>GmbH LDL</w:t>
      </w:r>
      <w:r w:rsidR="0007185D">
        <w:rPr>
          <w:rFonts w:ascii="Times New Roman" w:hAnsi="Times New Roman" w:cs="Times New Roman"/>
          <w:sz w:val="28"/>
          <w:szCs w:val="28"/>
        </w:rPr>
        <w:t>. Уровень ТГ определялся реагентами BioSystems</w:t>
      </w:r>
      <w:r w:rsidR="00645FFE">
        <w:rPr>
          <w:rFonts w:ascii="Times New Roman" w:hAnsi="Times New Roman" w:cs="Times New Roman"/>
          <w:sz w:val="28"/>
          <w:szCs w:val="28"/>
        </w:rPr>
        <w:t xml:space="preserve"> </w:t>
      </w:r>
      <w:r w:rsidR="0007185D">
        <w:rPr>
          <w:rFonts w:ascii="Times New Roman" w:hAnsi="Times New Roman" w:cs="Times New Roman"/>
          <w:sz w:val="28"/>
          <w:szCs w:val="28"/>
        </w:rPr>
        <w:t xml:space="preserve">Triglycerides. </w:t>
      </w:r>
    </w:p>
    <w:p w:rsidR="00AB12B3" w:rsidRPr="0007185D" w:rsidRDefault="007C0F57"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w:t>
      </w:r>
      <w:r w:rsidR="00AB12B3">
        <w:rPr>
          <w:rFonts w:ascii="Times New Roman" w:hAnsi="Times New Roman" w:cs="Times New Roman"/>
          <w:sz w:val="28"/>
          <w:szCs w:val="28"/>
        </w:rPr>
        <w:t>пределения уровн</w:t>
      </w:r>
      <w:r>
        <w:rPr>
          <w:rFonts w:ascii="Times New Roman" w:hAnsi="Times New Roman" w:cs="Times New Roman"/>
          <w:sz w:val="28"/>
          <w:szCs w:val="28"/>
        </w:rPr>
        <w:t>я</w:t>
      </w:r>
      <w:r w:rsidR="00AB12B3">
        <w:rPr>
          <w:rFonts w:ascii="Times New Roman" w:hAnsi="Times New Roman" w:cs="Times New Roman"/>
          <w:sz w:val="28"/>
          <w:szCs w:val="28"/>
        </w:rPr>
        <w:t xml:space="preserve"> глюкозы, ОХС, ЛПНП, ЛПВП и ТГ проводилось согласно инструкции</w:t>
      </w:r>
      <w:r>
        <w:rPr>
          <w:rFonts w:ascii="Times New Roman" w:hAnsi="Times New Roman" w:cs="Times New Roman"/>
          <w:sz w:val="28"/>
          <w:szCs w:val="28"/>
        </w:rPr>
        <w:t>, указанной</w:t>
      </w:r>
      <w:r w:rsidR="00AB12B3">
        <w:rPr>
          <w:rFonts w:ascii="Times New Roman" w:hAnsi="Times New Roman" w:cs="Times New Roman"/>
          <w:sz w:val="28"/>
          <w:szCs w:val="28"/>
        </w:rPr>
        <w:t xml:space="preserve"> в паспорт</w:t>
      </w:r>
      <w:r>
        <w:rPr>
          <w:rFonts w:ascii="Times New Roman" w:hAnsi="Times New Roman" w:cs="Times New Roman"/>
          <w:sz w:val="28"/>
          <w:szCs w:val="28"/>
        </w:rPr>
        <w:t>е</w:t>
      </w:r>
      <w:r w:rsidR="00AB12B3">
        <w:rPr>
          <w:rFonts w:ascii="Times New Roman" w:hAnsi="Times New Roman" w:cs="Times New Roman"/>
          <w:sz w:val="28"/>
          <w:szCs w:val="28"/>
        </w:rPr>
        <w:t xml:space="preserve"> реагентов. Референсные значения ОХС – 2,9-5,2 ммоль/л. Референсные значения для глюкозы </w:t>
      </w:r>
      <w:r w:rsidR="00C16F07">
        <w:rPr>
          <w:rFonts w:ascii="Times New Roman" w:hAnsi="Times New Roman" w:cs="Times New Roman"/>
          <w:sz w:val="28"/>
          <w:szCs w:val="28"/>
        </w:rPr>
        <w:t>–</w:t>
      </w:r>
      <w:r w:rsidR="00AB12B3">
        <w:rPr>
          <w:rFonts w:ascii="Times New Roman" w:hAnsi="Times New Roman" w:cs="Times New Roman"/>
          <w:sz w:val="28"/>
          <w:szCs w:val="28"/>
        </w:rPr>
        <w:t xml:space="preserve"> 3,89-5,83 ммоль/л. Референсные значения для ЛПВП – 0,78-2,2 ммоль/л, а для ЛПНП </w:t>
      </w:r>
      <w:r w:rsidR="00C16F07">
        <w:rPr>
          <w:rFonts w:ascii="Times New Roman" w:hAnsi="Times New Roman" w:cs="Times New Roman"/>
          <w:sz w:val="28"/>
          <w:szCs w:val="28"/>
        </w:rPr>
        <w:t>–</w:t>
      </w:r>
      <w:r w:rsidR="00AB12B3">
        <w:rPr>
          <w:rFonts w:ascii="Times New Roman" w:hAnsi="Times New Roman" w:cs="Times New Roman"/>
          <w:sz w:val="28"/>
          <w:szCs w:val="28"/>
        </w:rPr>
        <w:t xml:space="preserve"> 2,33-5,31 ммоль/л. </w:t>
      </w:r>
      <w:r w:rsidR="00C16F07">
        <w:rPr>
          <w:rFonts w:ascii="Times New Roman" w:hAnsi="Times New Roman" w:cs="Times New Roman"/>
          <w:sz w:val="28"/>
          <w:szCs w:val="28"/>
        </w:rPr>
        <w:t>Р</w:t>
      </w:r>
      <w:r w:rsidR="00AB12B3">
        <w:rPr>
          <w:rFonts w:ascii="Times New Roman" w:hAnsi="Times New Roman" w:cs="Times New Roman"/>
          <w:sz w:val="28"/>
          <w:szCs w:val="28"/>
        </w:rPr>
        <w:t xml:space="preserve">еференсные значения для ТГ </w:t>
      </w:r>
      <w:r w:rsidR="00C16F07">
        <w:rPr>
          <w:rFonts w:ascii="Times New Roman" w:hAnsi="Times New Roman" w:cs="Times New Roman"/>
          <w:sz w:val="28"/>
          <w:szCs w:val="28"/>
        </w:rPr>
        <w:t>–</w:t>
      </w:r>
      <w:r w:rsidR="00AB12B3">
        <w:rPr>
          <w:rFonts w:ascii="Times New Roman" w:hAnsi="Times New Roman" w:cs="Times New Roman"/>
          <w:sz w:val="28"/>
          <w:szCs w:val="28"/>
        </w:rPr>
        <w:t xml:space="preserve"> 1,7-2,25 ммоль/л. Источником всех референсных значений являлись данные производителей реагентов</w:t>
      </w:r>
      <w:r w:rsidR="00AB12B3" w:rsidRPr="0007185D">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Определение уровней апоВ и апоА1, инсулина </w:t>
      </w:r>
      <w:r w:rsidR="00A13C36">
        <w:rPr>
          <w:rFonts w:ascii="Times New Roman" w:hAnsi="Times New Roman" w:cs="Times New Roman"/>
          <w:sz w:val="28"/>
          <w:szCs w:val="28"/>
        </w:rPr>
        <w:t>осуществлено согласно инструкции производителя</w:t>
      </w:r>
      <w:r w:rsidR="00116F7E">
        <w:rPr>
          <w:rFonts w:ascii="Times New Roman" w:hAnsi="Times New Roman" w:cs="Times New Roman"/>
          <w:sz w:val="28"/>
          <w:szCs w:val="28"/>
        </w:rPr>
        <w:t>.</w:t>
      </w:r>
      <w:r w:rsidR="00645FFE">
        <w:rPr>
          <w:rFonts w:ascii="Times New Roman" w:hAnsi="Times New Roman" w:cs="Times New Roman"/>
          <w:sz w:val="28"/>
          <w:szCs w:val="28"/>
        </w:rPr>
        <w:t xml:space="preserve"> </w:t>
      </w:r>
      <w:r w:rsidRPr="00B205ED">
        <w:rPr>
          <w:rFonts w:ascii="Times New Roman" w:hAnsi="Times New Roman" w:cs="Times New Roman"/>
          <w:sz w:val="28"/>
          <w:szCs w:val="28"/>
        </w:rPr>
        <w:t xml:space="preserve">При определении уровня инсулина применялась тест-система </w:t>
      </w:r>
      <w:r w:rsidR="00073BDE" w:rsidRPr="009B5D19">
        <w:rPr>
          <w:rFonts w:ascii="Times New Roman" w:hAnsi="Times New Roman" w:cs="Times New Roman"/>
          <w:sz w:val="28"/>
          <w:szCs w:val="28"/>
        </w:rPr>
        <w:t>«</w:t>
      </w:r>
      <w:r w:rsidR="009B5D19" w:rsidRPr="009B5D19">
        <w:rPr>
          <w:rFonts w:ascii="Times New Roman" w:hAnsi="Times New Roman" w:cs="Times New Roman"/>
          <w:sz w:val="28"/>
          <w:szCs w:val="28"/>
          <w:lang w:val="en-US"/>
        </w:rPr>
        <w:t>Insulin</w:t>
      </w:r>
      <w:r w:rsidR="00073BDE" w:rsidRPr="009B5D19">
        <w:rPr>
          <w:rFonts w:ascii="Times New Roman" w:hAnsi="Times New Roman" w:cs="Times New Roman"/>
          <w:sz w:val="28"/>
          <w:szCs w:val="28"/>
        </w:rPr>
        <w:t>»</w:t>
      </w:r>
      <w:r w:rsidRPr="009B5D19">
        <w:rPr>
          <w:rFonts w:ascii="Times New Roman" w:hAnsi="Times New Roman" w:cs="Times New Roman"/>
          <w:sz w:val="28"/>
          <w:szCs w:val="28"/>
        </w:rPr>
        <w:t>,</w:t>
      </w:r>
      <w:r w:rsidRPr="00B205ED">
        <w:rPr>
          <w:rFonts w:ascii="Times New Roman" w:hAnsi="Times New Roman" w:cs="Times New Roman"/>
          <w:sz w:val="28"/>
          <w:szCs w:val="28"/>
        </w:rPr>
        <w:t xml:space="preserve"> производитель – Roche</w:t>
      </w:r>
      <w:r w:rsidR="00645FFE">
        <w:rPr>
          <w:rFonts w:ascii="Times New Roman" w:hAnsi="Times New Roman" w:cs="Times New Roman"/>
          <w:sz w:val="28"/>
          <w:szCs w:val="28"/>
        </w:rPr>
        <w:t xml:space="preserve"> </w:t>
      </w:r>
      <w:r w:rsidRPr="00B205ED">
        <w:rPr>
          <w:rFonts w:ascii="Times New Roman" w:hAnsi="Times New Roman" w:cs="Times New Roman"/>
          <w:sz w:val="28"/>
          <w:szCs w:val="28"/>
        </w:rPr>
        <w:t>Diagnostics</w:t>
      </w:r>
      <w:r w:rsidR="00645FFE">
        <w:rPr>
          <w:rFonts w:ascii="Times New Roman" w:hAnsi="Times New Roman" w:cs="Times New Roman"/>
          <w:sz w:val="28"/>
          <w:szCs w:val="28"/>
        </w:rPr>
        <w:t xml:space="preserve"> </w:t>
      </w:r>
      <w:r w:rsidR="00B205ED">
        <w:rPr>
          <w:rFonts w:ascii="Times New Roman" w:hAnsi="Times New Roman" w:cs="Times New Roman"/>
          <w:sz w:val="28"/>
          <w:szCs w:val="28"/>
        </w:rPr>
        <w:t>GmbH</w:t>
      </w:r>
      <w:r w:rsidRPr="00B205ED">
        <w:rPr>
          <w:rFonts w:ascii="Times New Roman" w:hAnsi="Times New Roman" w:cs="Times New Roman"/>
          <w:sz w:val="28"/>
          <w:szCs w:val="28"/>
        </w:rPr>
        <w:t>. Данное исследование выполнялось на анализаторах Cobas 8000 (Иммунологический модуль е602). Производитель Roche</w:t>
      </w:r>
      <w:r w:rsidR="00645FFE">
        <w:rPr>
          <w:rFonts w:ascii="Times New Roman" w:hAnsi="Times New Roman" w:cs="Times New Roman"/>
          <w:sz w:val="28"/>
          <w:szCs w:val="28"/>
        </w:rPr>
        <w:t xml:space="preserve"> </w:t>
      </w:r>
      <w:r w:rsidRPr="00B205ED">
        <w:rPr>
          <w:rFonts w:ascii="Times New Roman" w:hAnsi="Times New Roman" w:cs="Times New Roman"/>
          <w:sz w:val="28"/>
          <w:szCs w:val="28"/>
        </w:rPr>
        <w:t>Diagnostics</w:t>
      </w:r>
      <w:r w:rsidR="00645FFE">
        <w:rPr>
          <w:rFonts w:ascii="Times New Roman" w:hAnsi="Times New Roman" w:cs="Times New Roman"/>
          <w:sz w:val="28"/>
          <w:szCs w:val="28"/>
        </w:rPr>
        <w:t xml:space="preserve"> </w:t>
      </w:r>
      <w:r w:rsidRPr="00B205ED">
        <w:rPr>
          <w:rFonts w:ascii="Times New Roman" w:hAnsi="Times New Roman" w:cs="Times New Roman"/>
          <w:sz w:val="28"/>
          <w:szCs w:val="28"/>
        </w:rPr>
        <w:t>GmbH.</w:t>
      </w:r>
      <w:r w:rsidR="00645FFE">
        <w:rPr>
          <w:rFonts w:ascii="Times New Roman" w:hAnsi="Times New Roman" w:cs="Times New Roman"/>
          <w:sz w:val="28"/>
          <w:szCs w:val="28"/>
        </w:rPr>
        <w:t xml:space="preserve"> </w:t>
      </w:r>
      <w:r>
        <w:rPr>
          <w:rFonts w:ascii="Times New Roman" w:hAnsi="Times New Roman" w:cs="Times New Roman"/>
          <w:sz w:val="28"/>
          <w:szCs w:val="28"/>
        </w:rPr>
        <w:t xml:space="preserve">Референсные значения: инсулина 2,6 </w:t>
      </w:r>
      <w:r w:rsidR="00C16F07">
        <w:rPr>
          <w:rFonts w:ascii="Times New Roman" w:hAnsi="Times New Roman" w:cs="Times New Roman"/>
          <w:sz w:val="28"/>
          <w:szCs w:val="28"/>
        </w:rPr>
        <w:t>–</w:t>
      </w:r>
      <w:r>
        <w:rPr>
          <w:rFonts w:ascii="Times New Roman" w:hAnsi="Times New Roman" w:cs="Times New Roman"/>
          <w:sz w:val="28"/>
          <w:szCs w:val="28"/>
        </w:rPr>
        <w:t xml:space="preserve"> 24,9 мкМЕ/мл. Источник </w:t>
      </w:r>
      <w:r w:rsidR="00C16F07">
        <w:rPr>
          <w:rFonts w:ascii="Times New Roman" w:hAnsi="Times New Roman" w:cs="Times New Roman"/>
          <w:sz w:val="28"/>
          <w:szCs w:val="28"/>
        </w:rPr>
        <w:t>–</w:t>
      </w:r>
      <w:r>
        <w:rPr>
          <w:rFonts w:ascii="Times New Roman" w:hAnsi="Times New Roman" w:cs="Times New Roman"/>
          <w:sz w:val="28"/>
          <w:szCs w:val="28"/>
        </w:rPr>
        <w:t xml:space="preserve"> данные производителя тест-системы. </w:t>
      </w:r>
      <w:r w:rsidR="003748AD">
        <w:rPr>
          <w:rFonts w:ascii="Times New Roman" w:hAnsi="Times New Roman" w:cs="Times New Roman"/>
          <w:sz w:val="28"/>
          <w:szCs w:val="28"/>
        </w:rPr>
        <w:t>При определении</w:t>
      </w:r>
      <w:r w:rsidR="00313304">
        <w:rPr>
          <w:rFonts w:ascii="Times New Roman" w:hAnsi="Times New Roman" w:cs="Times New Roman"/>
          <w:sz w:val="28"/>
          <w:szCs w:val="28"/>
        </w:rPr>
        <w:t xml:space="preserve"> уровня сывороточного апо</w:t>
      </w:r>
      <w:r>
        <w:rPr>
          <w:rFonts w:ascii="Times New Roman" w:hAnsi="Times New Roman" w:cs="Times New Roman"/>
          <w:sz w:val="28"/>
          <w:szCs w:val="28"/>
        </w:rPr>
        <w:t>А1 и апоВ использовалась тест-система Tina-quant</w:t>
      </w:r>
      <w:r w:rsidR="00645FFE">
        <w:rPr>
          <w:rFonts w:ascii="Times New Roman" w:hAnsi="Times New Roman" w:cs="Times New Roman"/>
          <w:sz w:val="28"/>
          <w:szCs w:val="28"/>
        </w:rPr>
        <w:t xml:space="preserve"> </w:t>
      </w:r>
      <w:r>
        <w:rPr>
          <w:rFonts w:ascii="Times New Roman" w:hAnsi="Times New Roman" w:cs="Times New Roman"/>
          <w:sz w:val="28"/>
          <w:szCs w:val="28"/>
        </w:rPr>
        <w:t>Apolipoprotein A-1 ver.2 и Tina-quant</w:t>
      </w:r>
      <w:r w:rsidR="00645FFE">
        <w:rPr>
          <w:rFonts w:ascii="Times New Roman" w:hAnsi="Times New Roman" w:cs="Times New Roman"/>
          <w:sz w:val="28"/>
          <w:szCs w:val="28"/>
        </w:rPr>
        <w:t xml:space="preserve"> </w:t>
      </w:r>
      <w:r>
        <w:rPr>
          <w:rFonts w:ascii="Times New Roman" w:hAnsi="Times New Roman" w:cs="Times New Roman"/>
          <w:sz w:val="28"/>
          <w:szCs w:val="28"/>
        </w:rPr>
        <w:t>Apolipoprotein B ver.2, производитель – Roche</w:t>
      </w:r>
      <w:r w:rsidR="00645FFE">
        <w:rPr>
          <w:rFonts w:ascii="Times New Roman" w:hAnsi="Times New Roman" w:cs="Times New Roman"/>
          <w:sz w:val="28"/>
          <w:szCs w:val="28"/>
        </w:rPr>
        <w:t xml:space="preserve"> </w:t>
      </w:r>
      <w:r>
        <w:rPr>
          <w:rFonts w:ascii="Times New Roman" w:hAnsi="Times New Roman" w:cs="Times New Roman"/>
          <w:sz w:val="28"/>
          <w:szCs w:val="28"/>
        </w:rPr>
        <w:t>Diagnostics</w:t>
      </w:r>
      <w:r w:rsidR="00645FFE">
        <w:rPr>
          <w:rFonts w:ascii="Times New Roman" w:hAnsi="Times New Roman" w:cs="Times New Roman"/>
          <w:sz w:val="28"/>
          <w:szCs w:val="28"/>
        </w:rPr>
        <w:t xml:space="preserve"> </w:t>
      </w:r>
      <w:r>
        <w:rPr>
          <w:rFonts w:ascii="Times New Roman" w:hAnsi="Times New Roman" w:cs="Times New Roman"/>
          <w:sz w:val="28"/>
          <w:szCs w:val="28"/>
        </w:rPr>
        <w:t>GmbH</w:t>
      </w:r>
      <w:r w:rsidR="00B205ED">
        <w:rPr>
          <w:rFonts w:ascii="Times New Roman" w:hAnsi="Times New Roman" w:cs="Times New Roman"/>
          <w:sz w:val="28"/>
          <w:szCs w:val="28"/>
        </w:rPr>
        <w:t>. Определения</w:t>
      </w:r>
      <w:r>
        <w:rPr>
          <w:rFonts w:ascii="Times New Roman" w:hAnsi="Times New Roman" w:cs="Times New Roman"/>
          <w:sz w:val="28"/>
          <w:szCs w:val="28"/>
        </w:rPr>
        <w:t xml:space="preserve"> были выполнены на анализаторах Cobas 6000 (биохимический модуль с501), Производитель Roche</w:t>
      </w:r>
      <w:r w:rsidR="00A03027">
        <w:rPr>
          <w:rFonts w:ascii="Times New Roman" w:hAnsi="Times New Roman" w:cs="Times New Roman"/>
          <w:sz w:val="28"/>
          <w:szCs w:val="28"/>
        </w:rPr>
        <w:t xml:space="preserve"> </w:t>
      </w:r>
      <w:r>
        <w:rPr>
          <w:rFonts w:ascii="Times New Roman" w:hAnsi="Times New Roman" w:cs="Times New Roman"/>
          <w:sz w:val="28"/>
          <w:szCs w:val="28"/>
        </w:rPr>
        <w:t>Diagnostics</w:t>
      </w:r>
      <w:r w:rsidR="00A03027">
        <w:rPr>
          <w:rFonts w:ascii="Times New Roman" w:hAnsi="Times New Roman" w:cs="Times New Roman"/>
          <w:sz w:val="28"/>
          <w:szCs w:val="28"/>
        </w:rPr>
        <w:t xml:space="preserve"> </w:t>
      </w:r>
      <w:r>
        <w:rPr>
          <w:rFonts w:ascii="Times New Roman" w:hAnsi="Times New Roman" w:cs="Times New Roman"/>
          <w:sz w:val="28"/>
          <w:szCs w:val="28"/>
        </w:rPr>
        <w:t>GmbH. Применялись референсные значения для апоА1 – 1,04-2,25 г/л (для мужчин) и 1,08 – 2,25 г/л (для женщин); для апоB</w:t>
      </w:r>
      <w:r w:rsidR="00C16F07">
        <w:rPr>
          <w:rFonts w:ascii="Times New Roman" w:hAnsi="Times New Roman" w:cs="Times New Roman"/>
          <w:sz w:val="28"/>
          <w:szCs w:val="28"/>
        </w:rPr>
        <w:t>–</w:t>
      </w:r>
      <w:r>
        <w:rPr>
          <w:rFonts w:ascii="Times New Roman" w:hAnsi="Times New Roman" w:cs="Times New Roman"/>
          <w:sz w:val="28"/>
          <w:szCs w:val="28"/>
        </w:rPr>
        <w:t xml:space="preserve"> 0,66-1,33 г/л (для мужчин) и 0,6-1,17 г/л (для женщин). Источник </w:t>
      </w:r>
      <w:r w:rsidR="00C16F07">
        <w:rPr>
          <w:rFonts w:ascii="Times New Roman" w:hAnsi="Times New Roman" w:cs="Times New Roman"/>
          <w:sz w:val="28"/>
          <w:szCs w:val="28"/>
        </w:rPr>
        <w:t>–</w:t>
      </w:r>
      <w:r>
        <w:rPr>
          <w:rFonts w:ascii="Times New Roman" w:hAnsi="Times New Roman" w:cs="Times New Roman"/>
          <w:sz w:val="28"/>
          <w:szCs w:val="28"/>
        </w:rPr>
        <w:t xml:space="preserve"> данные производителя тест-системы.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оценки ИР применяются разные формулы и индексы </w:t>
      </w:r>
      <w:r w:rsidR="00EA0E64">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{"citationItems":[{"id":"ITEM-1","itemData":{"abstract":"Резюме. В статье представлено определение понятия инсулинорезистентности, а также факторы, определяющие чувстви- тельность тканей к инсулину, описана концепция синдрома инсулинорезистентности (метаболического синдрома), пред- ставлены его критерии, перечислены основные заболевания, сопровождающиеся инсулинорезистентностью. Подчеркнуто, что золотым стандартом количественной оценки действия инсулина является гиперинсулинемический эугликемический клэмп. Обсуждаются также различные индексы для косвенной оценки инсулинорезистентности и возможности использова- ния математических моделей для этих целей.","author":[{"dropping-particle":"","family":"Майоров","given":"А.Ю.","non-dropping-particle":"","parse-names":false,"suffix":""},{"dropping-particle":"","family":"Урбанова","given":"К.А.","non-dropping-particle":"","parse-names":false,"suffix":""},{"dropping-particle":"","family":"Галстян","given":"Г.Р.","non-dropping-particle":"","parse-names":false,"suffix":""}],"container-title":"Ожирение и метоболизм","id":"ITEM-1","issued":{"date-parts":[["2009"]]},"page":"19-23","title":"Методы количественной оценки инсулинорезистентности","type":"article-journal","volume":"2"},"uris":["http://www.mendeley.com/documents/?uuid=e568b76c-1ff0-413d-a4fb-c3728714c988"]}],"mendeley":{"formattedCitation":"[151]","plainTextFormattedCitation":"[151]","previouslyFormattedCitation":"[151]"},"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[151]</w:t>
      </w:r>
      <w:r w:rsidR="00EA0E64">
        <w:rPr>
          <w:rFonts w:ascii="Times New Roman" w:hAnsi="Times New Roman" w:cs="Times New Roman"/>
          <w:sz w:val="28"/>
          <w:szCs w:val="28"/>
        </w:rPr>
        <w:fldChar w:fldCharType="end"/>
      </w:r>
      <w:r>
        <w:rPr>
          <w:rFonts w:ascii="Times New Roman" w:hAnsi="Times New Roman" w:cs="Times New Roman"/>
          <w:sz w:val="28"/>
          <w:szCs w:val="28"/>
        </w:rPr>
        <w:t>, но чаще используется индекс ИР – HOMA-IR, где показатель индекса ИР равны 2,7 и выше считается ИР</w:t>
      </w:r>
      <w:r w:rsidR="00645FFE">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{"citationItems":[{"id":"ITEM-1","itemData":{"DOI":"10.1371/journal.pone.0154345","abstract":"Abstract Objectives To explore the association between the triglyceride to HDL-C ratio (TG/HDL-C) and insulin resistance in Chinese patients with newly diagnosed type 2 diabetes mellitus. Methods Patients with newly diagnosed type 2 diabetes mellitus (272 men and 288 women) were enrolled and divided into three groups according to TG/HDL-C tertiles. Insulin resistance was defined by homeostatic model assessment of insulin resistance (HOMA-IR). Demo- graphic information and clinical characteristics were obtained. Spearman’s correlation was used to estimate the association between TG/HDL-C and other variables. Multiple logistic regression analyses were adopted to obtain probabilities of insulin resistance. A receiver operating characteristic analysis was conducted to evaluate the ability of TG/HDL-C to dis- criminate insulin resistance. Results TG/HDL-C was associated with insulin resistance in Chinese patients with newly diagnosed T2DM (Spearman’s correlation coefficient = 0.21, P &lt; 0.01). Patients in the higher tertiles of TG/HDL-C had significantly higher HOMA-IR values than patients in the lower tertiles [T1: 2.68(1.74–3.70); T2: 2.96(2.29–4.56); T3: 3.09(2.30–4.99)]. Multiple logistic regression analysis showed that TG/HDL-C was significantly associated with HOMA-IR, and patients in the higher TG/HDL-C tertile had a higher OR than those in the lower TG/HDL-C tertile, after adjusting for multiple covariates including indices for central obesity [T1: 1; T2: 4.02 (1.86–8.71); T3: 4.30(1.99–9.29)]. Following stratification of waist circumference into PLOS","author":[{"dropping-particle":"","family":"Ren","given":"Xingxing","non-dropping-particle":"","parse-names":false,"suffix":""},{"dropping-particle":"","family":"Chen","given":"Zeng","non-dropping-particle":"","parse-names":false,"suffix":""},{"dropping-particle":"","family":"Zheng","given":"Shuang","non-dropping-particle":"","parse-names":false,"suffix":""},{"dropping-particle":"","family":"Han","given":"Tingting","non-dropping-particle":"","parse-names":false,"suffix":""},{"dropping-particle":"","family":"Li","given":"Yangxue","non-dropping-particle":"","parse-names":false,"suffix":""},{"dropping-particle":"","family":"Liu","given":"Wei","non-dropping-particle":"","parse-names":false,"suffix":""}],"container-title":"PLoS ONE","id":"ITEM-1","issue":"11(4)","issued":{"date-parts":[["2016"]]},"page":"1-13","title":"Association between Triglyceride to HDL-C Ratio ( TG / HDL-C ) and Insulin Resistance in Chinese Patients with Newly Diagnosed Type 2 Diabetes Mellitus","type":"article-journal","volume":"68"},"uris":["http://www.mendeley.com/documents/?uuid=878c2168-d630-4082-9406-6f31b70a4535"]}],"mendeley":{"formattedCitation":"[152]","plainTextFormattedCitation":"[152]","previouslyFormattedCitation":"[152]"},"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[152]</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Для оценки ИР нами применялся индекс ИР </w:t>
      </w:r>
      <w:r w:rsidR="00C16F07">
        <w:rPr>
          <w:rFonts w:ascii="Times New Roman" w:hAnsi="Times New Roman" w:cs="Times New Roman"/>
          <w:sz w:val="28"/>
          <w:szCs w:val="28"/>
        </w:rPr>
        <w:t>–</w:t>
      </w:r>
      <w:r>
        <w:rPr>
          <w:rFonts w:ascii="Times New Roman" w:hAnsi="Times New Roman" w:cs="Times New Roman"/>
          <w:sz w:val="28"/>
          <w:szCs w:val="28"/>
        </w:rPr>
        <w:t xml:space="preserve"> HOMA-IR, который рассчитывался по формуле инсулин натощак (МЕ/мл) х глюкоза натощак (ммоль/</w:t>
      </w:r>
      <w:r w:rsidR="003748AD">
        <w:rPr>
          <w:rFonts w:ascii="Times New Roman" w:hAnsi="Times New Roman" w:cs="Times New Roman"/>
          <w:sz w:val="28"/>
          <w:szCs w:val="28"/>
        </w:rPr>
        <w:t>л) /</w:t>
      </w:r>
      <w:r>
        <w:rPr>
          <w:rFonts w:ascii="Times New Roman" w:hAnsi="Times New Roman" w:cs="Times New Roman"/>
          <w:sz w:val="28"/>
          <w:szCs w:val="28"/>
        </w:rPr>
        <w:t>22,5.</w:t>
      </w:r>
    </w:p>
    <w:p w:rsidR="009D3251" w:rsidRDefault="009D3251" w:rsidP="00AB12B3">
      <w:pPr>
        <w:spacing w:after="0" w:line="240" w:lineRule="auto"/>
        <w:ind w:firstLine="708"/>
        <w:jc w:val="both"/>
        <w:rPr>
          <w:rFonts w:ascii="Times New Roman" w:hAnsi="Times New Roman"/>
          <w:b/>
          <w:sz w:val="28"/>
          <w:szCs w:val="28"/>
          <w:lang w:val="kk-KZ"/>
        </w:rPr>
      </w:pPr>
    </w:p>
    <w:p w:rsidR="00AB12B3" w:rsidRDefault="00AB12B3" w:rsidP="00AB12B3">
      <w:pPr>
        <w:spacing w:after="0" w:line="240" w:lineRule="auto"/>
        <w:ind w:firstLine="708"/>
        <w:jc w:val="both"/>
        <w:rPr>
          <w:rFonts w:ascii="Times New Roman" w:hAnsi="Times New Roman"/>
          <w:b/>
          <w:sz w:val="28"/>
          <w:szCs w:val="28"/>
          <w:lang w:val="kk-KZ"/>
        </w:rPr>
      </w:pPr>
      <w:r w:rsidRPr="00F51E39">
        <w:rPr>
          <w:rFonts w:ascii="Times New Roman" w:hAnsi="Times New Roman"/>
          <w:b/>
          <w:sz w:val="28"/>
          <w:szCs w:val="28"/>
          <w:lang w:val="kk-KZ"/>
        </w:rPr>
        <w:t>2.3 Статистический анализ данных</w:t>
      </w:r>
    </w:p>
    <w:p w:rsidR="00AB12B3" w:rsidRDefault="00313304" w:rsidP="00AB12B3">
      <w:pPr>
        <w:spacing w:after="0" w:line="240" w:lineRule="auto"/>
        <w:ind w:firstLine="708"/>
        <w:jc w:val="both"/>
        <w:rPr>
          <w:rFonts w:ascii="Times New Roman" w:hAnsi="Times New Roman" w:cs="Times New Roman"/>
          <w:sz w:val="28"/>
          <w:szCs w:val="28"/>
        </w:rPr>
      </w:pPr>
      <w:r w:rsidRPr="00F51E39">
        <w:rPr>
          <w:rFonts w:ascii="Times New Roman" w:hAnsi="Times New Roman" w:cs="Times New Roman"/>
          <w:sz w:val="28"/>
          <w:szCs w:val="28"/>
          <w:lang w:val="kk-KZ"/>
        </w:rPr>
        <w:t>С</w:t>
      </w:r>
      <w:r w:rsidR="00AB12B3" w:rsidRPr="00F51E39">
        <w:rPr>
          <w:rFonts w:ascii="Times New Roman" w:hAnsi="Times New Roman" w:cs="Times New Roman"/>
          <w:sz w:val="28"/>
          <w:szCs w:val="28"/>
          <w:lang w:val="kk-KZ"/>
        </w:rPr>
        <w:t>татистически</w:t>
      </w:r>
      <w:r w:rsidRPr="00F51E39">
        <w:rPr>
          <w:rFonts w:ascii="Times New Roman" w:hAnsi="Times New Roman" w:cs="Times New Roman"/>
          <w:sz w:val="28"/>
          <w:szCs w:val="28"/>
          <w:lang w:val="kk-KZ"/>
        </w:rPr>
        <w:t xml:space="preserve">й </w:t>
      </w:r>
      <w:r w:rsidR="00AB12B3" w:rsidRPr="00F51E39">
        <w:rPr>
          <w:rFonts w:ascii="Times New Roman" w:hAnsi="Times New Roman" w:cs="Times New Roman"/>
          <w:sz w:val="28"/>
          <w:szCs w:val="28"/>
          <w:lang w:val="kk-KZ"/>
        </w:rPr>
        <w:t>анализ</w:t>
      </w:r>
      <w:r w:rsidR="007C0F57" w:rsidRPr="00F51E39">
        <w:rPr>
          <w:rFonts w:ascii="Times New Roman" w:hAnsi="Times New Roman" w:cs="Times New Roman"/>
          <w:sz w:val="28"/>
          <w:szCs w:val="28"/>
          <w:lang w:val="kk-KZ"/>
        </w:rPr>
        <w:t xml:space="preserve"> выполнен</w:t>
      </w:r>
      <w:r w:rsidR="00AB12B3" w:rsidRPr="00F51E39">
        <w:rPr>
          <w:rFonts w:ascii="Times New Roman" w:hAnsi="Times New Roman" w:cs="Times New Roman"/>
          <w:sz w:val="28"/>
          <w:szCs w:val="28"/>
          <w:lang w:val="kk-KZ"/>
        </w:rPr>
        <w:t xml:space="preserve"> с использованием IBM SPSS Statistics</w:t>
      </w:r>
      <w:r w:rsidR="00A03027" w:rsidRPr="00F51E39">
        <w:rPr>
          <w:rFonts w:ascii="Times New Roman" w:hAnsi="Times New Roman" w:cs="Times New Roman"/>
          <w:sz w:val="28"/>
          <w:szCs w:val="28"/>
          <w:lang w:val="kk-KZ"/>
        </w:rPr>
        <w:t xml:space="preserve"> </w:t>
      </w:r>
      <w:r w:rsidR="00AB12B3" w:rsidRPr="00F51E39">
        <w:rPr>
          <w:rFonts w:ascii="Times New Roman" w:hAnsi="Times New Roman" w:cs="Times New Roman"/>
          <w:sz w:val="28"/>
          <w:szCs w:val="28"/>
          <w:lang w:val="kk-KZ"/>
        </w:rPr>
        <w:t>Version 20 (International</w:t>
      </w:r>
      <w:r w:rsidR="00A03027" w:rsidRPr="00F51E39">
        <w:rPr>
          <w:rFonts w:ascii="Times New Roman" w:hAnsi="Times New Roman" w:cs="Times New Roman"/>
          <w:sz w:val="28"/>
          <w:szCs w:val="28"/>
          <w:lang w:val="kk-KZ"/>
        </w:rPr>
        <w:t xml:space="preserve"> </w:t>
      </w:r>
      <w:r w:rsidR="00AB12B3" w:rsidRPr="00F51E39">
        <w:rPr>
          <w:rFonts w:ascii="Times New Roman" w:hAnsi="Times New Roman" w:cs="Times New Roman"/>
          <w:sz w:val="28"/>
          <w:szCs w:val="28"/>
          <w:lang w:val="kk-KZ"/>
        </w:rPr>
        <w:t>Business</w:t>
      </w:r>
      <w:r w:rsidR="00A03027" w:rsidRPr="00F51E39">
        <w:rPr>
          <w:rFonts w:ascii="Times New Roman" w:hAnsi="Times New Roman" w:cs="Times New Roman"/>
          <w:sz w:val="28"/>
          <w:szCs w:val="28"/>
          <w:lang w:val="kk-KZ"/>
        </w:rPr>
        <w:t xml:space="preserve"> </w:t>
      </w:r>
      <w:r w:rsidR="00AB12B3" w:rsidRPr="00F51E39">
        <w:rPr>
          <w:rFonts w:ascii="Times New Roman" w:hAnsi="Times New Roman" w:cs="Times New Roman"/>
          <w:sz w:val="28"/>
          <w:szCs w:val="28"/>
          <w:lang w:val="kk-KZ"/>
        </w:rPr>
        <w:t>Machines</w:t>
      </w:r>
      <w:r w:rsidR="00A03027" w:rsidRPr="00F51E39">
        <w:rPr>
          <w:rFonts w:ascii="Times New Roman" w:hAnsi="Times New Roman" w:cs="Times New Roman"/>
          <w:sz w:val="28"/>
          <w:szCs w:val="28"/>
          <w:lang w:val="kk-KZ"/>
        </w:rPr>
        <w:t xml:space="preserve"> </w:t>
      </w:r>
      <w:r w:rsidR="00AB12B3" w:rsidRPr="00F51E39">
        <w:rPr>
          <w:rFonts w:ascii="Times New Roman" w:hAnsi="Times New Roman" w:cs="Times New Roman"/>
          <w:sz w:val="28"/>
          <w:szCs w:val="28"/>
          <w:lang w:val="kk-KZ"/>
        </w:rPr>
        <w:t>Corp., Армонк, Нью-Йорк, США</w:t>
      </w:r>
      <w:r w:rsidRPr="00F51E39">
        <w:rPr>
          <w:rFonts w:ascii="Times New Roman" w:hAnsi="Times New Roman" w:cs="Times New Roman"/>
          <w:sz w:val="28"/>
          <w:szCs w:val="28"/>
          <w:lang w:val="kk-KZ"/>
        </w:rPr>
        <w:t>, 2011 год</w:t>
      </w:r>
      <w:r w:rsidR="00AB12B3" w:rsidRPr="00F51E39">
        <w:rPr>
          <w:rFonts w:ascii="Times New Roman" w:hAnsi="Times New Roman" w:cs="Times New Roman"/>
          <w:sz w:val="28"/>
          <w:szCs w:val="28"/>
          <w:lang w:val="kk-KZ"/>
        </w:rPr>
        <w:t>) и SNPStat (</w:t>
      </w:r>
      <w:hyperlink r:id="rId21" w:history="1">
        <w:r w:rsidR="00AB12B3" w:rsidRPr="00F51E39">
          <w:rPr>
            <w:rStyle w:val="a3"/>
            <w:rFonts w:ascii="Times New Roman" w:hAnsi="Times New Roman" w:cs="Times New Roman"/>
            <w:sz w:val="28"/>
            <w:szCs w:val="28"/>
            <w:lang w:val="kk-KZ"/>
          </w:rPr>
          <w:t>SNPStats: yourwebtoolfor SNP analysis</w:t>
        </w:r>
      </w:hyperlink>
      <w:r w:rsidR="00AB12B3" w:rsidRPr="00F51E39">
        <w:rPr>
          <w:rFonts w:ascii="Times New Roman" w:hAnsi="Times New Roman" w:cs="Times New Roman"/>
          <w:sz w:val="28"/>
          <w:szCs w:val="28"/>
          <w:lang w:val="kk-KZ"/>
        </w:rPr>
        <w:t xml:space="preserve">). </w:t>
      </w:r>
      <w:r w:rsidR="00AB12B3" w:rsidRPr="00EE0E3D">
        <w:rPr>
          <w:rFonts w:ascii="Times New Roman" w:hAnsi="Times New Roman" w:cs="Times New Roman"/>
          <w:sz w:val="28"/>
          <w:szCs w:val="28"/>
        </w:rPr>
        <w:t>Д</w:t>
      </w:r>
      <w:r w:rsidR="00AB12B3">
        <w:rPr>
          <w:rFonts w:ascii="Times New Roman" w:hAnsi="Times New Roman" w:cs="Times New Roman"/>
          <w:sz w:val="28"/>
          <w:szCs w:val="28"/>
        </w:rPr>
        <w:t>ля оценки соответствия распределений частот генотипов по закону равновесия Харди – Вайнберга использовался критерий χ</w:t>
      </w:r>
      <w:r w:rsidR="00AB12B3">
        <w:rPr>
          <w:rFonts w:ascii="Times New Roman" w:hAnsi="Times New Roman" w:cs="Times New Roman"/>
          <w:sz w:val="28"/>
          <w:szCs w:val="28"/>
          <w:vertAlign w:val="superscript"/>
        </w:rPr>
        <w:t>2</w:t>
      </w:r>
      <w:r w:rsidR="00CE3AA2">
        <w:rPr>
          <w:rFonts w:ascii="Times New Roman" w:hAnsi="Times New Roman" w:cs="Times New Roman"/>
          <w:sz w:val="28"/>
          <w:szCs w:val="28"/>
          <w:vertAlign w:val="superscript"/>
        </w:rPr>
        <w:t xml:space="preserve"> </w:t>
      </w:r>
      <w:r w:rsidR="007B682D">
        <w:rPr>
          <w:rFonts w:ascii="Times New Roman" w:hAnsi="Times New Roman" w:cs="Times New Roman"/>
          <w:sz w:val="28"/>
          <w:szCs w:val="28"/>
        </w:rPr>
        <w:t>(</w:t>
      </w:r>
      <w:r w:rsidR="007C0F57">
        <w:rPr>
          <w:rFonts w:ascii="Times New Roman" w:hAnsi="Times New Roman" w:cs="Times New Roman"/>
          <w:sz w:val="28"/>
          <w:szCs w:val="28"/>
        </w:rPr>
        <w:t>Х</w:t>
      </w:r>
      <w:r w:rsidR="007B682D">
        <w:rPr>
          <w:rFonts w:ascii="Times New Roman" w:hAnsi="Times New Roman" w:cs="Times New Roman"/>
          <w:sz w:val="28"/>
          <w:szCs w:val="28"/>
        </w:rPr>
        <w:t>и-квадрат)</w:t>
      </w:r>
      <w:r w:rsidR="00957E02">
        <w:rPr>
          <w:rFonts w:ascii="Century" w:hAnsi="Century" w:cs="Times New Roman"/>
          <w:sz w:val="28"/>
          <w:szCs w:val="28"/>
        </w:rPr>
        <w:t>,</w:t>
      </w:r>
      <w:r w:rsidR="00AB12B3">
        <w:rPr>
          <w:rFonts w:ascii="Times New Roman" w:hAnsi="Times New Roman" w:cs="Times New Roman"/>
          <w:sz w:val="28"/>
          <w:szCs w:val="28"/>
        </w:rPr>
        <w:t xml:space="preserve"> при этом р</w:t>
      </w:r>
      <w:r w:rsidR="00AF5297">
        <w:rPr>
          <w:rFonts w:ascii="Times New Roman" w:hAnsi="Times New Roman" w:cs="Times New Roman"/>
          <w:sz w:val="28"/>
          <w:szCs w:val="28"/>
        </w:rPr>
        <w:t xml:space="preserve"> </w:t>
      </w:r>
      <w:r w:rsidR="00AB12B3">
        <w:rPr>
          <w:rFonts w:ascii="Times New Roman" w:hAnsi="Times New Roman" w:cs="Times New Roman"/>
          <w:sz w:val="28"/>
          <w:szCs w:val="28"/>
        </w:rPr>
        <w:t>&gt;0</w:t>
      </w:r>
      <w:r w:rsidR="00957E02">
        <w:rPr>
          <w:rFonts w:ascii="Century" w:hAnsi="Century" w:cs="Times New Roman"/>
          <w:sz w:val="28"/>
          <w:szCs w:val="28"/>
        </w:rPr>
        <w:t>,</w:t>
      </w:r>
      <w:r w:rsidR="00AB12B3">
        <w:rPr>
          <w:rFonts w:ascii="Times New Roman" w:hAnsi="Times New Roman" w:cs="Times New Roman"/>
          <w:sz w:val="28"/>
          <w:szCs w:val="28"/>
        </w:rPr>
        <w:t>05 оценивался как соответствие с закон</w:t>
      </w:r>
      <w:r w:rsidR="00A71BD7">
        <w:rPr>
          <w:rFonts w:ascii="Times New Roman" w:hAnsi="Times New Roman" w:cs="Times New Roman"/>
          <w:sz w:val="28"/>
          <w:szCs w:val="28"/>
        </w:rPr>
        <w:t>ом</w:t>
      </w:r>
      <w:r w:rsidR="00AB12B3">
        <w:rPr>
          <w:rFonts w:ascii="Times New Roman" w:hAnsi="Times New Roman" w:cs="Times New Roman"/>
          <w:sz w:val="28"/>
          <w:szCs w:val="28"/>
        </w:rPr>
        <w:t xml:space="preserve"> равновесия Харди – Вайнберга</w:t>
      </w:r>
      <w:r w:rsidR="00957E02">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Все переменные были проверены на нормальность распределения </w:t>
      </w:r>
      <w:r w:rsidRPr="009A232B">
        <w:rPr>
          <w:rFonts w:ascii="Times New Roman" w:hAnsi="Times New Roman" w:cs="Times New Roman"/>
          <w:sz w:val="28"/>
          <w:szCs w:val="28"/>
        </w:rPr>
        <w:t xml:space="preserve">гистограммы и статистический критерий Шапиро-Уилка. </w:t>
      </w:r>
      <w:r w:rsidR="0010306D">
        <w:rPr>
          <w:rFonts w:ascii="Times New Roman" w:hAnsi="Times New Roman" w:cs="Times New Roman"/>
          <w:sz w:val="28"/>
          <w:szCs w:val="28"/>
        </w:rPr>
        <w:t xml:space="preserve">У </w:t>
      </w:r>
      <w:r w:rsidR="0010306D" w:rsidRPr="002940CC">
        <w:rPr>
          <w:rFonts w:ascii="Times New Roman" w:hAnsi="Times New Roman" w:cs="Times New Roman"/>
          <w:sz w:val="28"/>
          <w:szCs w:val="28"/>
        </w:rPr>
        <w:t>все</w:t>
      </w:r>
      <w:r w:rsidR="0010306D">
        <w:rPr>
          <w:rFonts w:ascii="Times New Roman" w:hAnsi="Times New Roman" w:cs="Times New Roman"/>
          <w:sz w:val="28"/>
          <w:szCs w:val="28"/>
        </w:rPr>
        <w:t>х</w:t>
      </w:r>
      <w:r w:rsidR="0010306D" w:rsidRPr="002940CC">
        <w:rPr>
          <w:rFonts w:ascii="Times New Roman" w:hAnsi="Times New Roman" w:cs="Times New Roman"/>
          <w:sz w:val="28"/>
          <w:szCs w:val="28"/>
        </w:rPr>
        <w:t xml:space="preserve"> переменны</w:t>
      </w:r>
      <w:r w:rsidR="0010306D">
        <w:rPr>
          <w:rFonts w:ascii="Times New Roman" w:hAnsi="Times New Roman" w:cs="Times New Roman"/>
          <w:sz w:val="28"/>
          <w:szCs w:val="28"/>
        </w:rPr>
        <w:t xml:space="preserve">х </w:t>
      </w:r>
      <w:r w:rsidR="0010306D">
        <w:rPr>
          <w:rFonts w:ascii="Times New Roman" w:hAnsi="Times New Roman" w:cs="Times New Roman"/>
          <w:sz w:val="28"/>
          <w:szCs w:val="28"/>
        </w:rPr>
        <w:lastRenderedPageBreak/>
        <w:t>исследования, так как было выявлено</w:t>
      </w:r>
      <w:r w:rsidR="002940CC">
        <w:rPr>
          <w:rFonts w:ascii="Times New Roman" w:hAnsi="Times New Roman" w:cs="Times New Roman"/>
          <w:sz w:val="28"/>
          <w:szCs w:val="28"/>
        </w:rPr>
        <w:t xml:space="preserve"> распределение</w:t>
      </w:r>
      <w:r w:rsidRPr="002940CC">
        <w:rPr>
          <w:rFonts w:ascii="Times New Roman" w:hAnsi="Times New Roman" w:cs="Times New Roman"/>
          <w:sz w:val="28"/>
          <w:szCs w:val="28"/>
        </w:rPr>
        <w:t>,</w:t>
      </w:r>
      <w:r w:rsidR="002940CC">
        <w:rPr>
          <w:rFonts w:ascii="Times New Roman" w:hAnsi="Times New Roman" w:cs="Times New Roman"/>
          <w:sz w:val="28"/>
          <w:szCs w:val="28"/>
        </w:rPr>
        <w:t xml:space="preserve"> отличающееся от нормального </w:t>
      </w:r>
      <w:r w:rsidR="002940CC" w:rsidRPr="002940CC">
        <w:rPr>
          <w:rFonts w:ascii="Times New Roman" w:hAnsi="Times New Roman" w:cs="Times New Roman"/>
          <w:sz w:val="28"/>
          <w:szCs w:val="28"/>
        </w:rPr>
        <w:t>тип</w:t>
      </w:r>
      <w:r w:rsidR="002940CC">
        <w:rPr>
          <w:rFonts w:ascii="Times New Roman" w:hAnsi="Times New Roman" w:cs="Times New Roman"/>
          <w:sz w:val="28"/>
          <w:szCs w:val="28"/>
        </w:rPr>
        <w:t>а</w:t>
      </w:r>
      <w:r w:rsidR="002940CC" w:rsidRPr="002940CC">
        <w:rPr>
          <w:rFonts w:ascii="Times New Roman" w:hAnsi="Times New Roman" w:cs="Times New Roman"/>
          <w:sz w:val="28"/>
          <w:szCs w:val="28"/>
        </w:rPr>
        <w:t xml:space="preserve"> распределения</w:t>
      </w:r>
      <w:r w:rsidRPr="002940CC">
        <w:rPr>
          <w:rFonts w:ascii="Times New Roman" w:hAnsi="Times New Roman" w:cs="Times New Roman"/>
          <w:sz w:val="28"/>
          <w:szCs w:val="28"/>
        </w:rPr>
        <w:t xml:space="preserve">, </w:t>
      </w:r>
      <w:r w:rsidR="0010306D">
        <w:rPr>
          <w:rFonts w:ascii="Times New Roman" w:hAnsi="Times New Roman" w:cs="Times New Roman"/>
          <w:sz w:val="28"/>
          <w:szCs w:val="28"/>
        </w:rPr>
        <w:t xml:space="preserve">мы </w:t>
      </w:r>
      <w:r w:rsidR="002940CC">
        <w:rPr>
          <w:rFonts w:ascii="Times New Roman" w:hAnsi="Times New Roman" w:cs="Times New Roman"/>
          <w:sz w:val="28"/>
          <w:szCs w:val="28"/>
        </w:rPr>
        <w:t>применяли</w:t>
      </w:r>
      <w:r w:rsidRPr="002940CC">
        <w:rPr>
          <w:rFonts w:ascii="Times New Roman" w:hAnsi="Times New Roman" w:cs="Times New Roman"/>
          <w:sz w:val="28"/>
          <w:szCs w:val="28"/>
        </w:rPr>
        <w:t xml:space="preserve"> непараметрически</w:t>
      </w:r>
      <w:r w:rsidR="002940CC">
        <w:rPr>
          <w:rFonts w:ascii="Times New Roman" w:hAnsi="Times New Roman" w:cs="Times New Roman"/>
          <w:sz w:val="28"/>
          <w:szCs w:val="28"/>
        </w:rPr>
        <w:t xml:space="preserve">е методы </w:t>
      </w:r>
      <w:r w:rsidRPr="002940CC">
        <w:rPr>
          <w:rFonts w:ascii="Times New Roman" w:hAnsi="Times New Roman" w:cs="Times New Roman"/>
          <w:sz w:val="28"/>
          <w:szCs w:val="28"/>
        </w:rPr>
        <w:t>статисти</w:t>
      </w:r>
      <w:r w:rsidR="002940CC">
        <w:rPr>
          <w:rFonts w:ascii="Times New Roman" w:hAnsi="Times New Roman" w:cs="Times New Roman"/>
          <w:sz w:val="28"/>
          <w:szCs w:val="28"/>
        </w:rPr>
        <w:t>ческого анализа.</w:t>
      </w:r>
      <w:r>
        <w:rPr>
          <w:rFonts w:ascii="Times New Roman" w:hAnsi="Times New Roman" w:cs="Times New Roman"/>
          <w:sz w:val="28"/>
          <w:szCs w:val="28"/>
        </w:rPr>
        <w:t xml:space="preserve"> Количественные переменные были представлены в виде медианы, межквартильного диапазона и процентилей. Дихотомические переменные </w:t>
      </w:r>
      <w:r w:rsidR="00CD625E" w:rsidRPr="00CD625E">
        <w:rPr>
          <w:rFonts w:ascii="Times New Roman" w:hAnsi="Times New Roman" w:cs="Times New Roman"/>
          <w:sz w:val="28"/>
          <w:szCs w:val="28"/>
        </w:rPr>
        <w:t xml:space="preserve">представлены </w:t>
      </w:r>
      <w:r>
        <w:rPr>
          <w:rFonts w:ascii="Times New Roman" w:hAnsi="Times New Roman" w:cs="Times New Roman"/>
          <w:sz w:val="28"/>
          <w:szCs w:val="28"/>
        </w:rPr>
        <w:t xml:space="preserve">в виде долей (абсолютное число). Различия считались статистически значимыми при значении p </w:t>
      </w:r>
      <w:r w:rsidR="003748AD">
        <w:rPr>
          <w:rFonts w:ascii="Times New Roman" w:hAnsi="Times New Roman" w:cs="Times New Roman"/>
          <w:sz w:val="28"/>
          <w:szCs w:val="28"/>
        </w:rPr>
        <w:t>&lt;0</w:t>
      </w:r>
      <w:r>
        <w:rPr>
          <w:rFonts w:ascii="Times New Roman" w:hAnsi="Times New Roman" w:cs="Times New Roman"/>
          <w:sz w:val="28"/>
          <w:szCs w:val="28"/>
        </w:rPr>
        <w:t>,05.</w:t>
      </w:r>
    </w:p>
    <w:p w:rsidR="00D64D3B" w:rsidRPr="00D64D3B"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количественных </w:t>
      </w:r>
      <w:r w:rsidR="009A232B" w:rsidRPr="00CD625E">
        <w:rPr>
          <w:rFonts w:ascii="Times New Roman" w:hAnsi="Times New Roman" w:cs="Times New Roman"/>
          <w:sz w:val="28"/>
          <w:szCs w:val="28"/>
        </w:rPr>
        <w:t>непрерывных</w:t>
      </w:r>
      <w:r w:rsidR="004318B9">
        <w:rPr>
          <w:rFonts w:ascii="Times New Roman" w:hAnsi="Times New Roman" w:cs="Times New Roman"/>
          <w:sz w:val="28"/>
          <w:szCs w:val="28"/>
        </w:rPr>
        <w:t xml:space="preserve"> </w:t>
      </w:r>
      <w:r>
        <w:rPr>
          <w:rFonts w:ascii="Times New Roman" w:hAnsi="Times New Roman" w:cs="Times New Roman"/>
          <w:sz w:val="28"/>
          <w:szCs w:val="28"/>
        </w:rPr>
        <w:t xml:space="preserve">переменных при сравнении средних величин 2 независимых групп применялся критерий Манна-Уитни </w:t>
      </w:r>
      <w:r w:rsidR="00EA0E64">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{"citationItems":[{"id":"ITEM-1","itemData":{"author":[{"dropping-particle":"","family":"Гржибовский А.М.","given":"","non-dropping-particle":"","parse-names":false,"suffix":""}],"container-title":"Экология человека","id":"ITEM-1","issued":{"date-parts":[["2008"]]},"page":"52-58","title":"Типы данных, проверка распределения и описательная статистика","type":"article-journal","volume":"01"},"uris":["http://www.mendeley.com/documents/?uuid=af893f1b-3118-4cd3-bf5c-892e5f997459"]}],"mendeley":{"formattedCitation":"[153]","plainTextFormattedCitation":"[153]","previouslyFormattedCitation":"[153]"},"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[153]</w:t>
      </w:r>
      <w:r w:rsidR="00EA0E64">
        <w:rPr>
          <w:rFonts w:ascii="Times New Roman" w:hAnsi="Times New Roman" w:cs="Times New Roman"/>
          <w:sz w:val="28"/>
          <w:szCs w:val="28"/>
        </w:rPr>
        <w:fldChar w:fldCharType="end"/>
      </w:r>
      <w:r>
        <w:rPr>
          <w:rFonts w:ascii="Times New Roman" w:hAnsi="Times New Roman" w:cs="Times New Roman"/>
          <w:sz w:val="28"/>
          <w:szCs w:val="28"/>
        </w:rPr>
        <w:t>. Средние величины описывались с помощью медиан, межквартильных размахов и квартителей (Ме±</w:t>
      </w:r>
      <w:r>
        <w:rPr>
          <w:rFonts w:ascii="Times New Roman" w:hAnsi="Times New Roman" w:cs="Times New Roman"/>
          <w:sz w:val="28"/>
          <w:szCs w:val="28"/>
          <w:lang w:val="en-US"/>
        </w:rPr>
        <w:t>IQR</w:t>
      </w:r>
      <w:r>
        <w:rPr>
          <w:rFonts w:ascii="Times New Roman" w:hAnsi="Times New Roman" w:cs="Times New Roman"/>
          <w:sz w:val="28"/>
          <w:szCs w:val="28"/>
        </w:rPr>
        <w:t xml:space="preserve">, </w:t>
      </w:r>
      <w:r>
        <w:rPr>
          <w:rFonts w:ascii="Times New Roman" w:hAnsi="Times New Roman" w:cs="Times New Roman"/>
          <w:sz w:val="28"/>
          <w:szCs w:val="28"/>
          <w:lang w:val="en-US"/>
        </w:rPr>
        <w:t>Q</w:t>
      </w:r>
      <w:r>
        <w:rPr>
          <w:rFonts w:ascii="Times New Roman" w:hAnsi="Times New Roman" w:cs="Times New Roman"/>
          <w:sz w:val="28"/>
          <w:szCs w:val="28"/>
          <w:vertAlign w:val="subscript"/>
        </w:rPr>
        <w:t>1</w:t>
      </w:r>
      <w:r>
        <w:rPr>
          <w:rFonts w:ascii="Times New Roman" w:hAnsi="Times New Roman" w:cs="Times New Roman"/>
          <w:sz w:val="28"/>
          <w:szCs w:val="28"/>
        </w:rPr>
        <w:t xml:space="preserve">, </w:t>
      </w:r>
      <w:r>
        <w:rPr>
          <w:rFonts w:ascii="Times New Roman" w:hAnsi="Times New Roman" w:cs="Times New Roman"/>
          <w:sz w:val="28"/>
          <w:szCs w:val="28"/>
          <w:lang w:val="en-US"/>
        </w:rPr>
        <w:t>Q</w:t>
      </w:r>
      <w:r>
        <w:rPr>
          <w:rFonts w:ascii="Times New Roman" w:hAnsi="Times New Roman" w:cs="Times New Roman"/>
          <w:sz w:val="28"/>
          <w:szCs w:val="28"/>
          <w:vertAlign w:val="subscript"/>
        </w:rPr>
        <w:t>3</w:t>
      </w:r>
      <w:r>
        <w:rPr>
          <w:rFonts w:ascii="Times New Roman" w:hAnsi="Times New Roman" w:cs="Times New Roman"/>
          <w:sz w:val="28"/>
          <w:szCs w:val="28"/>
        </w:rPr>
        <w:t xml:space="preserve"> соответственно). Потенциальными факторами риска были возраст, пол, статус курения и ИМТ. Для </w:t>
      </w:r>
      <w:r w:rsidR="00CD625E">
        <w:rPr>
          <w:rFonts w:ascii="Times New Roman" w:hAnsi="Times New Roman" w:cs="Times New Roman"/>
          <w:sz w:val="28"/>
          <w:szCs w:val="28"/>
        </w:rPr>
        <w:t xml:space="preserve">изучения </w:t>
      </w:r>
      <w:r>
        <w:rPr>
          <w:rFonts w:ascii="Times New Roman" w:hAnsi="Times New Roman" w:cs="Times New Roman"/>
          <w:sz w:val="28"/>
          <w:szCs w:val="28"/>
        </w:rPr>
        <w:t>ассоциативной связи между инсулином и ИР и глюкозы, ОХС, ЛПВП, ЛПНП, ТГ был рассчитан χ</w:t>
      </w:r>
      <w:r>
        <w:rPr>
          <w:rFonts w:ascii="Times New Roman" w:hAnsi="Times New Roman" w:cs="Times New Roman"/>
          <w:sz w:val="28"/>
          <w:szCs w:val="28"/>
          <w:vertAlign w:val="superscript"/>
        </w:rPr>
        <w:t>2</w:t>
      </w:r>
      <w:r>
        <w:rPr>
          <w:rFonts w:ascii="Times New Roman" w:hAnsi="Times New Roman" w:cs="Times New Roman"/>
          <w:sz w:val="28"/>
          <w:szCs w:val="28"/>
        </w:rPr>
        <w:t xml:space="preserve"> (</w:t>
      </w:r>
      <w:r w:rsidR="00CD4263">
        <w:rPr>
          <w:rFonts w:ascii="Times New Roman" w:hAnsi="Times New Roman" w:cs="Times New Roman"/>
          <w:sz w:val="28"/>
          <w:szCs w:val="28"/>
        </w:rPr>
        <w:t>Х</w:t>
      </w:r>
      <w:r w:rsidR="009A232B">
        <w:rPr>
          <w:rFonts w:ascii="Times New Roman" w:hAnsi="Times New Roman" w:cs="Times New Roman"/>
          <w:sz w:val="28"/>
          <w:szCs w:val="28"/>
        </w:rPr>
        <w:t>и</w:t>
      </w:r>
      <w:r>
        <w:rPr>
          <w:rFonts w:ascii="Times New Roman" w:hAnsi="Times New Roman" w:cs="Times New Roman"/>
          <w:sz w:val="28"/>
          <w:szCs w:val="28"/>
        </w:rPr>
        <w:t xml:space="preserve">-квадрат) Пирсона. Применялся расчет коэффициентов корреляции Spearman для оценки силы и направления </w:t>
      </w:r>
      <w:r w:rsidR="00073BDE" w:rsidRPr="00D64D3B">
        <w:rPr>
          <w:rFonts w:ascii="Times New Roman" w:hAnsi="Times New Roman" w:cs="Times New Roman"/>
          <w:sz w:val="28"/>
          <w:szCs w:val="28"/>
        </w:rPr>
        <w:t>линейной</w:t>
      </w:r>
      <w:r w:rsidR="000875F4">
        <w:rPr>
          <w:rFonts w:ascii="Times New Roman" w:hAnsi="Times New Roman" w:cs="Times New Roman"/>
          <w:sz w:val="28"/>
          <w:szCs w:val="28"/>
        </w:rPr>
        <w:t xml:space="preserve"> </w:t>
      </w:r>
      <w:r>
        <w:rPr>
          <w:rFonts w:ascii="Times New Roman" w:hAnsi="Times New Roman" w:cs="Times New Roman"/>
          <w:sz w:val="28"/>
          <w:szCs w:val="28"/>
        </w:rPr>
        <w:t xml:space="preserve">связи между непрерывными количественными переменными биохимических показателей. </w:t>
      </w:r>
      <w:r w:rsidR="00AB17E9">
        <w:rPr>
          <w:rFonts w:ascii="Times New Roman" w:hAnsi="Times New Roman" w:cs="Times New Roman"/>
          <w:sz w:val="28"/>
          <w:szCs w:val="28"/>
        </w:rPr>
        <w:t xml:space="preserve">Для </w:t>
      </w:r>
      <w:r w:rsidR="00F4475F">
        <w:rPr>
          <w:rFonts w:ascii="Times New Roman" w:hAnsi="Times New Roman" w:cs="Times New Roman"/>
          <w:sz w:val="28"/>
          <w:szCs w:val="28"/>
        </w:rPr>
        <w:t>анализа</w:t>
      </w:r>
      <w:r w:rsidR="00AB17E9">
        <w:rPr>
          <w:rFonts w:ascii="Times New Roman" w:hAnsi="Times New Roman" w:cs="Times New Roman"/>
          <w:sz w:val="28"/>
          <w:szCs w:val="28"/>
        </w:rPr>
        <w:t xml:space="preserve"> связи факторов риска с группами липидного обмена, инсулина, ИР </w:t>
      </w:r>
      <w:r w:rsidR="00F4475F">
        <w:rPr>
          <w:rFonts w:ascii="Times New Roman" w:hAnsi="Times New Roman" w:cs="Times New Roman"/>
          <w:sz w:val="28"/>
          <w:szCs w:val="28"/>
        </w:rPr>
        <w:t>б</w:t>
      </w:r>
      <w:r>
        <w:rPr>
          <w:rFonts w:ascii="Times New Roman" w:hAnsi="Times New Roman" w:cs="Times New Roman"/>
          <w:sz w:val="28"/>
          <w:szCs w:val="28"/>
        </w:rPr>
        <w:t xml:space="preserve">ыла использована перекрестная табуляция для выявления распределения факторов риска и исходов; </w:t>
      </w:r>
      <w:r w:rsidR="00F4475F">
        <w:rPr>
          <w:rFonts w:ascii="Times New Roman" w:hAnsi="Times New Roman" w:cs="Times New Roman"/>
          <w:sz w:val="28"/>
          <w:szCs w:val="28"/>
        </w:rPr>
        <w:t xml:space="preserve">рассчитывался </w:t>
      </w:r>
      <w:r w:rsidR="0068637C">
        <w:rPr>
          <w:rFonts w:ascii="Times New Roman" w:hAnsi="Times New Roman" w:cs="Times New Roman"/>
          <w:sz w:val="28"/>
          <w:szCs w:val="28"/>
        </w:rPr>
        <w:t>показатель «</w:t>
      </w:r>
      <w:r>
        <w:rPr>
          <w:rFonts w:ascii="Times New Roman" w:hAnsi="Times New Roman" w:cs="Times New Roman"/>
          <w:sz w:val="28"/>
          <w:szCs w:val="28"/>
        </w:rPr>
        <w:t>отношения шансов</w:t>
      </w:r>
      <w:r w:rsidR="0068637C">
        <w:rPr>
          <w:rFonts w:ascii="Times New Roman" w:hAnsi="Times New Roman" w:cs="Times New Roman"/>
          <w:sz w:val="28"/>
          <w:szCs w:val="28"/>
        </w:rPr>
        <w:t>»</w:t>
      </w:r>
      <w:r>
        <w:rPr>
          <w:rFonts w:ascii="Times New Roman" w:hAnsi="Times New Roman" w:cs="Times New Roman"/>
          <w:sz w:val="28"/>
          <w:szCs w:val="28"/>
        </w:rPr>
        <w:t xml:space="preserve"> (ОШ) с 95% доверительным интервалом (ДИ) и коэффициента</w:t>
      </w:r>
      <w:r w:rsidR="004318B9">
        <w:rPr>
          <w:rFonts w:ascii="Times New Roman" w:hAnsi="Times New Roman" w:cs="Times New Roman"/>
          <w:sz w:val="28"/>
          <w:szCs w:val="28"/>
        </w:rPr>
        <w:t xml:space="preserve"> </w:t>
      </w:r>
      <w:r w:rsidR="00073BDE" w:rsidRPr="00D64D3B">
        <w:rPr>
          <w:rFonts w:ascii="Times New Roman" w:hAnsi="Times New Roman" w:cs="Times New Roman"/>
          <w:sz w:val="28"/>
          <w:szCs w:val="28"/>
        </w:rPr>
        <w:t>стат</w:t>
      </w:r>
      <w:r w:rsidR="00D64D3B" w:rsidRPr="00D64D3B">
        <w:rPr>
          <w:rFonts w:ascii="Times New Roman" w:hAnsi="Times New Roman" w:cs="Times New Roman"/>
          <w:sz w:val="28"/>
          <w:szCs w:val="28"/>
        </w:rPr>
        <w:t>истической</w:t>
      </w:r>
      <w:r w:rsidR="00073BDE" w:rsidRPr="00D64D3B">
        <w:rPr>
          <w:rFonts w:ascii="Times New Roman" w:hAnsi="Times New Roman" w:cs="Times New Roman"/>
          <w:sz w:val="28"/>
          <w:szCs w:val="28"/>
        </w:rPr>
        <w:t xml:space="preserve"> знач</w:t>
      </w:r>
      <w:r w:rsidR="00D64D3B" w:rsidRPr="00D64D3B">
        <w:rPr>
          <w:rFonts w:ascii="Times New Roman" w:hAnsi="Times New Roman" w:cs="Times New Roman"/>
          <w:sz w:val="28"/>
          <w:szCs w:val="28"/>
        </w:rPr>
        <w:t>имости</w:t>
      </w:r>
      <w:r>
        <w:rPr>
          <w:rFonts w:ascii="Times New Roman" w:hAnsi="Times New Roman" w:cs="Times New Roman"/>
          <w:sz w:val="28"/>
          <w:szCs w:val="28"/>
        </w:rPr>
        <w:t xml:space="preserve"> «р». </w:t>
      </w:r>
      <w:r w:rsidR="00D64D3B" w:rsidRPr="00CE3AA2">
        <w:rPr>
          <w:rFonts w:ascii="Times New Roman" w:hAnsi="Times New Roman" w:cs="Times New Roman"/>
          <w:sz w:val="28"/>
          <w:szCs w:val="28"/>
        </w:rPr>
        <w:t>Для изучения связи с факторами</w:t>
      </w:r>
      <w:r w:rsidR="00972760" w:rsidRPr="00CE3AA2">
        <w:rPr>
          <w:rFonts w:ascii="Times New Roman" w:hAnsi="Times New Roman" w:cs="Times New Roman"/>
          <w:sz w:val="28"/>
          <w:szCs w:val="28"/>
        </w:rPr>
        <w:t xml:space="preserve"> риска</w:t>
      </w:r>
      <w:r w:rsidR="00D64D3B" w:rsidRPr="00CE3AA2">
        <w:rPr>
          <w:rFonts w:ascii="Times New Roman" w:hAnsi="Times New Roman" w:cs="Times New Roman"/>
          <w:sz w:val="28"/>
          <w:szCs w:val="28"/>
        </w:rPr>
        <w:t>, такие как пол, возраст и показатели ИМТ проведен</w:t>
      </w:r>
      <w:r w:rsidR="00C335EB">
        <w:rPr>
          <w:rFonts w:ascii="Times New Roman" w:hAnsi="Times New Roman" w:cs="Times New Roman"/>
          <w:sz w:val="28"/>
          <w:szCs w:val="28"/>
        </w:rPr>
        <w:t>а</w:t>
      </w:r>
      <w:r w:rsidR="00D64D3B" w:rsidRPr="00CE3AA2">
        <w:rPr>
          <w:rFonts w:ascii="Times New Roman" w:hAnsi="Times New Roman" w:cs="Times New Roman"/>
          <w:sz w:val="28"/>
          <w:szCs w:val="28"/>
        </w:rPr>
        <w:t xml:space="preserve"> множественная логистическая регрессия.</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изучения разницы фенотипических переменных и генотипов применялась логистическая регрессия в ко-доминантных, доминантных, рецессивных моделях. </w:t>
      </w:r>
      <w:r w:rsidR="00C53B18">
        <w:rPr>
          <w:rFonts w:ascii="Times New Roman" w:hAnsi="Times New Roman" w:cs="Times New Roman"/>
          <w:sz w:val="28"/>
          <w:szCs w:val="28"/>
        </w:rPr>
        <w:t>χ</w:t>
      </w:r>
      <w:r w:rsidR="00C53B18">
        <w:rPr>
          <w:rFonts w:ascii="Times New Roman" w:hAnsi="Times New Roman" w:cs="Times New Roman"/>
          <w:sz w:val="28"/>
          <w:szCs w:val="28"/>
          <w:vertAlign w:val="superscript"/>
        </w:rPr>
        <w:t>2</w:t>
      </w:r>
      <w:r w:rsidR="00AF5297">
        <w:rPr>
          <w:rFonts w:ascii="Times New Roman" w:hAnsi="Times New Roman" w:cs="Times New Roman"/>
          <w:sz w:val="28"/>
          <w:szCs w:val="28"/>
          <w:vertAlign w:val="superscript"/>
        </w:rPr>
        <w:t xml:space="preserve"> </w:t>
      </w:r>
      <w:r>
        <w:rPr>
          <w:rFonts w:ascii="Times New Roman" w:hAnsi="Times New Roman" w:cs="Times New Roman"/>
          <w:sz w:val="28"/>
          <w:szCs w:val="28"/>
        </w:rPr>
        <w:t xml:space="preserve">Пирсона применялся для сравнения разницы частот аллелей в четырех SNP между группами биохимических показателей. </w:t>
      </w:r>
    </w:p>
    <w:p w:rsidR="00501FB5" w:rsidRDefault="00501FB5" w:rsidP="00E1763C">
      <w:pPr>
        <w:spacing w:after="0" w:line="240" w:lineRule="auto"/>
        <w:ind w:firstLine="708"/>
        <w:jc w:val="both"/>
        <w:rPr>
          <w:rFonts w:ascii="Times New Roman" w:eastAsia="TimesNewRomanPSMT" w:hAnsi="Times New Roman" w:cs="Times New Roman"/>
          <w:sz w:val="28"/>
          <w:szCs w:val="28"/>
        </w:rPr>
      </w:pPr>
      <w:r w:rsidRPr="00CE3AA2">
        <w:rPr>
          <w:rFonts w:ascii="Times New Roman" w:hAnsi="Times New Roman" w:cs="Times New Roman"/>
          <w:sz w:val="28"/>
          <w:szCs w:val="28"/>
        </w:rPr>
        <w:t xml:space="preserve">При оценке генетической дистанции между </w:t>
      </w:r>
      <w:r w:rsidR="00C218CF">
        <w:rPr>
          <w:rFonts w:ascii="Times New Roman" w:hAnsi="Times New Roman" w:cs="Times New Roman"/>
          <w:sz w:val="28"/>
          <w:szCs w:val="28"/>
        </w:rPr>
        <w:t>исследуемой выборкой</w:t>
      </w:r>
      <w:r w:rsidRPr="00CE3AA2">
        <w:rPr>
          <w:rFonts w:ascii="Times New Roman" w:hAnsi="Times New Roman" w:cs="Times New Roman"/>
          <w:sz w:val="28"/>
          <w:szCs w:val="28"/>
        </w:rPr>
        <w:t xml:space="preserve"> и </w:t>
      </w:r>
      <w:r w:rsidR="00C218CF">
        <w:rPr>
          <w:rFonts w:ascii="Times New Roman" w:hAnsi="Times New Roman" w:cs="Times New Roman"/>
          <w:sz w:val="28"/>
          <w:szCs w:val="28"/>
        </w:rPr>
        <w:t>другими</w:t>
      </w:r>
      <w:r w:rsidRPr="00CE3AA2">
        <w:rPr>
          <w:rFonts w:ascii="Times New Roman" w:hAnsi="Times New Roman" w:cs="Times New Roman"/>
          <w:sz w:val="28"/>
          <w:szCs w:val="28"/>
        </w:rPr>
        <w:t xml:space="preserve"> популяциями мы использовали программу Poptreew</w:t>
      </w:r>
      <w:r w:rsidR="009A15AC">
        <w:rPr>
          <w:rFonts w:ascii="Times New Roman" w:hAnsi="Times New Roman" w:cs="Times New Roman"/>
          <w:sz w:val="28"/>
          <w:szCs w:val="28"/>
        </w:rPr>
        <w:t xml:space="preserve"> </w:t>
      </w:r>
      <w:r w:rsidRPr="00CE3AA2">
        <w:rPr>
          <w:rFonts w:ascii="Times New Roman" w:hAnsi="Times New Roman" w:cs="Times New Roman"/>
          <w:sz w:val="28"/>
          <w:szCs w:val="28"/>
        </w:rPr>
        <w:t>(</w:t>
      </w:r>
      <w:hyperlink r:id="rId22" w:history="1">
        <w:r w:rsidRPr="00CE3AA2">
          <w:rPr>
            <w:rStyle w:val="a3"/>
            <w:rFonts w:ascii="Times New Roman" w:hAnsi="Times New Roman" w:cs="Times New Roman"/>
            <w:sz w:val="28"/>
            <w:szCs w:val="28"/>
          </w:rPr>
          <w:t>http://www.med.kagawa-u.ac.jp/~genomelb/takezaki/poptreew/index.html</w:t>
        </w:r>
      </w:hyperlink>
      <w:r w:rsidRPr="00CE3AA2">
        <w:rPr>
          <w:rFonts w:ascii="Times New Roman" w:hAnsi="Times New Roman" w:cs="Times New Roman"/>
          <w:sz w:val="28"/>
          <w:szCs w:val="28"/>
        </w:rPr>
        <w:t>)</w:t>
      </w:r>
      <w:r w:rsidR="00CE3AA2">
        <w:rPr>
          <w:rFonts w:ascii="Times New Roman" w:hAnsi="Times New Roman" w:cs="Times New Roman"/>
          <w:sz w:val="28"/>
          <w:szCs w:val="28"/>
        </w:rPr>
        <w:t xml:space="preserve"> </w:t>
      </w:r>
      <w:r w:rsidR="00EA0E64" w:rsidRPr="00CE3AA2">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{"citationItems":[{"id":"ITEM-1","itemData":{"DOI":"10.1093/molbev/msp312","ISSN":"07374038","abstract":"Currently, there is a demand for software to analyze polymorphism data such as microsatellite DNA and single nucleotide polymorphism with easily accessible interface in many fields of research. In this article, we would like to make an announcement of POPTREE2, a computer program package, that can perform evolutionary analyses of allele frequency data. The original version (POPTREE) was a command-line program that runs on the Command Prompt of Windows and Unix. In POPTREE2 genetic distances (measures of the extent of genetic differentiation between populations) for constructing phylogenetic trees, average heterozygosities (H) (a measure of genetic variation within populations) and GST (a measure of genetic differentiation of subdivided populations) are computed through a simple and intuitive Windows interface. It will facilitate statistical analyses of polymorphism data for researchers in many different fields. POPTREE2 is available at http://www.med.kagawa-u.ac.jp/;genomelb/takezaki/ poptree2/index.html. © The Author 2009.","author":[{"dropping-particle":"","family":"Takezaki","given":"Naoko","non-dropping-particle":"","parse-names":false,"suffix":""},{"dropping-particle":"","family":"Nei","given":"Masatoshi","non-dropping-particle":"","parse-names":false,"suffix":""},{"dropping-particle":"","family":"Tamura","given":"Koichiro","non-dropping-particle":"","parse-names":false,"suffix":""}],"container-title":"Molecular Biology and Evolution","id":"ITEM-1","issue":"4","issued":{"date-parts":[["2010"]]},"page":"747-752","title":"POPTREE2: Software for constructing population trees from allele frequency data and computing other population statistics with windows interface","type":"article-journal","volume":"27"},"uris":["http://www.mendeley.com/documents/?uuid=81c3f0a0-d649-447c-84c0-130bae139669"]},{"id":"ITEM-2","itemData":{"DOI":"10.1093/molbev/msu093","ISSN":"1537-1719","abstract":"POPTREE software, including the command line (POPTREE) and the Windows (POPTREE2) versions, is available to perform evolutionary analyses of allele frequency data, computing distance measures for constructing population trees and average heterozygosity (H) (measure of genetic diversity within populations) and GST (measure of genetic differentiation among subdivided populations). We have now developed a web version POPTREEW (http://www.med. kagawa-u.ac.jp/</w:instrText>
      </w:r>
      <w:r w:rsidR="00624769">
        <w:rPr>
          <w:rFonts w:ascii="Cambria Math" w:hAnsi="Cambria Math" w:cs="Cambria Math"/>
          <w:sz w:val="28"/>
          <w:szCs w:val="28"/>
        </w:rPr>
        <w:instrText>∼</w:instrText>
      </w:r>
      <w:r w:rsidR="00624769">
        <w:rPr>
          <w:rFonts w:ascii="Times New Roman" w:hAnsi="Times New Roman" w:cs="Times New Roman"/>
          <w:sz w:val="28"/>
          <w:szCs w:val="28"/>
        </w:rPr>
        <w:instrText>genomelb/takezaki/poptreew/) to provide cross-platform access to all POPTREE functions including interactive tree editing. Furthermore, new POPTREE software (POPTREE, POPTREE2, and POPTREEW) computes standardized GST and Jost's D, which may be appropriate for data with high variability, and accepts genotype data in GENEPOP format as an input. © 2014 The Author.","author":[{"dropping-particle":"","family":"Takezaki","given":"Naoko","non-dropping-particle":"","parse-names":false,"suffix":""},{"dropping-particle":"","family":"Nei","given":"Masatoshi","non-dropping-particle":"","parse-names":false,"suffix":""},{"dropping-particle":"","family":"Tamura","given":"Koichiro","non-dropping-particle":"","parse-names":false,"suffix":""}],"container-title":"Molecular Biology and Evolution","id":"ITEM-2","issue":"6","issued":{"date-parts":[["2014","6"]]},"page":"1622-1624","title":"POPTREEW: Web Version of POPTREE for Constructing Population Trees from Allele Frequency Data and Computing Some Other Quantities","type":"article-journal","volume":"31"},"uris":["http://www.mendeley.com/documents/?uuid=c13f20ac-7043-432d-8ec1-c5407e8dc088"]}],"mendeley":{"formattedCitation":"[154,155]","plainTextFormattedCitation":"[154,155]","previouslyFormattedCitation":"[154,155]"},"properties":{"noteIndex":0},"schema":"https://github.com/citation-style-language/schema/raw/master/csl-citation.json"}</w:instrText>
      </w:r>
      <w:r w:rsidR="00EA0E64" w:rsidRPr="00CE3AA2">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[154,155]</w:t>
      </w:r>
      <w:r w:rsidR="00EA0E64" w:rsidRPr="00CE3AA2">
        <w:rPr>
          <w:rFonts w:ascii="Times New Roman" w:hAnsi="Times New Roman" w:cs="Times New Roman"/>
          <w:sz w:val="28"/>
          <w:szCs w:val="28"/>
        </w:rPr>
        <w:fldChar w:fldCharType="end"/>
      </w:r>
      <w:r w:rsidR="00AB46E9" w:rsidRPr="00CE3AA2">
        <w:rPr>
          <w:rFonts w:ascii="Times New Roman" w:hAnsi="Times New Roman" w:cs="Times New Roman"/>
          <w:sz w:val="28"/>
          <w:szCs w:val="28"/>
        </w:rPr>
        <w:t>. Филогенетическое дерево</w:t>
      </w:r>
      <w:r w:rsidRPr="00CE3AA2">
        <w:rPr>
          <w:rFonts w:ascii="Times New Roman" w:hAnsi="Times New Roman" w:cs="Times New Roman"/>
          <w:sz w:val="28"/>
          <w:szCs w:val="28"/>
        </w:rPr>
        <w:t>, основанное на генетической дистанции</w:t>
      </w:r>
      <w:r w:rsidR="00CE3AA2">
        <w:rPr>
          <w:rFonts w:ascii="Times New Roman" w:hAnsi="Times New Roman" w:cs="Times New Roman"/>
          <w:sz w:val="28"/>
          <w:szCs w:val="28"/>
        </w:rPr>
        <w:t>,</w:t>
      </w:r>
      <w:r w:rsidRPr="00CE3AA2">
        <w:rPr>
          <w:rFonts w:ascii="Times New Roman" w:hAnsi="Times New Roman" w:cs="Times New Roman"/>
          <w:sz w:val="28"/>
          <w:szCs w:val="28"/>
        </w:rPr>
        <w:t xml:space="preserve"> была построена с помощью программы Mega Х 10.1.7 (</w:t>
      </w:r>
      <w:hyperlink r:id="rId23" w:history="1">
        <w:r w:rsidRPr="00CE3AA2">
          <w:rPr>
            <w:rStyle w:val="a3"/>
            <w:rFonts w:ascii="Times New Roman" w:eastAsia="TimesNewRomanPSMT" w:hAnsi="Times New Roman" w:cs="Times New Roman"/>
            <w:sz w:val="28"/>
            <w:szCs w:val="28"/>
          </w:rPr>
          <w:t>www.megasoftware.net</w:t>
        </w:r>
      </w:hyperlink>
      <w:r w:rsidRPr="00CE3AA2">
        <w:rPr>
          <w:rFonts w:ascii="Times New Roman" w:eastAsia="TimesNewRomanPSMT" w:hAnsi="Times New Roman" w:cs="Times New Roman"/>
          <w:sz w:val="28"/>
          <w:szCs w:val="28"/>
        </w:rPr>
        <w:t>).</w:t>
      </w:r>
    </w:p>
    <w:p w:rsidR="00AB12B3" w:rsidRPr="00E1763C" w:rsidRDefault="00E1763C" w:rsidP="00E1763C">
      <w:pPr>
        <w:spacing w:after="0" w:line="240" w:lineRule="auto"/>
        <w:ind w:firstLine="708"/>
        <w:jc w:val="both"/>
        <w:rPr>
          <w:rFonts w:ascii="Times New Roman" w:hAnsi="Times New Roman" w:cs="Times New Roman"/>
          <w:sz w:val="28"/>
          <w:szCs w:val="28"/>
        </w:rPr>
      </w:pPr>
      <w:r w:rsidRPr="00E1763C">
        <w:rPr>
          <w:rFonts w:ascii="Times New Roman" w:hAnsi="Times New Roman" w:cs="Times New Roman"/>
          <w:sz w:val="28"/>
          <w:szCs w:val="28"/>
        </w:rPr>
        <w:t xml:space="preserve">Статистически значимыми считались различия при </w:t>
      </w:r>
      <w:r w:rsidR="00AB12B3" w:rsidRPr="00E1763C">
        <w:rPr>
          <w:rFonts w:ascii="Times New Roman" w:hAnsi="Times New Roman" w:cs="Times New Roman"/>
          <w:sz w:val="28"/>
          <w:szCs w:val="28"/>
        </w:rPr>
        <w:t>p как &lt;0,05 для одного теста</w:t>
      </w:r>
      <w:r w:rsidRPr="00E1763C">
        <w:rPr>
          <w:rFonts w:ascii="Times New Roman" w:hAnsi="Times New Roman" w:cs="Times New Roman"/>
          <w:sz w:val="28"/>
          <w:szCs w:val="28"/>
        </w:rPr>
        <w:t>. При множественном анализе полиморфизмов четырех генов для парных сравнений использовался коэффициент поправки Бонферрони с</w:t>
      </w:r>
      <w:r w:rsidR="00AB12B3" w:rsidRPr="00E1763C">
        <w:rPr>
          <w:rFonts w:ascii="Times New Roman" w:hAnsi="Times New Roman" w:cs="Times New Roman"/>
          <w:sz w:val="28"/>
          <w:szCs w:val="28"/>
        </w:rPr>
        <w:t xml:space="preserve"> p &lt;0,0125.</w:t>
      </w:r>
    </w:p>
    <w:p w:rsidR="00AB12B3" w:rsidRDefault="00AB12B3" w:rsidP="00AB12B3">
      <w:pPr>
        <w:spacing w:after="0" w:line="240" w:lineRule="auto"/>
        <w:rPr>
          <w:rFonts w:ascii="Times New Roman" w:hAnsi="Times New Roman" w:cs="Times New Roman"/>
          <w:sz w:val="28"/>
          <w:szCs w:val="28"/>
        </w:rPr>
        <w:sectPr w:rsidR="00AB12B3">
          <w:pgSz w:w="11906" w:h="16838"/>
          <w:pgMar w:top="1134" w:right="850" w:bottom="1134" w:left="1701" w:header="708" w:footer="708" w:gutter="0"/>
          <w:cols w:space="720"/>
        </w:sectPr>
      </w:pPr>
    </w:p>
    <w:p w:rsidR="00AB12B3" w:rsidRPr="001928F8" w:rsidRDefault="00AB12B3" w:rsidP="009D3251">
      <w:pPr>
        <w:pStyle w:val="af4"/>
        <w:numPr>
          <w:ilvl w:val="0"/>
          <w:numId w:val="22"/>
        </w:numPr>
        <w:spacing w:after="0" w:line="240" w:lineRule="auto"/>
        <w:jc w:val="both"/>
        <w:rPr>
          <w:rFonts w:ascii="Times New Roman" w:hAnsi="Times New Roman" w:cs="Times New Roman"/>
          <w:b/>
          <w:sz w:val="28"/>
          <w:szCs w:val="28"/>
        </w:rPr>
      </w:pPr>
      <w:r w:rsidRPr="001928F8">
        <w:rPr>
          <w:rFonts w:ascii="Times New Roman" w:hAnsi="Times New Roman"/>
          <w:b/>
          <w:sz w:val="28"/>
          <w:szCs w:val="28"/>
        </w:rPr>
        <w:lastRenderedPageBreak/>
        <w:t>РЕЗУЛЬТАТЫ ИССЛЕДОВАНИЯ</w:t>
      </w:r>
    </w:p>
    <w:p w:rsidR="00AB12B3" w:rsidRDefault="00AB12B3" w:rsidP="00AB12B3">
      <w:pPr>
        <w:spacing w:after="0" w:line="240" w:lineRule="auto"/>
        <w:jc w:val="both"/>
        <w:rPr>
          <w:rFonts w:ascii="Times New Roman" w:hAnsi="Times New Roman"/>
          <w:sz w:val="28"/>
          <w:szCs w:val="28"/>
        </w:rPr>
      </w:pPr>
    </w:p>
    <w:p w:rsidR="00AB12B3" w:rsidRPr="009D3251" w:rsidRDefault="00AB12B3" w:rsidP="009D3251">
      <w:pPr>
        <w:spacing w:after="0" w:line="240" w:lineRule="auto"/>
        <w:ind w:firstLine="360"/>
        <w:jc w:val="both"/>
        <w:rPr>
          <w:rFonts w:ascii="Times New Roman" w:hAnsi="Times New Roman" w:cs="Times New Roman"/>
          <w:b/>
          <w:sz w:val="28"/>
          <w:szCs w:val="28"/>
          <w:lang w:val="kk-KZ"/>
        </w:rPr>
      </w:pPr>
      <w:r w:rsidRPr="009D3251">
        <w:rPr>
          <w:rFonts w:ascii="Times New Roman" w:hAnsi="Times New Roman"/>
          <w:b/>
          <w:sz w:val="28"/>
          <w:szCs w:val="28"/>
          <w:lang w:val="kk-KZ"/>
        </w:rPr>
        <w:t xml:space="preserve">3.1 Распространенность полиморфизмов генов </w:t>
      </w:r>
      <w:r w:rsidRPr="009D3251">
        <w:rPr>
          <w:rFonts w:ascii="Times New Roman" w:hAnsi="Times New Roman"/>
          <w:b/>
          <w:i/>
          <w:sz w:val="28"/>
          <w:szCs w:val="28"/>
          <w:lang w:val="kk-KZ"/>
        </w:rPr>
        <w:t xml:space="preserve">LPL </w:t>
      </w:r>
      <w:r w:rsidRPr="009D3251">
        <w:rPr>
          <w:rFonts w:ascii="Times New Roman" w:hAnsi="Times New Roman"/>
          <w:b/>
          <w:sz w:val="28"/>
          <w:szCs w:val="28"/>
          <w:lang w:val="kk-KZ"/>
        </w:rPr>
        <w:t>Ser447Ter (rs328),</w:t>
      </w:r>
      <w:r w:rsidRPr="009D3251">
        <w:rPr>
          <w:rFonts w:ascii="Times New Roman" w:hAnsi="Times New Roman"/>
          <w:b/>
          <w:i/>
          <w:sz w:val="28"/>
          <w:szCs w:val="28"/>
          <w:lang w:val="kk-KZ"/>
        </w:rPr>
        <w:t xml:space="preserve"> ADRB2 </w:t>
      </w:r>
      <w:r w:rsidRPr="009D3251">
        <w:rPr>
          <w:rFonts w:ascii="Times New Roman" w:hAnsi="Times New Roman"/>
          <w:b/>
          <w:sz w:val="28"/>
          <w:szCs w:val="28"/>
          <w:lang w:val="kk-KZ"/>
        </w:rPr>
        <w:t>Gln27Glu (rs1042714),</w:t>
      </w:r>
      <w:r w:rsidRPr="009D3251">
        <w:rPr>
          <w:rFonts w:ascii="Times New Roman" w:hAnsi="Times New Roman"/>
          <w:b/>
          <w:i/>
          <w:sz w:val="28"/>
          <w:szCs w:val="28"/>
          <w:lang w:val="kk-KZ"/>
        </w:rPr>
        <w:t xml:space="preserve"> AGT </w:t>
      </w:r>
      <w:r w:rsidRPr="009D3251">
        <w:rPr>
          <w:rFonts w:ascii="Times New Roman" w:hAnsi="Times New Roman"/>
          <w:b/>
          <w:sz w:val="28"/>
          <w:szCs w:val="28"/>
          <w:lang w:val="kk-KZ"/>
        </w:rPr>
        <w:t xml:space="preserve">Thr174Met (rs4762), </w:t>
      </w:r>
      <w:r w:rsidRPr="009D3251">
        <w:rPr>
          <w:rFonts w:ascii="Times New Roman" w:hAnsi="Times New Roman"/>
          <w:b/>
          <w:i/>
          <w:sz w:val="28"/>
          <w:szCs w:val="28"/>
          <w:lang w:val="kk-KZ"/>
        </w:rPr>
        <w:t xml:space="preserve">AGTR1 </w:t>
      </w:r>
      <w:r w:rsidRPr="009D3251">
        <w:rPr>
          <w:rFonts w:ascii="Times New Roman" w:hAnsi="Times New Roman"/>
          <w:b/>
          <w:sz w:val="28"/>
          <w:szCs w:val="28"/>
          <w:lang w:val="kk-KZ"/>
        </w:rPr>
        <w:t>A1166C (rs5186)</w:t>
      </w:r>
      <w:r w:rsidR="00BE658D" w:rsidRPr="009D3251">
        <w:rPr>
          <w:rFonts w:ascii="Times New Roman" w:hAnsi="Times New Roman"/>
          <w:b/>
          <w:sz w:val="28"/>
          <w:szCs w:val="28"/>
          <w:lang w:val="kk-KZ"/>
        </w:rPr>
        <w:t xml:space="preserve"> </w:t>
      </w:r>
      <w:r w:rsidRPr="009D3251">
        <w:rPr>
          <w:rFonts w:ascii="Times New Roman" w:hAnsi="Times New Roman"/>
          <w:b/>
          <w:sz w:val="28"/>
          <w:szCs w:val="28"/>
          <w:lang w:val="kk-KZ"/>
        </w:rPr>
        <w:t>в казахской популяции</w:t>
      </w:r>
    </w:p>
    <w:p w:rsidR="00AB12B3" w:rsidRDefault="00AB12B3" w:rsidP="00AB12B3">
      <w:pPr>
        <w:spacing w:after="0" w:line="240" w:lineRule="auto"/>
        <w:jc w:val="both"/>
        <w:rPr>
          <w:rFonts w:ascii="Times New Roman" w:hAnsi="Times New Roman" w:cs="Times New Roman"/>
          <w:sz w:val="28"/>
          <w:szCs w:val="28"/>
        </w:rPr>
      </w:pPr>
      <w:r w:rsidRPr="009D3251">
        <w:rPr>
          <w:rFonts w:ascii="Times New Roman" w:hAnsi="Times New Roman" w:cs="Times New Roman"/>
          <w:sz w:val="28"/>
          <w:szCs w:val="28"/>
          <w:lang w:val="kk-KZ"/>
        </w:rPr>
        <w:tab/>
      </w:r>
      <w:r w:rsidR="00E96C08">
        <w:rPr>
          <w:rFonts w:ascii="Times New Roman" w:hAnsi="Times New Roman" w:cs="Times New Roman"/>
          <w:sz w:val="28"/>
          <w:szCs w:val="28"/>
        </w:rPr>
        <w:t>И</w:t>
      </w:r>
      <w:r>
        <w:rPr>
          <w:rFonts w:ascii="Times New Roman" w:hAnsi="Times New Roman" w:cs="Times New Roman"/>
          <w:sz w:val="28"/>
          <w:szCs w:val="28"/>
        </w:rPr>
        <w:t xml:space="preserve">сследования последних лет отмечают о необходимости кластеризации факторов риска определенных заболеваний, такие как, ожирение, ИБС и БСК </w:t>
      </w:r>
      <w:r w:rsidR="00EA0E64">
        <w:rPr>
          <w:rFonts w:ascii="Times New Roman" w:hAnsi="Times New Roman" w:cs="Times New Roman"/>
          <w:sz w:val="28"/>
          <w:szCs w:val="28"/>
        </w:rPr>
        <w:fldChar w:fldCharType="begin" w:fldLock="1"/>
      </w:r>
      <w:r w:rsidR="006D6525">
        <w:rPr>
          <w:rFonts w:ascii="Times New Roman" w:hAnsi="Times New Roman" w:cs="Times New Roman"/>
          <w:sz w:val="28"/>
          <w:szCs w:val="28"/>
        </w:rPr>
        <w:instrText>ADDIN CSL_CITATION {"citationItems":[{"id":"ITEM-1","itemData":{"DOI":"10.1161/CIRCRESAHA.116.302888","ISSN":"0009-7330","author":[{"dropping-particle":"","family":"Rankinen","given":"Tuomo","non-dropping-particle":"","parse-names":false,"suffix":""},{"dropping-particle":"","family":"Sarzynski","given":"Mark A.","non-dropping-particle":"","parse-names":false,"suffix":""},{"dropping-particle":"","family":"Ghosh","given":"Sujoy","non-dropping-particle":"","parse-names":false,"suffix":""},{"dropping-particle":"","family":"Bouchard","given":"Claude","non-dropping-particle":"","parse-names":false,"suffix":""}],"container-title":"Circulation Research","id":"ITEM-1","issue":"5","issued":{"date-parts":[["2015","2","27"]]},"page":"909-922","title":"Are There Genetic Paths Common to Obesity, Cardiovascular Disease Outcomes, and Cardiovascular Risk Factors?","type":"article-journal","volume":"116"},"uris":["http://www.mendeley.com/documents/?uuid=af29a386-6daf-4108-8a5a-7fe742de8ab4"]}],"mendeley":{"formattedCitation":"[5]","manualFormatting":"[5, р. 2]","plainTextFormattedCitation":"[5]","previouslyFormattedCitation":"[5]"},"properties":{"noteIndex":0},"schema":"https://github.com/citation-style-language/schema/raw/master/csl-citation.json"}</w:instrText>
      </w:r>
      <w:r w:rsidR="00EA0E64">
        <w:rPr>
          <w:rFonts w:ascii="Times New Roman" w:hAnsi="Times New Roman" w:cs="Times New Roman"/>
          <w:sz w:val="28"/>
          <w:szCs w:val="28"/>
        </w:rPr>
        <w:fldChar w:fldCharType="separate"/>
      </w:r>
      <w:r w:rsidR="006D6525" w:rsidRPr="006D6525">
        <w:rPr>
          <w:rFonts w:ascii="Times New Roman" w:hAnsi="Times New Roman" w:cs="Times New Roman"/>
          <w:noProof/>
          <w:sz w:val="28"/>
          <w:szCs w:val="28"/>
        </w:rPr>
        <w:t>[5</w:t>
      </w:r>
      <w:r w:rsidR="006D6525">
        <w:rPr>
          <w:rFonts w:ascii="Times New Roman" w:hAnsi="Times New Roman" w:cs="Times New Roman"/>
          <w:noProof/>
          <w:sz w:val="28"/>
          <w:szCs w:val="28"/>
        </w:rPr>
        <w:t>, р. 2</w:t>
      </w:r>
      <w:r w:rsidR="006D6525" w:rsidRPr="006D6525">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r w:rsidR="00B64ED0">
        <w:rPr>
          <w:rFonts w:ascii="Times New Roman" w:hAnsi="Times New Roman" w:cs="Times New Roman"/>
          <w:sz w:val="28"/>
          <w:szCs w:val="28"/>
        </w:rPr>
        <w:t>Некоторые авторы</w:t>
      </w:r>
      <w:r>
        <w:rPr>
          <w:rFonts w:ascii="Times New Roman" w:hAnsi="Times New Roman" w:cs="Times New Roman"/>
          <w:sz w:val="28"/>
          <w:szCs w:val="28"/>
        </w:rPr>
        <w:t xml:space="preserve"> считают, что для установления эффекта взаимодействия между геном и фактором риска желательно использовать данные GWA</w:t>
      </w:r>
      <w:r w:rsidR="001870FC">
        <w:rPr>
          <w:rFonts w:ascii="Times New Roman" w:hAnsi="Times New Roman" w:cs="Times New Roman"/>
          <w:sz w:val="28"/>
          <w:szCs w:val="28"/>
          <w:lang w:val="en-US"/>
        </w:rPr>
        <w:t>S</w:t>
      </w:r>
      <w:r w:rsidR="00E96C08">
        <w:rPr>
          <w:rFonts w:ascii="Times New Roman" w:hAnsi="Times New Roman" w:cs="Times New Roman"/>
          <w:sz w:val="28"/>
          <w:szCs w:val="28"/>
        </w:rPr>
        <w:t xml:space="preserve"> исследований, в которых представлены</w:t>
      </w:r>
      <w:r>
        <w:rPr>
          <w:rFonts w:ascii="Times New Roman" w:hAnsi="Times New Roman" w:cs="Times New Roman"/>
          <w:sz w:val="28"/>
          <w:szCs w:val="28"/>
        </w:rPr>
        <w:t xml:space="preserve"> данные о разных популяциях. В настоящее время известны многие полиморфизмы генов, которые связаны с риском развития ИР, СД. Развитие определенного заболевания может быть связано не только с наличием какого-либо полиморфизма гена, но </w:t>
      </w:r>
      <w:r w:rsidR="004B12FB">
        <w:rPr>
          <w:rFonts w:ascii="Times New Roman" w:hAnsi="Times New Roman" w:cs="Times New Roman"/>
          <w:sz w:val="28"/>
          <w:szCs w:val="28"/>
        </w:rPr>
        <w:t xml:space="preserve">и </w:t>
      </w:r>
      <w:r>
        <w:rPr>
          <w:rFonts w:ascii="Times New Roman" w:hAnsi="Times New Roman" w:cs="Times New Roman"/>
          <w:sz w:val="28"/>
          <w:szCs w:val="28"/>
        </w:rPr>
        <w:t>взаимодействия одного гена с другим геном</w:t>
      </w:r>
      <w:r w:rsidR="00BE658D">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0F200C">
        <w:rPr>
          <w:rFonts w:ascii="Times New Roman" w:hAnsi="Times New Roman" w:cs="Times New Roman"/>
          <w:sz w:val="28"/>
          <w:szCs w:val="28"/>
        </w:rPr>
        <w:instrText>ADDIN CSL_CITATION {"citationItems":[{"id":"ITEM-1","itemData":{"DOI":"10.1186/s13040-015-0074-0","ISSN":"17560381","PMID":"26674805","abstract":"BACKGROUND: Despite heritability estimates of 40-70 % for obesity, less than 2 % of its variation is explained by Body Mass Index (BMI) associated loci that have been identified so far. Epistasis, or gene-gene interactions are a plausible source to explain portions of the missing heritability of BMI.\\n\\nMETHODS: Using genotypic data from 18,686 individuals across five study cohorts - ARIC, CARDIA, FHS, CHS, MESA - we filtered SNPs (Single Nucleotide Polymorphisms) using two parallel approaches. SNPs were filtered either on the strength of their main effects of association with BMI, or on the number of knowledge sources supporting a specific SNP-SNP interaction in the context of BMI. Filtered SNPs were specifically analyzed for interactions that are highly associated with BMI using QMDR (Quantitative Multifactor Dimensionality Reduction). QMDR is a nonparametric, genetic model-free method that detects non-linear interactions associated with a quantitative trait.\\n\\nRESULTS: We identified seven novel, epistatic models with a Bonferroni corrected p-value of association &lt; 0.1. Prior experimental evidence helps explain the plausible biological interactions highlighted within our results and their relationship with obesity. We identified interactions between genes involved in mitochondrial dysfunction (POLG2), cholesterol metabolism (SOAT2), lipid metabolism (CYP11B2), cell adhesion (EZR), cell proliferation (MAP2K5), and insulin resistance (IGF1R). Moreover, we found an 8.8 % increase in the variance in BMI explained by these seven SNP-SNP interactions, beyond what is explained by the main effects of an index FTO SNP and the SNPs within these interactions. We also replicated one of these interactions and 58 proxy SNP-SNP models representing it in an independent dataset from the eMERGE study.\\n\\nCONCLUSION: This study highlights a novel approach for discovering gene-gene interactions by combining methods such as QMDR with traditional statistics.","author":[{"dropping-particle":"","family":"De","given":"Rishika","non-dropping-particle":"","parse-names":false,"suffix":""},{"dropping-particle":"","family":"Verma","given":"Shefali S.","non-dropping-particle":"","parse-names":false,"suffix":""},{"dropping-particle":"","family":"Drenos","given":"Fotios","non-dropping-particle":"","parse-names":false,"suffix":""},{"dropping-particle":"","family":"Holzinger","given":"Emily R.","non-dropping-particle":"","parse-names":false,"suffix":""},{"dropping-particle":"V.","family":"Holmes","given":"Michael","non-dropping-particle":"","parse-names":false,"suffix":""},{"dropping-particle":"","family":"Hall","given":"Molly A.","non-dropping-particle":"","parse-names":false,"suffix":""},{"dropping-particle":"","family":"Crosslin","given":"David R.","non-dropping-particle":"","parse-names":false,"suffix":""},{"dropping-particle":"","family":"Carrell","given":"David S.","non-dropping-particle":"","parse-names":false,"suffix":""},{"dropping-particle":"","family":"Hakonarson","given":"Hakon","non-dropping-particle":"","parse-names":false,"suffix":""},{"dropping-particle":"","family":"Jarvik","given":"Gail","non-dropping-particle":"","parse-names":false,"suffix":""},{"dropping-particle":"","family":"Larson","given":"Eric","non-dropping-particle":"","parse-names":false,"suffix":""},{"dropping-particle":"","family":"Pacheco","given":"Jennifer A.","non-dropping-particle":"","parse-names":false,"suffix":""},{"dropping-particle":"","family":"Rasmussen-Torvik","given":"Laura J.","non-dropping-particle":"","parse-names":false,"suffix":""},{"dropping-particle":"","family":"Moore","given":"Carrie B.","non-dropping-particle":"","parse-names":false,"suffix":""},{"dropping-particle":"","family":"Asselbergs","given":"Folkert W.","non-dropping-particle":"","parse-names":false,"suffix":""},{"dropping-particle":"","family":"Moore","given":"Jason H.","non-dropping-particle":"","parse-names":false,"suffix":""},{"dropping-particle":"","family":"Ritchie","given":"Marylyn D.","non-dropping-particle":"","parse-names":false,"suffix":""},{"dropping-particle":"","family":"Keating","given":"Brendan J.","non-dropping-particle":"","parse-names":false,"suffix":""},{"dropping-particle":"","family":"Gilbert-Diamond","given":"Diane","non-dropping-particle":"","parse-names":false,"suffix":""}],"container-title":"BioData Mining","id":"ITEM-1","issue":"1","issued":{"date-parts":[["2015"]]},"publisher":"BioData Mining","title":"Identifying gene-gene interactions that are highly associated with Body Mass Index using Quantitative Multifactor Dimensionality Reduction (QMDR)","type":"article-journal","volume":"8"},"uris":["http://www.mendeley.com/documents/?uuid=5e312622-cd07-4736-8315-eb047529bc4a"]}],"mendeley":{"formattedCitation":"[142]","manualFormatting":"[142, р. 8]","plainTextFormattedCitation":"[142]","previouslyFormattedCitation":"[142]"},"properties":{"noteIndex":0},"schema":"https://github.com/citation-style-language/schema/raw/master/csl-citation.json"}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[142</w:t>
      </w:r>
      <w:r w:rsidR="00624769">
        <w:rPr>
          <w:rFonts w:ascii="Times New Roman" w:hAnsi="Times New Roman" w:cs="Times New Roman"/>
          <w:noProof/>
          <w:sz w:val="28"/>
          <w:szCs w:val="28"/>
        </w:rPr>
        <w:t>, р. 8</w:t>
      </w:r>
      <w:r w:rsidR="00624769" w:rsidRPr="00624769">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Сложные взаимодействия генов между собой требу</w:t>
      </w:r>
      <w:r w:rsidR="00E96C08">
        <w:rPr>
          <w:rFonts w:ascii="Times New Roman" w:hAnsi="Times New Roman" w:cs="Times New Roman"/>
          <w:sz w:val="28"/>
          <w:szCs w:val="28"/>
        </w:rPr>
        <w:t>ю</w:t>
      </w:r>
      <w:r>
        <w:rPr>
          <w:rFonts w:ascii="Times New Roman" w:hAnsi="Times New Roman" w:cs="Times New Roman"/>
          <w:sz w:val="28"/>
          <w:szCs w:val="28"/>
        </w:rPr>
        <w:t xml:space="preserve">т более тщательного изучения в разных популяциях. </w:t>
      </w:r>
    </w:p>
    <w:p w:rsidR="00AB12B3" w:rsidRPr="00734CB3" w:rsidRDefault="00AB12B3" w:rsidP="00AB12B3">
      <w:pPr>
        <w:spacing w:after="0" w:line="240" w:lineRule="auto"/>
        <w:ind w:firstLine="708"/>
        <w:jc w:val="both"/>
        <w:rPr>
          <w:rFonts w:ascii="Century" w:hAnsi="Century" w:cs="Times New Roman"/>
          <w:sz w:val="28"/>
          <w:szCs w:val="28"/>
        </w:rPr>
      </w:pPr>
      <w:r>
        <w:rPr>
          <w:rFonts w:ascii="Times New Roman" w:hAnsi="Times New Roman" w:cs="Times New Roman"/>
          <w:sz w:val="28"/>
          <w:szCs w:val="28"/>
        </w:rPr>
        <w:t xml:space="preserve">Каждая национальность имеет </w:t>
      </w:r>
      <w:r w:rsidR="009C70D7">
        <w:rPr>
          <w:rFonts w:ascii="Times New Roman" w:hAnsi="Times New Roman" w:cs="Times New Roman"/>
          <w:sz w:val="28"/>
          <w:szCs w:val="28"/>
        </w:rPr>
        <w:t>отличия</w:t>
      </w:r>
      <w:r>
        <w:rPr>
          <w:rFonts w:ascii="Times New Roman" w:hAnsi="Times New Roman" w:cs="Times New Roman"/>
          <w:sz w:val="28"/>
          <w:szCs w:val="28"/>
        </w:rPr>
        <w:t xml:space="preserve"> по частоте генетических вариаций, котор</w:t>
      </w:r>
      <w:r w:rsidR="009C70D7">
        <w:rPr>
          <w:rFonts w:ascii="Times New Roman" w:hAnsi="Times New Roman" w:cs="Times New Roman"/>
          <w:sz w:val="28"/>
          <w:szCs w:val="28"/>
        </w:rPr>
        <w:t>ые завися</w:t>
      </w:r>
      <w:r>
        <w:rPr>
          <w:rFonts w:ascii="Times New Roman" w:hAnsi="Times New Roman" w:cs="Times New Roman"/>
          <w:sz w:val="28"/>
          <w:szCs w:val="28"/>
        </w:rPr>
        <w:t xml:space="preserve">т не только от расовой принадлежности, </w:t>
      </w:r>
      <w:r w:rsidR="009C70D7">
        <w:rPr>
          <w:rFonts w:ascii="Times New Roman" w:hAnsi="Times New Roman" w:cs="Times New Roman"/>
          <w:sz w:val="28"/>
          <w:szCs w:val="28"/>
        </w:rPr>
        <w:t xml:space="preserve">но и </w:t>
      </w:r>
      <w:r>
        <w:rPr>
          <w:rFonts w:ascii="Times New Roman" w:hAnsi="Times New Roman" w:cs="Times New Roman"/>
          <w:sz w:val="28"/>
          <w:szCs w:val="28"/>
        </w:rPr>
        <w:t>от географического расположения популяции</w:t>
      </w:r>
      <w:r w:rsidR="00BE658D">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{"citationItems":[{"id":"ITEM-1","itemData":{"DOI":"10.1186/1471-2350-12-55","ISSN":"14712350","abstract":"Background: We hypothesized that the frequencies of risk alleles of SNPs mediating susceptibility to cardiovascular diseases differ among populations of varying geographic origin and that population-specific selection has operated on some of these variants.Methods: From the database of genome-wide association studies (GWAS), we selected 36 cardiovascular phenotypes including coronary heart disease, hypertension, and stroke, as well as related quantitative traits (eg, body mass index and plasma lipid levels). We identified 292 SNPs in 270 genes associated with a disease or trait at P &lt; 5 × 10-8. As part of the Human Genome-Diversity Project (HGDP), 158 (54.1%) of these SNPs have been genotyped in 938 individuals belonging to 52 populations from seven geographic areas. A measure of population differentiation, FST, was calculated to quantify differences in risk allele frequencies (RAFs) among populations and geographic areas.Results: Large differences in RAFs were noted in populations of Africa, East Asia, America and Oceania, when compared with other geographic regions. The mean global FST(0.1042) for 158 SNPs among the populations was not significantly higher than the mean global FSTof 158 autosomal SNPs randomly sampled from the HGDP database. Significantly higher global FST(P &lt; 0.05) was noted in eight SNPs, based on an empirical distribution of global FSTof 2036 putatively neutral SNPs. For four of these SNPs, additional evidence of selection was noted based on the integrated Haplotype Score.Conclusion: Large differences in RAFs for a set of common SNPs that influence risk of cardiovascular disease were noted between the major world populations. Pairwise comparisons revealed RAF differences for at least eight SNPs that might be due to population-specific selection or demographic factors. These findings are relevant to a better understanding of geographic variation in the prevalence of cardiovascular disease. © 2011 Ding and Kullo; licensee BioMed Central Ltd.","author":[{"dropping-particle":"","family":"Ding","given":"Keyue","non-dropping-particle":"","parse-names":false,"suffix":""},{"dropping-particle":"","family":"Kullo","given":"Iftikhar J.","non-dropping-particle":"","parse-names":false,"suffix":""}],"container-title":"BMC Medical Genetics","id":"ITEM-1","issue":"1","issued":{"date-parts":[["2011"]]},"page":"55","publisher":"BioMed Central Ltd","title":"Geographic differences in allele frequencies of susceptibility SNPs for cardiovascular disease","type":"article-journal","volume":"12"},"uris":["http://www.mendeley.com/documents/?uuid=1e601318-8747-4342-af2f-08b201d165c6"]}],"mendeley":{"formattedCitation":"[156]","plainTextFormattedCitation":"[156]","previouslyFormattedCitation":"[156]"},"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[156]</w:t>
      </w:r>
      <w:r w:rsidR="00EA0E64">
        <w:rPr>
          <w:rFonts w:ascii="Times New Roman" w:hAnsi="Times New Roman" w:cs="Times New Roman"/>
          <w:sz w:val="28"/>
          <w:szCs w:val="28"/>
        </w:rPr>
        <w:fldChar w:fldCharType="end"/>
      </w:r>
      <w:r>
        <w:rPr>
          <w:rFonts w:ascii="Times New Roman" w:hAnsi="Times New Roman" w:cs="Times New Roman"/>
          <w:sz w:val="28"/>
          <w:szCs w:val="28"/>
        </w:rPr>
        <w:t>. Распределение частот аллелей бол</w:t>
      </w:r>
      <w:r w:rsidR="00E96C08">
        <w:rPr>
          <w:rFonts w:ascii="Times New Roman" w:hAnsi="Times New Roman" w:cs="Times New Roman"/>
          <w:sz w:val="28"/>
          <w:szCs w:val="28"/>
        </w:rPr>
        <w:t>е</w:t>
      </w:r>
      <w:r>
        <w:rPr>
          <w:rFonts w:ascii="Times New Roman" w:hAnsi="Times New Roman" w:cs="Times New Roman"/>
          <w:sz w:val="28"/>
          <w:szCs w:val="28"/>
        </w:rPr>
        <w:t xml:space="preserve">е изучена в европейских и кавказских популяциях, тогда как распределение в популяциях, которые проживают в центральной Азии </w:t>
      </w:r>
      <w:r w:rsidR="00E96C08">
        <w:rPr>
          <w:rFonts w:ascii="Times New Roman" w:hAnsi="Times New Roman" w:cs="Times New Roman"/>
          <w:sz w:val="28"/>
          <w:szCs w:val="28"/>
        </w:rPr>
        <w:t xml:space="preserve">менее </w:t>
      </w:r>
      <w:r>
        <w:rPr>
          <w:rFonts w:ascii="Times New Roman" w:hAnsi="Times New Roman" w:cs="Times New Roman"/>
          <w:sz w:val="28"/>
          <w:szCs w:val="28"/>
        </w:rPr>
        <w:t>изучено. В связи с этим,</w:t>
      </w:r>
      <w:r w:rsidR="00CD51BD">
        <w:rPr>
          <w:rFonts w:ascii="Times New Roman" w:hAnsi="Times New Roman" w:cs="Times New Roman"/>
          <w:sz w:val="28"/>
          <w:szCs w:val="28"/>
          <w:lang w:val="kk-KZ"/>
        </w:rPr>
        <w:t xml:space="preserve"> одной из</w:t>
      </w:r>
      <w:r>
        <w:rPr>
          <w:rFonts w:ascii="Times New Roman" w:hAnsi="Times New Roman" w:cs="Times New Roman"/>
          <w:sz w:val="28"/>
          <w:szCs w:val="28"/>
        </w:rPr>
        <w:t xml:space="preserve"> </w:t>
      </w:r>
      <w:r w:rsidR="00CD51BD">
        <w:rPr>
          <w:rFonts w:ascii="Times New Roman" w:hAnsi="Times New Roman" w:cs="Times New Roman"/>
          <w:sz w:val="28"/>
          <w:szCs w:val="28"/>
          <w:lang w:val="kk-KZ"/>
        </w:rPr>
        <w:t xml:space="preserve">задач </w:t>
      </w:r>
      <w:r w:rsidR="001E4D3C">
        <w:rPr>
          <w:rFonts w:ascii="Times New Roman" w:hAnsi="Times New Roman" w:cs="Times New Roman"/>
          <w:sz w:val="28"/>
          <w:szCs w:val="28"/>
        </w:rPr>
        <w:t>данного</w:t>
      </w:r>
      <w:r>
        <w:rPr>
          <w:rFonts w:ascii="Times New Roman" w:hAnsi="Times New Roman" w:cs="Times New Roman"/>
          <w:sz w:val="28"/>
          <w:szCs w:val="28"/>
        </w:rPr>
        <w:t xml:space="preserve"> исследования было изучить распространенность полиморфизмов генов </w:t>
      </w:r>
      <w:r>
        <w:rPr>
          <w:rFonts w:ascii="Times New Roman" w:hAnsi="Times New Roman" w:cs="Times New Roman"/>
          <w:i/>
          <w:sz w:val="28"/>
          <w:szCs w:val="28"/>
        </w:rPr>
        <w:t xml:space="preserve">LPL </w:t>
      </w:r>
      <w:r>
        <w:rPr>
          <w:rFonts w:ascii="Times New Roman" w:hAnsi="Times New Roman" w:cs="Times New Roman"/>
          <w:sz w:val="28"/>
          <w:szCs w:val="28"/>
        </w:rPr>
        <w:t>(Ser447Ter),</w:t>
      </w:r>
      <w:r>
        <w:rPr>
          <w:rFonts w:ascii="Times New Roman" w:hAnsi="Times New Roman" w:cs="Times New Roman"/>
          <w:i/>
          <w:sz w:val="28"/>
          <w:szCs w:val="28"/>
        </w:rPr>
        <w:t xml:space="preserve"> ADRB2 </w:t>
      </w:r>
      <w:r>
        <w:rPr>
          <w:rFonts w:ascii="Times New Roman" w:hAnsi="Times New Roman" w:cs="Times New Roman"/>
          <w:sz w:val="28"/>
          <w:szCs w:val="28"/>
        </w:rPr>
        <w:t>(Gln27Glu),</w:t>
      </w:r>
      <w:r>
        <w:rPr>
          <w:rFonts w:ascii="Times New Roman" w:hAnsi="Times New Roman" w:cs="Times New Roman"/>
          <w:i/>
          <w:sz w:val="28"/>
          <w:szCs w:val="28"/>
        </w:rPr>
        <w:t xml:space="preserve"> AGT </w:t>
      </w:r>
      <w:r>
        <w:rPr>
          <w:rFonts w:ascii="Times New Roman" w:hAnsi="Times New Roman" w:cs="Times New Roman"/>
          <w:sz w:val="28"/>
          <w:szCs w:val="28"/>
        </w:rPr>
        <w:t>(Thr174Met),</w:t>
      </w:r>
      <w:r>
        <w:rPr>
          <w:rFonts w:ascii="Times New Roman" w:hAnsi="Times New Roman" w:cs="Times New Roman"/>
          <w:i/>
          <w:sz w:val="28"/>
          <w:szCs w:val="28"/>
        </w:rPr>
        <w:t xml:space="preserve"> AGTR1 </w:t>
      </w:r>
      <w:r>
        <w:rPr>
          <w:rFonts w:ascii="Times New Roman" w:hAnsi="Times New Roman" w:cs="Times New Roman"/>
          <w:sz w:val="28"/>
          <w:szCs w:val="28"/>
        </w:rPr>
        <w:t xml:space="preserve">(A1166C) в </w:t>
      </w:r>
      <w:r w:rsidR="00E96C08">
        <w:rPr>
          <w:rFonts w:ascii="Times New Roman" w:hAnsi="Times New Roman" w:cs="Times New Roman"/>
          <w:sz w:val="28"/>
          <w:szCs w:val="28"/>
        </w:rPr>
        <w:t>исследуемой выборке</w:t>
      </w:r>
      <w:r>
        <w:rPr>
          <w:rFonts w:ascii="Times New Roman" w:hAnsi="Times New Roman" w:cs="Times New Roman"/>
          <w:sz w:val="28"/>
          <w:szCs w:val="28"/>
        </w:rPr>
        <w:t xml:space="preserve"> и провести сравнительный анализ с другими популяциями по данных проекта 1000 Genomes</w:t>
      </w:r>
      <w:r w:rsidR="00BE658D">
        <w:rPr>
          <w:rFonts w:ascii="Times New Roman" w:hAnsi="Times New Roman" w:cs="Times New Roman"/>
          <w:sz w:val="28"/>
          <w:szCs w:val="28"/>
        </w:rPr>
        <w:t xml:space="preserve"> </w:t>
      </w:r>
      <w:r>
        <w:rPr>
          <w:rFonts w:ascii="Times New Roman" w:hAnsi="Times New Roman" w:cs="Times New Roman"/>
          <w:sz w:val="28"/>
          <w:szCs w:val="28"/>
        </w:rPr>
        <w:t>Browser</w:t>
      </w:r>
      <w:r w:rsidR="00AC051E">
        <w:rPr>
          <w:rFonts w:ascii="Times New Roman" w:hAnsi="Times New Roman" w:cs="Times New Roman"/>
          <w:sz w:val="28"/>
          <w:szCs w:val="28"/>
        </w:rPr>
        <w:t xml:space="preserve"> </w:t>
      </w:r>
      <w:r w:rsidRPr="00EE0E3D">
        <w:rPr>
          <w:rFonts w:ascii="Times New Roman" w:hAnsi="Times New Roman" w:cs="Times New Roman"/>
          <w:sz w:val="28"/>
          <w:szCs w:val="28"/>
        </w:rPr>
        <w:t>(</w:t>
      </w:r>
      <w:hyperlink r:id="rId24" w:history="1">
        <w:r w:rsidRPr="00EE0E3D">
          <w:rPr>
            <w:rStyle w:val="a3"/>
            <w:rFonts w:ascii="Times New Roman" w:hAnsi="Times New Roman" w:cs="Times New Roman"/>
            <w:sz w:val="28"/>
            <w:szCs w:val="28"/>
          </w:rPr>
          <w:t>https://www.ncbi.nlm.nih.gov</w:t>
        </w:r>
      </w:hyperlink>
      <w:r w:rsidRPr="00EE0E3D">
        <w:rPr>
          <w:rFonts w:ascii="Times New Roman" w:hAnsi="Times New Roman" w:cs="Times New Roman"/>
          <w:sz w:val="28"/>
          <w:szCs w:val="28"/>
        </w:rPr>
        <w:t>)</w:t>
      </w:r>
      <w:r w:rsidR="00734CB3">
        <w:rPr>
          <w:rFonts w:ascii="Century" w:hAnsi="Century"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Частота аллелей и генотипов по 4 полиморфизмам предоставлена в Таблице 4. Обращает на себя внимание, что по частоте генотипов </w:t>
      </w:r>
      <w:r>
        <w:rPr>
          <w:rFonts w:ascii="Times New Roman" w:hAnsi="Times New Roman" w:cs="Times New Roman"/>
          <w:i/>
          <w:sz w:val="28"/>
          <w:szCs w:val="28"/>
        </w:rPr>
        <w:t xml:space="preserve">ADRB2 </w:t>
      </w:r>
      <w:r>
        <w:rPr>
          <w:rFonts w:ascii="Times New Roman" w:hAnsi="Times New Roman" w:cs="Times New Roman"/>
          <w:sz w:val="28"/>
          <w:szCs w:val="28"/>
        </w:rPr>
        <w:t>Gln27Glu (rs1042714),</w:t>
      </w:r>
      <w:r>
        <w:rPr>
          <w:rFonts w:ascii="Times New Roman" w:hAnsi="Times New Roman" w:cs="Times New Roman"/>
          <w:i/>
          <w:sz w:val="28"/>
          <w:szCs w:val="28"/>
        </w:rPr>
        <w:t xml:space="preserve"> AGT </w:t>
      </w:r>
      <w:r>
        <w:rPr>
          <w:rFonts w:ascii="Times New Roman" w:hAnsi="Times New Roman" w:cs="Times New Roman"/>
          <w:sz w:val="28"/>
          <w:szCs w:val="28"/>
        </w:rPr>
        <w:t xml:space="preserve">Thr174Met (rs4762) отклонения от равновесия Харди-Вайнберга обнаружено не было, при распределении генотипов </w:t>
      </w:r>
      <w:r>
        <w:rPr>
          <w:rFonts w:ascii="Times New Roman" w:hAnsi="Times New Roman" w:cs="Times New Roman"/>
          <w:i/>
          <w:sz w:val="28"/>
          <w:szCs w:val="28"/>
        </w:rPr>
        <w:t>LPL</w:t>
      </w:r>
      <w:r>
        <w:rPr>
          <w:rFonts w:ascii="Times New Roman" w:hAnsi="Times New Roman" w:cs="Times New Roman"/>
          <w:sz w:val="28"/>
          <w:szCs w:val="28"/>
        </w:rPr>
        <w:t xml:space="preserve"> Ser447Ter (rs328) и </w:t>
      </w:r>
      <w:r>
        <w:rPr>
          <w:rFonts w:ascii="Times New Roman" w:hAnsi="Times New Roman" w:cs="Times New Roman"/>
          <w:i/>
          <w:sz w:val="28"/>
          <w:szCs w:val="28"/>
        </w:rPr>
        <w:t xml:space="preserve">AGTR1 </w:t>
      </w:r>
      <w:r>
        <w:rPr>
          <w:rFonts w:ascii="Times New Roman" w:hAnsi="Times New Roman" w:cs="Times New Roman"/>
          <w:sz w:val="28"/>
          <w:szCs w:val="28"/>
        </w:rPr>
        <w:t>A1166C (rs5186) было выявлено отклонение от равновесия Харди-Вайнберга.</w:t>
      </w:r>
    </w:p>
    <w:p w:rsidR="00AB12B3" w:rsidRPr="00EE0E3D"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Позиция полиморфизма Ser447Ter (rs328) гена </w:t>
      </w:r>
      <w:r>
        <w:rPr>
          <w:rFonts w:ascii="Times New Roman" w:hAnsi="Times New Roman" w:cs="Times New Roman"/>
          <w:i/>
          <w:sz w:val="28"/>
          <w:szCs w:val="28"/>
        </w:rPr>
        <w:t>LPL</w:t>
      </w:r>
      <w:r w:rsidR="00A6620D">
        <w:rPr>
          <w:rFonts w:ascii="Times New Roman" w:hAnsi="Times New Roman" w:cs="Times New Roman"/>
          <w:i/>
          <w:sz w:val="28"/>
          <w:szCs w:val="28"/>
        </w:rPr>
        <w:t xml:space="preserve"> </w:t>
      </w:r>
      <w:r w:rsidR="00614BCC">
        <w:rPr>
          <w:rFonts w:ascii="Times New Roman" w:hAnsi="Times New Roman" w:cs="Times New Roman"/>
          <w:sz w:val="28"/>
          <w:szCs w:val="28"/>
        </w:rPr>
        <w:t xml:space="preserve">- </w:t>
      </w:r>
      <w:r>
        <w:rPr>
          <w:rFonts w:ascii="Times New Roman" w:hAnsi="Times New Roman" w:cs="Times New Roman"/>
          <w:sz w:val="28"/>
          <w:szCs w:val="28"/>
        </w:rPr>
        <w:t xml:space="preserve">8 хромосома 8:19962213 (GRCh38.h12). Полиморфизм Gln27Glu (rs1042714) гена </w:t>
      </w:r>
      <w:r>
        <w:rPr>
          <w:rFonts w:ascii="Times New Roman" w:hAnsi="Times New Roman" w:cs="Times New Roman"/>
          <w:i/>
          <w:sz w:val="28"/>
          <w:szCs w:val="28"/>
        </w:rPr>
        <w:t>ADRB2</w:t>
      </w:r>
      <w:r>
        <w:rPr>
          <w:rFonts w:ascii="Times New Roman" w:hAnsi="Times New Roman" w:cs="Times New Roman"/>
          <w:sz w:val="28"/>
          <w:szCs w:val="28"/>
        </w:rPr>
        <w:t xml:space="preserve"> расположен на 5 хромосоме </w:t>
      </w:r>
      <w:hyperlink r:id="rId25" w:history="1">
        <w:r w:rsidRPr="00EE0E3D">
          <w:rPr>
            <w:rStyle w:val="a3"/>
            <w:rFonts w:ascii="Times New Roman" w:hAnsi="Times New Roman" w:cs="Times New Roman"/>
            <w:sz w:val="28"/>
            <w:szCs w:val="28"/>
          </w:rPr>
          <w:t>5:148826910</w:t>
        </w:r>
      </w:hyperlink>
      <w:r w:rsidR="008B7007">
        <w:rPr>
          <w:rFonts w:ascii="Times New Roman" w:hAnsi="Times New Roman" w:cs="Times New Roman"/>
          <w:sz w:val="28"/>
          <w:szCs w:val="28"/>
          <w:lang w:val="kk-KZ"/>
        </w:rPr>
        <w:t xml:space="preserve"> </w:t>
      </w:r>
      <w:r w:rsidRPr="00EE0E3D">
        <w:rPr>
          <w:rFonts w:ascii="Times New Roman" w:hAnsi="Times New Roman" w:cs="Times New Roman"/>
          <w:sz w:val="28"/>
          <w:szCs w:val="28"/>
        </w:rPr>
        <w:t>(</w:t>
      </w:r>
      <w:hyperlink r:id="rId26" w:history="1">
        <w:r w:rsidRPr="00EE0E3D">
          <w:rPr>
            <w:rStyle w:val="a3"/>
            <w:rFonts w:ascii="Times New Roman" w:hAnsi="Times New Roman" w:cs="Times New Roman"/>
            <w:sz w:val="28"/>
            <w:szCs w:val="28"/>
          </w:rPr>
          <w:t>CM970061</w:t>
        </w:r>
      </w:hyperlink>
      <w:r w:rsidRPr="00EE0E3D">
        <w:rPr>
          <w:rFonts w:ascii="Times New Roman" w:hAnsi="Times New Roman" w:cs="Times New Roman"/>
          <w:sz w:val="28"/>
          <w:szCs w:val="28"/>
        </w:rPr>
        <w:t xml:space="preserve">). Полиморфизм Thr174Met (rs4762) гена </w:t>
      </w:r>
      <w:r w:rsidRPr="00EE0E3D">
        <w:rPr>
          <w:rFonts w:ascii="Times New Roman" w:hAnsi="Times New Roman" w:cs="Times New Roman"/>
          <w:i/>
          <w:sz w:val="28"/>
          <w:szCs w:val="28"/>
        </w:rPr>
        <w:t>AGT</w:t>
      </w:r>
      <w:r w:rsidR="00BE658D">
        <w:rPr>
          <w:rFonts w:ascii="Times New Roman" w:hAnsi="Times New Roman" w:cs="Times New Roman"/>
          <w:i/>
          <w:sz w:val="28"/>
          <w:szCs w:val="28"/>
        </w:rPr>
        <w:t xml:space="preserve"> </w:t>
      </w:r>
      <w:r w:rsidR="00EA1275">
        <w:rPr>
          <w:rFonts w:ascii="Times New Roman" w:hAnsi="Times New Roman" w:cs="Times New Roman"/>
          <w:sz w:val="28"/>
          <w:szCs w:val="28"/>
        </w:rPr>
        <w:t>находится</w:t>
      </w:r>
      <w:r w:rsidRPr="00EE0E3D">
        <w:rPr>
          <w:rFonts w:ascii="Times New Roman" w:hAnsi="Times New Roman" w:cs="Times New Roman"/>
          <w:sz w:val="28"/>
          <w:szCs w:val="28"/>
        </w:rPr>
        <w:t xml:space="preserve"> на 1 хромосоме в позиции </w:t>
      </w:r>
      <w:hyperlink r:id="rId27" w:history="1">
        <w:r w:rsidRPr="00EE0E3D">
          <w:rPr>
            <w:rStyle w:val="a3"/>
            <w:rFonts w:ascii="Times New Roman" w:hAnsi="Times New Roman" w:cs="Times New Roman"/>
            <w:sz w:val="28"/>
            <w:szCs w:val="28"/>
          </w:rPr>
          <w:t>1:230710231</w:t>
        </w:r>
      </w:hyperlink>
      <w:r w:rsidRPr="00EE0E3D">
        <w:rPr>
          <w:rFonts w:ascii="Times New Roman" w:hAnsi="Times New Roman" w:cs="Times New Roman"/>
          <w:sz w:val="28"/>
          <w:szCs w:val="28"/>
        </w:rPr>
        <w:t xml:space="preserve"> (</w:t>
      </w:r>
      <w:hyperlink r:id="rId28" w:history="1">
        <w:r w:rsidRPr="00EE0E3D">
          <w:rPr>
            <w:rStyle w:val="a3"/>
            <w:rFonts w:ascii="Times New Roman" w:hAnsi="Times New Roman" w:cs="Times New Roman"/>
            <w:sz w:val="28"/>
            <w:szCs w:val="28"/>
          </w:rPr>
          <w:t>CM920009</w:t>
        </w:r>
      </w:hyperlink>
      <w:r w:rsidRPr="00EE0E3D">
        <w:rPr>
          <w:rFonts w:ascii="Times New Roman" w:hAnsi="Times New Roman" w:cs="Times New Roman"/>
          <w:sz w:val="28"/>
          <w:szCs w:val="28"/>
        </w:rPr>
        <w:t xml:space="preserve">). Полиморфизм A1166C (rs5186) гена </w:t>
      </w:r>
      <w:r w:rsidRPr="00EE0E3D">
        <w:rPr>
          <w:rFonts w:ascii="Times New Roman" w:hAnsi="Times New Roman" w:cs="Times New Roman"/>
          <w:i/>
          <w:sz w:val="28"/>
          <w:szCs w:val="28"/>
        </w:rPr>
        <w:t>AGTR1</w:t>
      </w:r>
      <w:r w:rsidR="00BE658D">
        <w:rPr>
          <w:rFonts w:ascii="Times New Roman" w:hAnsi="Times New Roman" w:cs="Times New Roman"/>
          <w:i/>
          <w:sz w:val="28"/>
          <w:szCs w:val="28"/>
        </w:rPr>
        <w:t xml:space="preserve"> </w:t>
      </w:r>
      <w:r w:rsidR="00EA1275">
        <w:rPr>
          <w:rFonts w:ascii="Times New Roman" w:hAnsi="Times New Roman" w:cs="Times New Roman"/>
          <w:sz w:val="28"/>
          <w:szCs w:val="28"/>
        </w:rPr>
        <w:t>локализован</w:t>
      </w:r>
      <w:r w:rsidRPr="00EE0E3D">
        <w:rPr>
          <w:rFonts w:ascii="Times New Roman" w:hAnsi="Times New Roman" w:cs="Times New Roman"/>
          <w:sz w:val="28"/>
          <w:szCs w:val="28"/>
        </w:rPr>
        <w:t xml:space="preserve"> на 3 хромосе в позиции 3: 148742201 (</w:t>
      </w:r>
      <w:hyperlink r:id="rId29" w:history="1">
        <w:r w:rsidRPr="00EE0E3D">
          <w:rPr>
            <w:rStyle w:val="a3"/>
            <w:rFonts w:ascii="Times New Roman" w:hAnsi="Times New Roman" w:cs="Times New Roman"/>
            <w:sz w:val="28"/>
            <w:szCs w:val="28"/>
          </w:rPr>
          <w:t>CR941553</w:t>
        </w:r>
      </w:hyperlink>
      <w:r w:rsidRPr="00EE0E3D">
        <w:rPr>
          <w:rFonts w:ascii="Times New Roman" w:hAnsi="Times New Roman" w:cs="Times New Roman"/>
          <w:sz w:val="28"/>
          <w:szCs w:val="28"/>
        </w:rPr>
        <w:t>).</w:t>
      </w:r>
    </w:p>
    <w:p w:rsidR="00AB12B3" w:rsidRDefault="00AB12B3" w:rsidP="00AB12B3">
      <w:pPr>
        <w:spacing w:after="0" w:line="240" w:lineRule="auto"/>
        <w:rPr>
          <w:rFonts w:ascii="Times New Roman" w:hAnsi="Times New Roman" w:cs="Times New Roman"/>
          <w:sz w:val="28"/>
          <w:szCs w:val="28"/>
        </w:rPr>
        <w:sectPr w:rsidR="00AB12B3">
          <w:pgSz w:w="11906" w:h="16838"/>
          <w:pgMar w:top="1134" w:right="850" w:bottom="1134" w:left="1701" w:header="708" w:footer="708" w:gutter="0"/>
          <w:cols w:space="720"/>
        </w:sectPr>
      </w:pPr>
    </w:p>
    <w:p w:rsidR="00AB12B3" w:rsidRDefault="00AB12B3" w:rsidP="00AB12B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lastRenderedPageBreak/>
        <w:t xml:space="preserve">Таблица </w:t>
      </w:r>
      <w:r w:rsidR="00F325E7">
        <w:rPr>
          <w:rFonts w:ascii="Times New Roman" w:hAnsi="Times New Roman" w:cs="Times New Roman"/>
          <w:sz w:val="28"/>
          <w:szCs w:val="28"/>
        </w:rPr>
        <w:t>3</w:t>
      </w:r>
      <w:r w:rsidR="003441A2">
        <w:rPr>
          <w:rFonts w:ascii="Times New Roman" w:hAnsi="Times New Roman" w:cs="Times New Roman"/>
          <w:sz w:val="28"/>
          <w:szCs w:val="28"/>
          <w:lang w:val="kk-KZ"/>
        </w:rPr>
        <w:t xml:space="preserve">- </w:t>
      </w:r>
      <w:r>
        <w:rPr>
          <w:rFonts w:ascii="Times New Roman" w:hAnsi="Times New Roman" w:cs="Times New Roman"/>
          <w:sz w:val="28"/>
          <w:szCs w:val="28"/>
        </w:rPr>
        <w:t>Частота аллелей и генотипов по 4 полиморфизм</w:t>
      </w:r>
      <w:r w:rsidR="00C101AB">
        <w:rPr>
          <w:rFonts w:ascii="Times New Roman" w:hAnsi="Times New Roman" w:cs="Times New Roman"/>
          <w:sz w:val="28"/>
          <w:szCs w:val="28"/>
        </w:rPr>
        <w:t>ам в исследуемой выборк</w:t>
      </w:r>
      <w:r w:rsidR="005F5D71">
        <w:rPr>
          <w:rFonts w:ascii="Times New Roman" w:hAnsi="Times New Roman" w:cs="Times New Roman"/>
          <w:sz w:val="28"/>
          <w:szCs w:val="28"/>
        </w:rPr>
        <w:t>е</w:t>
      </w:r>
    </w:p>
    <w:p w:rsidR="009D3251" w:rsidRPr="009D3251" w:rsidRDefault="009D3251" w:rsidP="00AB12B3">
      <w:pPr>
        <w:spacing w:after="0" w:line="240" w:lineRule="auto"/>
        <w:jc w:val="both"/>
        <w:rPr>
          <w:rFonts w:ascii="Times New Roman" w:hAnsi="Times New Roman" w:cs="Times New Roman"/>
          <w:sz w:val="28"/>
          <w:szCs w:val="28"/>
          <w:lang w:val="kk-KZ"/>
        </w:rPr>
      </w:pPr>
    </w:p>
    <w:tbl>
      <w:tblPr>
        <w:tblStyle w:val="af7"/>
        <w:tblW w:w="9353" w:type="dxa"/>
        <w:tblInd w:w="108" w:type="dxa"/>
        <w:tblLayout w:type="fixed"/>
        <w:tblLook w:val="04A0" w:firstRow="1" w:lastRow="0" w:firstColumn="1" w:lastColumn="0" w:noHBand="0" w:noVBand="1"/>
      </w:tblPr>
      <w:tblGrid>
        <w:gridCol w:w="1896"/>
        <w:gridCol w:w="1754"/>
        <w:gridCol w:w="878"/>
        <w:gridCol w:w="877"/>
        <w:gridCol w:w="879"/>
        <w:gridCol w:w="1023"/>
        <w:gridCol w:w="1023"/>
        <w:gridCol w:w="1023"/>
      </w:tblGrid>
      <w:tr w:rsidR="00AB12B3" w:rsidTr="009D3251">
        <w:trPr>
          <w:trHeight w:val="1351"/>
        </w:trPr>
        <w:tc>
          <w:tcPr>
            <w:tcW w:w="1896"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Полиморфизм</w:t>
            </w:r>
          </w:p>
        </w:tc>
        <w:tc>
          <w:tcPr>
            <w:tcW w:w="175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Равновеси</w:t>
            </w:r>
            <w:r>
              <w:rPr>
                <w:rFonts w:ascii="Times New Roman" w:hAnsi="Times New Roman"/>
                <w:sz w:val="28"/>
                <w:szCs w:val="28"/>
                <w:lang w:val="kk-KZ"/>
              </w:rPr>
              <w:t xml:space="preserve">е </w:t>
            </w:r>
            <w:r>
              <w:rPr>
                <w:rFonts w:ascii="Times New Roman" w:hAnsi="Times New Roman"/>
                <w:sz w:val="28"/>
                <w:szCs w:val="28"/>
              </w:rPr>
              <w:t>Харди-Вайнберга</w:t>
            </w:r>
          </w:p>
          <w:p w:rsidR="00AB12B3" w:rsidRDefault="00AB12B3">
            <w:pPr>
              <w:jc w:val="both"/>
              <w:rPr>
                <w:rFonts w:ascii="Times New Roman" w:hAnsi="Times New Roman"/>
                <w:sz w:val="28"/>
                <w:szCs w:val="28"/>
              </w:rPr>
            </w:pPr>
            <w:r>
              <w:rPr>
                <w:rFonts w:ascii="Times New Roman" w:hAnsi="Times New Roman"/>
                <w:sz w:val="28"/>
                <w:szCs w:val="28"/>
              </w:rPr>
              <w:t>р</w:t>
            </w:r>
          </w:p>
        </w:tc>
        <w:tc>
          <w:tcPr>
            <w:tcW w:w="878" w:type="dxa"/>
            <w:tcBorders>
              <w:top w:val="single" w:sz="4" w:space="0" w:color="auto"/>
              <w:left w:val="single" w:sz="4" w:space="0" w:color="auto"/>
              <w:bottom w:val="single" w:sz="4" w:space="0" w:color="auto"/>
              <w:right w:val="single" w:sz="4" w:space="0" w:color="auto"/>
            </w:tcBorders>
          </w:tcPr>
          <w:p w:rsidR="00AB12B3" w:rsidRDefault="00AB12B3">
            <w:pPr>
              <w:jc w:val="both"/>
              <w:rPr>
                <w:rFonts w:ascii="Times New Roman" w:hAnsi="Times New Roman"/>
                <w:sz w:val="28"/>
                <w:szCs w:val="28"/>
              </w:rPr>
            </w:pPr>
            <w:r>
              <w:rPr>
                <w:rFonts w:ascii="Times New Roman" w:hAnsi="Times New Roman"/>
                <w:sz w:val="28"/>
                <w:szCs w:val="28"/>
              </w:rPr>
              <w:t>Аллель</w:t>
            </w:r>
          </w:p>
          <w:p w:rsidR="00AB12B3" w:rsidRDefault="00AB12B3">
            <w:pPr>
              <w:jc w:val="both"/>
              <w:rPr>
                <w:rFonts w:ascii="Times New Roman" w:hAnsi="Times New Roman"/>
                <w:sz w:val="28"/>
                <w:szCs w:val="28"/>
              </w:rPr>
            </w:pPr>
          </w:p>
        </w:tc>
        <w:tc>
          <w:tcPr>
            <w:tcW w:w="877"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n</w:t>
            </w:r>
          </w:p>
        </w:tc>
        <w:tc>
          <w:tcPr>
            <w:tcW w:w="87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 xml:space="preserve">Частота </w:t>
            </w:r>
          </w:p>
        </w:tc>
        <w:tc>
          <w:tcPr>
            <w:tcW w:w="1023" w:type="dxa"/>
            <w:tcBorders>
              <w:top w:val="single" w:sz="4" w:space="0" w:color="auto"/>
              <w:left w:val="single" w:sz="4" w:space="0" w:color="auto"/>
              <w:bottom w:val="single" w:sz="4" w:space="0" w:color="auto"/>
              <w:right w:val="single" w:sz="4" w:space="0" w:color="auto"/>
            </w:tcBorders>
          </w:tcPr>
          <w:p w:rsidR="00AB12B3" w:rsidRDefault="00AB12B3">
            <w:pPr>
              <w:jc w:val="both"/>
              <w:rPr>
                <w:rFonts w:ascii="Times New Roman" w:hAnsi="Times New Roman"/>
                <w:sz w:val="28"/>
                <w:szCs w:val="28"/>
              </w:rPr>
            </w:pPr>
            <w:r>
              <w:rPr>
                <w:rFonts w:ascii="Times New Roman" w:hAnsi="Times New Roman"/>
                <w:sz w:val="28"/>
                <w:szCs w:val="28"/>
              </w:rPr>
              <w:t xml:space="preserve">Генотипы </w:t>
            </w:r>
          </w:p>
          <w:p w:rsidR="00AB12B3" w:rsidRDefault="00AB12B3">
            <w:pPr>
              <w:jc w:val="both"/>
              <w:rPr>
                <w:rFonts w:ascii="Times New Roman" w:hAnsi="Times New Roman"/>
                <w:sz w:val="28"/>
                <w:szCs w:val="28"/>
              </w:rPr>
            </w:pP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n</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Частота</w:t>
            </w:r>
          </w:p>
        </w:tc>
      </w:tr>
      <w:tr w:rsidR="00AB12B3" w:rsidTr="009D3251">
        <w:trPr>
          <w:trHeight w:val="333"/>
        </w:trPr>
        <w:tc>
          <w:tcPr>
            <w:tcW w:w="189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i/>
                <w:sz w:val="28"/>
                <w:szCs w:val="28"/>
              </w:rPr>
            </w:pPr>
            <w:r>
              <w:rPr>
                <w:rFonts w:ascii="Times New Roman" w:hAnsi="Times New Roman"/>
                <w:i/>
                <w:sz w:val="28"/>
                <w:szCs w:val="28"/>
              </w:rPr>
              <w:t xml:space="preserve">LPL </w:t>
            </w:r>
          </w:p>
          <w:p w:rsidR="00AB12B3" w:rsidRDefault="00AB12B3">
            <w:pPr>
              <w:jc w:val="both"/>
              <w:rPr>
                <w:rFonts w:ascii="Times New Roman" w:hAnsi="Times New Roman"/>
                <w:sz w:val="28"/>
                <w:szCs w:val="28"/>
              </w:rPr>
            </w:pPr>
            <w:r>
              <w:rPr>
                <w:rFonts w:ascii="Times New Roman" w:hAnsi="Times New Roman"/>
                <w:sz w:val="28"/>
                <w:szCs w:val="28"/>
              </w:rPr>
              <w:t>Ser447Ter (rs328)</w:t>
            </w:r>
          </w:p>
        </w:tc>
        <w:tc>
          <w:tcPr>
            <w:tcW w:w="175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0,0001</w:t>
            </w:r>
          </w:p>
        </w:tc>
        <w:tc>
          <w:tcPr>
            <w:tcW w:w="87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С</w:t>
            </w:r>
          </w:p>
        </w:tc>
        <w:tc>
          <w:tcPr>
            <w:tcW w:w="877"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794</w:t>
            </w:r>
          </w:p>
        </w:tc>
        <w:tc>
          <w:tcPr>
            <w:tcW w:w="87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0,86</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CC</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354</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0,77</w:t>
            </w:r>
          </w:p>
        </w:tc>
      </w:tr>
      <w:tr w:rsidR="00AB12B3" w:rsidTr="009D3251">
        <w:trPr>
          <w:trHeight w:val="333"/>
        </w:trPr>
        <w:tc>
          <w:tcPr>
            <w:tcW w:w="189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5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87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G</w:t>
            </w:r>
          </w:p>
        </w:tc>
        <w:tc>
          <w:tcPr>
            <w:tcW w:w="877"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126</w:t>
            </w:r>
          </w:p>
        </w:tc>
        <w:tc>
          <w:tcPr>
            <w:tcW w:w="87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0,14</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CG</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86</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0,19</w:t>
            </w:r>
          </w:p>
        </w:tc>
      </w:tr>
      <w:tr w:rsidR="00AB12B3" w:rsidTr="009D3251">
        <w:trPr>
          <w:trHeight w:val="333"/>
        </w:trPr>
        <w:tc>
          <w:tcPr>
            <w:tcW w:w="189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5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634" w:type="dxa"/>
            <w:gridSpan w:val="3"/>
            <w:tcBorders>
              <w:top w:val="single" w:sz="4" w:space="0" w:color="auto"/>
              <w:left w:val="single" w:sz="4" w:space="0" w:color="auto"/>
              <w:bottom w:val="single" w:sz="4" w:space="0" w:color="auto"/>
              <w:right w:val="single" w:sz="4" w:space="0" w:color="auto"/>
            </w:tcBorders>
          </w:tcPr>
          <w:p w:rsidR="00AB12B3" w:rsidRDefault="00AB12B3">
            <w:pPr>
              <w:jc w:val="both"/>
              <w:rPr>
                <w:rFonts w:ascii="Times New Roman" w:hAnsi="Times New Roman"/>
                <w:sz w:val="28"/>
                <w:szCs w:val="28"/>
              </w:rPr>
            </w:pP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GG</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20</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0,04</w:t>
            </w:r>
          </w:p>
        </w:tc>
      </w:tr>
      <w:tr w:rsidR="00AB12B3" w:rsidTr="009D3251">
        <w:trPr>
          <w:trHeight w:val="333"/>
        </w:trPr>
        <w:tc>
          <w:tcPr>
            <w:tcW w:w="189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i/>
                <w:sz w:val="28"/>
                <w:szCs w:val="28"/>
              </w:rPr>
            </w:pPr>
            <w:r>
              <w:rPr>
                <w:rFonts w:ascii="Times New Roman" w:hAnsi="Times New Roman"/>
                <w:i/>
                <w:sz w:val="28"/>
                <w:szCs w:val="28"/>
              </w:rPr>
              <w:t xml:space="preserve">ADRB2 </w:t>
            </w:r>
            <w:r>
              <w:rPr>
                <w:rFonts w:ascii="Times New Roman" w:hAnsi="Times New Roman"/>
                <w:sz w:val="28"/>
                <w:szCs w:val="28"/>
              </w:rPr>
              <w:t>Gln27Glu (rs1042714)</w:t>
            </w:r>
          </w:p>
        </w:tc>
        <w:tc>
          <w:tcPr>
            <w:tcW w:w="175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0,82</w:t>
            </w:r>
          </w:p>
        </w:tc>
        <w:tc>
          <w:tcPr>
            <w:tcW w:w="87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С</w:t>
            </w:r>
          </w:p>
        </w:tc>
        <w:tc>
          <w:tcPr>
            <w:tcW w:w="877"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645</w:t>
            </w:r>
          </w:p>
        </w:tc>
        <w:tc>
          <w:tcPr>
            <w:tcW w:w="87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0,7</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CC</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227</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0,49</w:t>
            </w:r>
          </w:p>
        </w:tc>
      </w:tr>
      <w:tr w:rsidR="00AB12B3" w:rsidTr="009D3251">
        <w:trPr>
          <w:trHeight w:val="333"/>
        </w:trPr>
        <w:tc>
          <w:tcPr>
            <w:tcW w:w="189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i/>
                <w:sz w:val="28"/>
                <w:szCs w:val="28"/>
              </w:rPr>
            </w:pPr>
          </w:p>
        </w:tc>
        <w:tc>
          <w:tcPr>
            <w:tcW w:w="175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87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G</w:t>
            </w:r>
          </w:p>
        </w:tc>
        <w:tc>
          <w:tcPr>
            <w:tcW w:w="877"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275</w:t>
            </w:r>
          </w:p>
        </w:tc>
        <w:tc>
          <w:tcPr>
            <w:tcW w:w="87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0,3</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CG</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191</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0,42</w:t>
            </w:r>
          </w:p>
        </w:tc>
      </w:tr>
      <w:tr w:rsidR="00AB12B3" w:rsidTr="009D3251">
        <w:trPr>
          <w:trHeight w:val="333"/>
        </w:trPr>
        <w:tc>
          <w:tcPr>
            <w:tcW w:w="189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i/>
                <w:sz w:val="28"/>
                <w:szCs w:val="28"/>
              </w:rPr>
            </w:pPr>
          </w:p>
        </w:tc>
        <w:tc>
          <w:tcPr>
            <w:tcW w:w="175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634" w:type="dxa"/>
            <w:gridSpan w:val="3"/>
            <w:tcBorders>
              <w:top w:val="single" w:sz="4" w:space="0" w:color="auto"/>
              <w:left w:val="single" w:sz="4" w:space="0" w:color="auto"/>
              <w:bottom w:val="single" w:sz="4" w:space="0" w:color="auto"/>
              <w:right w:val="single" w:sz="4" w:space="0" w:color="auto"/>
            </w:tcBorders>
          </w:tcPr>
          <w:p w:rsidR="00AB12B3" w:rsidRDefault="00AB12B3">
            <w:pPr>
              <w:jc w:val="both"/>
              <w:rPr>
                <w:rFonts w:ascii="Times New Roman" w:hAnsi="Times New Roman"/>
                <w:sz w:val="28"/>
                <w:szCs w:val="28"/>
              </w:rPr>
            </w:pP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GG</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42</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0,09</w:t>
            </w:r>
          </w:p>
        </w:tc>
      </w:tr>
      <w:tr w:rsidR="00AB12B3" w:rsidTr="009D3251">
        <w:trPr>
          <w:trHeight w:val="333"/>
        </w:trPr>
        <w:tc>
          <w:tcPr>
            <w:tcW w:w="189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i/>
                <w:sz w:val="28"/>
                <w:szCs w:val="28"/>
              </w:rPr>
            </w:pPr>
            <w:r>
              <w:rPr>
                <w:rFonts w:ascii="Times New Roman" w:hAnsi="Times New Roman"/>
                <w:i/>
                <w:sz w:val="28"/>
                <w:szCs w:val="28"/>
              </w:rPr>
              <w:t xml:space="preserve">AGT </w:t>
            </w:r>
          </w:p>
          <w:p w:rsidR="00AB12B3" w:rsidRDefault="00AB12B3">
            <w:pPr>
              <w:jc w:val="both"/>
              <w:rPr>
                <w:rFonts w:ascii="Times New Roman" w:hAnsi="Times New Roman"/>
                <w:sz w:val="28"/>
                <w:szCs w:val="28"/>
              </w:rPr>
            </w:pPr>
            <w:r>
              <w:rPr>
                <w:rFonts w:ascii="Times New Roman" w:hAnsi="Times New Roman"/>
                <w:sz w:val="28"/>
                <w:szCs w:val="28"/>
              </w:rPr>
              <w:t>Thr174Met</w:t>
            </w:r>
          </w:p>
          <w:p w:rsidR="00AB12B3" w:rsidRDefault="00AB12B3" w:rsidP="00122696">
            <w:pPr>
              <w:jc w:val="both"/>
              <w:rPr>
                <w:rFonts w:ascii="Times New Roman" w:hAnsi="Times New Roman"/>
                <w:i/>
                <w:sz w:val="28"/>
                <w:szCs w:val="28"/>
              </w:rPr>
            </w:pPr>
            <w:r>
              <w:rPr>
                <w:rFonts w:ascii="Times New Roman" w:hAnsi="Times New Roman"/>
                <w:sz w:val="28"/>
                <w:szCs w:val="28"/>
              </w:rPr>
              <w:t>(rs4762)</w:t>
            </w:r>
          </w:p>
        </w:tc>
        <w:tc>
          <w:tcPr>
            <w:tcW w:w="175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0,79</w:t>
            </w:r>
          </w:p>
        </w:tc>
        <w:tc>
          <w:tcPr>
            <w:tcW w:w="87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G</w:t>
            </w:r>
          </w:p>
        </w:tc>
        <w:tc>
          <w:tcPr>
            <w:tcW w:w="877"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830</w:t>
            </w:r>
          </w:p>
        </w:tc>
        <w:tc>
          <w:tcPr>
            <w:tcW w:w="87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0,9</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GG</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375</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0,82</w:t>
            </w:r>
          </w:p>
        </w:tc>
      </w:tr>
      <w:tr w:rsidR="00AB12B3" w:rsidTr="009D3251">
        <w:trPr>
          <w:trHeight w:val="333"/>
        </w:trPr>
        <w:tc>
          <w:tcPr>
            <w:tcW w:w="189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i/>
                <w:sz w:val="28"/>
                <w:szCs w:val="28"/>
              </w:rPr>
            </w:pPr>
          </w:p>
        </w:tc>
        <w:tc>
          <w:tcPr>
            <w:tcW w:w="175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87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A</w:t>
            </w:r>
          </w:p>
        </w:tc>
        <w:tc>
          <w:tcPr>
            <w:tcW w:w="877"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90</w:t>
            </w:r>
          </w:p>
        </w:tc>
        <w:tc>
          <w:tcPr>
            <w:tcW w:w="87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GA</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80</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0,17</w:t>
            </w:r>
          </w:p>
        </w:tc>
      </w:tr>
      <w:tr w:rsidR="00AB12B3" w:rsidTr="009D3251">
        <w:trPr>
          <w:trHeight w:val="333"/>
        </w:trPr>
        <w:tc>
          <w:tcPr>
            <w:tcW w:w="189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i/>
                <w:sz w:val="28"/>
                <w:szCs w:val="28"/>
              </w:rPr>
            </w:pPr>
          </w:p>
        </w:tc>
        <w:tc>
          <w:tcPr>
            <w:tcW w:w="175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634" w:type="dxa"/>
            <w:gridSpan w:val="3"/>
            <w:tcBorders>
              <w:top w:val="single" w:sz="4" w:space="0" w:color="auto"/>
              <w:left w:val="single" w:sz="4" w:space="0" w:color="auto"/>
              <w:bottom w:val="single" w:sz="4" w:space="0" w:color="auto"/>
              <w:right w:val="single" w:sz="4" w:space="0" w:color="auto"/>
            </w:tcBorders>
          </w:tcPr>
          <w:p w:rsidR="00AB12B3" w:rsidRDefault="00AB12B3">
            <w:pPr>
              <w:jc w:val="both"/>
              <w:rPr>
                <w:rFonts w:ascii="Times New Roman" w:hAnsi="Times New Roman"/>
                <w:sz w:val="28"/>
                <w:szCs w:val="28"/>
              </w:rPr>
            </w:pP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AA</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5</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0,01</w:t>
            </w:r>
          </w:p>
        </w:tc>
      </w:tr>
      <w:tr w:rsidR="00AB12B3" w:rsidTr="009D3251">
        <w:trPr>
          <w:trHeight w:val="333"/>
        </w:trPr>
        <w:tc>
          <w:tcPr>
            <w:tcW w:w="189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i/>
                <w:sz w:val="28"/>
                <w:szCs w:val="28"/>
              </w:rPr>
            </w:pPr>
            <w:r>
              <w:rPr>
                <w:rFonts w:ascii="Times New Roman" w:hAnsi="Times New Roman"/>
                <w:i/>
                <w:sz w:val="28"/>
                <w:szCs w:val="28"/>
              </w:rPr>
              <w:t xml:space="preserve">AGTR1 </w:t>
            </w:r>
          </w:p>
          <w:p w:rsidR="00AB12B3" w:rsidRDefault="00AB12B3">
            <w:pPr>
              <w:jc w:val="both"/>
              <w:rPr>
                <w:rFonts w:ascii="Times New Roman" w:hAnsi="Times New Roman"/>
                <w:sz w:val="28"/>
                <w:szCs w:val="28"/>
              </w:rPr>
            </w:pPr>
            <w:r>
              <w:rPr>
                <w:rFonts w:ascii="Times New Roman" w:hAnsi="Times New Roman"/>
                <w:sz w:val="28"/>
                <w:szCs w:val="28"/>
              </w:rPr>
              <w:t>A1166C (rs5186)</w:t>
            </w:r>
          </w:p>
        </w:tc>
        <w:tc>
          <w:tcPr>
            <w:tcW w:w="175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0,017</w:t>
            </w:r>
          </w:p>
        </w:tc>
        <w:tc>
          <w:tcPr>
            <w:tcW w:w="87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A</w:t>
            </w:r>
          </w:p>
        </w:tc>
        <w:tc>
          <w:tcPr>
            <w:tcW w:w="877"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818</w:t>
            </w:r>
          </w:p>
        </w:tc>
        <w:tc>
          <w:tcPr>
            <w:tcW w:w="87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0,89</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AA</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369</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w:t>
            </w:r>
          </w:p>
        </w:tc>
      </w:tr>
      <w:tr w:rsidR="00AB12B3" w:rsidTr="009D3251">
        <w:trPr>
          <w:trHeight w:val="333"/>
        </w:trPr>
        <w:tc>
          <w:tcPr>
            <w:tcW w:w="189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5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87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С</w:t>
            </w:r>
          </w:p>
        </w:tc>
        <w:tc>
          <w:tcPr>
            <w:tcW w:w="877"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102</w:t>
            </w:r>
          </w:p>
        </w:tc>
        <w:tc>
          <w:tcPr>
            <w:tcW w:w="87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0,11</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AС</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80</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0,17</w:t>
            </w:r>
          </w:p>
        </w:tc>
      </w:tr>
      <w:tr w:rsidR="00AB12B3" w:rsidTr="009D3251">
        <w:trPr>
          <w:trHeight w:val="333"/>
        </w:trPr>
        <w:tc>
          <w:tcPr>
            <w:tcW w:w="189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5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634" w:type="dxa"/>
            <w:gridSpan w:val="3"/>
            <w:tcBorders>
              <w:top w:val="single" w:sz="4" w:space="0" w:color="auto"/>
              <w:left w:val="single" w:sz="4" w:space="0" w:color="auto"/>
              <w:bottom w:val="single" w:sz="4" w:space="0" w:color="auto"/>
              <w:right w:val="single" w:sz="4" w:space="0" w:color="auto"/>
            </w:tcBorders>
          </w:tcPr>
          <w:p w:rsidR="00AB12B3" w:rsidRDefault="00AB12B3">
            <w:pPr>
              <w:jc w:val="both"/>
              <w:rPr>
                <w:rFonts w:ascii="Times New Roman" w:hAnsi="Times New Roman"/>
                <w:sz w:val="28"/>
                <w:szCs w:val="28"/>
              </w:rPr>
            </w:pP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СС</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11</w:t>
            </w:r>
          </w:p>
        </w:tc>
        <w:tc>
          <w:tcPr>
            <w:tcW w:w="102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0,02</w:t>
            </w:r>
          </w:p>
        </w:tc>
      </w:tr>
    </w:tbl>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Анализ распространенности полиморфизма Ser447Ter (rs328) гена </w:t>
      </w:r>
      <w:r>
        <w:rPr>
          <w:rFonts w:ascii="Times New Roman" w:hAnsi="Times New Roman" w:cs="Times New Roman"/>
          <w:i/>
          <w:sz w:val="28"/>
          <w:szCs w:val="28"/>
        </w:rPr>
        <w:t>LPL</w:t>
      </w:r>
      <w:r>
        <w:rPr>
          <w:rFonts w:ascii="Times New Roman" w:hAnsi="Times New Roman" w:cs="Times New Roman"/>
          <w:sz w:val="28"/>
          <w:szCs w:val="28"/>
        </w:rPr>
        <w:t xml:space="preserve"> в</w:t>
      </w:r>
      <w:r w:rsidR="008E5501">
        <w:rPr>
          <w:rFonts w:ascii="Times New Roman" w:hAnsi="Times New Roman" w:cs="Times New Roman"/>
          <w:sz w:val="28"/>
          <w:szCs w:val="28"/>
        </w:rPr>
        <w:t xml:space="preserve"> исследуемой выборке</w:t>
      </w:r>
      <w:r>
        <w:rPr>
          <w:rFonts w:ascii="Times New Roman" w:hAnsi="Times New Roman" w:cs="Times New Roman"/>
          <w:sz w:val="28"/>
          <w:szCs w:val="28"/>
        </w:rPr>
        <w:t xml:space="preserve"> показал, что аллель С встречается чаще аллеля G (таблица </w:t>
      </w:r>
      <w:r w:rsidR="00F325E7">
        <w:rPr>
          <w:rFonts w:ascii="Times New Roman" w:hAnsi="Times New Roman" w:cs="Times New Roman"/>
          <w:sz w:val="28"/>
          <w:szCs w:val="28"/>
        </w:rPr>
        <w:t>3</w:t>
      </w:r>
      <w:r>
        <w:rPr>
          <w:rFonts w:ascii="Times New Roman" w:hAnsi="Times New Roman" w:cs="Times New Roman"/>
          <w:sz w:val="28"/>
          <w:szCs w:val="28"/>
        </w:rPr>
        <w:t>). Согласно данным 1000 Genomes</w:t>
      </w:r>
      <w:r w:rsidR="00BE658D">
        <w:rPr>
          <w:rFonts w:ascii="Times New Roman" w:hAnsi="Times New Roman" w:cs="Times New Roman"/>
          <w:sz w:val="28"/>
          <w:szCs w:val="28"/>
        </w:rPr>
        <w:t xml:space="preserve"> </w:t>
      </w:r>
      <w:r>
        <w:rPr>
          <w:rFonts w:ascii="Times New Roman" w:hAnsi="Times New Roman" w:cs="Times New Roman"/>
          <w:sz w:val="28"/>
          <w:szCs w:val="28"/>
        </w:rPr>
        <w:t xml:space="preserve">Browser глобальная частота встречаемости аллеля С равна 0,908, а аллель G </w:t>
      </w:r>
      <w:r w:rsidR="00C16F07">
        <w:rPr>
          <w:rFonts w:ascii="Times New Roman" w:hAnsi="Times New Roman" w:cs="Times New Roman"/>
          <w:sz w:val="28"/>
          <w:szCs w:val="28"/>
        </w:rPr>
        <w:t>–</w:t>
      </w:r>
      <w:r>
        <w:rPr>
          <w:rFonts w:ascii="Times New Roman" w:hAnsi="Times New Roman" w:cs="Times New Roman"/>
          <w:sz w:val="28"/>
          <w:szCs w:val="28"/>
        </w:rPr>
        <w:t xml:space="preserve"> 0,092. Как показано в таблице 5, в восточно-азиатской популяции средняя частота распространенности аллеля С составляет 0,878 (0,855-0,898), а частота аллеля G </w:t>
      </w:r>
      <w:r w:rsidR="00C16F07">
        <w:rPr>
          <w:rFonts w:ascii="Times New Roman" w:hAnsi="Times New Roman" w:cs="Times New Roman"/>
          <w:sz w:val="28"/>
          <w:szCs w:val="28"/>
        </w:rPr>
        <w:t>–</w:t>
      </w:r>
      <w:r>
        <w:rPr>
          <w:rFonts w:ascii="Times New Roman" w:hAnsi="Times New Roman" w:cs="Times New Roman"/>
          <w:sz w:val="28"/>
          <w:szCs w:val="28"/>
        </w:rPr>
        <w:t xml:space="preserve"> 0,122 (0,102-0,145); в европейской популяции частота аллеля С составляет в среднем 0,87 (0,836-0,884), а частота аллеля G </w:t>
      </w:r>
      <w:r w:rsidR="00C16F07">
        <w:rPr>
          <w:rFonts w:ascii="Times New Roman" w:hAnsi="Times New Roman" w:cs="Times New Roman"/>
          <w:sz w:val="28"/>
          <w:szCs w:val="28"/>
        </w:rPr>
        <w:t>–</w:t>
      </w:r>
      <w:r>
        <w:rPr>
          <w:rFonts w:ascii="Times New Roman" w:hAnsi="Times New Roman" w:cs="Times New Roman"/>
          <w:sz w:val="28"/>
          <w:szCs w:val="28"/>
        </w:rPr>
        <w:t xml:space="preserve"> 0,13 (0,115-0,164). При этом частота аллелей полиморфизма Ser447Ter (rs328) гена </w:t>
      </w:r>
      <w:r>
        <w:rPr>
          <w:rFonts w:ascii="Times New Roman" w:hAnsi="Times New Roman" w:cs="Times New Roman"/>
          <w:i/>
          <w:sz w:val="28"/>
          <w:szCs w:val="28"/>
        </w:rPr>
        <w:t>LPL</w:t>
      </w:r>
      <w:r>
        <w:rPr>
          <w:rFonts w:ascii="Times New Roman" w:hAnsi="Times New Roman" w:cs="Times New Roman"/>
          <w:sz w:val="28"/>
          <w:szCs w:val="28"/>
        </w:rPr>
        <w:t xml:space="preserve"> в </w:t>
      </w:r>
      <w:r w:rsidR="008E5501">
        <w:rPr>
          <w:rFonts w:ascii="Times New Roman" w:hAnsi="Times New Roman" w:cs="Times New Roman"/>
          <w:sz w:val="28"/>
          <w:szCs w:val="28"/>
        </w:rPr>
        <w:t xml:space="preserve">данной выборке </w:t>
      </w:r>
      <w:r>
        <w:rPr>
          <w:rFonts w:ascii="Times New Roman" w:hAnsi="Times New Roman" w:cs="Times New Roman"/>
          <w:sz w:val="28"/>
          <w:szCs w:val="28"/>
        </w:rPr>
        <w:t xml:space="preserve">была соотносима с частотой восточно-азиатской и европейской популяции, что объясняется их географическим расположением. Тогда как, частота данного полиморфизма аллель С в западно-азиатской популяции составил </w:t>
      </w:r>
      <w:r w:rsidR="00294BFC">
        <w:rPr>
          <w:rFonts w:ascii="Times New Roman" w:hAnsi="Times New Roman" w:cs="Times New Roman"/>
          <w:sz w:val="28"/>
          <w:szCs w:val="28"/>
        </w:rPr>
        <w:t>0,914 (0,892-0,948) и для аллеля</w:t>
      </w:r>
      <w:r>
        <w:rPr>
          <w:rFonts w:ascii="Times New Roman" w:hAnsi="Times New Roman" w:cs="Times New Roman"/>
          <w:sz w:val="28"/>
          <w:szCs w:val="28"/>
        </w:rPr>
        <w:t xml:space="preserve"> G </w:t>
      </w:r>
      <w:r w:rsidR="00C16F07">
        <w:rPr>
          <w:rFonts w:ascii="Times New Roman" w:hAnsi="Times New Roman" w:cs="Times New Roman"/>
          <w:sz w:val="28"/>
          <w:szCs w:val="28"/>
        </w:rPr>
        <w:t>–</w:t>
      </w:r>
      <w:r>
        <w:rPr>
          <w:rFonts w:ascii="Times New Roman" w:hAnsi="Times New Roman" w:cs="Times New Roman"/>
          <w:sz w:val="28"/>
          <w:szCs w:val="28"/>
        </w:rPr>
        <w:t xml:space="preserve"> 0,086 (0,052-0,108), что отличается от </w:t>
      </w:r>
      <w:r w:rsidR="00746F1C">
        <w:rPr>
          <w:rFonts w:ascii="Times New Roman" w:hAnsi="Times New Roman" w:cs="Times New Roman"/>
          <w:sz w:val="28"/>
          <w:szCs w:val="28"/>
        </w:rPr>
        <w:t>исследуемой выборки</w:t>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 изучении распространенности полиморфизма Gln27Glu (rs1042714)</w:t>
      </w:r>
      <w:r w:rsidR="00BE658D">
        <w:rPr>
          <w:rFonts w:ascii="Times New Roman" w:hAnsi="Times New Roman" w:cs="Times New Roman"/>
          <w:sz w:val="28"/>
          <w:szCs w:val="28"/>
        </w:rPr>
        <w:t xml:space="preserve"> </w:t>
      </w:r>
      <w:r>
        <w:rPr>
          <w:rFonts w:ascii="Times New Roman" w:hAnsi="Times New Roman" w:cs="Times New Roman"/>
          <w:sz w:val="28"/>
          <w:szCs w:val="28"/>
        </w:rPr>
        <w:t>гена</w:t>
      </w:r>
      <w:r>
        <w:rPr>
          <w:rFonts w:ascii="Times New Roman" w:hAnsi="Times New Roman" w:cs="Times New Roman"/>
          <w:i/>
          <w:sz w:val="28"/>
          <w:szCs w:val="28"/>
        </w:rPr>
        <w:t xml:space="preserve"> ADRB2</w:t>
      </w:r>
      <w:r>
        <w:rPr>
          <w:rFonts w:ascii="Times New Roman" w:hAnsi="Times New Roman" w:cs="Times New Roman"/>
          <w:sz w:val="28"/>
          <w:szCs w:val="28"/>
        </w:rPr>
        <w:t xml:space="preserve"> в </w:t>
      </w:r>
      <w:r w:rsidR="0098579D">
        <w:rPr>
          <w:rFonts w:ascii="Times New Roman" w:hAnsi="Times New Roman" w:cs="Times New Roman"/>
          <w:sz w:val="28"/>
          <w:szCs w:val="28"/>
        </w:rPr>
        <w:t xml:space="preserve">исследуемой </w:t>
      </w:r>
      <w:r w:rsidR="002A7F04">
        <w:rPr>
          <w:rFonts w:ascii="Times New Roman" w:hAnsi="Times New Roman" w:cs="Times New Roman"/>
          <w:sz w:val="28"/>
          <w:szCs w:val="28"/>
        </w:rPr>
        <w:t xml:space="preserve">нами </w:t>
      </w:r>
      <w:r w:rsidR="0098579D">
        <w:rPr>
          <w:rFonts w:ascii="Times New Roman" w:hAnsi="Times New Roman" w:cs="Times New Roman"/>
          <w:sz w:val="28"/>
          <w:szCs w:val="28"/>
        </w:rPr>
        <w:t>выборке</w:t>
      </w:r>
      <w:r w:rsidR="002A7F04">
        <w:rPr>
          <w:rFonts w:ascii="Times New Roman" w:hAnsi="Times New Roman" w:cs="Times New Roman"/>
          <w:sz w:val="28"/>
          <w:szCs w:val="28"/>
        </w:rPr>
        <w:t xml:space="preserve"> </w:t>
      </w:r>
      <w:r>
        <w:rPr>
          <w:rFonts w:ascii="Times New Roman" w:hAnsi="Times New Roman" w:cs="Times New Roman"/>
          <w:sz w:val="28"/>
          <w:szCs w:val="28"/>
        </w:rPr>
        <w:t xml:space="preserve">аллель С встречался чаще, чем аллель G (таблица 4). </w:t>
      </w:r>
      <w:r w:rsidR="00A40F57">
        <w:rPr>
          <w:rFonts w:ascii="Times New Roman" w:hAnsi="Times New Roman" w:cs="Times New Roman"/>
          <w:sz w:val="28"/>
          <w:szCs w:val="28"/>
        </w:rPr>
        <w:t>Частота</w:t>
      </w:r>
      <w:r>
        <w:rPr>
          <w:rFonts w:ascii="Times New Roman" w:hAnsi="Times New Roman" w:cs="Times New Roman"/>
          <w:sz w:val="28"/>
          <w:szCs w:val="28"/>
        </w:rPr>
        <w:t xml:space="preserve"> аллелей С и G rs1042714 в </w:t>
      </w:r>
      <w:r w:rsidR="0098579D">
        <w:rPr>
          <w:rFonts w:ascii="Times New Roman" w:hAnsi="Times New Roman" w:cs="Times New Roman"/>
          <w:sz w:val="28"/>
          <w:szCs w:val="28"/>
        </w:rPr>
        <w:t xml:space="preserve">нашей выборке </w:t>
      </w:r>
      <w:r>
        <w:rPr>
          <w:rFonts w:ascii="Times New Roman" w:hAnsi="Times New Roman" w:cs="Times New Roman"/>
          <w:sz w:val="28"/>
          <w:szCs w:val="28"/>
        </w:rPr>
        <w:t>сильно отличался от других популяци</w:t>
      </w:r>
      <w:r w:rsidR="005F5D71">
        <w:rPr>
          <w:rFonts w:ascii="Times New Roman" w:hAnsi="Times New Roman" w:cs="Times New Roman"/>
          <w:sz w:val="28"/>
          <w:szCs w:val="28"/>
        </w:rPr>
        <w:t>й</w:t>
      </w:r>
      <w:r>
        <w:rPr>
          <w:rFonts w:ascii="Times New Roman" w:hAnsi="Times New Roman" w:cs="Times New Roman"/>
          <w:sz w:val="28"/>
          <w:szCs w:val="28"/>
        </w:rPr>
        <w:t xml:space="preserve"> (таблица 5). Средн</w:t>
      </w:r>
      <w:r w:rsidR="005F5D71">
        <w:rPr>
          <w:rFonts w:ascii="Times New Roman" w:hAnsi="Times New Roman" w:cs="Times New Roman"/>
          <w:sz w:val="28"/>
          <w:szCs w:val="28"/>
        </w:rPr>
        <w:t>ие</w:t>
      </w:r>
      <w:r>
        <w:rPr>
          <w:rFonts w:ascii="Times New Roman" w:hAnsi="Times New Roman" w:cs="Times New Roman"/>
          <w:sz w:val="28"/>
          <w:szCs w:val="28"/>
        </w:rPr>
        <w:t xml:space="preserve"> значения встречаемости аллелей С и G rs1042714 в общей популяции составил</w:t>
      </w:r>
      <w:r w:rsidR="005F5D71">
        <w:rPr>
          <w:rFonts w:ascii="Times New Roman" w:hAnsi="Times New Roman" w:cs="Times New Roman"/>
          <w:sz w:val="28"/>
          <w:szCs w:val="28"/>
        </w:rPr>
        <w:t>и</w:t>
      </w:r>
      <w:r>
        <w:rPr>
          <w:rFonts w:ascii="Times New Roman" w:hAnsi="Times New Roman" w:cs="Times New Roman"/>
          <w:sz w:val="28"/>
          <w:szCs w:val="28"/>
        </w:rPr>
        <w:t xml:space="preserve"> 0,796 и 0,204 соответственно, следовательно, частота встречаемости аллелей С и G rs1042714 в </w:t>
      </w:r>
      <w:r w:rsidR="0098579D">
        <w:rPr>
          <w:rFonts w:ascii="Times New Roman" w:hAnsi="Times New Roman" w:cs="Times New Roman"/>
          <w:sz w:val="28"/>
          <w:szCs w:val="28"/>
        </w:rPr>
        <w:t xml:space="preserve">данной выборке </w:t>
      </w:r>
      <w:r>
        <w:rPr>
          <w:rFonts w:ascii="Times New Roman" w:hAnsi="Times New Roman" w:cs="Times New Roman"/>
          <w:sz w:val="28"/>
          <w:szCs w:val="28"/>
        </w:rPr>
        <w:t xml:space="preserve">была близка к глобальной частоте и </w:t>
      </w:r>
      <w:r w:rsidR="005F5D71">
        <w:rPr>
          <w:rFonts w:ascii="Times New Roman" w:hAnsi="Times New Roman" w:cs="Times New Roman"/>
          <w:sz w:val="28"/>
          <w:szCs w:val="28"/>
        </w:rPr>
        <w:t xml:space="preserve">к </w:t>
      </w:r>
      <w:r>
        <w:rPr>
          <w:rFonts w:ascii="Times New Roman" w:hAnsi="Times New Roman" w:cs="Times New Roman"/>
          <w:sz w:val="28"/>
          <w:szCs w:val="28"/>
        </w:rPr>
        <w:t xml:space="preserve">частоте в американской популяции. </w:t>
      </w:r>
      <w:r w:rsidR="005F5D71">
        <w:rPr>
          <w:rFonts w:ascii="Times New Roman" w:hAnsi="Times New Roman" w:cs="Times New Roman"/>
          <w:sz w:val="28"/>
          <w:szCs w:val="28"/>
        </w:rPr>
        <w:t>Частота р</w:t>
      </w:r>
      <w:r>
        <w:rPr>
          <w:rFonts w:ascii="Times New Roman" w:hAnsi="Times New Roman" w:cs="Times New Roman"/>
          <w:sz w:val="28"/>
          <w:szCs w:val="28"/>
        </w:rPr>
        <w:t>аспространенност</w:t>
      </w:r>
      <w:r w:rsidR="005F5D71">
        <w:rPr>
          <w:rFonts w:ascii="Times New Roman" w:hAnsi="Times New Roman" w:cs="Times New Roman"/>
          <w:sz w:val="28"/>
          <w:szCs w:val="28"/>
        </w:rPr>
        <w:t>и</w:t>
      </w:r>
      <w:r>
        <w:rPr>
          <w:rFonts w:ascii="Times New Roman" w:hAnsi="Times New Roman" w:cs="Times New Roman"/>
          <w:sz w:val="28"/>
          <w:szCs w:val="28"/>
        </w:rPr>
        <w:t xml:space="preserve"> аллелей С и G rs1042714 в </w:t>
      </w:r>
      <w:r w:rsidR="00CE542B">
        <w:rPr>
          <w:rFonts w:ascii="Times New Roman" w:hAnsi="Times New Roman" w:cs="Times New Roman"/>
          <w:sz w:val="28"/>
          <w:szCs w:val="28"/>
        </w:rPr>
        <w:t xml:space="preserve">исследуемой </w:t>
      </w:r>
      <w:r w:rsidR="002A7F04">
        <w:rPr>
          <w:rFonts w:ascii="Times New Roman" w:hAnsi="Times New Roman" w:cs="Times New Roman"/>
          <w:sz w:val="28"/>
          <w:szCs w:val="28"/>
        </w:rPr>
        <w:t xml:space="preserve">нами </w:t>
      </w:r>
      <w:r w:rsidR="00CE542B">
        <w:rPr>
          <w:rFonts w:ascii="Times New Roman" w:hAnsi="Times New Roman" w:cs="Times New Roman"/>
          <w:sz w:val="28"/>
          <w:szCs w:val="28"/>
        </w:rPr>
        <w:t xml:space="preserve">выборке </w:t>
      </w:r>
      <w:r w:rsidR="005F5D71">
        <w:rPr>
          <w:rFonts w:ascii="Times New Roman" w:hAnsi="Times New Roman" w:cs="Times New Roman"/>
          <w:sz w:val="28"/>
          <w:szCs w:val="28"/>
        </w:rPr>
        <w:t>занимает</w:t>
      </w:r>
      <w:r>
        <w:rPr>
          <w:rFonts w:ascii="Times New Roman" w:hAnsi="Times New Roman" w:cs="Times New Roman"/>
          <w:sz w:val="28"/>
          <w:szCs w:val="28"/>
        </w:rPr>
        <w:t xml:space="preserve"> промежуточно</w:t>
      </w:r>
      <w:r w:rsidR="005F5D71">
        <w:rPr>
          <w:rFonts w:ascii="Times New Roman" w:hAnsi="Times New Roman" w:cs="Times New Roman"/>
          <w:sz w:val="28"/>
          <w:szCs w:val="28"/>
        </w:rPr>
        <w:t>е место</w:t>
      </w:r>
      <w:r>
        <w:rPr>
          <w:rFonts w:ascii="Times New Roman" w:hAnsi="Times New Roman" w:cs="Times New Roman"/>
          <w:sz w:val="28"/>
          <w:szCs w:val="28"/>
        </w:rPr>
        <w:t xml:space="preserve"> между европейской (среднее</w:t>
      </w:r>
      <w:r w:rsidR="00B369B1">
        <w:rPr>
          <w:rFonts w:ascii="Times New Roman" w:hAnsi="Times New Roman" w:cs="Times New Roman"/>
          <w:sz w:val="28"/>
          <w:szCs w:val="28"/>
        </w:rPr>
        <w:t xml:space="preserve"> частота</w:t>
      </w:r>
      <w:r>
        <w:rPr>
          <w:rFonts w:ascii="Times New Roman" w:hAnsi="Times New Roman" w:cs="Times New Roman"/>
          <w:sz w:val="28"/>
          <w:szCs w:val="28"/>
        </w:rPr>
        <w:t xml:space="preserve"> для </w:t>
      </w:r>
      <w:r>
        <w:rPr>
          <w:rFonts w:ascii="Times New Roman" w:hAnsi="Times New Roman" w:cs="Times New Roman"/>
          <w:sz w:val="28"/>
          <w:szCs w:val="28"/>
        </w:rPr>
        <w:lastRenderedPageBreak/>
        <w:t xml:space="preserve">аллеля С 0,59 (0,535 </w:t>
      </w:r>
      <w:r w:rsidR="00C16F07">
        <w:rPr>
          <w:rFonts w:ascii="Times New Roman" w:hAnsi="Times New Roman" w:cs="Times New Roman"/>
          <w:sz w:val="28"/>
          <w:szCs w:val="28"/>
        </w:rPr>
        <w:t>–</w:t>
      </w:r>
      <w:r>
        <w:rPr>
          <w:rFonts w:ascii="Times New Roman" w:hAnsi="Times New Roman" w:cs="Times New Roman"/>
          <w:sz w:val="28"/>
          <w:szCs w:val="28"/>
        </w:rPr>
        <w:t xml:space="preserve"> 0,631) и для аллеля G 0,41 (0,369-0,465)) и западно-азиатской (среднее</w:t>
      </w:r>
      <w:r w:rsidR="00B369B1">
        <w:rPr>
          <w:rFonts w:ascii="Times New Roman" w:hAnsi="Times New Roman" w:cs="Times New Roman"/>
          <w:sz w:val="28"/>
          <w:szCs w:val="28"/>
        </w:rPr>
        <w:t xml:space="preserve"> частота</w:t>
      </w:r>
      <w:r>
        <w:rPr>
          <w:rFonts w:ascii="Times New Roman" w:hAnsi="Times New Roman" w:cs="Times New Roman"/>
          <w:sz w:val="28"/>
          <w:szCs w:val="28"/>
        </w:rPr>
        <w:t xml:space="preserve"> для аллеля С 0,927 (0,893-0,952) и для аллеля G 0,073 (0,048-0,107)) популяциях.</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анализе </w:t>
      </w:r>
      <w:r w:rsidR="00D92967">
        <w:rPr>
          <w:rFonts w:ascii="Times New Roman" w:hAnsi="Times New Roman" w:cs="Times New Roman"/>
          <w:sz w:val="28"/>
          <w:szCs w:val="28"/>
        </w:rPr>
        <w:t xml:space="preserve">частоты </w:t>
      </w:r>
      <w:r>
        <w:rPr>
          <w:rFonts w:ascii="Times New Roman" w:hAnsi="Times New Roman" w:cs="Times New Roman"/>
          <w:sz w:val="28"/>
          <w:szCs w:val="28"/>
        </w:rPr>
        <w:t xml:space="preserve">встречаемости аллелей G и А полиморфизма Thr174Met (rs4762) гена </w:t>
      </w:r>
      <w:r>
        <w:rPr>
          <w:rFonts w:ascii="Times New Roman" w:hAnsi="Times New Roman" w:cs="Times New Roman"/>
          <w:i/>
          <w:sz w:val="28"/>
          <w:szCs w:val="28"/>
        </w:rPr>
        <w:t>AGT</w:t>
      </w:r>
      <w:r>
        <w:rPr>
          <w:rFonts w:ascii="Times New Roman" w:hAnsi="Times New Roman" w:cs="Times New Roman"/>
          <w:sz w:val="28"/>
          <w:szCs w:val="28"/>
        </w:rPr>
        <w:t xml:space="preserve"> в </w:t>
      </w:r>
      <w:r w:rsidR="00CE542B">
        <w:rPr>
          <w:rFonts w:ascii="Times New Roman" w:hAnsi="Times New Roman" w:cs="Times New Roman"/>
          <w:sz w:val="28"/>
          <w:szCs w:val="28"/>
        </w:rPr>
        <w:t>нашей выборке</w:t>
      </w:r>
      <w:r>
        <w:rPr>
          <w:rFonts w:ascii="Times New Roman" w:hAnsi="Times New Roman" w:cs="Times New Roman"/>
          <w:sz w:val="28"/>
          <w:szCs w:val="28"/>
        </w:rPr>
        <w:t xml:space="preserve"> аллель А </w:t>
      </w:r>
      <w:r w:rsidR="00D92967">
        <w:rPr>
          <w:rFonts w:ascii="Times New Roman" w:hAnsi="Times New Roman" w:cs="Times New Roman"/>
          <w:sz w:val="28"/>
          <w:szCs w:val="28"/>
        </w:rPr>
        <w:t xml:space="preserve">выявлялся </w:t>
      </w:r>
      <w:r>
        <w:rPr>
          <w:rFonts w:ascii="Times New Roman" w:hAnsi="Times New Roman" w:cs="Times New Roman"/>
          <w:sz w:val="28"/>
          <w:szCs w:val="28"/>
        </w:rPr>
        <w:t xml:space="preserve">реже (таблица </w:t>
      </w:r>
      <w:r w:rsidR="00F325E7">
        <w:rPr>
          <w:rFonts w:ascii="Times New Roman" w:hAnsi="Times New Roman" w:cs="Times New Roman"/>
          <w:sz w:val="28"/>
          <w:szCs w:val="28"/>
        </w:rPr>
        <w:t>3</w:t>
      </w:r>
      <w:r>
        <w:rPr>
          <w:rFonts w:ascii="Times New Roman" w:hAnsi="Times New Roman" w:cs="Times New Roman"/>
          <w:sz w:val="28"/>
          <w:szCs w:val="28"/>
        </w:rPr>
        <w:t xml:space="preserve">), чем в европейской и западно-азиатской популяциях, но результаты сопоставимы с глобальной частотой и частотой в восточно-азиатской популяцией (таблица </w:t>
      </w:r>
      <w:r w:rsidR="00F325E7">
        <w:rPr>
          <w:rFonts w:ascii="Times New Roman" w:hAnsi="Times New Roman" w:cs="Times New Roman"/>
          <w:sz w:val="28"/>
          <w:szCs w:val="28"/>
        </w:rPr>
        <w:t>4</w:t>
      </w:r>
      <w:r>
        <w:rPr>
          <w:rFonts w:ascii="Times New Roman" w:hAnsi="Times New Roman" w:cs="Times New Roman"/>
          <w:sz w:val="28"/>
          <w:szCs w:val="28"/>
        </w:rPr>
        <w:t xml:space="preserve">). В европейской популяции </w:t>
      </w:r>
      <w:r w:rsidR="00D92967">
        <w:rPr>
          <w:rFonts w:ascii="Times New Roman" w:hAnsi="Times New Roman" w:cs="Times New Roman"/>
          <w:sz w:val="28"/>
          <w:szCs w:val="28"/>
        </w:rPr>
        <w:t xml:space="preserve">распространенность </w:t>
      </w:r>
      <w:r>
        <w:rPr>
          <w:rFonts w:ascii="Times New Roman" w:hAnsi="Times New Roman" w:cs="Times New Roman"/>
          <w:sz w:val="28"/>
          <w:szCs w:val="28"/>
        </w:rPr>
        <w:t>аллел</w:t>
      </w:r>
      <w:r w:rsidR="00D92967">
        <w:rPr>
          <w:rFonts w:ascii="Times New Roman" w:hAnsi="Times New Roman" w:cs="Times New Roman"/>
          <w:sz w:val="28"/>
          <w:szCs w:val="28"/>
        </w:rPr>
        <w:t>я</w:t>
      </w:r>
      <w:r>
        <w:rPr>
          <w:rFonts w:ascii="Times New Roman" w:hAnsi="Times New Roman" w:cs="Times New Roman"/>
          <w:sz w:val="28"/>
          <w:szCs w:val="28"/>
        </w:rPr>
        <w:t xml:space="preserve"> G</w:t>
      </w:r>
      <w:r w:rsidR="00D92967">
        <w:rPr>
          <w:rFonts w:ascii="Times New Roman" w:hAnsi="Times New Roman" w:cs="Times New Roman"/>
          <w:sz w:val="28"/>
          <w:szCs w:val="28"/>
        </w:rPr>
        <w:t xml:space="preserve"> был</w:t>
      </w:r>
      <w:r>
        <w:rPr>
          <w:rFonts w:ascii="Times New Roman" w:hAnsi="Times New Roman" w:cs="Times New Roman"/>
          <w:sz w:val="28"/>
          <w:szCs w:val="28"/>
        </w:rPr>
        <w:t xml:space="preserve"> с частотой 0,87 в среднем (0,798-0,899), в восточно-азиатской популяции в среднем </w:t>
      </w:r>
      <w:r w:rsidR="00C16F07">
        <w:rPr>
          <w:rFonts w:ascii="Times New Roman" w:hAnsi="Times New Roman" w:cs="Times New Roman"/>
          <w:sz w:val="28"/>
          <w:szCs w:val="28"/>
        </w:rPr>
        <w:t>–</w:t>
      </w:r>
      <w:r>
        <w:rPr>
          <w:rFonts w:ascii="Times New Roman" w:hAnsi="Times New Roman" w:cs="Times New Roman"/>
          <w:sz w:val="28"/>
          <w:szCs w:val="28"/>
        </w:rPr>
        <w:t xml:space="preserve"> 0,893 (0,876-0,918).</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Таблица </w:t>
      </w:r>
      <w:r w:rsidR="00F325E7">
        <w:rPr>
          <w:rFonts w:ascii="Times New Roman" w:hAnsi="Times New Roman" w:cs="Times New Roman"/>
          <w:sz w:val="28"/>
          <w:szCs w:val="28"/>
        </w:rPr>
        <w:t>4</w:t>
      </w:r>
      <w:r w:rsidR="003441A2">
        <w:rPr>
          <w:rFonts w:ascii="Times New Roman" w:hAnsi="Times New Roman" w:cs="Times New Roman"/>
          <w:sz w:val="28"/>
          <w:szCs w:val="28"/>
          <w:lang w:val="kk-KZ"/>
        </w:rPr>
        <w:t xml:space="preserve">- </w:t>
      </w:r>
      <w:r>
        <w:rPr>
          <w:rFonts w:ascii="Times New Roman" w:hAnsi="Times New Roman" w:cs="Times New Roman"/>
          <w:sz w:val="28"/>
          <w:szCs w:val="28"/>
        </w:rPr>
        <w:t xml:space="preserve">Распространенность аллелей 4 полиморфизмов в разных популяциях </w:t>
      </w:r>
      <w:r w:rsidR="00D04249">
        <w:rPr>
          <w:rFonts w:ascii="Times New Roman" w:hAnsi="Times New Roman" w:cs="Times New Roman"/>
          <w:sz w:val="28"/>
          <w:szCs w:val="28"/>
        </w:rPr>
        <w:t>(</w:t>
      </w:r>
      <w:r>
        <w:rPr>
          <w:rFonts w:ascii="Times New Roman" w:hAnsi="Times New Roman" w:cs="Times New Roman"/>
          <w:sz w:val="28"/>
          <w:szCs w:val="28"/>
        </w:rPr>
        <w:t>1000 Genomes</w:t>
      </w:r>
      <w:r w:rsidR="00BE658D">
        <w:rPr>
          <w:rFonts w:ascii="Times New Roman" w:hAnsi="Times New Roman" w:cs="Times New Roman"/>
          <w:sz w:val="28"/>
          <w:szCs w:val="28"/>
        </w:rPr>
        <w:t xml:space="preserve"> </w:t>
      </w:r>
      <w:r>
        <w:rPr>
          <w:rFonts w:ascii="Times New Roman" w:hAnsi="Times New Roman" w:cs="Times New Roman"/>
          <w:sz w:val="28"/>
          <w:szCs w:val="28"/>
        </w:rPr>
        <w:t>Browser</w:t>
      </w:r>
      <w:r w:rsidR="00D04249">
        <w:rPr>
          <w:rFonts w:ascii="Times New Roman" w:hAnsi="Times New Roman" w:cs="Times New Roman"/>
          <w:sz w:val="28"/>
          <w:szCs w:val="28"/>
        </w:rPr>
        <w:t>)</w:t>
      </w:r>
    </w:p>
    <w:p w:rsidR="009D3251" w:rsidRPr="009D3251" w:rsidRDefault="009D3251" w:rsidP="00AB12B3">
      <w:pPr>
        <w:spacing w:after="0" w:line="240" w:lineRule="auto"/>
        <w:jc w:val="both"/>
        <w:rPr>
          <w:rFonts w:ascii="Times New Roman" w:hAnsi="Times New Roman" w:cs="Times New Roman"/>
          <w:sz w:val="28"/>
          <w:szCs w:val="28"/>
          <w:lang w:val="kk-KZ"/>
        </w:rPr>
      </w:pPr>
    </w:p>
    <w:tbl>
      <w:tblPr>
        <w:tblStyle w:val="af7"/>
        <w:tblW w:w="0" w:type="auto"/>
        <w:tblInd w:w="108" w:type="dxa"/>
        <w:tblLayout w:type="fixed"/>
        <w:tblLook w:val="04A0" w:firstRow="1" w:lastRow="0" w:firstColumn="1" w:lastColumn="0" w:noHBand="0" w:noVBand="1"/>
      </w:tblPr>
      <w:tblGrid>
        <w:gridCol w:w="2042"/>
        <w:gridCol w:w="935"/>
        <w:gridCol w:w="992"/>
        <w:gridCol w:w="993"/>
        <w:gridCol w:w="850"/>
        <w:gridCol w:w="992"/>
        <w:gridCol w:w="851"/>
        <w:gridCol w:w="850"/>
        <w:gridCol w:w="851"/>
      </w:tblGrid>
      <w:tr w:rsidR="00AB12B3" w:rsidTr="00AB12B3">
        <w:tc>
          <w:tcPr>
            <w:tcW w:w="2042" w:type="dxa"/>
            <w:vMerge w:val="restart"/>
            <w:tcBorders>
              <w:top w:val="single" w:sz="4" w:space="0" w:color="auto"/>
              <w:left w:val="single" w:sz="4" w:space="0" w:color="auto"/>
              <w:bottom w:val="single" w:sz="4" w:space="0" w:color="auto"/>
              <w:right w:val="single" w:sz="4" w:space="0" w:color="auto"/>
              <w:tr2bl w:val="single" w:sz="4" w:space="0" w:color="auto"/>
            </w:tcBorders>
          </w:tcPr>
          <w:p w:rsidR="00AB12B3" w:rsidRDefault="00AB12B3">
            <w:pPr>
              <w:jc w:val="both"/>
              <w:rPr>
                <w:rFonts w:ascii="Times New Roman" w:hAnsi="Times New Roman"/>
                <w:sz w:val="28"/>
                <w:szCs w:val="28"/>
              </w:rPr>
            </w:pPr>
            <w:r>
              <w:rPr>
                <w:rFonts w:ascii="Times New Roman" w:hAnsi="Times New Roman"/>
                <w:sz w:val="28"/>
                <w:szCs w:val="28"/>
              </w:rPr>
              <w:t xml:space="preserve">Популяция </w:t>
            </w:r>
          </w:p>
          <w:p w:rsidR="00AB12B3" w:rsidRDefault="00AB12B3">
            <w:pPr>
              <w:jc w:val="both"/>
              <w:rPr>
                <w:rFonts w:ascii="Times New Roman" w:hAnsi="Times New Roman"/>
                <w:sz w:val="28"/>
                <w:szCs w:val="28"/>
              </w:rPr>
            </w:pPr>
          </w:p>
          <w:p w:rsidR="00AB12B3" w:rsidRDefault="00AB12B3">
            <w:pPr>
              <w:jc w:val="both"/>
              <w:rPr>
                <w:rFonts w:ascii="Times New Roman" w:hAnsi="Times New Roman"/>
                <w:sz w:val="28"/>
                <w:szCs w:val="28"/>
              </w:rPr>
            </w:pPr>
          </w:p>
          <w:p w:rsidR="00AB12B3" w:rsidRDefault="00AB12B3">
            <w:pPr>
              <w:jc w:val="both"/>
              <w:rPr>
                <w:rFonts w:ascii="Times New Roman" w:hAnsi="Times New Roman"/>
                <w:sz w:val="28"/>
                <w:szCs w:val="28"/>
              </w:rPr>
            </w:pPr>
            <w:r>
              <w:rPr>
                <w:rFonts w:ascii="Times New Roman" w:hAnsi="Times New Roman"/>
                <w:sz w:val="28"/>
                <w:szCs w:val="28"/>
              </w:rPr>
              <w:t xml:space="preserve">             Аллель </w:t>
            </w:r>
          </w:p>
        </w:tc>
        <w:tc>
          <w:tcPr>
            <w:tcW w:w="1927"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i/>
                <w:sz w:val="28"/>
                <w:szCs w:val="28"/>
              </w:rPr>
            </w:pPr>
            <w:r>
              <w:rPr>
                <w:rFonts w:ascii="Times New Roman" w:hAnsi="Times New Roman"/>
                <w:i/>
                <w:sz w:val="28"/>
                <w:szCs w:val="28"/>
              </w:rPr>
              <w:t xml:space="preserve">LPL </w:t>
            </w:r>
            <w:r>
              <w:rPr>
                <w:rFonts w:ascii="Times New Roman" w:hAnsi="Times New Roman"/>
                <w:sz w:val="28"/>
                <w:szCs w:val="28"/>
              </w:rPr>
              <w:t>Ser447Ter (rs328)</w:t>
            </w:r>
          </w:p>
        </w:tc>
        <w:tc>
          <w:tcPr>
            <w:tcW w:w="1843"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i/>
                <w:sz w:val="28"/>
                <w:szCs w:val="28"/>
              </w:rPr>
            </w:pPr>
            <w:r>
              <w:rPr>
                <w:rFonts w:ascii="Times New Roman" w:hAnsi="Times New Roman"/>
                <w:i/>
                <w:sz w:val="28"/>
                <w:szCs w:val="28"/>
              </w:rPr>
              <w:t xml:space="preserve">ADRB2 </w:t>
            </w:r>
            <w:r>
              <w:rPr>
                <w:rFonts w:ascii="Times New Roman" w:hAnsi="Times New Roman"/>
                <w:sz w:val="28"/>
                <w:szCs w:val="28"/>
              </w:rPr>
              <w:t>Gln27Glu (rs1042714)</w:t>
            </w:r>
          </w:p>
        </w:tc>
        <w:tc>
          <w:tcPr>
            <w:tcW w:w="1843"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i/>
                <w:sz w:val="28"/>
                <w:szCs w:val="28"/>
              </w:rPr>
            </w:pPr>
            <w:r>
              <w:rPr>
                <w:rFonts w:ascii="Times New Roman" w:hAnsi="Times New Roman"/>
                <w:i/>
                <w:sz w:val="28"/>
                <w:szCs w:val="28"/>
              </w:rPr>
              <w:t xml:space="preserve">AGT </w:t>
            </w:r>
            <w:r>
              <w:rPr>
                <w:rFonts w:ascii="Times New Roman" w:hAnsi="Times New Roman"/>
                <w:sz w:val="28"/>
                <w:szCs w:val="28"/>
              </w:rPr>
              <w:t>Thr174Met (rs4762)</w:t>
            </w:r>
          </w:p>
        </w:tc>
        <w:tc>
          <w:tcPr>
            <w:tcW w:w="1701"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i/>
                <w:sz w:val="28"/>
                <w:szCs w:val="28"/>
              </w:rPr>
            </w:pPr>
            <w:r>
              <w:rPr>
                <w:rFonts w:ascii="Times New Roman" w:hAnsi="Times New Roman"/>
                <w:i/>
                <w:sz w:val="28"/>
                <w:szCs w:val="28"/>
              </w:rPr>
              <w:t xml:space="preserve">AGTR1 </w:t>
            </w:r>
            <w:r>
              <w:rPr>
                <w:rFonts w:ascii="Times New Roman" w:hAnsi="Times New Roman"/>
                <w:sz w:val="28"/>
                <w:szCs w:val="28"/>
              </w:rPr>
              <w:t>A1166C (rs5186)</w:t>
            </w:r>
          </w:p>
        </w:tc>
      </w:tr>
      <w:tr w:rsidR="00AB12B3" w:rsidTr="00AB12B3">
        <w:tc>
          <w:tcPr>
            <w:tcW w:w="204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935"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С</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G</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С</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G</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G</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A</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С</w:t>
            </w:r>
          </w:p>
        </w:tc>
      </w:tr>
      <w:tr w:rsidR="00AB12B3" w:rsidTr="00AB12B3">
        <w:tc>
          <w:tcPr>
            <w:tcW w:w="204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 xml:space="preserve">Все </w:t>
            </w:r>
          </w:p>
        </w:tc>
        <w:tc>
          <w:tcPr>
            <w:tcW w:w="935"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0,908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0,092</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0,796</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0,204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0,898</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0,102</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0,882</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0,118</w:t>
            </w:r>
          </w:p>
        </w:tc>
      </w:tr>
      <w:tr w:rsidR="00AB12B3" w:rsidTr="00AB12B3">
        <w:tc>
          <w:tcPr>
            <w:tcW w:w="204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Африканская</w:t>
            </w:r>
          </w:p>
        </w:tc>
        <w:tc>
          <w:tcPr>
            <w:tcW w:w="935"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0,939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0,061</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0,864</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0,136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0,946</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0,054</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0,980</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0,020</w:t>
            </w:r>
          </w:p>
        </w:tc>
      </w:tr>
      <w:tr w:rsidR="00AB12B3" w:rsidTr="00AB12B3">
        <w:tc>
          <w:tcPr>
            <w:tcW w:w="204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Американская</w:t>
            </w:r>
          </w:p>
        </w:tc>
        <w:tc>
          <w:tcPr>
            <w:tcW w:w="935"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0,937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0,063</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0,758</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0,242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0,873</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0,127</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0,767</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0,233</w:t>
            </w:r>
          </w:p>
        </w:tc>
      </w:tr>
      <w:tr w:rsidR="00AB12B3" w:rsidTr="00AB12B3">
        <w:tc>
          <w:tcPr>
            <w:tcW w:w="204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Восточно-азиатская</w:t>
            </w:r>
          </w:p>
        </w:tc>
        <w:tc>
          <w:tcPr>
            <w:tcW w:w="935"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0,878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0,122</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0,927</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0,073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0,893</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0,107</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0,940</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0,060</w:t>
            </w:r>
          </w:p>
        </w:tc>
      </w:tr>
      <w:tr w:rsidR="00AB12B3" w:rsidTr="00AB12B3">
        <w:tc>
          <w:tcPr>
            <w:tcW w:w="204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Западно-азиатская</w:t>
            </w:r>
          </w:p>
        </w:tc>
        <w:tc>
          <w:tcPr>
            <w:tcW w:w="935"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0,914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0,086</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0,807</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0,193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0,888</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0,112</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0,931</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0,069</w:t>
            </w:r>
          </w:p>
        </w:tc>
      </w:tr>
      <w:tr w:rsidR="00AB12B3" w:rsidTr="00AB12B3">
        <w:tc>
          <w:tcPr>
            <w:tcW w:w="204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Европейская</w:t>
            </w:r>
          </w:p>
        </w:tc>
        <w:tc>
          <w:tcPr>
            <w:tcW w:w="935"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0,870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0,130</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0,590</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0,410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0,870</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0,130</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0,728</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0,272</w:t>
            </w:r>
          </w:p>
        </w:tc>
      </w:tr>
    </w:tbl>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ind w:firstLine="707"/>
        <w:jc w:val="both"/>
        <w:rPr>
          <w:rFonts w:ascii="Times New Roman" w:hAnsi="Times New Roman" w:cs="Times New Roman"/>
          <w:sz w:val="28"/>
          <w:szCs w:val="28"/>
        </w:rPr>
      </w:pPr>
      <w:r>
        <w:rPr>
          <w:rFonts w:ascii="Times New Roman" w:hAnsi="Times New Roman" w:cs="Times New Roman"/>
          <w:sz w:val="28"/>
          <w:szCs w:val="28"/>
        </w:rPr>
        <w:t>Согласно данным 1000 Genomes</w:t>
      </w:r>
      <w:r w:rsidR="002058A3">
        <w:rPr>
          <w:rFonts w:ascii="Times New Roman" w:hAnsi="Times New Roman" w:cs="Times New Roman"/>
          <w:sz w:val="28"/>
          <w:szCs w:val="28"/>
        </w:rPr>
        <w:t xml:space="preserve"> </w:t>
      </w:r>
      <w:r>
        <w:rPr>
          <w:rFonts w:ascii="Times New Roman" w:hAnsi="Times New Roman" w:cs="Times New Roman"/>
          <w:sz w:val="28"/>
          <w:szCs w:val="28"/>
        </w:rPr>
        <w:t xml:space="preserve">Browser глобальная частота аллеля С полиморфизма A1166C (rs5186) гена </w:t>
      </w:r>
      <w:r>
        <w:rPr>
          <w:rFonts w:ascii="Times New Roman" w:hAnsi="Times New Roman" w:cs="Times New Roman"/>
          <w:i/>
          <w:sz w:val="28"/>
          <w:szCs w:val="28"/>
        </w:rPr>
        <w:t>AGTR1</w:t>
      </w:r>
      <w:r>
        <w:rPr>
          <w:rFonts w:ascii="Times New Roman" w:hAnsi="Times New Roman" w:cs="Times New Roman"/>
          <w:sz w:val="28"/>
          <w:szCs w:val="28"/>
        </w:rPr>
        <w:t xml:space="preserve"> составляет 0,118, что можно сопоставить с </w:t>
      </w:r>
      <w:r w:rsidR="002A7F04">
        <w:rPr>
          <w:rFonts w:ascii="Times New Roman" w:hAnsi="Times New Roman" w:cs="Times New Roman"/>
          <w:sz w:val="28"/>
          <w:szCs w:val="28"/>
        </w:rPr>
        <w:t>данной выборкой</w:t>
      </w:r>
      <w:r>
        <w:rPr>
          <w:rFonts w:ascii="Times New Roman" w:hAnsi="Times New Roman" w:cs="Times New Roman"/>
          <w:sz w:val="28"/>
          <w:szCs w:val="28"/>
        </w:rPr>
        <w:t xml:space="preserve">. Частота встречаемости аллеля С rs5186 в восточно-азиатской популяции составила 0,06 (0,038 </w:t>
      </w:r>
      <w:r w:rsidR="00C16F07">
        <w:rPr>
          <w:rFonts w:ascii="Times New Roman" w:hAnsi="Times New Roman" w:cs="Times New Roman"/>
          <w:sz w:val="28"/>
          <w:szCs w:val="28"/>
        </w:rPr>
        <w:t>–</w:t>
      </w:r>
      <w:r>
        <w:rPr>
          <w:rFonts w:ascii="Times New Roman" w:hAnsi="Times New Roman" w:cs="Times New Roman"/>
          <w:sz w:val="28"/>
          <w:szCs w:val="28"/>
        </w:rPr>
        <w:t xml:space="preserve"> 0,09), в европейской </w:t>
      </w:r>
      <w:r w:rsidR="00C16F07">
        <w:rPr>
          <w:rFonts w:ascii="Times New Roman" w:hAnsi="Times New Roman" w:cs="Times New Roman"/>
          <w:sz w:val="28"/>
          <w:szCs w:val="28"/>
        </w:rPr>
        <w:t>–</w:t>
      </w:r>
      <w:r>
        <w:rPr>
          <w:rFonts w:ascii="Times New Roman" w:hAnsi="Times New Roman" w:cs="Times New Roman"/>
          <w:sz w:val="28"/>
          <w:szCs w:val="28"/>
        </w:rPr>
        <w:t xml:space="preserve"> 0,27 (0,207 </w:t>
      </w:r>
      <w:r w:rsidR="00C16F07">
        <w:rPr>
          <w:rFonts w:ascii="Times New Roman" w:hAnsi="Times New Roman" w:cs="Times New Roman"/>
          <w:sz w:val="28"/>
          <w:szCs w:val="28"/>
        </w:rPr>
        <w:t>–</w:t>
      </w:r>
      <w:r>
        <w:rPr>
          <w:rFonts w:ascii="Times New Roman" w:hAnsi="Times New Roman" w:cs="Times New Roman"/>
          <w:sz w:val="28"/>
          <w:szCs w:val="28"/>
        </w:rPr>
        <w:t xml:space="preserve"> 0,313) и </w:t>
      </w:r>
      <w:r w:rsidR="006304A3">
        <w:rPr>
          <w:rFonts w:ascii="Times New Roman" w:hAnsi="Times New Roman" w:cs="Times New Roman"/>
          <w:sz w:val="28"/>
          <w:szCs w:val="28"/>
        </w:rPr>
        <w:t xml:space="preserve">наша исследуемая выборка </w:t>
      </w:r>
      <w:r>
        <w:rPr>
          <w:rFonts w:ascii="Times New Roman" w:hAnsi="Times New Roman" w:cs="Times New Roman"/>
          <w:sz w:val="28"/>
          <w:szCs w:val="28"/>
        </w:rPr>
        <w:t xml:space="preserve">имела между ними промежуточный вариант (таблица </w:t>
      </w:r>
      <w:r w:rsidR="00B33741">
        <w:rPr>
          <w:rFonts w:ascii="Times New Roman" w:hAnsi="Times New Roman" w:cs="Times New Roman"/>
          <w:sz w:val="28"/>
          <w:szCs w:val="28"/>
          <w:lang w:val="kk-KZ"/>
        </w:rPr>
        <w:t>4</w:t>
      </w:r>
      <w:r>
        <w:rPr>
          <w:rFonts w:ascii="Times New Roman" w:hAnsi="Times New Roman" w:cs="Times New Roman"/>
          <w:sz w:val="28"/>
          <w:szCs w:val="28"/>
        </w:rPr>
        <w:t xml:space="preserve">). </w:t>
      </w:r>
    </w:p>
    <w:p w:rsidR="00AB12B3" w:rsidRDefault="00AB12B3" w:rsidP="00AB12B3">
      <w:pPr>
        <w:spacing w:after="0" w:line="240" w:lineRule="auto"/>
        <w:ind w:firstLine="707"/>
        <w:jc w:val="both"/>
        <w:rPr>
          <w:rFonts w:ascii="Times New Roman" w:hAnsi="Times New Roman" w:cs="Times New Roman"/>
          <w:sz w:val="28"/>
          <w:szCs w:val="28"/>
        </w:rPr>
      </w:pPr>
      <w:r>
        <w:rPr>
          <w:rFonts w:ascii="Times New Roman" w:hAnsi="Times New Roman" w:cs="Times New Roman"/>
          <w:sz w:val="28"/>
          <w:szCs w:val="28"/>
        </w:rPr>
        <w:t xml:space="preserve">При изучении распространенности генотипов полиморфизма Ser447Ter (rs328) гена </w:t>
      </w:r>
      <w:r>
        <w:rPr>
          <w:rFonts w:ascii="Times New Roman" w:hAnsi="Times New Roman" w:cs="Times New Roman"/>
          <w:i/>
          <w:sz w:val="28"/>
          <w:szCs w:val="28"/>
        </w:rPr>
        <w:t>LPL</w:t>
      </w:r>
      <w:r>
        <w:rPr>
          <w:rFonts w:ascii="Times New Roman" w:hAnsi="Times New Roman" w:cs="Times New Roman"/>
          <w:sz w:val="28"/>
          <w:szCs w:val="28"/>
        </w:rPr>
        <w:t xml:space="preserve"> в </w:t>
      </w:r>
      <w:r w:rsidR="001F6DE1">
        <w:rPr>
          <w:rFonts w:ascii="Times New Roman" w:hAnsi="Times New Roman" w:cs="Times New Roman"/>
          <w:sz w:val="28"/>
          <w:szCs w:val="28"/>
        </w:rPr>
        <w:t xml:space="preserve">данной выборке </w:t>
      </w:r>
      <w:r>
        <w:rPr>
          <w:rFonts w:ascii="Times New Roman" w:hAnsi="Times New Roman" w:cs="Times New Roman"/>
          <w:sz w:val="28"/>
          <w:szCs w:val="28"/>
        </w:rPr>
        <w:t>мы выявили, что генотип С</w:t>
      </w:r>
      <w:r w:rsidR="00F325E7">
        <w:rPr>
          <w:rFonts w:ascii="Times New Roman" w:hAnsi="Times New Roman" w:cs="Times New Roman"/>
          <w:sz w:val="28"/>
          <w:szCs w:val="28"/>
        </w:rPr>
        <w:t>С более распространен (таблица 3</w:t>
      </w:r>
      <w:r>
        <w:rPr>
          <w:rFonts w:ascii="Times New Roman" w:hAnsi="Times New Roman" w:cs="Times New Roman"/>
          <w:sz w:val="28"/>
          <w:szCs w:val="28"/>
        </w:rPr>
        <w:t xml:space="preserve">) и наши данные сопоставимы с восточно-азиатской и европейской популяциями (таблица 5), однако частота генотипа GG в </w:t>
      </w:r>
      <w:r w:rsidR="005F5D71">
        <w:rPr>
          <w:rFonts w:ascii="Times New Roman" w:hAnsi="Times New Roman" w:cs="Times New Roman"/>
          <w:sz w:val="28"/>
          <w:szCs w:val="28"/>
        </w:rPr>
        <w:t>нашей исследуемой выборке</w:t>
      </w:r>
      <w:r>
        <w:rPr>
          <w:rFonts w:ascii="Times New Roman" w:hAnsi="Times New Roman" w:cs="Times New Roman"/>
          <w:sz w:val="28"/>
          <w:szCs w:val="28"/>
        </w:rPr>
        <w:t xml:space="preserve"> встречается чаще, чем в восточно-азиатской (0,008 (0,01-0,019)) и европейской (0,024 (0,02-0,028)) (таблица </w:t>
      </w:r>
      <w:r w:rsidR="00F325E7">
        <w:rPr>
          <w:rFonts w:ascii="Times New Roman" w:hAnsi="Times New Roman" w:cs="Times New Roman"/>
          <w:sz w:val="28"/>
          <w:szCs w:val="28"/>
        </w:rPr>
        <w:t>5</w:t>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Частота генотипов полиморфизма Gln27Glu (rs1042714) гена </w:t>
      </w:r>
      <w:r>
        <w:rPr>
          <w:rFonts w:ascii="Times New Roman" w:hAnsi="Times New Roman" w:cs="Times New Roman"/>
          <w:i/>
          <w:sz w:val="28"/>
          <w:szCs w:val="28"/>
        </w:rPr>
        <w:t>ADRB2</w:t>
      </w:r>
      <w:r w:rsidR="00AC051E">
        <w:rPr>
          <w:rFonts w:ascii="Times New Roman" w:hAnsi="Times New Roman" w:cs="Times New Roman"/>
          <w:i/>
          <w:sz w:val="28"/>
          <w:szCs w:val="28"/>
        </w:rPr>
        <w:t xml:space="preserve"> </w:t>
      </w:r>
      <w:r w:rsidR="003E7A9D">
        <w:rPr>
          <w:rFonts w:ascii="Times New Roman" w:hAnsi="Times New Roman" w:cs="Times New Roman"/>
          <w:sz w:val="28"/>
          <w:szCs w:val="28"/>
        </w:rPr>
        <w:t>в</w:t>
      </w:r>
      <w:r w:rsidR="00D81098">
        <w:rPr>
          <w:rFonts w:ascii="Times New Roman" w:hAnsi="Times New Roman" w:cs="Times New Roman"/>
          <w:sz w:val="28"/>
          <w:szCs w:val="28"/>
        </w:rPr>
        <w:t xml:space="preserve"> </w:t>
      </w:r>
      <w:r w:rsidR="003E7A9D">
        <w:rPr>
          <w:rFonts w:ascii="Times New Roman" w:hAnsi="Times New Roman" w:cs="Times New Roman"/>
          <w:sz w:val="28"/>
          <w:szCs w:val="28"/>
        </w:rPr>
        <w:t>исследуемой выборке</w:t>
      </w:r>
      <w:r w:rsidR="001F6DE1">
        <w:rPr>
          <w:rFonts w:ascii="Times New Roman" w:hAnsi="Times New Roman" w:cs="Times New Roman"/>
          <w:sz w:val="28"/>
          <w:szCs w:val="28"/>
        </w:rPr>
        <w:t xml:space="preserve"> </w:t>
      </w:r>
      <w:r w:rsidR="00D81098">
        <w:rPr>
          <w:rFonts w:ascii="Times New Roman" w:hAnsi="Times New Roman" w:cs="Times New Roman"/>
          <w:sz w:val="28"/>
          <w:szCs w:val="28"/>
        </w:rPr>
        <w:t>занимает</w:t>
      </w:r>
      <w:r>
        <w:rPr>
          <w:rFonts w:ascii="Times New Roman" w:hAnsi="Times New Roman" w:cs="Times New Roman"/>
          <w:sz w:val="28"/>
          <w:szCs w:val="28"/>
        </w:rPr>
        <w:t xml:space="preserve"> промежуточное положение между восточно–азиатской и ев</w:t>
      </w:r>
      <w:r w:rsidR="00F325E7">
        <w:rPr>
          <w:rFonts w:ascii="Times New Roman" w:hAnsi="Times New Roman" w:cs="Times New Roman"/>
          <w:sz w:val="28"/>
          <w:szCs w:val="28"/>
        </w:rPr>
        <w:t>ропейской популяциями (таблица 5</w:t>
      </w:r>
      <w:r>
        <w:rPr>
          <w:rFonts w:ascii="Times New Roman" w:hAnsi="Times New Roman" w:cs="Times New Roman"/>
          <w:sz w:val="28"/>
          <w:szCs w:val="28"/>
        </w:rPr>
        <w:t xml:space="preserve">). Так, генотип GG </w:t>
      </w:r>
      <w:r w:rsidR="00C742E0">
        <w:rPr>
          <w:rFonts w:ascii="Times New Roman" w:hAnsi="Times New Roman" w:cs="Times New Roman"/>
          <w:sz w:val="28"/>
          <w:szCs w:val="28"/>
        </w:rPr>
        <w:t xml:space="preserve">редко </w:t>
      </w:r>
      <w:r>
        <w:rPr>
          <w:rFonts w:ascii="Times New Roman" w:hAnsi="Times New Roman" w:cs="Times New Roman"/>
          <w:sz w:val="28"/>
          <w:szCs w:val="28"/>
        </w:rPr>
        <w:t>встреча</w:t>
      </w:r>
      <w:r w:rsidR="00C742E0">
        <w:rPr>
          <w:rFonts w:ascii="Times New Roman" w:hAnsi="Times New Roman" w:cs="Times New Roman"/>
          <w:sz w:val="28"/>
          <w:szCs w:val="28"/>
        </w:rPr>
        <w:t>ющийся в</w:t>
      </w:r>
      <w:r w:rsidR="00032F9B">
        <w:rPr>
          <w:rFonts w:ascii="Times New Roman" w:hAnsi="Times New Roman" w:cs="Times New Roman"/>
          <w:sz w:val="28"/>
          <w:szCs w:val="28"/>
        </w:rPr>
        <w:t xml:space="preserve"> </w:t>
      </w:r>
      <w:r>
        <w:rPr>
          <w:rFonts w:ascii="Times New Roman" w:hAnsi="Times New Roman" w:cs="Times New Roman"/>
          <w:sz w:val="28"/>
          <w:szCs w:val="28"/>
        </w:rPr>
        <w:t>восточно-азиатской популяции в среднем 0,004 (0-0,01), а в европейской популяции</w:t>
      </w:r>
      <w:r w:rsidR="00043FE2">
        <w:rPr>
          <w:rFonts w:ascii="Times New Roman" w:hAnsi="Times New Roman" w:cs="Times New Roman"/>
          <w:sz w:val="28"/>
          <w:szCs w:val="28"/>
        </w:rPr>
        <w:t xml:space="preserve"> составляет</w:t>
      </w:r>
      <w:r>
        <w:rPr>
          <w:rFonts w:ascii="Times New Roman" w:hAnsi="Times New Roman" w:cs="Times New Roman"/>
          <w:sz w:val="28"/>
          <w:szCs w:val="28"/>
        </w:rPr>
        <w:t xml:space="preserve"> – 0,151 (0,101-0,232).</w:t>
      </w:r>
    </w:p>
    <w:p w:rsidR="00AB12B3" w:rsidRDefault="00AB12B3" w:rsidP="00AB12B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lastRenderedPageBreak/>
        <w:t xml:space="preserve">Таблица </w:t>
      </w:r>
      <w:r w:rsidR="00F325E7">
        <w:rPr>
          <w:rFonts w:ascii="Times New Roman" w:hAnsi="Times New Roman" w:cs="Times New Roman"/>
          <w:sz w:val="28"/>
          <w:szCs w:val="28"/>
        </w:rPr>
        <w:t>5</w:t>
      </w:r>
      <w:r w:rsidR="003441A2">
        <w:rPr>
          <w:rFonts w:ascii="Times New Roman" w:hAnsi="Times New Roman" w:cs="Times New Roman"/>
          <w:sz w:val="28"/>
          <w:szCs w:val="28"/>
          <w:lang w:val="kk-KZ"/>
        </w:rPr>
        <w:t xml:space="preserve">- </w:t>
      </w:r>
      <w:r>
        <w:rPr>
          <w:rFonts w:ascii="Times New Roman" w:hAnsi="Times New Roman" w:cs="Times New Roman"/>
          <w:sz w:val="28"/>
          <w:szCs w:val="28"/>
        </w:rPr>
        <w:t xml:space="preserve">Распространенность генотипов 4 полиморфизмов </w:t>
      </w:r>
      <w:r w:rsidR="005641DE">
        <w:rPr>
          <w:rFonts w:ascii="Times New Roman" w:hAnsi="Times New Roman" w:cs="Times New Roman"/>
          <w:sz w:val="28"/>
          <w:szCs w:val="28"/>
        </w:rPr>
        <w:t>(</w:t>
      </w:r>
      <w:r>
        <w:rPr>
          <w:rFonts w:ascii="Times New Roman" w:hAnsi="Times New Roman" w:cs="Times New Roman"/>
          <w:sz w:val="28"/>
          <w:szCs w:val="28"/>
        </w:rPr>
        <w:t>1000 Genomes</w:t>
      </w:r>
      <w:r w:rsidR="00EF3874">
        <w:rPr>
          <w:rFonts w:ascii="Times New Roman" w:hAnsi="Times New Roman" w:cs="Times New Roman"/>
          <w:sz w:val="28"/>
          <w:szCs w:val="28"/>
        </w:rPr>
        <w:t xml:space="preserve"> </w:t>
      </w:r>
      <w:r>
        <w:rPr>
          <w:rFonts w:ascii="Times New Roman" w:hAnsi="Times New Roman" w:cs="Times New Roman"/>
          <w:sz w:val="28"/>
          <w:szCs w:val="28"/>
        </w:rPr>
        <w:t>Browser</w:t>
      </w:r>
      <w:r w:rsidR="005641DE">
        <w:rPr>
          <w:rFonts w:ascii="Times New Roman" w:hAnsi="Times New Roman" w:cs="Times New Roman"/>
          <w:sz w:val="28"/>
          <w:szCs w:val="28"/>
        </w:rPr>
        <w:t>)</w:t>
      </w:r>
    </w:p>
    <w:p w:rsidR="009D3251" w:rsidRPr="009D3251" w:rsidRDefault="009D3251" w:rsidP="00AB12B3">
      <w:pPr>
        <w:spacing w:after="0" w:line="240" w:lineRule="auto"/>
        <w:jc w:val="both"/>
        <w:rPr>
          <w:rFonts w:ascii="Times New Roman" w:hAnsi="Times New Roman" w:cs="Times New Roman"/>
          <w:sz w:val="28"/>
          <w:szCs w:val="28"/>
          <w:lang w:val="kk-KZ"/>
        </w:rPr>
      </w:pPr>
    </w:p>
    <w:tbl>
      <w:tblPr>
        <w:tblStyle w:val="af7"/>
        <w:tblW w:w="0" w:type="auto"/>
        <w:tblInd w:w="108" w:type="dxa"/>
        <w:tblLayout w:type="fixed"/>
        <w:tblLook w:val="04A0" w:firstRow="1" w:lastRow="0" w:firstColumn="1" w:lastColumn="0" w:noHBand="0" w:noVBand="1"/>
      </w:tblPr>
      <w:tblGrid>
        <w:gridCol w:w="1701"/>
        <w:gridCol w:w="851"/>
        <w:gridCol w:w="992"/>
        <w:gridCol w:w="1134"/>
        <w:gridCol w:w="1134"/>
        <w:gridCol w:w="1134"/>
        <w:gridCol w:w="1418"/>
        <w:gridCol w:w="1099"/>
      </w:tblGrid>
      <w:tr w:rsidR="00AB12B3" w:rsidTr="00AB12B3">
        <w:trPr>
          <w:trHeight w:val="1040"/>
        </w:trPr>
        <w:tc>
          <w:tcPr>
            <w:tcW w:w="2552" w:type="dxa"/>
            <w:gridSpan w:val="2"/>
            <w:tcBorders>
              <w:top w:val="single" w:sz="4" w:space="0" w:color="auto"/>
              <w:left w:val="single" w:sz="4" w:space="0" w:color="auto"/>
              <w:bottom w:val="single" w:sz="4" w:space="0" w:color="auto"/>
              <w:right w:val="single" w:sz="4" w:space="0" w:color="auto"/>
              <w:tr2bl w:val="single" w:sz="4" w:space="0" w:color="auto"/>
            </w:tcBorders>
          </w:tcPr>
          <w:p w:rsidR="00AB12B3" w:rsidRDefault="00AB12B3">
            <w:pPr>
              <w:jc w:val="both"/>
              <w:rPr>
                <w:rFonts w:ascii="Times New Roman" w:hAnsi="Times New Roman"/>
                <w:sz w:val="28"/>
                <w:szCs w:val="28"/>
              </w:rPr>
            </w:pPr>
            <w:r>
              <w:rPr>
                <w:rFonts w:ascii="Times New Roman" w:hAnsi="Times New Roman"/>
                <w:sz w:val="28"/>
                <w:szCs w:val="28"/>
              </w:rPr>
              <w:t>Генотип</w:t>
            </w:r>
          </w:p>
          <w:p w:rsidR="00AB12B3" w:rsidRDefault="00AB12B3">
            <w:pPr>
              <w:jc w:val="both"/>
              <w:rPr>
                <w:rFonts w:ascii="Times New Roman" w:hAnsi="Times New Roman"/>
                <w:sz w:val="28"/>
                <w:szCs w:val="28"/>
              </w:rPr>
            </w:pPr>
          </w:p>
          <w:p w:rsidR="00AB12B3" w:rsidRDefault="00AB12B3">
            <w:pPr>
              <w:jc w:val="both"/>
              <w:rPr>
                <w:rFonts w:ascii="Times New Roman" w:hAnsi="Times New Roman"/>
                <w:sz w:val="28"/>
                <w:szCs w:val="28"/>
              </w:rPr>
            </w:pPr>
            <w:r>
              <w:rPr>
                <w:rFonts w:ascii="Times New Roman" w:hAnsi="Times New Roman"/>
                <w:sz w:val="28"/>
                <w:szCs w:val="28"/>
              </w:rPr>
              <w:t xml:space="preserve">             Популяция </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Все</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Африканская</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Американская</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Вост.-азиатская</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Западно-азиатская</w:t>
            </w:r>
          </w:p>
        </w:tc>
        <w:tc>
          <w:tcPr>
            <w:tcW w:w="109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Европейская</w:t>
            </w:r>
          </w:p>
        </w:tc>
      </w:tr>
      <w:tr w:rsidR="00AB12B3" w:rsidTr="00AB12B3">
        <w:tc>
          <w:tcPr>
            <w:tcW w:w="170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i/>
                <w:sz w:val="28"/>
                <w:szCs w:val="28"/>
              </w:rPr>
            </w:pPr>
            <w:r>
              <w:rPr>
                <w:rFonts w:ascii="Times New Roman" w:hAnsi="Times New Roman"/>
                <w:i/>
                <w:sz w:val="28"/>
                <w:szCs w:val="28"/>
              </w:rPr>
              <w:t xml:space="preserve">LPL </w:t>
            </w:r>
            <w:r>
              <w:rPr>
                <w:rFonts w:ascii="Times New Roman" w:hAnsi="Times New Roman"/>
                <w:sz w:val="28"/>
                <w:szCs w:val="28"/>
              </w:rPr>
              <w:t>Ser447Ter (rs328)</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СС</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0,824</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0,885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0,876</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0,764</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0,828</w:t>
            </w:r>
          </w:p>
        </w:tc>
        <w:tc>
          <w:tcPr>
            <w:tcW w:w="109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0,763</w:t>
            </w:r>
          </w:p>
        </w:tc>
      </w:tr>
      <w:tr w:rsidR="00AB12B3" w:rsidTr="00643F28">
        <w:tc>
          <w:tcPr>
            <w:tcW w:w="170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i/>
                <w:sz w:val="28"/>
                <w:szCs w:val="28"/>
              </w:rPr>
            </w:pP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СG</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0,167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0,107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0,121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0,228</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0,172</w:t>
            </w:r>
          </w:p>
        </w:tc>
        <w:tc>
          <w:tcPr>
            <w:tcW w:w="109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0,213</w:t>
            </w:r>
          </w:p>
        </w:tc>
      </w:tr>
      <w:tr w:rsidR="00AB12B3" w:rsidTr="00643F28">
        <w:tc>
          <w:tcPr>
            <w:tcW w:w="170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i/>
                <w:sz w:val="28"/>
                <w:szCs w:val="28"/>
              </w:rPr>
            </w:pP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GG</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0,009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0,008</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0,003</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0,008</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w:t>
            </w:r>
          </w:p>
        </w:tc>
        <w:tc>
          <w:tcPr>
            <w:tcW w:w="109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0,024</w:t>
            </w:r>
          </w:p>
        </w:tc>
      </w:tr>
      <w:tr w:rsidR="00AB12B3" w:rsidTr="00AB12B3">
        <w:tc>
          <w:tcPr>
            <w:tcW w:w="170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i/>
                <w:sz w:val="28"/>
                <w:szCs w:val="28"/>
              </w:rPr>
            </w:pPr>
            <w:r>
              <w:rPr>
                <w:rFonts w:ascii="Times New Roman" w:hAnsi="Times New Roman"/>
                <w:i/>
                <w:sz w:val="28"/>
                <w:szCs w:val="28"/>
              </w:rPr>
              <w:t xml:space="preserve">ADRB2 </w:t>
            </w:r>
            <w:r>
              <w:rPr>
                <w:rFonts w:ascii="Times New Roman" w:hAnsi="Times New Roman"/>
                <w:sz w:val="28"/>
                <w:szCs w:val="28"/>
              </w:rPr>
              <w:t>Gln27Glu (rs1042714)</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СС</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0,643</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0,741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0,576</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0,857</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0,658</w:t>
            </w:r>
          </w:p>
        </w:tc>
        <w:tc>
          <w:tcPr>
            <w:tcW w:w="109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0,332</w:t>
            </w:r>
          </w:p>
        </w:tc>
      </w:tr>
      <w:tr w:rsidR="00AB12B3" w:rsidTr="00643F28">
        <w:tc>
          <w:tcPr>
            <w:tcW w:w="170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i/>
                <w:sz w:val="28"/>
                <w:szCs w:val="28"/>
              </w:rPr>
            </w:pP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СG</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0,305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0,245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0,363</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0,139</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0,297</w:t>
            </w:r>
          </w:p>
        </w:tc>
        <w:tc>
          <w:tcPr>
            <w:tcW w:w="109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0,517</w:t>
            </w:r>
          </w:p>
        </w:tc>
      </w:tr>
      <w:tr w:rsidR="00AB12B3" w:rsidTr="00643F28">
        <w:tc>
          <w:tcPr>
            <w:tcW w:w="170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i/>
                <w:sz w:val="28"/>
                <w:szCs w:val="28"/>
              </w:rPr>
            </w:pP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GG</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0,052</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0,014</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0,061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0,004</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0,045</w:t>
            </w:r>
          </w:p>
        </w:tc>
        <w:tc>
          <w:tcPr>
            <w:tcW w:w="109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0,151</w:t>
            </w:r>
          </w:p>
        </w:tc>
      </w:tr>
      <w:tr w:rsidR="00AB12B3" w:rsidTr="00AB12B3">
        <w:tc>
          <w:tcPr>
            <w:tcW w:w="170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i/>
                <w:sz w:val="28"/>
                <w:szCs w:val="28"/>
              </w:rPr>
            </w:pPr>
            <w:r>
              <w:rPr>
                <w:rFonts w:ascii="Times New Roman" w:hAnsi="Times New Roman"/>
                <w:i/>
                <w:sz w:val="28"/>
                <w:szCs w:val="28"/>
              </w:rPr>
              <w:t xml:space="preserve">AGT </w:t>
            </w:r>
            <w:r>
              <w:rPr>
                <w:rFonts w:ascii="Times New Roman" w:hAnsi="Times New Roman"/>
                <w:sz w:val="28"/>
                <w:szCs w:val="28"/>
              </w:rPr>
              <w:t>Thr174Met (rs4762)</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GG</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0,808</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0,897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0,761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0,792</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0,789</w:t>
            </w:r>
          </w:p>
        </w:tc>
        <w:tc>
          <w:tcPr>
            <w:tcW w:w="109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0,757</w:t>
            </w:r>
          </w:p>
        </w:tc>
      </w:tr>
      <w:tr w:rsidR="00AB12B3" w:rsidTr="00643F28">
        <w:tc>
          <w:tcPr>
            <w:tcW w:w="170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i/>
                <w:sz w:val="28"/>
                <w:szCs w:val="28"/>
              </w:rPr>
            </w:pP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GА</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0,181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0,097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0,225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0,202</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0,196</w:t>
            </w:r>
          </w:p>
        </w:tc>
        <w:tc>
          <w:tcPr>
            <w:tcW w:w="109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0,225</w:t>
            </w:r>
          </w:p>
        </w:tc>
      </w:tr>
      <w:tr w:rsidR="00AB12B3" w:rsidTr="00643F28">
        <w:tc>
          <w:tcPr>
            <w:tcW w:w="170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i/>
                <w:sz w:val="28"/>
                <w:szCs w:val="28"/>
              </w:rPr>
            </w:pP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АА</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0,011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0,006</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0,014</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0,006</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0,014</w:t>
            </w:r>
          </w:p>
        </w:tc>
        <w:tc>
          <w:tcPr>
            <w:tcW w:w="109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0,018</w:t>
            </w:r>
          </w:p>
        </w:tc>
      </w:tr>
      <w:tr w:rsidR="00AB12B3" w:rsidTr="00AB12B3">
        <w:tc>
          <w:tcPr>
            <w:tcW w:w="170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i/>
                <w:sz w:val="28"/>
                <w:szCs w:val="28"/>
              </w:rPr>
            </w:pPr>
            <w:r>
              <w:rPr>
                <w:rFonts w:ascii="Times New Roman" w:hAnsi="Times New Roman"/>
                <w:i/>
                <w:sz w:val="28"/>
                <w:szCs w:val="28"/>
              </w:rPr>
              <w:t xml:space="preserve">AGTR1 </w:t>
            </w:r>
            <w:r>
              <w:rPr>
                <w:rFonts w:ascii="Times New Roman" w:hAnsi="Times New Roman"/>
                <w:sz w:val="28"/>
                <w:szCs w:val="28"/>
              </w:rPr>
              <w:t>A1166C (rs5186)</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АА</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0,789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0,959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0,582</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0,883</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0,869</w:t>
            </w:r>
          </w:p>
        </w:tc>
        <w:tc>
          <w:tcPr>
            <w:tcW w:w="109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0,535</w:t>
            </w:r>
          </w:p>
        </w:tc>
      </w:tr>
      <w:tr w:rsidR="00AB12B3" w:rsidTr="00643F28">
        <w:tc>
          <w:tcPr>
            <w:tcW w:w="170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i/>
                <w:sz w:val="28"/>
                <w:szCs w:val="28"/>
              </w:rPr>
            </w:pP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AС</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0,187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0,041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0,369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0,115</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0,125</w:t>
            </w:r>
          </w:p>
        </w:tc>
        <w:tc>
          <w:tcPr>
            <w:tcW w:w="109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0,386</w:t>
            </w:r>
          </w:p>
        </w:tc>
      </w:tr>
      <w:tr w:rsidR="00AB12B3" w:rsidTr="00643F28">
        <w:tc>
          <w:tcPr>
            <w:tcW w:w="170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i/>
                <w:sz w:val="28"/>
                <w:szCs w:val="28"/>
              </w:rPr>
            </w:pP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СС</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0,024</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0,049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0,002</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0,006</w:t>
            </w:r>
          </w:p>
        </w:tc>
        <w:tc>
          <w:tcPr>
            <w:tcW w:w="1099"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0,08</w:t>
            </w:r>
          </w:p>
        </w:tc>
      </w:tr>
    </w:tbl>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Анализ распространенности генотипов полиморфизма Thr174Met (rs4762) гена </w:t>
      </w:r>
      <w:r>
        <w:rPr>
          <w:rFonts w:ascii="Times New Roman" w:hAnsi="Times New Roman" w:cs="Times New Roman"/>
          <w:i/>
          <w:sz w:val="28"/>
          <w:szCs w:val="28"/>
        </w:rPr>
        <w:t>AGT</w:t>
      </w:r>
      <w:r>
        <w:rPr>
          <w:rFonts w:ascii="Times New Roman" w:hAnsi="Times New Roman" w:cs="Times New Roman"/>
          <w:sz w:val="28"/>
          <w:szCs w:val="28"/>
        </w:rPr>
        <w:t xml:space="preserve"> в </w:t>
      </w:r>
      <w:r w:rsidR="001F6DE1">
        <w:rPr>
          <w:rFonts w:ascii="Times New Roman" w:hAnsi="Times New Roman" w:cs="Times New Roman"/>
          <w:sz w:val="28"/>
          <w:szCs w:val="28"/>
        </w:rPr>
        <w:t xml:space="preserve">исследуемой выборке </w:t>
      </w:r>
      <w:r>
        <w:rPr>
          <w:rFonts w:ascii="Times New Roman" w:hAnsi="Times New Roman" w:cs="Times New Roman"/>
          <w:sz w:val="28"/>
          <w:szCs w:val="28"/>
        </w:rPr>
        <w:t xml:space="preserve">показал, что генотип АА встречается достаточно редко, что </w:t>
      </w:r>
      <w:r w:rsidR="00324DB3">
        <w:rPr>
          <w:rFonts w:ascii="Times New Roman" w:hAnsi="Times New Roman" w:cs="Times New Roman"/>
          <w:sz w:val="28"/>
          <w:szCs w:val="28"/>
        </w:rPr>
        <w:t>сопоставимо</w:t>
      </w:r>
      <w:r>
        <w:rPr>
          <w:rFonts w:ascii="Times New Roman" w:hAnsi="Times New Roman" w:cs="Times New Roman"/>
          <w:sz w:val="28"/>
          <w:szCs w:val="28"/>
        </w:rPr>
        <w:t xml:space="preserve"> с глобальной частотой, и находится между восточно-азиатской (в среднем 0,006 (0,01-0,242)) и европейской (в среднем 0,018 (0,01-0,209)) популяциями (таблица </w:t>
      </w:r>
      <w:r w:rsidR="00F325E7">
        <w:rPr>
          <w:rFonts w:ascii="Times New Roman" w:hAnsi="Times New Roman" w:cs="Times New Roman"/>
          <w:sz w:val="28"/>
          <w:szCs w:val="28"/>
        </w:rPr>
        <w:t>5</w:t>
      </w:r>
      <w:r>
        <w:rPr>
          <w:rFonts w:ascii="Times New Roman" w:hAnsi="Times New Roman" w:cs="Times New Roman"/>
          <w:sz w:val="28"/>
          <w:szCs w:val="28"/>
        </w:rPr>
        <w:t xml:space="preserve">). Генотип GG </w:t>
      </w:r>
      <w:r w:rsidR="00C0442C">
        <w:rPr>
          <w:rFonts w:ascii="Times New Roman" w:hAnsi="Times New Roman" w:cs="Times New Roman"/>
          <w:sz w:val="28"/>
          <w:szCs w:val="28"/>
        </w:rPr>
        <w:t>был выявлен</w:t>
      </w:r>
      <w:r w:rsidR="001A1027">
        <w:rPr>
          <w:rFonts w:ascii="Times New Roman" w:hAnsi="Times New Roman" w:cs="Times New Roman"/>
          <w:sz w:val="28"/>
          <w:szCs w:val="28"/>
        </w:rPr>
        <w:t xml:space="preserve"> чаще у</w:t>
      </w:r>
      <w:r>
        <w:rPr>
          <w:rFonts w:ascii="Times New Roman" w:hAnsi="Times New Roman" w:cs="Times New Roman"/>
          <w:sz w:val="28"/>
          <w:szCs w:val="28"/>
        </w:rPr>
        <w:t xml:space="preserve"> </w:t>
      </w:r>
      <w:r w:rsidR="003E7A9D">
        <w:rPr>
          <w:rFonts w:ascii="Times New Roman" w:hAnsi="Times New Roman" w:cs="Times New Roman"/>
          <w:sz w:val="28"/>
          <w:szCs w:val="28"/>
        </w:rPr>
        <w:t>участников нашего исследования</w:t>
      </w:r>
      <w:r w:rsidR="001F6DE1">
        <w:rPr>
          <w:rFonts w:ascii="Times New Roman" w:hAnsi="Times New Roman" w:cs="Times New Roman"/>
          <w:sz w:val="28"/>
          <w:szCs w:val="28"/>
        </w:rPr>
        <w:t xml:space="preserve"> </w:t>
      </w:r>
      <w:r>
        <w:rPr>
          <w:rFonts w:ascii="Times New Roman" w:hAnsi="Times New Roman" w:cs="Times New Roman"/>
          <w:sz w:val="28"/>
          <w:szCs w:val="28"/>
        </w:rPr>
        <w:t>по сравнению с европейской (в среднем 0,757 (0,626-0,808)) и восточно-азиатской (в среднем 0,792 (0,758-0,837)) популяциями, а генотип GA полиморфизма rs4762, наоборот, встречался реже. Согласно данным 1000 Genomes</w:t>
      </w:r>
      <w:r w:rsidR="00EF3874">
        <w:rPr>
          <w:rFonts w:ascii="Times New Roman" w:hAnsi="Times New Roman" w:cs="Times New Roman"/>
          <w:sz w:val="28"/>
          <w:szCs w:val="28"/>
        </w:rPr>
        <w:t xml:space="preserve"> </w:t>
      </w:r>
      <w:r>
        <w:rPr>
          <w:rFonts w:ascii="Times New Roman" w:hAnsi="Times New Roman" w:cs="Times New Roman"/>
          <w:sz w:val="28"/>
          <w:szCs w:val="28"/>
        </w:rPr>
        <w:t xml:space="preserve">Browser генотип АА полиморфизма rs4762 встречается во всей популяции в частоте 0,789, что сопоставимо с </w:t>
      </w:r>
      <w:r w:rsidR="00F26E63">
        <w:rPr>
          <w:rFonts w:ascii="Times New Roman" w:hAnsi="Times New Roman" w:cs="Times New Roman"/>
          <w:sz w:val="28"/>
          <w:szCs w:val="28"/>
        </w:rPr>
        <w:t xml:space="preserve">исследуемой выборкой </w:t>
      </w:r>
      <w:r w:rsidR="00F325E7">
        <w:rPr>
          <w:rFonts w:ascii="Times New Roman" w:hAnsi="Times New Roman" w:cs="Times New Roman"/>
          <w:sz w:val="28"/>
          <w:szCs w:val="28"/>
        </w:rPr>
        <w:t>(0,8) (таблица 5</w:t>
      </w:r>
      <w:r>
        <w:rPr>
          <w:rFonts w:ascii="Times New Roman" w:hAnsi="Times New Roman" w:cs="Times New Roman"/>
          <w:sz w:val="28"/>
          <w:szCs w:val="28"/>
        </w:rPr>
        <w:t>). Но при сравнении с восточно-азиатской (в среднем 0,883 (0,819-0,925)) и европейской (в среднем 0,535 (0,475-0,646)) популяциями</w:t>
      </w:r>
      <w:r w:rsidR="009E00DA">
        <w:rPr>
          <w:rFonts w:ascii="Times New Roman" w:hAnsi="Times New Roman" w:cs="Times New Roman"/>
          <w:sz w:val="28"/>
          <w:szCs w:val="28"/>
        </w:rPr>
        <w:t>,</w:t>
      </w:r>
      <w:r w:rsidR="00EF3874">
        <w:rPr>
          <w:rFonts w:ascii="Times New Roman" w:hAnsi="Times New Roman" w:cs="Times New Roman"/>
          <w:sz w:val="28"/>
          <w:szCs w:val="28"/>
        </w:rPr>
        <w:t xml:space="preserve"> </w:t>
      </w:r>
      <w:r>
        <w:rPr>
          <w:rFonts w:ascii="Times New Roman" w:hAnsi="Times New Roman" w:cs="Times New Roman"/>
          <w:sz w:val="28"/>
          <w:szCs w:val="28"/>
        </w:rPr>
        <w:t xml:space="preserve">генотип АА </w:t>
      </w:r>
      <w:r w:rsidR="00C0442C">
        <w:rPr>
          <w:rFonts w:ascii="Times New Roman" w:hAnsi="Times New Roman" w:cs="Times New Roman"/>
          <w:sz w:val="28"/>
          <w:szCs w:val="28"/>
        </w:rPr>
        <w:t>распространен</w:t>
      </w:r>
      <w:r>
        <w:rPr>
          <w:rFonts w:ascii="Times New Roman" w:hAnsi="Times New Roman" w:cs="Times New Roman"/>
          <w:sz w:val="28"/>
          <w:szCs w:val="28"/>
        </w:rPr>
        <w:t xml:space="preserve"> реже в </w:t>
      </w:r>
      <w:r w:rsidR="00F26E63">
        <w:rPr>
          <w:rFonts w:ascii="Times New Roman" w:hAnsi="Times New Roman" w:cs="Times New Roman"/>
          <w:sz w:val="28"/>
          <w:szCs w:val="28"/>
        </w:rPr>
        <w:t>данной выборке</w:t>
      </w:r>
      <w:r>
        <w:rPr>
          <w:rFonts w:ascii="Times New Roman" w:hAnsi="Times New Roman" w:cs="Times New Roman"/>
          <w:sz w:val="28"/>
          <w:szCs w:val="28"/>
        </w:rPr>
        <w:t xml:space="preserve">. А генотип СС встречался чаще в </w:t>
      </w:r>
      <w:r w:rsidR="0029784F">
        <w:rPr>
          <w:rFonts w:ascii="Times New Roman" w:hAnsi="Times New Roman" w:cs="Times New Roman"/>
          <w:sz w:val="28"/>
          <w:szCs w:val="28"/>
        </w:rPr>
        <w:t xml:space="preserve">нашей выборке </w:t>
      </w:r>
      <w:r>
        <w:rPr>
          <w:rFonts w:ascii="Times New Roman" w:hAnsi="Times New Roman" w:cs="Times New Roman"/>
          <w:sz w:val="28"/>
          <w:szCs w:val="28"/>
        </w:rPr>
        <w:t xml:space="preserve">(0,02) в отличие от европейской (в среднем 0,08 (0,047-0,132)) и восточно-азиатской (в среднем 0,002 (0-0,01)) популяции (таблица </w:t>
      </w:r>
      <w:r w:rsidR="00F325E7">
        <w:rPr>
          <w:rFonts w:ascii="Times New Roman" w:hAnsi="Times New Roman" w:cs="Times New Roman"/>
          <w:sz w:val="28"/>
          <w:szCs w:val="28"/>
        </w:rPr>
        <w:t>5</w:t>
      </w:r>
      <w:r>
        <w:rPr>
          <w:rFonts w:ascii="Times New Roman" w:hAnsi="Times New Roman" w:cs="Times New Roman"/>
          <w:sz w:val="28"/>
          <w:szCs w:val="28"/>
        </w:rPr>
        <w:t>)</w:t>
      </w:r>
      <w:r w:rsidR="00EF3874">
        <w:rPr>
          <w:rFonts w:ascii="Times New Roman" w:hAnsi="Times New Roman" w:cs="Times New Roman"/>
          <w:sz w:val="28"/>
          <w:szCs w:val="28"/>
        </w:rPr>
        <w:t xml:space="preserve"> </w:t>
      </w:r>
      <w:r w:rsidR="00EA0E64">
        <w:rPr>
          <w:rFonts w:ascii="Times New Roman" w:hAnsi="Times New Roman" w:cs="Times New Roman"/>
          <w:sz w:val="28"/>
          <w:szCs w:val="28"/>
          <w:lang w:val="kk-KZ"/>
        </w:rPr>
        <w:fldChar w:fldCharType="begin" w:fldLock="1"/>
      </w:r>
      <w:r w:rsidR="00624769">
        <w:rPr>
          <w:rFonts w:ascii="Times New Roman" w:hAnsi="Times New Roman" w:cs="Times New Roman"/>
          <w:sz w:val="28"/>
          <w:szCs w:val="28"/>
          <w:lang w:val="kk-KZ"/>
        </w:rPr>
        <w:instrText>ADDIN CSL_CITATION {"citationItems":[{"id":"ITEM-1","itemData":{"author":[{"dropping-particle":"","family":"Шаханова","given":"Айжан Т","non-dropping-particle":"","parse-names":false,"suffix":""},{"dropping-particle":"","family":"Аукенов","given":"Нурлан Е","non-dropping-particle":"","parse-names":false,"suffix":""},{"dropping-particle":"","family":"Нуртазина","given":"Алма У","non-dropping-particle":"","parse-names":false,"suffix":""},{"dropping-particle":"","family":"Шаханов","given":"Тунгышхан Е","non-dropping-particle":"","parse-names":false,"suffix":""},{"dropping-particle":"","family":"Масабаева Меруерт Р","given":"","non-dropping-particle":"","parse-names":false,"suffix":""},{"dropping-particle":"","family":"А.","given":"Апсаликов Б.","non-dropping-particle":"","parse-names":false,"suffix":""},{"dropping-particle":"","family":"Кожахметова","given":"Дана К","non-dropping-particle":"","parse-names":false,"suffix":""}],"container-title":"Вестник КазНМУ","id":"ITEM-1","issued":{"date-parts":[["2020"]]},"page":"490-493","title":"Распространенность полиморфизмов генов в казахской популяции","type":"article-journal","volume":"1"},"uris":["http://www.mendeley.com/documents/?uuid=2bc3ce49-b7e3-4517-bd75-076d679ed8d5"]}],"mendeley":{"formattedCitation":"[157]","plainTextFormattedCitation":"[157]","previouslyFormattedCitation":"[157]"},"properties":{"noteIndex":0},"schema":"https://github.com/citation-style-language/schema/raw/master/csl-citation.json"}</w:instrText>
      </w:r>
      <w:r w:rsidR="00EA0E64">
        <w:rPr>
          <w:rFonts w:ascii="Times New Roman" w:hAnsi="Times New Roman" w:cs="Times New Roman"/>
          <w:sz w:val="28"/>
          <w:szCs w:val="28"/>
          <w:lang w:val="kk-KZ"/>
        </w:rPr>
        <w:fldChar w:fldCharType="separate"/>
      </w:r>
      <w:r w:rsidR="00624769" w:rsidRPr="00624769">
        <w:rPr>
          <w:rFonts w:ascii="Times New Roman" w:hAnsi="Times New Roman" w:cs="Times New Roman"/>
          <w:noProof/>
          <w:sz w:val="28"/>
          <w:szCs w:val="28"/>
          <w:lang w:val="kk-KZ"/>
        </w:rPr>
        <w:t>[157]</w:t>
      </w:r>
      <w:r w:rsidR="00EA0E64">
        <w:rPr>
          <w:rFonts w:ascii="Times New Roman" w:hAnsi="Times New Roman" w:cs="Times New Roman"/>
          <w:sz w:val="28"/>
          <w:szCs w:val="28"/>
          <w:lang w:val="kk-KZ"/>
        </w:rPr>
        <w:fldChar w:fldCharType="end"/>
      </w:r>
      <w:r>
        <w:rPr>
          <w:rFonts w:ascii="Times New Roman" w:hAnsi="Times New Roman" w:cs="Times New Roman"/>
          <w:sz w:val="28"/>
          <w:szCs w:val="28"/>
        </w:rPr>
        <w:t>.</w:t>
      </w:r>
    </w:p>
    <w:p w:rsidR="00AB12B3" w:rsidRDefault="00AB12B3" w:rsidP="00AB12B3">
      <w:pPr>
        <w:spacing w:after="0" w:line="240" w:lineRule="auto"/>
        <w:jc w:val="both"/>
        <w:rPr>
          <w:rFonts w:ascii="Times New Roman" w:hAnsi="Times New Roman" w:cs="Times New Roman"/>
          <w:b/>
          <w:sz w:val="28"/>
          <w:szCs w:val="28"/>
        </w:rPr>
      </w:pPr>
    </w:p>
    <w:p w:rsidR="00AB12B3" w:rsidRPr="009D3251" w:rsidRDefault="00AB12B3" w:rsidP="009D3251">
      <w:pPr>
        <w:spacing w:after="0" w:line="240" w:lineRule="auto"/>
        <w:ind w:firstLine="708"/>
        <w:jc w:val="both"/>
        <w:rPr>
          <w:rFonts w:ascii="Times New Roman" w:hAnsi="Times New Roman" w:cs="Times New Roman"/>
          <w:b/>
          <w:sz w:val="28"/>
          <w:szCs w:val="28"/>
          <w:lang w:val="kk-KZ"/>
        </w:rPr>
      </w:pPr>
      <w:r w:rsidRPr="009D3251">
        <w:rPr>
          <w:rFonts w:ascii="Times New Roman" w:hAnsi="Times New Roman" w:cs="Times New Roman"/>
          <w:b/>
          <w:sz w:val="28"/>
          <w:szCs w:val="28"/>
          <w:lang w:val="kk-KZ"/>
        </w:rPr>
        <w:t xml:space="preserve">3.2 Частоты аллелей и генотипов </w:t>
      </w:r>
      <w:r w:rsidRPr="009D3251">
        <w:rPr>
          <w:rFonts w:ascii="Times New Roman" w:hAnsi="Times New Roman"/>
          <w:b/>
          <w:sz w:val="28"/>
          <w:szCs w:val="28"/>
          <w:lang w:val="kk-KZ"/>
        </w:rPr>
        <w:t xml:space="preserve">полиморфизмов генов </w:t>
      </w:r>
      <w:r w:rsidRPr="009D3251">
        <w:rPr>
          <w:rFonts w:ascii="Times New Roman" w:hAnsi="Times New Roman"/>
          <w:b/>
          <w:i/>
          <w:sz w:val="28"/>
          <w:szCs w:val="28"/>
          <w:lang w:val="kk-KZ"/>
        </w:rPr>
        <w:t xml:space="preserve">LPL </w:t>
      </w:r>
      <w:r w:rsidRPr="009D3251">
        <w:rPr>
          <w:rFonts w:ascii="Times New Roman" w:hAnsi="Times New Roman"/>
          <w:b/>
          <w:sz w:val="28"/>
          <w:szCs w:val="28"/>
          <w:lang w:val="kk-KZ"/>
        </w:rPr>
        <w:t>Ser447Ter (rs328),</w:t>
      </w:r>
      <w:r w:rsidRPr="009D3251">
        <w:rPr>
          <w:rFonts w:ascii="Times New Roman" w:hAnsi="Times New Roman"/>
          <w:b/>
          <w:i/>
          <w:sz w:val="28"/>
          <w:szCs w:val="28"/>
          <w:lang w:val="kk-KZ"/>
        </w:rPr>
        <w:t xml:space="preserve"> ADRB2 </w:t>
      </w:r>
      <w:r w:rsidRPr="009D3251">
        <w:rPr>
          <w:rFonts w:ascii="Times New Roman" w:hAnsi="Times New Roman"/>
          <w:b/>
          <w:sz w:val="28"/>
          <w:szCs w:val="28"/>
          <w:lang w:val="kk-KZ"/>
        </w:rPr>
        <w:t>Gln27Glu (rs1042714),</w:t>
      </w:r>
      <w:r w:rsidRPr="009D3251">
        <w:rPr>
          <w:rFonts w:ascii="Times New Roman" w:hAnsi="Times New Roman"/>
          <w:b/>
          <w:i/>
          <w:sz w:val="28"/>
          <w:szCs w:val="28"/>
          <w:lang w:val="kk-KZ"/>
        </w:rPr>
        <w:t xml:space="preserve"> AGT </w:t>
      </w:r>
      <w:r w:rsidRPr="009D3251">
        <w:rPr>
          <w:rFonts w:ascii="Times New Roman" w:hAnsi="Times New Roman"/>
          <w:b/>
          <w:sz w:val="28"/>
          <w:szCs w:val="28"/>
          <w:lang w:val="kk-KZ"/>
        </w:rPr>
        <w:t>Thr174Met (rs4762),</w:t>
      </w:r>
      <w:r w:rsidRPr="009D3251">
        <w:rPr>
          <w:rFonts w:ascii="Times New Roman" w:hAnsi="Times New Roman"/>
          <w:b/>
          <w:i/>
          <w:sz w:val="28"/>
          <w:szCs w:val="28"/>
          <w:lang w:val="kk-KZ"/>
        </w:rPr>
        <w:t xml:space="preserve"> AGTR1 </w:t>
      </w:r>
      <w:r w:rsidRPr="009D3251">
        <w:rPr>
          <w:rFonts w:ascii="Times New Roman" w:hAnsi="Times New Roman"/>
          <w:b/>
          <w:sz w:val="28"/>
          <w:szCs w:val="28"/>
          <w:lang w:val="kk-KZ"/>
        </w:rPr>
        <w:t xml:space="preserve">A1166C (rs5186) </w:t>
      </w:r>
      <w:r w:rsidRPr="009D3251">
        <w:rPr>
          <w:rFonts w:ascii="Times New Roman" w:hAnsi="Times New Roman" w:cs="Times New Roman"/>
          <w:b/>
          <w:sz w:val="28"/>
          <w:szCs w:val="28"/>
          <w:lang w:val="kk-KZ"/>
        </w:rPr>
        <w:t>в казахской популяции и сравнительный анализ</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Многовековая история казахской популяции привела к формированию отдельного антропологического типа, который занимает промежуточное положение между европеоидной и монголоидной расами. Казахстанские исследователи изучали генетическую предрасположенность казахской популяции к СД, ожирению и оценивали различия казахской популяции и </w:t>
      </w:r>
      <w:r>
        <w:rPr>
          <w:rFonts w:ascii="Times New Roman" w:hAnsi="Times New Roman" w:cs="Times New Roman"/>
          <w:sz w:val="28"/>
          <w:szCs w:val="28"/>
        </w:rPr>
        <w:lastRenderedPageBreak/>
        <w:t>других популяции с базы данных HapMap. Для этого были проанализирова</w:t>
      </w:r>
      <w:r w:rsidR="00DA7FB6">
        <w:rPr>
          <w:rFonts w:ascii="Times New Roman" w:hAnsi="Times New Roman" w:cs="Times New Roman"/>
          <w:sz w:val="28"/>
          <w:szCs w:val="28"/>
        </w:rPr>
        <w:t>ны</w:t>
      </w:r>
      <w:r>
        <w:rPr>
          <w:rFonts w:ascii="Times New Roman" w:hAnsi="Times New Roman" w:cs="Times New Roman"/>
          <w:sz w:val="28"/>
          <w:szCs w:val="28"/>
        </w:rPr>
        <w:t xml:space="preserve"> частоты аллелей нескольких генов, ранее идентифицированных с помощью </w:t>
      </w:r>
      <w:r w:rsidR="008A18D3">
        <w:rPr>
          <w:rFonts w:ascii="Times New Roman" w:hAnsi="Times New Roman" w:cs="Times New Roman"/>
          <w:sz w:val="28"/>
          <w:szCs w:val="28"/>
        </w:rPr>
        <w:t xml:space="preserve">базы данных </w:t>
      </w:r>
      <w:r>
        <w:rPr>
          <w:rFonts w:ascii="Times New Roman" w:hAnsi="Times New Roman" w:cs="Times New Roman"/>
          <w:sz w:val="28"/>
          <w:szCs w:val="28"/>
        </w:rPr>
        <w:t>GWAS и</w:t>
      </w:r>
      <w:r w:rsidR="008A18D3">
        <w:rPr>
          <w:rFonts w:ascii="Times New Roman" w:hAnsi="Times New Roman" w:cs="Times New Roman"/>
          <w:sz w:val="28"/>
          <w:szCs w:val="28"/>
        </w:rPr>
        <w:t xml:space="preserve"> других</w:t>
      </w:r>
      <w:r>
        <w:rPr>
          <w:rFonts w:ascii="Times New Roman" w:hAnsi="Times New Roman" w:cs="Times New Roman"/>
          <w:sz w:val="28"/>
          <w:szCs w:val="28"/>
        </w:rPr>
        <w:t xml:space="preserve"> исследований генов-кандидатов в других этнических популяциях. Они утверждают, что геном казахской популяции схож с кавказской и находится между кавказской и азиатской </w:t>
      </w:r>
      <w:r w:rsidR="00EA0E64">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{"citationItems":[{"id":"ITEM-1","itemData":{"DOI":"10.2147/CIA.S156044","ISSN":"1178-1998","abstract":"Background: Ethnic differences exist in the frequencies of genetic variations that contribute to the risk of common disease. This study aimed to analyse the distribution of several genes, previously associated with susceptibility to type 2 diabetes and obesity-related phenotypes, in a Kazakh population. Methods: A total of 966 individuals belonging to the Kazakh ethnicity were recruited from an outpatient clinic. We genotyped 41 common single nucleotide polymorphisms (SNPs) previously associated with type 2 diabetes in other ethnic groups and 31 of these were in Hardy–Weinberg equilibrium. The obtained allele frequencies were further compared to publicly available data from other ethnic populations. Allele frequencies for other (compared) populations were pooled from the haplotype map (HapMap) database. Principal component analysis (PCA), cluster analysis, and multidimensional scaling (MDS) were used for the analysis of genetic relationship between the populations. Results: Comparative analysis of allele frequencies of the studied SNPs showed significant differentiation among the studied populations. The Kazakh population was grouped with Asian populations according to the cluster analysis and with the Caucasian populations according to PCA. According to MDS, results of the current study show that the Kazakh population holds an intermediate position between Caucasian and Asian populations. Conclusion: A high percentage of population differentiation was observed between Kazakh and world populations. The Kazakh population was clustered with Caucasian populations, and this result may indicate a significant Caucasian component in the Kazakh gene pool.","author":[{"dropping-particle":"","family":"Sikhayeva","given":"Nurgul","non-dropping-particle":"","parse-names":false,"suffix":""},{"dropping-particle":"","family":"Talzhanov","given":"Yerkebulan","non-dropping-particle":"","parse-names":false,"suffix":""},{"dropping-particle":"","family":"Iskakova","given":"Aisha","non-dropping-particle":"","parse-names":false,"suffix":""},{"dropping-particle":"","family":"Dzharmukhanov","given":"Jarkyn","non-dropping-particle":"","parse-names":false,"suffix":""},{"dropping-particle":"","family":"Nugmanova","given":"Raushan","non-dropping-particle":"","parse-names":false,"suffix":""},{"dropping-particle":"","family":"Zholdybayeva","given":"Elena","non-dropping-particle":"","parse-names":false,"suffix":""},{"dropping-particle":"","family":"Ramanculov","given":"Erlan","non-dropping-particle":"","parse-names":false,"suffix":""}],"container-title":"Clinical Interventions in Aging","id":"ITEM-1","issued":{"date-parts":[["2018","3"]]},"page":"377-388","title":"Type 2 diabetes mellitus: distribution of genetic markers in Kazakh population","type":"article-journal","volume":"Volume 13"},"uris":["http://www.mendeley.com/documents/?uuid=9c558dcc-bcb6-4282-a5f3-8834117fb648"]}],"mendeley":{"formattedCitation":"[158]","plainTextFormattedCitation":"[158]","previouslyFormattedCitation":"[158]"},"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[158]</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AB12B3" w:rsidRPr="00294BFC" w:rsidRDefault="00AB12B3" w:rsidP="00AB12B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Учитывая, ген</w:t>
      </w:r>
      <w:r w:rsidR="00000B49">
        <w:rPr>
          <w:rFonts w:ascii="Times New Roman" w:hAnsi="Times New Roman" w:cs="Times New Roman"/>
          <w:sz w:val="28"/>
          <w:szCs w:val="28"/>
        </w:rPr>
        <w:t>етическое</w:t>
      </w:r>
      <w:r w:rsidR="00EF3874">
        <w:rPr>
          <w:rFonts w:ascii="Times New Roman" w:hAnsi="Times New Roman" w:cs="Times New Roman"/>
          <w:sz w:val="28"/>
          <w:szCs w:val="28"/>
        </w:rPr>
        <w:t xml:space="preserve"> </w:t>
      </w:r>
      <w:r>
        <w:rPr>
          <w:rFonts w:ascii="Times New Roman" w:hAnsi="Times New Roman" w:cs="Times New Roman"/>
          <w:sz w:val="28"/>
          <w:szCs w:val="28"/>
        </w:rPr>
        <w:t xml:space="preserve">разнообразие </w:t>
      </w:r>
      <w:r w:rsidR="008A18D3">
        <w:rPr>
          <w:rFonts w:ascii="Times New Roman" w:hAnsi="Times New Roman" w:cs="Times New Roman"/>
          <w:sz w:val="28"/>
          <w:szCs w:val="28"/>
        </w:rPr>
        <w:t xml:space="preserve">всех </w:t>
      </w:r>
      <w:r>
        <w:rPr>
          <w:rFonts w:ascii="Times New Roman" w:hAnsi="Times New Roman" w:cs="Times New Roman"/>
          <w:sz w:val="28"/>
          <w:szCs w:val="28"/>
        </w:rPr>
        <w:t xml:space="preserve">популяции некоторые авторы для изучения дистанции предлагают формулы Нея </w:t>
      </w:r>
      <w:r w:rsidR="00B6595B">
        <w:rPr>
          <w:rFonts w:ascii="Times New Roman" w:hAnsi="Times New Roman" w:cs="Times New Roman"/>
          <w:sz w:val="28"/>
          <w:szCs w:val="28"/>
        </w:rPr>
        <w:t xml:space="preserve">(таблица </w:t>
      </w:r>
      <w:r w:rsidR="00F325E7">
        <w:rPr>
          <w:rFonts w:ascii="Times New Roman" w:hAnsi="Times New Roman" w:cs="Times New Roman"/>
          <w:sz w:val="28"/>
          <w:szCs w:val="28"/>
        </w:rPr>
        <w:t>6</w:t>
      </w:r>
      <w:r w:rsidR="00B6595B">
        <w:rPr>
          <w:rFonts w:ascii="Times New Roman" w:hAnsi="Times New Roman" w:cs="Times New Roman"/>
          <w:sz w:val="28"/>
          <w:szCs w:val="28"/>
        </w:rPr>
        <w:t xml:space="preserve">) </w:t>
      </w:r>
      <w:r w:rsidR="008A18D3">
        <w:rPr>
          <w:rFonts w:ascii="Times New Roman" w:hAnsi="Times New Roman" w:cs="Times New Roman"/>
          <w:sz w:val="28"/>
          <w:szCs w:val="28"/>
        </w:rPr>
        <w:t>для построения</w:t>
      </w:r>
      <w:r>
        <w:rPr>
          <w:rFonts w:ascii="Times New Roman" w:hAnsi="Times New Roman" w:cs="Times New Roman"/>
          <w:sz w:val="28"/>
          <w:szCs w:val="28"/>
        </w:rPr>
        <w:t xml:space="preserve"> филогенетическо</w:t>
      </w:r>
      <w:r w:rsidR="008A18D3">
        <w:rPr>
          <w:rFonts w:ascii="Times New Roman" w:hAnsi="Times New Roman" w:cs="Times New Roman"/>
          <w:sz w:val="28"/>
          <w:szCs w:val="28"/>
        </w:rPr>
        <w:t>го</w:t>
      </w:r>
      <w:r>
        <w:rPr>
          <w:rFonts w:ascii="Times New Roman" w:hAnsi="Times New Roman" w:cs="Times New Roman"/>
          <w:sz w:val="28"/>
          <w:szCs w:val="28"/>
        </w:rPr>
        <w:t xml:space="preserve"> дерев</w:t>
      </w:r>
      <w:r w:rsidR="008A18D3">
        <w:rPr>
          <w:rFonts w:ascii="Times New Roman" w:hAnsi="Times New Roman" w:cs="Times New Roman"/>
          <w:sz w:val="28"/>
          <w:szCs w:val="28"/>
        </w:rPr>
        <w:t>а</w:t>
      </w:r>
      <w:r w:rsidR="00B6595B">
        <w:rPr>
          <w:rFonts w:ascii="Times New Roman" w:hAnsi="Times New Roman" w:cs="Times New Roman"/>
          <w:sz w:val="28"/>
          <w:szCs w:val="28"/>
        </w:rPr>
        <w:t xml:space="preserve"> (рисунок 1)</w:t>
      </w:r>
      <w:r w:rsidR="00EF3874">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{"citationItems":[{"id":"ITEM-1","itemData":{"DOI":"10.1371/journal.pone.0097344","ISSN":"19326203","abstract":"There are several indigenous ethnic populations along the silk road in the Northwest of China that display clear differences in culture and social customs, perhaps as a result of geographic isolation and different linguistic traditions. However, extensive trade and other interactions probably facilitated the admixture of different gene pools between these populations over the last two millennia. To further explore the evolutionary relationships of the 13 ethnic populations residing in Northwest China and to reveal the features of population admixture, the 9 most-commonly employed CODIS loci (D3S1358, TH01, D5S818, D13S317, D7S820, CSF1PO, vWA, TPOX, FGA) were selected for genotyping and further analysis. Phylogenetic tree and principal component analysis revealed clear pattern of population differentiation between 4 populations living in Sinkiang Uighur Autonomous Region and other 9 populations dwelled in the upper regions of Silk Road. R matrix regression showed high-level gene flow and population admixture dose exist among these ethic populations in the Northwest region of China. Furthermore, the Mantel test suggests that larger percent of genetic variance (21.58% versus 2.3%) can be explained by geographic isolation than linguistic barriers, which matched with the contribution of geographic factors to other world populations. © 2014 Zhang et al.","author":[{"dropping-particle":"","family":"Zhang","given":"Zhe","non-dropping-particle":"","parse-names":false,"suffix":""},{"dropping-particle":"","family":"Wei","given":"Shuguang","non-dropping-particle":"","parse-names":false,"suffix":""},{"dropping-particle":"","family":"Gui","given":"Hongsheng","non-dropping-particle":"","parse-names":false,"suffix":""},{"dropping-particle":"","family":"Yuan","given":"Zuyi","non-dropping-particle":"","parse-names":false,"suffix":""},{"dropping-particle":"","family":"Li","given":"Shengbin","non-dropping-particle":"","parse-names":false,"suffix":""}],"container-title":"PLoS ONE","id":"ITEM-1","issue":"5","issued":{"date-parts":[["2014"]]},"title":"The contribution of genetic diversity to subdivide populations living in the silk road of China","type":"article-journal","volume":"9"},"uris":["http://www.mendeley.com/documents/?uuid=03834574-7474-4e09-8c5f-7fd6e655e645"]}],"mendeley":{"formattedCitation":"[159]","plainTextFormattedCitation":"[159]","previouslyFormattedCitation":"[159]"},"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[159]</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r w:rsidR="00454E80" w:rsidRPr="00294BFC">
        <w:rPr>
          <w:rFonts w:ascii="Times New Roman" w:hAnsi="Times New Roman" w:cs="Times New Roman"/>
          <w:sz w:val="28"/>
          <w:szCs w:val="28"/>
        </w:rPr>
        <w:t xml:space="preserve">Генетическая дистанция по формуле Нея лучше всего отражает дифференциацию </w:t>
      </w:r>
      <w:r w:rsidR="008A18D3">
        <w:rPr>
          <w:rFonts w:ascii="Times New Roman" w:hAnsi="Times New Roman" w:cs="Times New Roman"/>
          <w:sz w:val="28"/>
          <w:szCs w:val="28"/>
        </w:rPr>
        <w:t>популяций</w:t>
      </w:r>
      <w:r w:rsidR="00454E80" w:rsidRPr="00294BFC">
        <w:rPr>
          <w:rFonts w:ascii="Times New Roman" w:hAnsi="Times New Roman" w:cs="Times New Roman"/>
          <w:sz w:val="28"/>
          <w:szCs w:val="28"/>
        </w:rPr>
        <w:t>.</w:t>
      </w:r>
    </w:p>
    <w:p w:rsidR="00AB12B3" w:rsidRPr="00294BFC" w:rsidRDefault="00AB12B3" w:rsidP="00AB12B3">
      <w:pPr>
        <w:spacing w:after="0" w:line="240" w:lineRule="auto"/>
        <w:ind w:firstLine="709"/>
        <w:jc w:val="both"/>
        <w:rPr>
          <w:rFonts w:ascii="Times New Roman" w:hAnsi="Times New Roman" w:cs="Times New Roman"/>
          <w:sz w:val="28"/>
          <w:szCs w:val="28"/>
        </w:rPr>
      </w:pPr>
    </w:p>
    <w:p w:rsidR="00AB12B3" w:rsidRDefault="00F325E7" w:rsidP="00AB12B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Таблица 6</w:t>
      </w:r>
      <w:r w:rsidR="003441A2">
        <w:rPr>
          <w:rFonts w:ascii="Times New Roman" w:hAnsi="Times New Roman" w:cs="Times New Roman"/>
          <w:sz w:val="28"/>
          <w:szCs w:val="28"/>
          <w:lang w:val="kk-KZ"/>
        </w:rPr>
        <w:t xml:space="preserve"> -</w:t>
      </w:r>
      <w:r w:rsidR="00AB12B3">
        <w:rPr>
          <w:rFonts w:ascii="Times New Roman" w:hAnsi="Times New Roman" w:cs="Times New Roman"/>
          <w:sz w:val="28"/>
          <w:szCs w:val="28"/>
        </w:rPr>
        <w:t xml:space="preserve"> Генетическая дистанция </w:t>
      </w:r>
      <w:r w:rsidR="00C56FE5">
        <w:rPr>
          <w:rFonts w:ascii="Times New Roman" w:hAnsi="Times New Roman" w:cs="Times New Roman"/>
          <w:sz w:val="28"/>
          <w:szCs w:val="28"/>
        </w:rPr>
        <w:t>исследуемой выборки</w:t>
      </w:r>
      <w:r w:rsidR="00AB12B3">
        <w:rPr>
          <w:rFonts w:ascii="Times New Roman" w:hAnsi="Times New Roman" w:cs="Times New Roman"/>
          <w:sz w:val="28"/>
          <w:szCs w:val="28"/>
        </w:rPr>
        <w:t xml:space="preserve"> и других популяции</w:t>
      </w:r>
    </w:p>
    <w:p w:rsidR="009D3251" w:rsidRPr="009D3251" w:rsidRDefault="009D3251" w:rsidP="00AB12B3">
      <w:pPr>
        <w:spacing w:after="0" w:line="240" w:lineRule="auto"/>
        <w:jc w:val="both"/>
        <w:rPr>
          <w:rFonts w:ascii="Times New Roman" w:hAnsi="Times New Roman" w:cs="Times New Roman"/>
          <w:sz w:val="28"/>
          <w:szCs w:val="28"/>
          <w:lang w:val="kk-KZ"/>
        </w:rPr>
      </w:pPr>
    </w:p>
    <w:tbl>
      <w:tblPr>
        <w:tblStyle w:val="af7"/>
        <w:tblW w:w="9495" w:type="dxa"/>
        <w:tblInd w:w="108" w:type="dxa"/>
        <w:tblLayout w:type="fixed"/>
        <w:tblLook w:val="04A0" w:firstRow="1" w:lastRow="0" w:firstColumn="1" w:lastColumn="0" w:noHBand="0" w:noVBand="1"/>
      </w:tblPr>
      <w:tblGrid>
        <w:gridCol w:w="1841"/>
        <w:gridCol w:w="1134"/>
        <w:gridCol w:w="1134"/>
        <w:gridCol w:w="1134"/>
        <w:gridCol w:w="1558"/>
        <w:gridCol w:w="1418"/>
        <w:gridCol w:w="1276"/>
      </w:tblGrid>
      <w:tr w:rsidR="00AB12B3" w:rsidTr="00103D43">
        <w:tc>
          <w:tcPr>
            <w:tcW w:w="1841" w:type="dxa"/>
            <w:tcBorders>
              <w:top w:val="single" w:sz="4" w:space="0" w:color="auto"/>
              <w:left w:val="single" w:sz="4" w:space="0" w:color="auto"/>
              <w:bottom w:val="single" w:sz="4" w:space="0" w:color="auto"/>
              <w:right w:val="single" w:sz="4" w:space="0" w:color="auto"/>
            </w:tcBorders>
          </w:tcPr>
          <w:p w:rsidR="00AB12B3" w:rsidRDefault="00AB12B3">
            <w:pPr>
              <w:jc w:val="both"/>
              <w:rPr>
                <w:rFonts w:ascii="Times New Roman" w:hAnsi="Times New Roman"/>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Казахская</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Европейская</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Африканская</w:t>
            </w:r>
          </w:p>
        </w:tc>
        <w:tc>
          <w:tcPr>
            <w:tcW w:w="155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Восточно-азиатская</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Западно-азиатская</w:t>
            </w:r>
          </w:p>
        </w:tc>
        <w:tc>
          <w:tcPr>
            <w:tcW w:w="1276"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Американская</w:t>
            </w:r>
          </w:p>
        </w:tc>
      </w:tr>
      <w:tr w:rsidR="00AB12B3" w:rsidTr="00103D43">
        <w:tc>
          <w:tcPr>
            <w:tcW w:w="184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 xml:space="preserve">Казахская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color w:val="000000"/>
                <w:sz w:val="28"/>
                <w:szCs w:val="28"/>
              </w:rPr>
            </w:pPr>
            <w:r>
              <w:rPr>
                <w:rFonts w:ascii="Times New Roman" w:hAnsi="Times New Roman"/>
                <w:color w:val="000000"/>
                <w:sz w:val="28"/>
                <w:szCs w:val="28"/>
              </w:rPr>
              <w:t>0,0000</w:t>
            </w:r>
          </w:p>
        </w:tc>
        <w:tc>
          <w:tcPr>
            <w:tcW w:w="1134" w:type="dxa"/>
            <w:tcBorders>
              <w:top w:val="single" w:sz="4" w:space="0" w:color="auto"/>
              <w:left w:val="single" w:sz="4" w:space="0" w:color="auto"/>
              <w:bottom w:val="single" w:sz="4" w:space="0" w:color="auto"/>
              <w:right w:val="single" w:sz="4" w:space="0" w:color="auto"/>
            </w:tcBorders>
          </w:tcPr>
          <w:p w:rsidR="00AB12B3" w:rsidRPr="009D3251" w:rsidRDefault="009D3251">
            <w:pPr>
              <w:jc w:val="both"/>
              <w:rPr>
                <w:rFonts w:ascii="Times New Roman" w:hAnsi="Times New Roman"/>
                <w:sz w:val="28"/>
                <w:szCs w:val="28"/>
                <w:lang w:val="kk-KZ"/>
              </w:rPr>
            </w:pPr>
            <w:r>
              <w:rPr>
                <w:rFonts w:ascii="Times New Roman" w:hAnsi="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tcPr>
          <w:p w:rsidR="00AB12B3" w:rsidRPr="009D3251" w:rsidRDefault="009D3251">
            <w:pPr>
              <w:jc w:val="both"/>
              <w:rPr>
                <w:rFonts w:ascii="Times New Roman" w:hAnsi="Times New Roman"/>
                <w:sz w:val="28"/>
                <w:szCs w:val="28"/>
                <w:lang w:val="kk-KZ"/>
              </w:rPr>
            </w:pPr>
            <w:r>
              <w:rPr>
                <w:rFonts w:ascii="Times New Roman" w:hAnsi="Times New Roman"/>
                <w:sz w:val="28"/>
                <w:szCs w:val="28"/>
                <w:lang w:val="kk-KZ"/>
              </w:rPr>
              <w:t>-</w:t>
            </w:r>
          </w:p>
        </w:tc>
        <w:tc>
          <w:tcPr>
            <w:tcW w:w="1558" w:type="dxa"/>
            <w:tcBorders>
              <w:top w:val="single" w:sz="4" w:space="0" w:color="auto"/>
              <w:left w:val="single" w:sz="4" w:space="0" w:color="auto"/>
              <w:bottom w:val="single" w:sz="4" w:space="0" w:color="auto"/>
              <w:right w:val="single" w:sz="4" w:space="0" w:color="auto"/>
            </w:tcBorders>
          </w:tcPr>
          <w:p w:rsidR="00AB12B3" w:rsidRPr="009D3251" w:rsidRDefault="009D3251">
            <w:pPr>
              <w:jc w:val="both"/>
              <w:rPr>
                <w:rFonts w:ascii="Times New Roman" w:hAnsi="Times New Roman"/>
                <w:sz w:val="28"/>
                <w:szCs w:val="28"/>
                <w:lang w:val="kk-KZ"/>
              </w:rPr>
            </w:pPr>
            <w:r>
              <w:rPr>
                <w:rFonts w:ascii="Times New Roman" w:hAnsi="Times New Roman"/>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tcPr>
          <w:p w:rsidR="00AB12B3" w:rsidRPr="009D3251" w:rsidRDefault="009D3251">
            <w:pPr>
              <w:jc w:val="both"/>
              <w:rPr>
                <w:rFonts w:ascii="Times New Roman" w:hAnsi="Times New Roman"/>
                <w:sz w:val="28"/>
                <w:szCs w:val="28"/>
                <w:lang w:val="kk-KZ"/>
              </w:rPr>
            </w:pPr>
            <w:r>
              <w:rPr>
                <w:rFonts w:ascii="Times New Roman" w:hAnsi="Times New Roman"/>
                <w:sz w:val="28"/>
                <w:szCs w:val="28"/>
                <w:lang w:val="kk-KZ"/>
              </w:rPr>
              <w:t>-</w:t>
            </w:r>
          </w:p>
        </w:tc>
        <w:tc>
          <w:tcPr>
            <w:tcW w:w="1276" w:type="dxa"/>
            <w:tcBorders>
              <w:top w:val="single" w:sz="4" w:space="0" w:color="auto"/>
              <w:left w:val="single" w:sz="4" w:space="0" w:color="auto"/>
              <w:bottom w:val="single" w:sz="4" w:space="0" w:color="auto"/>
              <w:right w:val="single" w:sz="4" w:space="0" w:color="auto"/>
            </w:tcBorders>
          </w:tcPr>
          <w:p w:rsidR="00AB12B3" w:rsidRDefault="00AB12B3">
            <w:pPr>
              <w:jc w:val="both"/>
              <w:rPr>
                <w:rFonts w:ascii="Times New Roman" w:hAnsi="Times New Roman"/>
                <w:sz w:val="28"/>
                <w:szCs w:val="28"/>
              </w:rPr>
            </w:pPr>
          </w:p>
        </w:tc>
      </w:tr>
      <w:tr w:rsidR="00AB12B3" w:rsidTr="00103D43">
        <w:tc>
          <w:tcPr>
            <w:tcW w:w="184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Европейская</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0,0127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0,0000</w:t>
            </w:r>
          </w:p>
        </w:tc>
        <w:tc>
          <w:tcPr>
            <w:tcW w:w="1134" w:type="dxa"/>
            <w:tcBorders>
              <w:top w:val="single" w:sz="4" w:space="0" w:color="auto"/>
              <w:left w:val="single" w:sz="4" w:space="0" w:color="auto"/>
              <w:bottom w:val="single" w:sz="4" w:space="0" w:color="auto"/>
              <w:right w:val="single" w:sz="4" w:space="0" w:color="auto"/>
            </w:tcBorders>
          </w:tcPr>
          <w:p w:rsidR="00AB12B3" w:rsidRPr="009D3251" w:rsidRDefault="009D3251">
            <w:pPr>
              <w:jc w:val="both"/>
              <w:rPr>
                <w:rFonts w:ascii="Times New Roman" w:hAnsi="Times New Roman"/>
                <w:sz w:val="28"/>
                <w:szCs w:val="28"/>
                <w:lang w:val="kk-KZ"/>
              </w:rPr>
            </w:pPr>
            <w:r>
              <w:rPr>
                <w:rFonts w:ascii="Times New Roman" w:hAnsi="Times New Roman"/>
                <w:sz w:val="28"/>
                <w:szCs w:val="28"/>
                <w:lang w:val="kk-KZ"/>
              </w:rPr>
              <w:t>-</w:t>
            </w:r>
          </w:p>
        </w:tc>
        <w:tc>
          <w:tcPr>
            <w:tcW w:w="1558" w:type="dxa"/>
            <w:tcBorders>
              <w:top w:val="single" w:sz="4" w:space="0" w:color="auto"/>
              <w:left w:val="single" w:sz="4" w:space="0" w:color="auto"/>
              <w:bottom w:val="single" w:sz="4" w:space="0" w:color="auto"/>
              <w:right w:val="single" w:sz="4" w:space="0" w:color="auto"/>
            </w:tcBorders>
          </w:tcPr>
          <w:p w:rsidR="00AB12B3" w:rsidRPr="009D3251" w:rsidRDefault="009D3251">
            <w:pPr>
              <w:jc w:val="both"/>
              <w:rPr>
                <w:rFonts w:ascii="Times New Roman" w:hAnsi="Times New Roman"/>
                <w:sz w:val="28"/>
                <w:szCs w:val="28"/>
                <w:lang w:val="kk-KZ"/>
              </w:rPr>
            </w:pPr>
            <w:r>
              <w:rPr>
                <w:rFonts w:ascii="Times New Roman" w:hAnsi="Times New Roman"/>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tcPr>
          <w:p w:rsidR="00AB12B3" w:rsidRPr="009D3251" w:rsidRDefault="009D3251">
            <w:pPr>
              <w:jc w:val="both"/>
              <w:rPr>
                <w:rFonts w:ascii="Times New Roman" w:hAnsi="Times New Roman"/>
                <w:sz w:val="28"/>
                <w:szCs w:val="28"/>
                <w:lang w:val="kk-KZ"/>
              </w:rPr>
            </w:pPr>
            <w:r>
              <w:rPr>
                <w:rFonts w:ascii="Times New Roman" w:hAnsi="Times New Roman"/>
                <w:sz w:val="28"/>
                <w:szCs w:val="28"/>
                <w:lang w:val="kk-KZ"/>
              </w:rPr>
              <w:t>-</w:t>
            </w:r>
          </w:p>
        </w:tc>
        <w:tc>
          <w:tcPr>
            <w:tcW w:w="1276" w:type="dxa"/>
            <w:tcBorders>
              <w:top w:val="single" w:sz="4" w:space="0" w:color="auto"/>
              <w:left w:val="single" w:sz="4" w:space="0" w:color="auto"/>
              <w:bottom w:val="single" w:sz="4" w:space="0" w:color="auto"/>
              <w:right w:val="single" w:sz="4" w:space="0" w:color="auto"/>
            </w:tcBorders>
          </w:tcPr>
          <w:p w:rsidR="00AB12B3" w:rsidRDefault="00AB12B3">
            <w:pPr>
              <w:jc w:val="both"/>
              <w:rPr>
                <w:rFonts w:ascii="Times New Roman" w:hAnsi="Times New Roman"/>
                <w:sz w:val="28"/>
                <w:szCs w:val="28"/>
              </w:rPr>
            </w:pPr>
          </w:p>
        </w:tc>
      </w:tr>
      <w:tr w:rsidR="00AB12B3" w:rsidTr="00103D43">
        <w:tc>
          <w:tcPr>
            <w:tcW w:w="184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Африканская</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0,0099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0,0401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0,0000</w:t>
            </w:r>
          </w:p>
        </w:tc>
        <w:tc>
          <w:tcPr>
            <w:tcW w:w="1558" w:type="dxa"/>
            <w:tcBorders>
              <w:top w:val="single" w:sz="4" w:space="0" w:color="auto"/>
              <w:left w:val="single" w:sz="4" w:space="0" w:color="auto"/>
              <w:bottom w:val="single" w:sz="4" w:space="0" w:color="auto"/>
              <w:right w:val="single" w:sz="4" w:space="0" w:color="auto"/>
            </w:tcBorders>
          </w:tcPr>
          <w:p w:rsidR="00AB12B3" w:rsidRPr="009D3251" w:rsidRDefault="009D3251">
            <w:pPr>
              <w:jc w:val="both"/>
              <w:rPr>
                <w:rFonts w:ascii="Times New Roman" w:hAnsi="Times New Roman"/>
                <w:sz w:val="28"/>
                <w:szCs w:val="28"/>
                <w:lang w:val="kk-KZ"/>
              </w:rPr>
            </w:pPr>
            <w:r>
              <w:rPr>
                <w:rFonts w:ascii="Times New Roman" w:hAnsi="Times New Roman"/>
                <w:sz w:val="28"/>
                <w:szCs w:val="28"/>
                <w:lang w:val="kk-KZ"/>
              </w:rPr>
              <w:t>-</w:t>
            </w:r>
          </w:p>
        </w:tc>
        <w:tc>
          <w:tcPr>
            <w:tcW w:w="1418" w:type="dxa"/>
            <w:tcBorders>
              <w:top w:val="single" w:sz="4" w:space="0" w:color="auto"/>
              <w:left w:val="single" w:sz="4" w:space="0" w:color="auto"/>
              <w:bottom w:val="single" w:sz="4" w:space="0" w:color="auto"/>
              <w:right w:val="single" w:sz="4" w:space="0" w:color="auto"/>
            </w:tcBorders>
          </w:tcPr>
          <w:p w:rsidR="00AB12B3" w:rsidRPr="009D3251" w:rsidRDefault="009D3251">
            <w:pPr>
              <w:jc w:val="both"/>
              <w:rPr>
                <w:rFonts w:ascii="Times New Roman" w:hAnsi="Times New Roman"/>
                <w:sz w:val="28"/>
                <w:szCs w:val="28"/>
                <w:lang w:val="kk-KZ"/>
              </w:rPr>
            </w:pPr>
            <w:r>
              <w:rPr>
                <w:rFonts w:ascii="Times New Roman" w:hAnsi="Times New Roman"/>
                <w:sz w:val="28"/>
                <w:szCs w:val="28"/>
                <w:lang w:val="kk-KZ"/>
              </w:rPr>
              <w:t>-</w:t>
            </w:r>
          </w:p>
        </w:tc>
        <w:tc>
          <w:tcPr>
            <w:tcW w:w="1276" w:type="dxa"/>
            <w:tcBorders>
              <w:top w:val="single" w:sz="4" w:space="0" w:color="auto"/>
              <w:left w:val="single" w:sz="4" w:space="0" w:color="auto"/>
              <w:bottom w:val="single" w:sz="4" w:space="0" w:color="auto"/>
              <w:right w:val="single" w:sz="4" w:space="0" w:color="auto"/>
            </w:tcBorders>
          </w:tcPr>
          <w:p w:rsidR="00AB12B3" w:rsidRDefault="00AB12B3">
            <w:pPr>
              <w:jc w:val="both"/>
              <w:rPr>
                <w:rFonts w:ascii="Times New Roman" w:hAnsi="Times New Roman"/>
                <w:sz w:val="28"/>
                <w:szCs w:val="28"/>
              </w:rPr>
            </w:pPr>
          </w:p>
        </w:tc>
      </w:tr>
      <w:tr w:rsidR="00AB12B3" w:rsidTr="00103D43">
        <w:tc>
          <w:tcPr>
            <w:tcW w:w="184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Восточно-азиатская</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0,0187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0,0525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0,0045</w:t>
            </w:r>
          </w:p>
        </w:tc>
        <w:tc>
          <w:tcPr>
            <w:tcW w:w="155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0,0000</w:t>
            </w:r>
          </w:p>
        </w:tc>
        <w:tc>
          <w:tcPr>
            <w:tcW w:w="1418" w:type="dxa"/>
            <w:tcBorders>
              <w:top w:val="single" w:sz="4" w:space="0" w:color="auto"/>
              <w:left w:val="single" w:sz="4" w:space="0" w:color="auto"/>
              <w:bottom w:val="single" w:sz="4" w:space="0" w:color="auto"/>
              <w:right w:val="single" w:sz="4" w:space="0" w:color="auto"/>
            </w:tcBorders>
          </w:tcPr>
          <w:p w:rsidR="00AB12B3" w:rsidRPr="009D3251" w:rsidRDefault="009D3251">
            <w:pPr>
              <w:jc w:val="both"/>
              <w:rPr>
                <w:rFonts w:ascii="Times New Roman" w:hAnsi="Times New Roman"/>
                <w:sz w:val="28"/>
                <w:szCs w:val="28"/>
                <w:lang w:val="kk-KZ"/>
              </w:rPr>
            </w:pPr>
            <w:r>
              <w:rPr>
                <w:rFonts w:ascii="Times New Roman" w:hAnsi="Times New Roman"/>
                <w:sz w:val="28"/>
                <w:szCs w:val="28"/>
                <w:lang w:val="kk-KZ"/>
              </w:rPr>
              <w:t>-</w:t>
            </w:r>
          </w:p>
        </w:tc>
        <w:tc>
          <w:tcPr>
            <w:tcW w:w="1276" w:type="dxa"/>
            <w:tcBorders>
              <w:top w:val="single" w:sz="4" w:space="0" w:color="auto"/>
              <w:left w:val="single" w:sz="4" w:space="0" w:color="auto"/>
              <w:bottom w:val="single" w:sz="4" w:space="0" w:color="auto"/>
              <w:right w:val="single" w:sz="4" w:space="0" w:color="auto"/>
            </w:tcBorders>
          </w:tcPr>
          <w:p w:rsidR="00AB12B3" w:rsidRDefault="00AB12B3">
            <w:pPr>
              <w:jc w:val="both"/>
              <w:rPr>
                <w:rFonts w:ascii="Times New Roman" w:hAnsi="Times New Roman"/>
                <w:sz w:val="28"/>
                <w:szCs w:val="28"/>
              </w:rPr>
            </w:pPr>
          </w:p>
        </w:tc>
      </w:tr>
      <w:tr w:rsidR="00AB12B3" w:rsidTr="00103D43">
        <w:tc>
          <w:tcPr>
            <w:tcW w:w="184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Западно-азиатская</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0,0045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0,0271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0,0018</w:t>
            </w:r>
          </w:p>
        </w:tc>
        <w:tc>
          <w:tcPr>
            <w:tcW w:w="155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0,0064</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0,0000</w:t>
            </w:r>
          </w:p>
        </w:tc>
        <w:tc>
          <w:tcPr>
            <w:tcW w:w="1276" w:type="dxa"/>
            <w:tcBorders>
              <w:top w:val="single" w:sz="4" w:space="0" w:color="auto"/>
              <w:left w:val="single" w:sz="4" w:space="0" w:color="auto"/>
              <w:bottom w:val="single" w:sz="4" w:space="0" w:color="auto"/>
              <w:right w:val="single" w:sz="4" w:space="0" w:color="auto"/>
            </w:tcBorders>
          </w:tcPr>
          <w:p w:rsidR="00AB12B3" w:rsidRDefault="00AB12B3">
            <w:pPr>
              <w:jc w:val="both"/>
              <w:rPr>
                <w:rFonts w:ascii="Times New Roman" w:hAnsi="Times New Roman"/>
                <w:sz w:val="28"/>
                <w:szCs w:val="28"/>
              </w:rPr>
            </w:pPr>
          </w:p>
        </w:tc>
      </w:tr>
      <w:tr w:rsidR="00AB12B3" w:rsidTr="00103D43">
        <w:tc>
          <w:tcPr>
            <w:tcW w:w="1841"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sz w:val="28"/>
                <w:szCs w:val="28"/>
              </w:rPr>
              <w:t>Американская</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0,1275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0,1274</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0,1382</w:t>
            </w:r>
          </w:p>
        </w:tc>
        <w:tc>
          <w:tcPr>
            <w:tcW w:w="155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0,1306</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0,1198</w:t>
            </w:r>
          </w:p>
        </w:tc>
        <w:tc>
          <w:tcPr>
            <w:tcW w:w="1276" w:type="dxa"/>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8"/>
                <w:szCs w:val="28"/>
              </w:rPr>
            </w:pPr>
            <w:r>
              <w:rPr>
                <w:rFonts w:ascii="Times New Roman" w:hAnsi="Times New Roman"/>
                <w:color w:val="000000"/>
                <w:sz w:val="28"/>
                <w:szCs w:val="28"/>
              </w:rPr>
              <w:t>0,0000</w:t>
            </w:r>
          </w:p>
        </w:tc>
      </w:tr>
    </w:tbl>
    <w:p w:rsidR="00AB12B3" w:rsidRDefault="00AB12B3" w:rsidP="00AB12B3">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своем исследовании мы проанализировали структуру популяции и генетическое родство казах</w:t>
      </w:r>
      <w:r w:rsidR="002F312D">
        <w:rPr>
          <w:rFonts w:ascii="Times New Roman" w:hAnsi="Times New Roman" w:cs="Times New Roman"/>
          <w:sz w:val="28"/>
          <w:szCs w:val="28"/>
        </w:rPr>
        <w:t>ов</w:t>
      </w:r>
      <w:r>
        <w:rPr>
          <w:rFonts w:ascii="Times New Roman" w:hAnsi="Times New Roman" w:cs="Times New Roman"/>
          <w:sz w:val="28"/>
          <w:szCs w:val="28"/>
        </w:rPr>
        <w:t xml:space="preserve"> с другими</w:t>
      </w:r>
      <w:r w:rsidR="00000B49">
        <w:rPr>
          <w:rFonts w:ascii="Times New Roman" w:hAnsi="Times New Roman" w:cs="Times New Roman"/>
          <w:sz w:val="28"/>
          <w:szCs w:val="28"/>
        </w:rPr>
        <w:t xml:space="preserve"> этническими группами,</w:t>
      </w:r>
      <w:r>
        <w:rPr>
          <w:rFonts w:ascii="Times New Roman" w:hAnsi="Times New Roman" w:cs="Times New Roman"/>
          <w:sz w:val="28"/>
          <w:szCs w:val="28"/>
        </w:rPr>
        <w:t xml:space="preserve"> используя данные 1000 Genomes</w:t>
      </w:r>
      <w:r w:rsidR="00AC051E">
        <w:rPr>
          <w:rFonts w:ascii="Times New Roman" w:hAnsi="Times New Roman" w:cs="Times New Roman"/>
          <w:sz w:val="28"/>
          <w:szCs w:val="28"/>
        </w:rPr>
        <w:t xml:space="preserve"> </w:t>
      </w:r>
      <w:r>
        <w:rPr>
          <w:rFonts w:ascii="Times New Roman" w:hAnsi="Times New Roman" w:cs="Times New Roman"/>
          <w:sz w:val="28"/>
          <w:szCs w:val="28"/>
        </w:rPr>
        <w:t xml:space="preserve">Browser. </w:t>
      </w:r>
      <w:r w:rsidR="0033112F" w:rsidRPr="0033112F">
        <w:rPr>
          <w:rFonts w:ascii="Times New Roman" w:hAnsi="Times New Roman" w:cs="Times New Roman"/>
          <w:sz w:val="28"/>
          <w:szCs w:val="28"/>
        </w:rPr>
        <w:t>Р</w:t>
      </w:r>
      <w:r>
        <w:rPr>
          <w:rFonts w:ascii="Times New Roman" w:hAnsi="Times New Roman" w:cs="Times New Roman"/>
          <w:sz w:val="28"/>
          <w:szCs w:val="28"/>
        </w:rPr>
        <w:t>езультаты показали, что полиморфизмы генов</w:t>
      </w:r>
      <w:r>
        <w:rPr>
          <w:rFonts w:ascii="Times New Roman" w:hAnsi="Times New Roman" w:cs="Times New Roman"/>
          <w:i/>
          <w:sz w:val="28"/>
          <w:szCs w:val="28"/>
        </w:rPr>
        <w:t xml:space="preserve"> LPL </w:t>
      </w:r>
      <w:r>
        <w:rPr>
          <w:rFonts w:ascii="Times New Roman" w:hAnsi="Times New Roman" w:cs="Times New Roman"/>
          <w:sz w:val="28"/>
          <w:szCs w:val="28"/>
        </w:rPr>
        <w:t>(Ser447Ter),</w:t>
      </w:r>
      <w:r>
        <w:rPr>
          <w:rFonts w:ascii="Times New Roman" w:hAnsi="Times New Roman" w:cs="Times New Roman"/>
          <w:i/>
          <w:sz w:val="28"/>
          <w:szCs w:val="28"/>
        </w:rPr>
        <w:t xml:space="preserve"> ADRB2 </w:t>
      </w:r>
      <w:r>
        <w:rPr>
          <w:rFonts w:ascii="Times New Roman" w:hAnsi="Times New Roman" w:cs="Times New Roman"/>
          <w:sz w:val="28"/>
          <w:szCs w:val="28"/>
        </w:rPr>
        <w:t>(Gln27Glu),</w:t>
      </w:r>
      <w:r>
        <w:rPr>
          <w:rFonts w:ascii="Times New Roman" w:hAnsi="Times New Roman" w:cs="Times New Roman"/>
          <w:i/>
          <w:sz w:val="28"/>
          <w:szCs w:val="28"/>
        </w:rPr>
        <w:t xml:space="preserve"> AGT </w:t>
      </w:r>
      <w:r>
        <w:rPr>
          <w:rFonts w:ascii="Times New Roman" w:hAnsi="Times New Roman" w:cs="Times New Roman"/>
          <w:sz w:val="28"/>
          <w:szCs w:val="28"/>
        </w:rPr>
        <w:t>(Thr174Met),</w:t>
      </w:r>
      <w:r>
        <w:rPr>
          <w:rFonts w:ascii="Times New Roman" w:hAnsi="Times New Roman" w:cs="Times New Roman"/>
          <w:i/>
          <w:sz w:val="28"/>
          <w:szCs w:val="28"/>
        </w:rPr>
        <w:t xml:space="preserve"> AGTR1 </w:t>
      </w:r>
      <w:r>
        <w:rPr>
          <w:rFonts w:ascii="Times New Roman" w:hAnsi="Times New Roman" w:cs="Times New Roman"/>
          <w:sz w:val="28"/>
          <w:szCs w:val="28"/>
        </w:rPr>
        <w:t xml:space="preserve">(A1166C) в </w:t>
      </w:r>
      <w:r w:rsidR="0070789F">
        <w:rPr>
          <w:rFonts w:ascii="Times New Roman" w:hAnsi="Times New Roman" w:cs="Times New Roman"/>
          <w:sz w:val="28"/>
          <w:szCs w:val="28"/>
        </w:rPr>
        <w:t xml:space="preserve">исследуемой выборке </w:t>
      </w:r>
      <w:r w:rsidR="0033112F">
        <w:rPr>
          <w:rFonts w:ascii="Times New Roman" w:hAnsi="Times New Roman" w:cs="Times New Roman"/>
          <w:sz w:val="28"/>
          <w:szCs w:val="28"/>
        </w:rPr>
        <w:t>занимают</w:t>
      </w:r>
      <w:r>
        <w:rPr>
          <w:rFonts w:ascii="Times New Roman" w:hAnsi="Times New Roman" w:cs="Times New Roman"/>
          <w:sz w:val="28"/>
          <w:szCs w:val="28"/>
        </w:rPr>
        <w:t xml:space="preserve"> промежуточное положение между европейской и восточно-азиатской популяциями, что достаточно ожидаемо, учитывая историко</w:t>
      </w:r>
      <w:r w:rsidR="00742541">
        <w:rPr>
          <w:rFonts w:ascii="Times New Roman" w:hAnsi="Times New Roman" w:cs="Times New Roman"/>
          <w:sz w:val="28"/>
          <w:szCs w:val="28"/>
          <w:lang w:val="kk-KZ"/>
        </w:rPr>
        <w:t xml:space="preserve"> </w:t>
      </w:r>
      <w:r w:rsidR="00C16F07">
        <w:rPr>
          <w:rFonts w:ascii="Times New Roman" w:hAnsi="Times New Roman" w:cs="Times New Roman"/>
          <w:sz w:val="28"/>
          <w:szCs w:val="28"/>
        </w:rPr>
        <w:t>–</w:t>
      </w:r>
      <w:r>
        <w:rPr>
          <w:rFonts w:ascii="Times New Roman" w:hAnsi="Times New Roman" w:cs="Times New Roman"/>
          <w:sz w:val="28"/>
          <w:szCs w:val="28"/>
        </w:rPr>
        <w:t xml:space="preserve"> географическое расположение нашей страны. </w:t>
      </w:r>
    </w:p>
    <w:p w:rsidR="00AB12B3" w:rsidRDefault="00AB12B3" w:rsidP="006B4FE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Другие казахстанские ученые, используя данные Open</w:t>
      </w:r>
      <w:r w:rsidR="00C16F07">
        <w:rPr>
          <w:rFonts w:ascii="Times New Roman" w:hAnsi="Times New Roman" w:cs="Times New Roman"/>
          <w:sz w:val="28"/>
          <w:szCs w:val="28"/>
        </w:rPr>
        <w:t>–</w:t>
      </w:r>
      <w:r>
        <w:rPr>
          <w:rFonts w:ascii="Times New Roman" w:hAnsi="Times New Roman" w:cs="Times New Roman"/>
          <w:sz w:val="28"/>
          <w:szCs w:val="28"/>
        </w:rPr>
        <w:t>Array</w:t>
      </w:r>
      <w:r w:rsidR="009A5561">
        <w:rPr>
          <w:rFonts w:ascii="Times New Roman" w:hAnsi="Times New Roman" w:cs="Times New Roman"/>
          <w:sz w:val="28"/>
          <w:szCs w:val="28"/>
        </w:rPr>
        <w:t xml:space="preserve"> </w:t>
      </w:r>
      <w:r>
        <w:rPr>
          <w:rFonts w:ascii="Times New Roman" w:hAnsi="Times New Roman" w:cs="Times New Roman"/>
          <w:sz w:val="28"/>
          <w:szCs w:val="28"/>
        </w:rPr>
        <w:t>PGx</w:t>
      </w:r>
      <w:r w:rsidR="009A5561">
        <w:rPr>
          <w:rFonts w:ascii="Times New Roman" w:hAnsi="Times New Roman" w:cs="Times New Roman"/>
          <w:sz w:val="28"/>
          <w:szCs w:val="28"/>
        </w:rPr>
        <w:t xml:space="preserve"> </w:t>
      </w:r>
      <w:r>
        <w:rPr>
          <w:rFonts w:ascii="Times New Roman" w:hAnsi="Times New Roman" w:cs="Times New Roman"/>
          <w:sz w:val="28"/>
          <w:szCs w:val="28"/>
        </w:rPr>
        <w:t>Panel из The</w:t>
      </w:r>
      <w:r w:rsidR="009A5561">
        <w:rPr>
          <w:rFonts w:ascii="Times New Roman" w:hAnsi="Times New Roman" w:cs="Times New Roman"/>
          <w:sz w:val="28"/>
          <w:szCs w:val="28"/>
        </w:rPr>
        <w:t xml:space="preserve"> </w:t>
      </w:r>
      <w:r>
        <w:rPr>
          <w:rFonts w:ascii="Times New Roman" w:hAnsi="Times New Roman" w:cs="Times New Roman"/>
          <w:sz w:val="28"/>
          <w:szCs w:val="28"/>
        </w:rPr>
        <w:t>Pharma ADME Core</w:t>
      </w:r>
      <w:r w:rsidR="009A5561">
        <w:rPr>
          <w:rFonts w:ascii="Times New Roman" w:hAnsi="Times New Roman" w:cs="Times New Roman"/>
          <w:sz w:val="28"/>
          <w:szCs w:val="28"/>
        </w:rPr>
        <w:t xml:space="preserve"> </w:t>
      </w:r>
      <w:r>
        <w:rPr>
          <w:rFonts w:ascii="Times New Roman" w:hAnsi="Times New Roman" w:cs="Times New Roman"/>
          <w:sz w:val="28"/>
          <w:szCs w:val="28"/>
        </w:rPr>
        <w:t>Marker</w:t>
      </w:r>
      <w:r w:rsidR="009A5561">
        <w:rPr>
          <w:rFonts w:ascii="Times New Roman" w:hAnsi="Times New Roman" w:cs="Times New Roman"/>
          <w:sz w:val="28"/>
          <w:szCs w:val="28"/>
        </w:rPr>
        <w:t xml:space="preserve"> </w:t>
      </w:r>
      <w:r>
        <w:rPr>
          <w:rFonts w:ascii="Times New Roman" w:hAnsi="Times New Roman" w:cs="Times New Roman"/>
          <w:sz w:val="28"/>
          <w:szCs w:val="28"/>
        </w:rPr>
        <w:t xml:space="preserve">List, проанализировали влияние полиморфизмов на индивидуальные различия в чувствительности или резистентности к определенным препаратам в казахской популяции. Они не исключают, что различные расовые группы внесли свой вклад в формировании казахской популяции, так как </w:t>
      </w:r>
      <w:r w:rsidR="006757AD">
        <w:rPr>
          <w:rFonts w:ascii="Times New Roman" w:hAnsi="Times New Roman" w:cs="Times New Roman"/>
          <w:sz w:val="28"/>
          <w:szCs w:val="28"/>
        </w:rPr>
        <w:t xml:space="preserve">казахи сочетают в себе генетические черты азиатской и европеоидной расы </w:t>
      </w:r>
      <w:r w:rsidR="00EA0E64">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{"citationItems":[{"id":"ITEM-1","itemData":{"DOI":"10.1186/s12863-016-0329-x","ISSN":"14712156","abstract":"Background: Studies of genes involved in the absorption, distribution, metabolism, and excretion (ADME) of drugs are crucial to the development of therapeutics in clinical medicine. Such data provide information that may improve our understanding of individual differences in sensitivity or resistance to certain drugs, thereby helping to avoid adverse drug reactions (ADRs) in patients and improve the quality of therapies. Here, we aimed to analyse single nucleotide polymorphisms (SNPs) involved in the ADME of multiple drugs in Kazakhs from Kazakhstan. Results: A total of 158 SNPs involved in the ADME of various drugs were studied. We analysed 320 Kazakh DNA samples using OpenArray genotyping. Of the 158 SNPs, 75 were not found in heterozygous or homozygous variants. Comparative analysis among Kazakhs and world populations showed a fairly high percentage of population differentiation. Conclusion: These results provide further information for pharmacogenetic databases and may contribute to the development of personalized approaches and safer therapies for the Kazakh population. Moreover, these data provide insights into the different racial groups that may have contributed to the Kazakh population.","author":[{"dropping-particle":"","family":"Iskakova","given":"Aisha N.","non-dropping-particle":"","parse-names":false,"suffix":""},{"dropping-particle":"","family":"Romanova","given":"Aliya A.","non-dropping-particle":"","parse-names":false,"suffix":""},{"dropping-particle":"","family":"Aitkulova","given":"Akbota M.","non-dropping-particle":"","parse-names":false,"suffix":""},{"dropping-particle":"","family":"Sikhayeva","given":"Nurgul S.","non-dropping-particle":"","parse-names":false,"suffix":""},{"dropping-particle":"V.","family":"Zholdybayeva","given":"Elena","non-dropping-particle":"","parse-names":false,"suffix":""},{"dropping-particle":"","family":"Ramanculov","given":"Erlan M.","non-dropping-particle":"","parse-names":false,"suffix":""}],"container-title":"BMC Genetics","id":"ITEM-1","issue":"1","issued":{"date-parts":[["2016"]]},"publisher":"BMC Genetics","title":"Polymorphisms in genes involved in the absorption, distribution, metabolism, and excretion of drugs in the Kazakhs of Kazakhstan","type":"article-journal","volume":"17"},"uris":["http://www.mendeley.com/documents/?uuid=788780bf-c973-4471-8a2a-0522df530fbb"]}],"mendeley":{"formattedCitation":"[160]","plainTextFormattedCitation":"[160]","previouslyFormattedCitation":"[160]"},"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[160]</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p>
    <w:p w:rsidR="00AB12B3" w:rsidRDefault="00584D11" w:rsidP="00AB12B3">
      <w:pPr>
        <w:spacing w:after="0" w:line="240" w:lineRule="auto"/>
        <w:ind w:firstLine="708"/>
        <w:jc w:val="both"/>
        <w:rPr>
          <w:rFonts w:ascii="Times New Roman" w:hAnsi="Times New Roman" w:cs="Times New Roman"/>
          <w:sz w:val="28"/>
          <w:szCs w:val="28"/>
        </w:rPr>
      </w:pPr>
      <w:r w:rsidRPr="00584D11">
        <w:rPr>
          <w:rFonts w:ascii="Times New Roman" w:hAnsi="Times New Roman" w:cs="Times New Roman"/>
          <w:noProof/>
          <w:sz w:val="28"/>
          <w:szCs w:val="28"/>
        </w:rPr>
        <w:lastRenderedPageBreak/>
        <w:drawing>
          <wp:anchor distT="0" distB="0" distL="114300" distR="114300" simplePos="0" relativeHeight="251707904" behindDoc="0" locked="0" layoutInCell="1" allowOverlap="1" wp14:anchorId="49455BD9" wp14:editId="04E1680E">
            <wp:simplePos x="1526540" y="715645"/>
            <wp:positionH relativeFrom="margin">
              <wp:align>center</wp:align>
            </wp:positionH>
            <wp:positionV relativeFrom="margin">
              <wp:align>top</wp:align>
            </wp:positionV>
            <wp:extent cx="5848350" cy="2225040"/>
            <wp:effectExtent l="0" t="0" r="0" b="3810"/>
            <wp:wrapSquare wrapText="bothSides"/>
            <wp:docPr id="11" name="Рисунок 1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EA01A73-2FF1-413A-9930-CF253FDD4EB1}"/>
                </a:ext>
              </a:extLst>
            </wp:docPr>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EA01A73-2FF1-413A-9930-CF253FDD4EB1}"/>
                        </a:ext>
                      </a:extLst>
                    </pic:cNvPr>
                    <pic:cNvPicPr/>
                  </pic:nvPicPr>
                  <pic:blipFill rotWithShape="1">
                    <a:blip r:embed="rId30">
                      <a:extLst>
                        <a:ext uri="{28A0092B-C50C-407E-A947-70E740481C1C}">
                          <a14:useLocalDpi xmlns:a14="http://schemas.microsoft.com/office/drawing/2010/main" val="0"/>
                        </a:ext>
                      </a:extLst>
                    </a:blip>
                    <a:srcRect l="27739" t="43900" r="42870" b="29019"/>
                    <a:stretch/>
                  </pic:blipFill>
                  <pic:spPr bwMode="auto">
                    <a:xfrm>
                      <a:off x="0" y="0"/>
                      <a:ext cx="5848350" cy="2225040"/>
                    </a:xfrm>
                    <a:prstGeom prst="rect">
                      <a:avLst/>
                    </a:prstGeom>
                    <a:ln>
                      <a:noFill/>
                    </a:ln>
                    <a:extLst>
                      <a:ext uri="{53640926-AAD7-44D8-BBD7-CCE9431645EC}">
                        <a14:shadowObscured xmlns:a14="http://schemas.microsoft.com/office/drawing/2010/main"/>
                      </a:ext>
                    </a:extLst>
                  </pic:spPr>
                </pic:pic>
              </a:graphicData>
            </a:graphic>
          </wp:anchor>
        </w:drawing>
      </w:r>
    </w:p>
    <w:p w:rsidR="00AB12B3" w:rsidRDefault="00AB12B3" w:rsidP="003441A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Рисунок 1</w:t>
      </w:r>
      <w:r w:rsidR="003441A2">
        <w:rPr>
          <w:rFonts w:ascii="Times New Roman" w:hAnsi="Times New Roman" w:cs="Times New Roman"/>
          <w:sz w:val="28"/>
          <w:szCs w:val="28"/>
          <w:lang w:val="kk-KZ"/>
        </w:rPr>
        <w:t xml:space="preserve"> -</w:t>
      </w:r>
      <w:r>
        <w:rPr>
          <w:rFonts w:ascii="Times New Roman" w:hAnsi="Times New Roman" w:cs="Times New Roman"/>
          <w:sz w:val="28"/>
          <w:szCs w:val="28"/>
        </w:rPr>
        <w:t>Фи</w:t>
      </w:r>
      <w:r w:rsidR="00055E2A">
        <w:rPr>
          <w:rFonts w:ascii="Times New Roman" w:hAnsi="Times New Roman" w:cs="Times New Roman"/>
          <w:sz w:val="28"/>
          <w:szCs w:val="28"/>
        </w:rPr>
        <w:t>логенетическое дерево, на основе расчета</w:t>
      </w:r>
      <w:r>
        <w:rPr>
          <w:rFonts w:ascii="Times New Roman" w:hAnsi="Times New Roman" w:cs="Times New Roman"/>
          <w:sz w:val="28"/>
          <w:szCs w:val="28"/>
        </w:rPr>
        <w:t xml:space="preserve"> генетической дистанции по формуле Нея</w:t>
      </w:r>
    </w:p>
    <w:p w:rsidR="00AB12B3" w:rsidRDefault="00AB12B3" w:rsidP="00AB12B3">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Проведенный нами анализ распространенности полиморфизмов </w:t>
      </w:r>
      <w:r>
        <w:rPr>
          <w:rFonts w:ascii="Times New Roman" w:hAnsi="Times New Roman" w:cs="Times New Roman"/>
          <w:i/>
          <w:sz w:val="28"/>
          <w:szCs w:val="28"/>
        </w:rPr>
        <w:t xml:space="preserve">LPL </w:t>
      </w:r>
      <w:r>
        <w:rPr>
          <w:rFonts w:ascii="Times New Roman" w:hAnsi="Times New Roman" w:cs="Times New Roman"/>
          <w:sz w:val="28"/>
          <w:szCs w:val="28"/>
        </w:rPr>
        <w:t>(Ser447Ter) (rs328),</w:t>
      </w:r>
      <w:r>
        <w:rPr>
          <w:rFonts w:ascii="Times New Roman" w:hAnsi="Times New Roman" w:cs="Times New Roman"/>
          <w:i/>
          <w:sz w:val="28"/>
          <w:szCs w:val="28"/>
        </w:rPr>
        <w:t xml:space="preserve"> ADRB2 </w:t>
      </w:r>
      <w:r>
        <w:rPr>
          <w:rFonts w:ascii="Times New Roman" w:hAnsi="Times New Roman" w:cs="Times New Roman"/>
          <w:sz w:val="28"/>
          <w:szCs w:val="28"/>
        </w:rPr>
        <w:t>Gln27Glu (rs1042714),</w:t>
      </w:r>
      <w:r>
        <w:rPr>
          <w:rFonts w:ascii="Times New Roman" w:hAnsi="Times New Roman" w:cs="Times New Roman"/>
          <w:i/>
          <w:sz w:val="28"/>
          <w:szCs w:val="28"/>
        </w:rPr>
        <w:t xml:space="preserve"> AGT </w:t>
      </w:r>
      <w:r>
        <w:rPr>
          <w:rFonts w:ascii="Times New Roman" w:hAnsi="Times New Roman" w:cs="Times New Roman"/>
          <w:sz w:val="28"/>
          <w:szCs w:val="28"/>
        </w:rPr>
        <w:t>Thr174Met (rs4762) и</w:t>
      </w:r>
      <w:r>
        <w:rPr>
          <w:rFonts w:ascii="Times New Roman" w:hAnsi="Times New Roman" w:cs="Times New Roman"/>
          <w:i/>
          <w:sz w:val="28"/>
          <w:szCs w:val="28"/>
        </w:rPr>
        <w:t xml:space="preserve"> AGTR1 </w:t>
      </w:r>
      <w:r>
        <w:rPr>
          <w:rFonts w:ascii="Times New Roman" w:hAnsi="Times New Roman" w:cs="Times New Roman"/>
          <w:sz w:val="28"/>
          <w:szCs w:val="28"/>
        </w:rPr>
        <w:t xml:space="preserve">A1166C (rs5186) показал, что частота встречаемости редких аллелей в </w:t>
      </w:r>
      <w:r w:rsidR="0070789F">
        <w:rPr>
          <w:rFonts w:ascii="Times New Roman" w:hAnsi="Times New Roman" w:cs="Times New Roman"/>
          <w:sz w:val="28"/>
          <w:szCs w:val="28"/>
        </w:rPr>
        <w:t xml:space="preserve">исследуемой выборке </w:t>
      </w:r>
      <w:r w:rsidR="00FE3854">
        <w:rPr>
          <w:rFonts w:ascii="Times New Roman" w:hAnsi="Times New Roman" w:cs="Times New Roman"/>
          <w:sz w:val="28"/>
          <w:szCs w:val="28"/>
        </w:rPr>
        <w:t>занимает</w:t>
      </w:r>
      <w:r>
        <w:rPr>
          <w:rFonts w:ascii="Times New Roman" w:hAnsi="Times New Roman" w:cs="Times New Roman"/>
          <w:sz w:val="28"/>
          <w:szCs w:val="28"/>
        </w:rPr>
        <w:t xml:space="preserve"> промежуточное положение. Наши результаты согласуется с результатами других авторов</w:t>
      </w:r>
      <w:r w:rsidR="00CE7363">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{"citationItems":[{"id":"ITEM-1","itemData":{"DOI":"10.1186/s12863-016-0329-x","ISSN":"14712156","abstract":"Background: Studies of genes involved in the absorption, distribution, metabolism, and excretion (ADME) of drugs are crucial to the development of therapeutics in clinical medicine. Such data provide information that may improve our understanding of individual differences in sensitivity or resistance to certain drugs, thereby helping to avoid adverse drug reactions (ADRs) in patients and improve the quality of therapies. Here, we aimed to analyse single nucleotide polymorphisms (SNPs) involved in the ADME of multiple drugs in Kazakhs from Kazakhstan. Results: A total of 158 SNPs involved in the ADME of various drugs were studied. We analysed 320 Kazakh DNA samples using OpenArray genotyping. Of the 158 SNPs, 75 were not found in heterozygous or homozygous variants. Comparative analysis among Kazakhs and world populations showed a fairly high percentage of population differentiation. Conclusion: These results provide further information for pharmacogenetic databases and may contribute to the development of personalized approaches and safer therapies for the Kazakh population. Moreover, these data provide insights into the different racial groups that may have contributed to the Kazakh population.","author":[{"dropping-particle":"","family":"Iskakova","given":"Aisha N.","non-dropping-particle":"","parse-names":false,"suffix":""},{"dropping-particle":"","family":"Romanova","given":"Aliya A.","non-dropping-particle":"","parse-names":false,"suffix":""},{"dropping-particle":"","family":"Aitkulova","given":"Akbota M.","non-dropping-particle":"","parse-names":false,"suffix":""},{"dropping-particle":"","family":"Sikhayeva","given":"Nurgul S.","non-dropping-particle":"","parse-names":false,"suffix":""},{"dropping-particle":"V.","family":"Zholdybayeva","given":"Elena","non-dropping-particle":"","parse-names":false,"suffix":""},{"dropping-particle":"","family":"Ramanculov","given":"Erlan M.","non-dropping-particle":"","parse-names":false,"suffix":""}],"container-title":"BMC Genetics","id":"ITEM-1","issue":"1","issued":{"date-parts":[["2016"]]},"publisher":"BMC Genetics","title":"Polymorphisms in genes involved in the absorption, distribution, metabolism, and excretion of drugs in the Kazakhs of Kazakhstan","type":"article-journal","volume":"17"},"uris":["http://www.mendeley.com/documents/?uuid=788780bf-c973-4471-8a2a-0522df530fbb"]},{"id":"ITEM-2","itemData":{"author":[{"dropping-particle":"","family":"Шаханова","given":"Айжан Т","non-dropping-particle":"","parse-names":false,"suffix":""},{"dropping-particle":"","family":"Аукенов","given":"Нурлан Е","non-dropping-particle":"","parse-names":false,"suffix":""},{"dropping-particle":"","family":"Нуртазина","given":"Алма У","non-dropping-particle":"","parse-names":false,"suffix":""},{"dropping-particle":"","family":"Шаханов","given":"Тунгышхан Е","non-dropping-particle":"","parse-names":false,"suffix":""},{"dropping-particle":"","family":"Масабаева Меруерт Р","given":"","non-dropping-particle":"","parse-names":false,"suffix":""},{"dropping-particle":"","family":"А.","given":"Апсаликов Б.","non-dropping-particle":"","parse-names":false,"suffix":""},{"dropping-particle":"","family":"Кожахметова","given":"Дана К","non-dropping-particle":"","parse-names":false,"suffix":""}],"container-title":"Вестник КазНМУ","id":"ITEM-2","issued":{"date-parts":[["2020"]]},"page":"490-493","title":"Распространенность полиморфизмов генов в казахской популяции","type":"article-journal","volume":"1"},"uris":["http://www.mendeley.com/documents/?uuid=2bc3ce49-b7e3-4517-bd75-076d679ed8d5"]}],"mendeley":{"formattedCitation":"[157,160]","manualFormatting":"[157, р. 492; 160, р. 20]","plainTextFormattedCitation":"[157,160]","previouslyFormattedCitation":"[157,160]"},"properties":{"noteIndex":0},"schema":"https://github.com/citation-style-language/schema/raw/master/csl-citation.json"}</w:instrText>
      </w:r>
      <w:r w:rsidR="00EA0E64">
        <w:rPr>
          <w:rFonts w:ascii="Times New Roman" w:hAnsi="Times New Roman" w:cs="Times New Roman"/>
          <w:sz w:val="28"/>
          <w:szCs w:val="28"/>
        </w:rPr>
        <w:fldChar w:fldCharType="separate"/>
      </w:r>
      <w:r w:rsidR="000F200C" w:rsidRPr="000F200C">
        <w:rPr>
          <w:rFonts w:ascii="Times New Roman" w:hAnsi="Times New Roman" w:cs="Times New Roman"/>
          <w:noProof/>
          <w:sz w:val="28"/>
          <w:szCs w:val="28"/>
        </w:rPr>
        <w:t>[157,</w:t>
      </w:r>
      <w:r w:rsidR="000F200C">
        <w:rPr>
          <w:rFonts w:ascii="Times New Roman" w:hAnsi="Times New Roman" w:cs="Times New Roman"/>
          <w:noProof/>
          <w:sz w:val="28"/>
          <w:szCs w:val="28"/>
        </w:rPr>
        <w:t xml:space="preserve"> р. 492; </w:t>
      </w:r>
      <w:r w:rsidR="000F200C" w:rsidRPr="000F200C">
        <w:rPr>
          <w:rFonts w:ascii="Times New Roman" w:hAnsi="Times New Roman" w:cs="Times New Roman"/>
          <w:noProof/>
          <w:sz w:val="28"/>
          <w:szCs w:val="28"/>
        </w:rPr>
        <w:t>160</w:t>
      </w:r>
      <w:r w:rsidR="000F200C">
        <w:rPr>
          <w:rFonts w:ascii="Times New Roman" w:hAnsi="Times New Roman" w:cs="Times New Roman"/>
          <w:noProof/>
          <w:sz w:val="28"/>
          <w:szCs w:val="28"/>
        </w:rPr>
        <w:t>, р. 20</w:t>
      </w:r>
      <w:r w:rsidR="000F200C" w:rsidRPr="000F200C">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F30F89">
        <w:rPr>
          <w:rFonts w:ascii="Times New Roman" w:hAnsi="Times New Roman" w:cs="Times New Roman"/>
          <w:sz w:val="28"/>
          <w:szCs w:val="28"/>
        </w:rPr>
        <w:t>.</w:t>
      </w:r>
    </w:p>
    <w:p w:rsidR="00AB12B3" w:rsidRDefault="00AB12B3" w:rsidP="00AB12B3">
      <w:pPr>
        <w:rPr>
          <w:rFonts w:ascii="Times New Roman" w:hAnsi="Times New Roman" w:cs="Times New Roman"/>
          <w:sz w:val="28"/>
          <w:szCs w:val="28"/>
        </w:rPr>
      </w:pPr>
      <w:r>
        <w:rPr>
          <w:rFonts w:ascii="Times New Roman" w:hAnsi="Times New Roman" w:cs="Times New Roman"/>
          <w:sz w:val="28"/>
          <w:szCs w:val="28"/>
        </w:rPr>
        <w:br w:type="page"/>
      </w:r>
    </w:p>
    <w:p w:rsidR="00AB12B3" w:rsidRDefault="00AB12B3" w:rsidP="00AB12B3">
      <w:pPr>
        <w:spacing w:after="0" w:line="240" w:lineRule="auto"/>
        <w:ind w:firstLine="708"/>
        <w:jc w:val="both"/>
        <w:rPr>
          <w:rFonts w:ascii="Times New Roman" w:hAnsi="Times New Roman" w:cs="Times New Roman"/>
          <w:b/>
          <w:sz w:val="28"/>
          <w:szCs w:val="28"/>
        </w:rPr>
      </w:pPr>
      <w:r>
        <w:rPr>
          <w:rFonts w:ascii="Times New Roman" w:hAnsi="Times New Roman"/>
          <w:b/>
          <w:sz w:val="28"/>
          <w:szCs w:val="28"/>
        </w:rPr>
        <w:lastRenderedPageBreak/>
        <w:t>3.3 Клинико – лабораторная характеристика группы исследования</w:t>
      </w:r>
    </w:p>
    <w:p w:rsidR="00AB12B3" w:rsidRDefault="00AB12B3" w:rsidP="00AB12B3">
      <w:pPr>
        <w:spacing w:after="0" w:line="240" w:lineRule="auto"/>
        <w:jc w:val="both"/>
        <w:rPr>
          <w:rFonts w:ascii="Times New Roman" w:hAnsi="Times New Roman" w:cs="Times New Roman"/>
          <w:sz w:val="28"/>
          <w:szCs w:val="28"/>
        </w:rPr>
      </w:pPr>
    </w:p>
    <w:p w:rsidR="00800BDE" w:rsidRPr="00BC3DC7" w:rsidRDefault="00800BDE" w:rsidP="00800BD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настоящем исследовании приняли участие 580 лица казахской национальности (281 мужчин и 299 женщин)</w:t>
      </w:r>
      <w:r w:rsidR="00E65AD3">
        <w:rPr>
          <w:rFonts w:ascii="Century" w:hAnsi="Century" w:cs="Times New Roman"/>
          <w:sz w:val="28"/>
          <w:szCs w:val="28"/>
        </w:rPr>
        <w:t>,</w:t>
      </w:r>
      <w:r>
        <w:rPr>
          <w:rFonts w:ascii="Times New Roman" w:hAnsi="Times New Roman" w:cs="Times New Roman"/>
          <w:sz w:val="28"/>
          <w:szCs w:val="28"/>
        </w:rPr>
        <w:t xml:space="preserve"> в возрасте от 18 до 65 лет</w:t>
      </w:r>
      <w:r w:rsidR="00E65AD3">
        <w:rPr>
          <w:rFonts w:ascii="Century" w:hAnsi="Century" w:cs="Times New Roman"/>
          <w:sz w:val="28"/>
          <w:szCs w:val="28"/>
        </w:rPr>
        <w:t>,</w:t>
      </w:r>
      <w:r>
        <w:rPr>
          <w:rFonts w:ascii="Times New Roman" w:hAnsi="Times New Roman" w:cs="Times New Roman"/>
          <w:sz w:val="28"/>
          <w:szCs w:val="28"/>
        </w:rPr>
        <w:t xml:space="preserve"> проживающие в городе Семей</w:t>
      </w:r>
      <w:r w:rsidR="00E65AD3">
        <w:rPr>
          <w:rFonts w:ascii="Century" w:hAnsi="Century" w:cs="Times New Roman"/>
          <w:sz w:val="28"/>
          <w:szCs w:val="28"/>
        </w:rPr>
        <w:t>.</w:t>
      </w:r>
      <w:r>
        <w:rPr>
          <w:rFonts w:ascii="Times New Roman" w:hAnsi="Times New Roman" w:cs="Times New Roman"/>
          <w:sz w:val="28"/>
          <w:szCs w:val="28"/>
        </w:rPr>
        <w:t xml:space="preserve"> Средний возраст составил для мужчин </w:t>
      </w:r>
      <w:r w:rsidR="0001648C">
        <w:rPr>
          <w:rFonts w:ascii="Times New Roman" w:hAnsi="Times New Roman" w:cs="Times New Roman"/>
          <w:sz w:val="28"/>
          <w:szCs w:val="28"/>
        </w:rPr>
        <w:t>– 47±18</w:t>
      </w:r>
      <w:r w:rsidRPr="00BC3DC7">
        <w:rPr>
          <w:rFonts w:ascii="Times New Roman" w:hAnsi="Times New Roman" w:cs="Times New Roman"/>
          <w:sz w:val="28"/>
          <w:szCs w:val="28"/>
        </w:rPr>
        <w:t xml:space="preserve"> лет</w:t>
      </w:r>
      <w:r w:rsidR="00E65AD3">
        <w:rPr>
          <w:rFonts w:ascii="Century" w:hAnsi="Century" w:cs="Times New Roman"/>
          <w:sz w:val="28"/>
          <w:szCs w:val="28"/>
        </w:rPr>
        <w:t>,</w:t>
      </w:r>
      <w:r w:rsidRPr="00BC3DC7">
        <w:rPr>
          <w:rFonts w:ascii="Times New Roman" w:hAnsi="Times New Roman" w:cs="Times New Roman"/>
          <w:sz w:val="28"/>
          <w:szCs w:val="28"/>
        </w:rPr>
        <w:t xml:space="preserve"> для женщин – 45</w:t>
      </w:r>
      <w:r w:rsidR="0001648C">
        <w:rPr>
          <w:rFonts w:ascii="Times New Roman" w:hAnsi="Times New Roman" w:cs="Times New Roman"/>
          <w:sz w:val="28"/>
          <w:szCs w:val="28"/>
        </w:rPr>
        <w:t>±16</w:t>
      </w:r>
      <w:r w:rsidRPr="00BC3DC7">
        <w:rPr>
          <w:rFonts w:ascii="Times New Roman" w:hAnsi="Times New Roman" w:cs="Times New Roman"/>
          <w:sz w:val="28"/>
          <w:szCs w:val="28"/>
        </w:rPr>
        <w:t xml:space="preserve"> лет</w:t>
      </w:r>
      <w:r w:rsidR="00E65AD3">
        <w:rPr>
          <w:rFonts w:ascii="Century" w:hAnsi="Century" w:cs="Times New Roman"/>
          <w:sz w:val="28"/>
          <w:szCs w:val="28"/>
        </w:rPr>
        <w:t>,</w:t>
      </w:r>
      <w:r w:rsidRPr="00BC3DC7">
        <w:rPr>
          <w:rFonts w:ascii="Times New Roman" w:hAnsi="Times New Roman" w:cs="Times New Roman"/>
          <w:sz w:val="28"/>
          <w:szCs w:val="28"/>
        </w:rPr>
        <w:t xml:space="preserve"> соответственно</w:t>
      </w:r>
      <w:r w:rsidR="0000285F">
        <w:rPr>
          <w:rFonts w:ascii="Times New Roman" w:hAnsi="Times New Roman" w:cs="Times New Roman"/>
          <w:sz w:val="28"/>
          <w:szCs w:val="28"/>
        </w:rPr>
        <w:t xml:space="preserve"> (таблица 7)</w:t>
      </w:r>
      <w:r w:rsidR="00E65AD3">
        <w:rPr>
          <w:rFonts w:ascii="Century" w:hAnsi="Century" w:cs="Times New Roman"/>
          <w:sz w:val="28"/>
          <w:szCs w:val="28"/>
        </w:rPr>
        <w:t>.</w:t>
      </w:r>
      <w:r w:rsidRPr="00BC3DC7">
        <w:rPr>
          <w:rFonts w:ascii="Times New Roman" w:hAnsi="Times New Roman" w:cs="Times New Roman"/>
          <w:sz w:val="28"/>
          <w:szCs w:val="28"/>
        </w:rPr>
        <w:t xml:space="preserve"> </w:t>
      </w:r>
    </w:p>
    <w:p w:rsidR="000C34E3" w:rsidRDefault="000C34E3" w:rsidP="00724BF5">
      <w:pPr>
        <w:spacing w:after="0" w:line="240" w:lineRule="auto"/>
        <w:ind w:firstLine="567"/>
        <w:jc w:val="both"/>
        <w:rPr>
          <w:rFonts w:ascii="Times New Roman" w:hAnsi="Times New Roman" w:cs="Times New Roman"/>
          <w:sz w:val="28"/>
          <w:szCs w:val="28"/>
        </w:rPr>
      </w:pPr>
    </w:p>
    <w:p w:rsidR="00F325E7" w:rsidRDefault="00F325E7" w:rsidP="00F325E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Таблица 7</w:t>
      </w:r>
      <w:r w:rsidR="003441A2">
        <w:rPr>
          <w:rFonts w:ascii="Times New Roman" w:hAnsi="Times New Roman" w:cs="Times New Roman"/>
          <w:sz w:val="28"/>
          <w:szCs w:val="28"/>
          <w:lang w:val="kk-KZ"/>
        </w:rPr>
        <w:t xml:space="preserve"> -</w:t>
      </w:r>
      <w:r>
        <w:rPr>
          <w:rFonts w:ascii="Times New Roman" w:hAnsi="Times New Roman" w:cs="Times New Roman"/>
          <w:sz w:val="28"/>
          <w:szCs w:val="28"/>
        </w:rPr>
        <w:t xml:space="preserve"> Общая характеристика выборки в зависимости от пола</w:t>
      </w:r>
    </w:p>
    <w:p w:rsidR="009D3251" w:rsidRPr="009D3251" w:rsidRDefault="009D3251" w:rsidP="00F325E7">
      <w:pPr>
        <w:spacing w:after="0" w:line="240" w:lineRule="auto"/>
        <w:jc w:val="both"/>
        <w:rPr>
          <w:rFonts w:ascii="Times New Roman" w:hAnsi="Times New Roman" w:cs="Times New Roman"/>
          <w:sz w:val="28"/>
          <w:szCs w:val="28"/>
          <w:lang w:val="kk-KZ"/>
        </w:rPr>
      </w:pPr>
    </w:p>
    <w:tbl>
      <w:tblPr>
        <w:tblStyle w:val="af7"/>
        <w:tblW w:w="0" w:type="auto"/>
        <w:tblInd w:w="108" w:type="dxa"/>
        <w:tblLayout w:type="fixed"/>
        <w:tblLook w:val="04A0" w:firstRow="1" w:lastRow="0" w:firstColumn="1" w:lastColumn="0" w:noHBand="0" w:noVBand="1"/>
      </w:tblPr>
      <w:tblGrid>
        <w:gridCol w:w="1803"/>
        <w:gridCol w:w="2450"/>
        <w:gridCol w:w="2126"/>
        <w:gridCol w:w="1985"/>
        <w:gridCol w:w="1099"/>
      </w:tblGrid>
      <w:tr w:rsidR="00F325E7" w:rsidTr="00E65AD3">
        <w:trPr>
          <w:trHeight w:val="147"/>
        </w:trPr>
        <w:tc>
          <w:tcPr>
            <w:tcW w:w="1803" w:type="dxa"/>
            <w:vMerge w:val="restart"/>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Параметры</w:t>
            </w:r>
          </w:p>
        </w:tc>
        <w:tc>
          <w:tcPr>
            <w:tcW w:w="2450" w:type="dxa"/>
            <w:vMerge w:val="restart"/>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Все участники</w:t>
            </w:r>
          </w:p>
          <w:p w:rsidR="00F325E7" w:rsidRDefault="00F325E7" w:rsidP="00E6013D">
            <w:pPr>
              <w:jc w:val="center"/>
              <w:rPr>
                <w:rFonts w:ascii="Times New Roman" w:hAnsi="Times New Roman"/>
                <w:sz w:val="28"/>
                <w:szCs w:val="28"/>
              </w:rPr>
            </w:pPr>
            <w:r>
              <w:rPr>
                <w:rFonts w:ascii="Times New Roman" w:hAnsi="Times New Roman"/>
                <w:sz w:val="28"/>
                <w:szCs w:val="28"/>
              </w:rPr>
              <w:t>(n=580 100%) Ме±IQR (Q1 – Q3)</w:t>
            </w:r>
          </w:p>
        </w:tc>
        <w:tc>
          <w:tcPr>
            <w:tcW w:w="4111" w:type="dxa"/>
            <w:gridSpan w:val="2"/>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Пол</w:t>
            </w:r>
          </w:p>
        </w:tc>
        <w:tc>
          <w:tcPr>
            <w:tcW w:w="1099" w:type="dxa"/>
            <w:vMerge w:val="restart"/>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p</w:t>
            </w:r>
            <w:r w:rsidR="009313CF">
              <w:rPr>
                <w:rFonts w:ascii="Times New Roman" w:hAnsi="Times New Roman"/>
                <w:sz w:val="28"/>
                <w:szCs w:val="28"/>
              </w:rPr>
              <w:t>*</w:t>
            </w:r>
          </w:p>
        </w:tc>
      </w:tr>
      <w:tr w:rsidR="00F325E7" w:rsidTr="00E65AD3">
        <w:trPr>
          <w:trHeight w:val="147"/>
        </w:trPr>
        <w:tc>
          <w:tcPr>
            <w:tcW w:w="1803" w:type="dxa"/>
            <w:vMerge/>
            <w:tcBorders>
              <w:top w:val="single" w:sz="4" w:space="0" w:color="auto"/>
              <w:left w:val="single" w:sz="4" w:space="0" w:color="auto"/>
              <w:bottom w:val="single" w:sz="4" w:space="0" w:color="auto"/>
              <w:right w:val="single" w:sz="4" w:space="0" w:color="auto"/>
            </w:tcBorders>
            <w:vAlign w:val="center"/>
            <w:hideMark/>
          </w:tcPr>
          <w:p w:rsidR="00F325E7" w:rsidRDefault="00F325E7" w:rsidP="00E6013D">
            <w:pPr>
              <w:rPr>
                <w:rFonts w:ascii="Times New Roman" w:hAnsi="Times New Roman"/>
                <w:sz w:val="28"/>
                <w:szCs w:val="28"/>
              </w:rPr>
            </w:pPr>
          </w:p>
        </w:tc>
        <w:tc>
          <w:tcPr>
            <w:tcW w:w="2450" w:type="dxa"/>
            <w:vMerge/>
            <w:tcBorders>
              <w:top w:val="single" w:sz="4" w:space="0" w:color="auto"/>
              <w:left w:val="single" w:sz="4" w:space="0" w:color="auto"/>
              <w:bottom w:val="single" w:sz="4" w:space="0" w:color="auto"/>
              <w:right w:val="single" w:sz="4" w:space="0" w:color="auto"/>
            </w:tcBorders>
            <w:vAlign w:val="center"/>
            <w:hideMark/>
          </w:tcPr>
          <w:p w:rsidR="00F325E7" w:rsidRDefault="00F325E7" w:rsidP="00E6013D">
            <w:pPr>
              <w:rPr>
                <w:rFonts w:ascii="Times New Roman" w:hAnsi="Times New Roman"/>
                <w:sz w:val="28"/>
                <w:szCs w:val="28"/>
              </w:rPr>
            </w:pPr>
          </w:p>
        </w:tc>
        <w:tc>
          <w:tcPr>
            <w:tcW w:w="212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Мужчины</w:t>
            </w:r>
          </w:p>
          <w:p w:rsidR="004C43C7" w:rsidRDefault="00F325E7" w:rsidP="00E6013D">
            <w:pPr>
              <w:jc w:val="center"/>
              <w:rPr>
                <w:rFonts w:ascii="Times New Roman" w:hAnsi="Times New Roman"/>
                <w:sz w:val="28"/>
                <w:szCs w:val="28"/>
                <w:lang w:val="kk-KZ"/>
              </w:rPr>
            </w:pPr>
            <w:r>
              <w:rPr>
                <w:rFonts w:ascii="Times New Roman" w:hAnsi="Times New Roman"/>
                <w:sz w:val="28"/>
                <w:szCs w:val="28"/>
              </w:rPr>
              <w:t xml:space="preserve">(n=281 </w:t>
            </w:r>
          </w:p>
          <w:p w:rsidR="00F325E7" w:rsidRDefault="00F325E7" w:rsidP="00E6013D">
            <w:pPr>
              <w:jc w:val="center"/>
              <w:rPr>
                <w:rFonts w:ascii="Times New Roman" w:hAnsi="Times New Roman"/>
                <w:sz w:val="28"/>
                <w:szCs w:val="28"/>
              </w:rPr>
            </w:pPr>
            <w:r>
              <w:rPr>
                <w:rFonts w:ascii="Times New Roman" w:hAnsi="Times New Roman"/>
                <w:sz w:val="28"/>
                <w:szCs w:val="28"/>
              </w:rPr>
              <w:t>48,45%) Ме±IQR</w:t>
            </w:r>
          </w:p>
          <w:p w:rsidR="00F325E7" w:rsidRDefault="00F325E7" w:rsidP="00E6013D">
            <w:pPr>
              <w:jc w:val="center"/>
              <w:rPr>
                <w:rFonts w:ascii="Times New Roman" w:hAnsi="Times New Roman"/>
                <w:sz w:val="28"/>
                <w:szCs w:val="28"/>
              </w:rPr>
            </w:pPr>
            <w:r>
              <w:rPr>
                <w:rFonts w:ascii="Times New Roman" w:hAnsi="Times New Roman"/>
                <w:sz w:val="28"/>
                <w:szCs w:val="28"/>
              </w:rPr>
              <w:t>(Q1 – Q3)</w:t>
            </w:r>
          </w:p>
        </w:tc>
        <w:tc>
          <w:tcPr>
            <w:tcW w:w="1985"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Женщины</w:t>
            </w:r>
          </w:p>
          <w:p w:rsidR="00F325E7" w:rsidRDefault="00F325E7" w:rsidP="00E6013D">
            <w:pPr>
              <w:jc w:val="center"/>
              <w:rPr>
                <w:rFonts w:ascii="Times New Roman" w:hAnsi="Times New Roman"/>
                <w:sz w:val="28"/>
                <w:szCs w:val="28"/>
              </w:rPr>
            </w:pPr>
            <w:r>
              <w:rPr>
                <w:rFonts w:ascii="Times New Roman" w:hAnsi="Times New Roman"/>
                <w:sz w:val="28"/>
                <w:szCs w:val="28"/>
              </w:rPr>
              <w:t>(n=299 51,55%) Ме±IQR</w:t>
            </w:r>
          </w:p>
          <w:p w:rsidR="00F325E7" w:rsidRDefault="00F325E7" w:rsidP="00E6013D">
            <w:pPr>
              <w:jc w:val="center"/>
              <w:rPr>
                <w:rFonts w:ascii="Times New Roman" w:hAnsi="Times New Roman"/>
                <w:sz w:val="28"/>
                <w:szCs w:val="28"/>
              </w:rPr>
            </w:pPr>
            <w:r>
              <w:rPr>
                <w:rFonts w:ascii="Times New Roman" w:hAnsi="Times New Roman"/>
                <w:sz w:val="28"/>
                <w:szCs w:val="28"/>
              </w:rPr>
              <w:t>(Q1 – Q3)</w:t>
            </w:r>
          </w:p>
        </w:tc>
        <w:tc>
          <w:tcPr>
            <w:tcW w:w="1099" w:type="dxa"/>
            <w:vMerge/>
            <w:tcBorders>
              <w:top w:val="single" w:sz="4" w:space="0" w:color="auto"/>
              <w:left w:val="single" w:sz="4" w:space="0" w:color="auto"/>
              <w:bottom w:val="single" w:sz="4" w:space="0" w:color="auto"/>
              <w:right w:val="single" w:sz="4" w:space="0" w:color="auto"/>
            </w:tcBorders>
            <w:vAlign w:val="center"/>
            <w:hideMark/>
          </w:tcPr>
          <w:p w:rsidR="00F325E7" w:rsidRDefault="00F325E7" w:rsidP="00E6013D">
            <w:pPr>
              <w:rPr>
                <w:rFonts w:ascii="Times New Roman" w:hAnsi="Times New Roman"/>
                <w:sz w:val="28"/>
                <w:szCs w:val="28"/>
              </w:rPr>
            </w:pPr>
          </w:p>
        </w:tc>
      </w:tr>
      <w:tr w:rsidR="00E83EC5" w:rsidTr="00E65AD3">
        <w:trPr>
          <w:trHeight w:val="147"/>
        </w:trPr>
        <w:tc>
          <w:tcPr>
            <w:tcW w:w="1803" w:type="dxa"/>
            <w:tcBorders>
              <w:top w:val="single" w:sz="4" w:space="0" w:color="auto"/>
              <w:left w:val="single" w:sz="4" w:space="0" w:color="auto"/>
              <w:bottom w:val="single" w:sz="4" w:space="0" w:color="auto"/>
              <w:right w:val="single" w:sz="4" w:space="0" w:color="auto"/>
            </w:tcBorders>
            <w:vAlign w:val="center"/>
          </w:tcPr>
          <w:p w:rsidR="00E83EC5" w:rsidRPr="00E83EC5" w:rsidRDefault="00E83EC5" w:rsidP="00E83EC5">
            <w:pPr>
              <w:jc w:val="center"/>
              <w:rPr>
                <w:rFonts w:ascii="Times New Roman" w:hAnsi="Times New Roman"/>
                <w:sz w:val="28"/>
                <w:szCs w:val="28"/>
                <w:lang w:val="kk-KZ"/>
              </w:rPr>
            </w:pPr>
            <w:r>
              <w:rPr>
                <w:rFonts w:ascii="Times New Roman" w:hAnsi="Times New Roman"/>
                <w:sz w:val="28"/>
                <w:szCs w:val="28"/>
                <w:lang w:val="kk-KZ"/>
              </w:rPr>
              <w:t>1</w:t>
            </w:r>
          </w:p>
        </w:tc>
        <w:tc>
          <w:tcPr>
            <w:tcW w:w="2450" w:type="dxa"/>
            <w:tcBorders>
              <w:top w:val="single" w:sz="4" w:space="0" w:color="auto"/>
              <w:left w:val="single" w:sz="4" w:space="0" w:color="auto"/>
              <w:bottom w:val="single" w:sz="4" w:space="0" w:color="auto"/>
              <w:right w:val="single" w:sz="4" w:space="0" w:color="auto"/>
            </w:tcBorders>
            <w:vAlign w:val="center"/>
          </w:tcPr>
          <w:p w:rsidR="00E83EC5" w:rsidRPr="00E83EC5" w:rsidRDefault="00E83EC5" w:rsidP="00E83EC5">
            <w:pPr>
              <w:jc w:val="center"/>
              <w:rPr>
                <w:rFonts w:ascii="Times New Roman" w:hAnsi="Times New Roman"/>
                <w:sz w:val="28"/>
                <w:szCs w:val="28"/>
                <w:lang w:val="kk-KZ"/>
              </w:rPr>
            </w:pPr>
            <w:r>
              <w:rPr>
                <w:rFonts w:ascii="Times New Roman" w:hAnsi="Times New Roman"/>
                <w:sz w:val="28"/>
                <w:szCs w:val="28"/>
                <w:lang w:val="kk-KZ"/>
              </w:rPr>
              <w:t>2</w:t>
            </w:r>
          </w:p>
        </w:tc>
        <w:tc>
          <w:tcPr>
            <w:tcW w:w="2126" w:type="dxa"/>
            <w:tcBorders>
              <w:top w:val="single" w:sz="4" w:space="0" w:color="auto"/>
              <w:left w:val="single" w:sz="4" w:space="0" w:color="auto"/>
              <w:bottom w:val="single" w:sz="4" w:space="0" w:color="auto"/>
              <w:right w:val="single" w:sz="4" w:space="0" w:color="auto"/>
            </w:tcBorders>
          </w:tcPr>
          <w:p w:rsidR="00E83EC5" w:rsidRPr="00E83EC5" w:rsidRDefault="00E83EC5" w:rsidP="00E83EC5">
            <w:pPr>
              <w:jc w:val="center"/>
              <w:rPr>
                <w:rFonts w:ascii="Times New Roman" w:hAnsi="Times New Roman"/>
                <w:sz w:val="28"/>
                <w:szCs w:val="28"/>
                <w:lang w:val="kk-KZ"/>
              </w:rPr>
            </w:pPr>
            <w:r>
              <w:rPr>
                <w:rFonts w:ascii="Times New Roman" w:hAnsi="Times New Roman"/>
                <w:sz w:val="28"/>
                <w:szCs w:val="28"/>
                <w:lang w:val="kk-KZ"/>
              </w:rPr>
              <w:t>3</w:t>
            </w:r>
          </w:p>
        </w:tc>
        <w:tc>
          <w:tcPr>
            <w:tcW w:w="1985" w:type="dxa"/>
            <w:tcBorders>
              <w:top w:val="single" w:sz="4" w:space="0" w:color="auto"/>
              <w:left w:val="single" w:sz="4" w:space="0" w:color="auto"/>
              <w:bottom w:val="single" w:sz="4" w:space="0" w:color="auto"/>
              <w:right w:val="single" w:sz="4" w:space="0" w:color="auto"/>
            </w:tcBorders>
          </w:tcPr>
          <w:p w:rsidR="00E83EC5" w:rsidRPr="00E83EC5" w:rsidRDefault="00E83EC5" w:rsidP="00E83EC5">
            <w:pPr>
              <w:jc w:val="center"/>
              <w:rPr>
                <w:rFonts w:ascii="Times New Roman" w:hAnsi="Times New Roman"/>
                <w:sz w:val="28"/>
                <w:szCs w:val="28"/>
                <w:lang w:val="kk-KZ"/>
              </w:rPr>
            </w:pPr>
            <w:r>
              <w:rPr>
                <w:rFonts w:ascii="Times New Roman" w:hAnsi="Times New Roman"/>
                <w:sz w:val="28"/>
                <w:szCs w:val="28"/>
                <w:lang w:val="kk-KZ"/>
              </w:rPr>
              <w:t>4</w:t>
            </w:r>
          </w:p>
        </w:tc>
        <w:tc>
          <w:tcPr>
            <w:tcW w:w="1099" w:type="dxa"/>
            <w:tcBorders>
              <w:top w:val="single" w:sz="4" w:space="0" w:color="auto"/>
              <w:left w:val="single" w:sz="4" w:space="0" w:color="auto"/>
              <w:bottom w:val="single" w:sz="4" w:space="0" w:color="auto"/>
              <w:right w:val="single" w:sz="4" w:space="0" w:color="auto"/>
            </w:tcBorders>
            <w:vAlign w:val="center"/>
          </w:tcPr>
          <w:p w:rsidR="00E83EC5" w:rsidRPr="00E83EC5" w:rsidRDefault="00E83EC5" w:rsidP="00E83EC5">
            <w:pPr>
              <w:jc w:val="center"/>
              <w:rPr>
                <w:rFonts w:ascii="Times New Roman" w:hAnsi="Times New Roman"/>
                <w:sz w:val="28"/>
                <w:szCs w:val="28"/>
                <w:lang w:val="kk-KZ"/>
              </w:rPr>
            </w:pPr>
            <w:r>
              <w:rPr>
                <w:rFonts w:ascii="Times New Roman" w:hAnsi="Times New Roman"/>
                <w:sz w:val="28"/>
                <w:szCs w:val="28"/>
                <w:lang w:val="kk-KZ"/>
              </w:rPr>
              <w:t>5</w:t>
            </w:r>
          </w:p>
        </w:tc>
      </w:tr>
      <w:tr w:rsidR="00F325E7" w:rsidTr="00E65AD3">
        <w:trPr>
          <w:trHeight w:val="147"/>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Возраст, лет</w:t>
            </w:r>
          </w:p>
        </w:tc>
        <w:tc>
          <w:tcPr>
            <w:tcW w:w="2450"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46±17</w:t>
            </w:r>
          </w:p>
          <w:p w:rsidR="00F325E7" w:rsidRDefault="00F325E7" w:rsidP="00E6013D">
            <w:pPr>
              <w:jc w:val="center"/>
              <w:rPr>
                <w:rFonts w:ascii="Times New Roman" w:hAnsi="Times New Roman"/>
                <w:sz w:val="28"/>
                <w:szCs w:val="28"/>
              </w:rPr>
            </w:pPr>
            <w:r>
              <w:rPr>
                <w:rFonts w:ascii="Times New Roman" w:hAnsi="Times New Roman"/>
                <w:sz w:val="28"/>
                <w:szCs w:val="28"/>
              </w:rPr>
              <w:t>(38-55)</w:t>
            </w:r>
          </w:p>
        </w:tc>
        <w:tc>
          <w:tcPr>
            <w:tcW w:w="212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47 ± 18</w:t>
            </w:r>
          </w:p>
          <w:p w:rsidR="00F325E7" w:rsidRDefault="00F325E7" w:rsidP="00E6013D">
            <w:pPr>
              <w:jc w:val="center"/>
              <w:rPr>
                <w:rFonts w:ascii="Times New Roman" w:hAnsi="Times New Roman"/>
                <w:sz w:val="28"/>
                <w:szCs w:val="28"/>
              </w:rPr>
            </w:pPr>
            <w:r>
              <w:rPr>
                <w:rFonts w:ascii="Times New Roman" w:hAnsi="Times New Roman"/>
                <w:sz w:val="28"/>
                <w:szCs w:val="28"/>
              </w:rPr>
              <w:t>(38,5-56)</w:t>
            </w:r>
          </w:p>
        </w:tc>
        <w:tc>
          <w:tcPr>
            <w:tcW w:w="1985"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45 ±16</w:t>
            </w:r>
          </w:p>
          <w:p w:rsidR="00F325E7" w:rsidRDefault="00F325E7" w:rsidP="00E6013D">
            <w:pPr>
              <w:jc w:val="center"/>
              <w:rPr>
                <w:rFonts w:ascii="Times New Roman" w:hAnsi="Times New Roman"/>
                <w:sz w:val="28"/>
                <w:szCs w:val="28"/>
              </w:rPr>
            </w:pPr>
            <w:r>
              <w:rPr>
                <w:rFonts w:ascii="Times New Roman" w:hAnsi="Times New Roman"/>
                <w:sz w:val="28"/>
                <w:szCs w:val="28"/>
              </w:rPr>
              <w:t>(37-53)</w:t>
            </w:r>
          </w:p>
        </w:tc>
        <w:tc>
          <w:tcPr>
            <w:tcW w:w="1099" w:type="dxa"/>
            <w:vMerge w:val="restart"/>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0,03</w:t>
            </w:r>
          </w:p>
        </w:tc>
      </w:tr>
      <w:tr w:rsidR="00F325E7" w:rsidTr="00E65AD3">
        <w:trPr>
          <w:trHeight w:val="147"/>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18 – 35 n (%)</w:t>
            </w:r>
          </w:p>
        </w:tc>
        <w:tc>
          <w:tcPr>
            <w:tcW w:w="2450"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103 (17,76)</w:t>
            </w:r>
          </w:p>
        </w:tc>
        <w:tc>
          <w:tcPr>
            <w:tcW w:w="2126"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47 (8,1)</w:t>
            </w:r>
          </w:p>
        </w:tc>
        <w:tc>
          <w:tcPr>
            <w:tcW w:w="1985"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56 (9,65)</w:t>
            </w:r>
          </w:p>
        </w:tc>
        <w:tc>
          <w:tcPr>
            <w:tcW w:w="1099" w:type="dxa"/>
            <w:vMerge/>
            <w:tcBorders>
              <w:top w:val="single" w:sz="4" w:space="0" w:color="auto"/>
              <w:left w:val="single" w:sz="4" w:space="0" w:color="auto"/>
              <w:bottom w:val="single" w:sz="4" w:space="0" w:color="auto"/>
              <w:right w:val="single" w:sz="4" w:space="0" w:color="auto"/>
            </w:tcBorders>
            <w:vAlign w:val="center"/>
            <w:hideMark/>
          </w:tcPr>
          <w:p w:rsidR="00F325E7" w:rsidRDefault="00F325E7" w:rsidP="00E6013D">
            <w:pPr>
              <w:rPr>
                <w:rFonts w:ascii="Times New Roman" w:hAnsi="Times New Roman"/>
                <w:sz w:val="28"/>
                <w:szCs w:val="28"/>
              </w:rPr>
            </w:pPr>
          </w:p>
        </w:tc>
      </w:tr>
      <w:tr w:rsidR="00F325E7" w:rsidTr="00E65AD3">
        <w:trPr>
          <w:trHeight w:val="147"/>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36 – 45 n (%)</w:t>
            </w:r>
          </w:p>
        </w:tc>
        <w:tc>
          <w:tcPr>
            <w:tcW w:w="2450"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174 (30)</w:t>
            </w:r>
          </w:p>
        </w:tc>
        <w:tc>
          <w:tcPr>
            <w:tcW w:w="2126"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72 (12,41)</w:t>
            </w:r>
          </w:p>
        </w:tc>
        <w:tc>
          <w:tcPr>
            <w:tcW w:w="1985"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102 (17,58)</w:t>
            </w:r>
          </w:p>
        </w:tc>
        <w:tc>
          <w:tcPr>
            <w:tcW w:w="1099" w:type="dxa"/>
            <w:vMerge/>
            <w:tcBorders>
              <w:top w:val="single" w:sz="4" w:space="0" w:color="auto"/>
              <w:left w:val="single" w:sz="4" w:space="0" w:color="auto"/>
              <w:bottom w:val="single" w:sz="4" w:space="0" w:color="auto"/>
              <w:right w:val="single" w:sz="4" w:space="0" w:color="auto"/>
            </w:tcBorders>
            <w:vAlign w:val="center"/>
            <w:hideMark/>
          </w:tcPr>
          <w:p w:rsidR="00F325E7" w:rsidRDefault="00F325E7" w:rsidP="00E6013D">
            <w:pPr>
              <w:rPr>
                <w:rFonts w:ascii="Times New Roman" w:hAnsi="Times New Roman"/>
                <w:sz w:val="28"/>
                <w:szCs w:val="28"/>
              </w:rPr>
            </w:pPr>
          </w:p>
        </w:tc>
      </w:tr>
      <w:tr w:rsidR="00F325E7" w:rsidTr="00E65AD3">
        <w:trPr>
          <w:trHeight w:val="147"/>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46 – 55 n (%)</w:t>
            </w:r>
          </w:p>
        </w:tc>
        <w:tc>
          <w:tcPr>
            <w:tcW w:w="2450"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166 (28,62)</w:t>
            </w:r>
          </w:p>
        </w:tc>
        <w:tc>
          <w:tcPr>
            <w:tcW w:w="2126"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82 (14,14)</w:t>
            </w:r>
          </w:p>
        </w:tc>
        <w:tc>
          <w:tcPr>
            <w:tcW w:w="1985"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84 (14,48)</w:t>
            </w:r>
          </w:p>
        </w:tc>
        <w:tc>
          <w:tcPr>
            <w:tcW w:w="1099" w:type="dxa"/>
            <w:vMerge/>
            <w:tcBorders>
              <w:top w:val="single" w:sz="4" w:space="0" w:color="auto"/>
              <w:left w:val="single" w:sz="4" w:space="0" w:color="auto"/>
              <w:bottom w:val="single" w:sz="4" w:space="0" w:color="auto"/>
              <w:right w:val="single" w:sz="4" w:space="0" w:color="auto"/>
            </w:tcBorders>
            <w:vAlign w:val="center"/>
            <w:hideMark/>
          </w:tcPr>
          <w:p w:rsidR="00F325E7" w:rsidRDefault="00F325E7" w:rsidP="00E6013D">
            <w:pPr>
              <w:rPr>
                <w:rFonts w:ascii="Times New Roman" w:hAnsi="Times New Roman"/>
                <w:sz w:val="28"/>
                <w:szCs w:val="28"/>
              </w:rPr>
            </w:pPr>
          </w:p>
        </w:tc>
      </w:tr>
      <w:tr w:rsidR="00F325E7" w:rsidTr="00E65AD3">
        <w:trPr>
          <w:trHeight w:val="147"/>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56 – 65 n (%)</w:t>
            </w:r>
          </w:p>
        </w:tc>
        <w:tc>
          <w:tcPr>
            <w:tcW w:w="2450"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137 (23,62)</w:t>
            </w:r>
          </w:p>
        </w:tc>
        <w:tc>
          <w:tcPr>
            <w:tcW w:w="2126"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80 (13,79)</w:t>
            </w:r>
          </w:p>
        </w:tc>
        <w:tc>
          <w:tcPr>
            <w:tcW w:w="1985"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57 (9,83)</w:t>
            </w:r>
          </w:p>
        </w:tc>
        <w:tc>
          <w:tcPr>
            <w:tcW w:w="1099" w:type="dxa"/>
            <w:vMerge/>
            <w:tcBorders>
              <w:top w:val="single" w:sz="4" w:space="0" w:color="auto"/>
              <w:left w:val="single" w:sz="4" w:space="0" w:color="auto"/>
              <w:bottom w:val="single" w:sz="4" w:space="0" w:color="auto"/>
              <w:right w:val="single" w:sz="4" w:space="0" w:color="auto"/>
            </w:tcBorders>
            <w:vAlign w:val="center"/>
            <w:hideMark/>
          </w:tcPr>
          <w:p w:rsidR="00F325E7" w:rsidRDefault="00F325E7" w:rsidP="00E6013D">
            <w:pPr>
              <w:rPr>
                <w:rFonts w:ascii="Times New Roman" w:hAnsi="Times New Roman"/>
                <w:sz w:val="28"/>
                <w:szCs w:val="28"/>
              </w:rPr>
            </w:pPr>
          </w:p>
        </w:tc>
      </w:tr>
      <w:tr w:rsidR="00F325E7" w:rsidTr="00E65AD3">
        <w:trPr>
          <w:trHeight w:val="431"/>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ИМТ (кг/м</w:t>
            </w:r>
            <w:r>
              <w:rPr>
                <w:rFonts w:ascii="Times New Roman" w:hAnsi="Times New Roman"/>
                <w:sz w:val="28"/>
                <w:szCs w:val="28"/>
                <w:vertAlign w:val="superscript"/>
              </w:rPr>
              <w:t>2</w:t>
            </w:r>
            <w:r>
              <w:rPr>
                <w:rFonts w:ascii="Times New Roman" w:hAnsi="Times New Roman"/>
                <w:sz w:val="28"/>
                <w:szCs w:val="28"/>
              </w:rPr>
              <w:t>)</w:t>
            </w:r>
          </w:p>
        </w:tc>
        <w:tc>
          <w:tcPr>
            <w:tcW w:w="2450"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26,12±5,65</w:t>
            </w:r>
          </w:p>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(23,31-28,93)</w:t>
            </w:r>
          </w:p>
        </w:tc>
        <w:tc>
          <w:tcPr>
            <w:tcW w:w="2126"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26,57±5,33</w:t>
            </w:r>
          </w:p>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(24,04 -29,38)</w:t>
            </w:r>
          </w:p>
        </w:tc>
        <w:tc>
          <w:tcPr>
            <w:tcW w:w="1985"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25,71±5,48</w:t>
            </w:r>
          </w:p>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(22,64-28,12)</w:t>
            </w:r>
          </w:p>
        </w:tc>
        <w:tc>
          <w:tcPr>
            <w:tcW w:w="1099" w:type="dxa"/>
            <w:vMerge w:val="restart"/>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0,002</w:t>
            </w:r>
          </w:p>
        </w:tc>
      </w:tr>
      <w:tr w:rsidR="00F325E7" w:rsidTr="00E65AD3">
        <w:trPr>
          <w:trHeight w:val="418"/>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НВ n (%)</w:t>
            </w:r>
          </w:p>
        </w:tc>
        <w:tc>
          <w:tcPr>
            <w:tcW w:w="2450"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232 (40)</w:t>
            </w:r>
          </w:p>
        </w:tc>
        <w:tc>
          <w:tcPr>
            <w:tcW w:w="2126"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97 (16,72%)</w:t>
            </w:r>
          </w:p>
        </w:tc>
        <w:tc>
          <w:tcPr>
            <w:tcW w:w="1985"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135 (23,27)</w:t>
            </w:r>
          </w:p>
        </w:tc>
        <w:tc>
          <w:tcPr>
            <w:tcW w:w="1099" w:type="dxa"/>
            <w:vMerge/>
            <w:tcBorders>
              <w:top w:val="single" w:sz="4" w:space="0" w:color="auto"/>
              <w:left w:val="single" w:sz="4" w:space="0" w:color="auto"/>
              <w:bottom w:val="single" w:sz="4" w:space="0" w:color="auto"/>
              <w:right w:val="single" w:sz="4" w:space="0" w:color="auto"/>
            </w:tcBorders>
            <w:vAlign w:val="center"/>
            <w:hideMark/>
          </w:tcPr>
          <w:p w:rsidR="00F325E7" w:rsidRDefault="00F325E7" w:rsidP="00E6013D">
            <w:pPr>
              <w:rPr>
                <w:rFonts w:ascii="Times New Roman" w:hAnsi="Times New Roman"/>
                <w:sz w:val="28"/>
                <w:szCs w:val="28"/>
              </w:rPr>
            </w:pPr>
          </w:p>
        </w:tc>
      </w:tr>
      <w:tr w:rsidR="00F325E7" w:rsidTr="00E65AD3">
        <w:trPr>
          <w:trHeight w:val="418"/>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ИВ n (%)</w:t>
            </w:r>
          </w:p>
        </w:tc>
        <w:tc>
          <w:tcPr>
            <w:tcW w:w="2450"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245 (42,24)</w:t>
            </w:r>
          </w:p>
        </w:tc>
        <w:tc>
          <w:tcPr>
            <w:tcW w:w="2126"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132 (22,76%)</w:t>
            </w:r>
          </w:p>
        </w:tc>
        <w:tc>
          <w:tcPr>
            <w:tcW w:w="1985"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113 (19,48)</w:t>
            </w:r>
          </w:p>
        </w:tc>
        <w:tc>
          <w:tcPr>
            <w:tcW w:w="1099" w:type="dxa"/>
            <w:vMerge/>
            <w:tcBorders>
              <w:top w:val="single" w:sz="4" w:space="0" w:color="auto"/>
              <w:left w:val="single" w:sz="4" w:space="0" w:color="auto"/>
              <w:bottom w:val="single" w:sz="4" w:space="0" w:color="auto"/>
              <w:right w:val="single" w:sz="4" w:space="0" w:color="auto"/>
            </w:tcBorders>
            <w:vAlign w:val="center"/>
            <w:hideMark/>
          </w:tcPr>
          <w:p w:rsidR="00F325E7" w:rsidRDefault="00F325E7" w:rsidP="00E6013D">
            <w:pPr>
              <w:rPr>
                <w:rFonts w:ascii="Times New Roman" w:hAnsi="Times New Roman"/>
                <w:sz w:val="28"/>
                <w:szCs w:val="28"/>
              </w:rPr>
            </w:pPr>
          </w:p>
        </w:tc>
      </w:tr>
      <w:tr w:rsidR="00F325E7" w:rsidTr="00E65AD3">
        <w:trPr>
          <w:trHeight w:val="418"/>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Ож n (%)</w:t>
            </w:r>
          </w:p>
        </w:tc>
        <w:tc>
          <w:tcPr>
            <w:tcW w:w="2450"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103 (17,76)</w:t>
            </w:r>
          </w:p>
        </w:tc>
        <w:tc>
          <w:tcPr>
            <w:tcW w:w="2126"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52 (8,96%)</w:t>
            </w:r>
          </w:p>
        </w:tc>
        <w:tc>
          <w:tcPr>
            <w:tcW w:w="1985"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51 (8,79)</w:t>
            </w:r>
          </w:p>
        </w:tc>
        <w:tc>
          <w:tcPr>
            <w:tcW w:w="1099" w:type="dxa"/>
            <w:vMerge/>
            <w:tcBorders>
              <w:top w:val="single" w:sz="4" w:space="0" w:color="auto"/>
              <w:left w:val="single" w:sz="4" w:space="0" w:color="auto"/>
              <w:bottom w:val="single" w:sz="4" w:space="0" w:color="auto"/>
              <w:right w:val="single" w:sz="4" w:space="0" w:color="auto"/>
            </w:tcBorders>
            <w:vAlign w:val="center"/>
            <w:hideMark/>
          </w:tcPr>
          <w:p w:rsidR="00F325E7" w:rsidRDefault="00F325E7" w:rsidP="00E6013D">
            <w:pPr>
              <w:rPr>
                <w:rFonts w:ascii="Times New Roman" w:hAnsi="Times New Roman"/>
                <w:sz w:val="28"/>
                <w:szCs w:val="28"/>
              </w:rPr>
            </w:pPr>
          </w:p>
        </w:tc>
      </w:tr>
      <w:tr w:rsidR="00F325E7" w:rsidTr="00E65AD3">
        <w:trPr>
          <w:trHeight w:val="418"/>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Окружность талии (см)</w:t>
            </w:r>
          </w:p>
        </w:tc>
        <w:tc>
          <w:tcPr>
            <w:tcW w:w="2450"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96</w:t>
            </w:r>
          </w:p>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(90-106)</w:t>
            </w:r>
          </w:p>
        </w:tc>
        <w:tc>
          <w:tcPr>
            <w:tcW w:w="2126"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100±16</w:t>
            </w:r>
          </w:p>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(94-110)</w:t>
            </w:r>
          </w:p>
        </w:tc>
        <w:tc>
          <w:tcPr>
            <w:tcW w:w="1985"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92±10</w:t>
            </w:r>
          </w:p>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(88-98)</w:t>
            </w:r>
          </w:p>
        </w:tc>
        <w:tc>
          <w:tcPr>
            <w:tcW w:w="1099"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0,0001</w:t>
            </w:r>
          </w:p>
        </w:tc>
      </w:tr>
      <w:tr w:rsidR="00F325E7" w:rsidTr="00E65AD3">
        <w:trPr>
          <w:trHeight w:val="497"/>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Статус курения n (%)</w:t>
            </w:r>
          </w:p>
        </w:tc>
        <w:tc>
          <w:tcPr>
            <w:tcW w:w="2450"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580 (100)</w:t>
            </w:r>
          </w:p>
        </w:tc>
        <w:tc>
          <w:tcPr>
            <w:tcW w:w="2126"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281(48,45)</w:t>
            </w:r>
          </w:p>
        </w:tc>
        <w:tc>
          <w:tcPr>
            <w:tcW w:w="1985"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299 (51,55)</w:t>
            </w:r>
          </w:p>
        </w:tc>
        <w:tc>
          <w:tcPr>
            <w:tcW w:w="1099" w:type="dxa"/>
            <w:vMerge w:val="restart"/>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0,0001</w:t>
            </w:r>
          </w:p>
        </w:tc>
      </w:tr>
      <w:tr w:rsidR="00F325E7" w:rsidTr="00E65AD3">
        <w:trPr>
          <w:trHeight w:val="418"/>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Не курит n (%)</w:t>
            </w:r>
          </w:p>
        </w:tc>
        <w:tc>
          <w:tcPr>
            <w:tcW w:w="2450"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390 (67,24)</w:t>
            </w:r>
          </w:p>
        </w:tc>
        <w:tc>
          <w:tcPr>
            <w:tcW w:w="2126"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97 (16,72)</w:t>
            </w:r>
          </w:p>
        </w:tc>
        <w:tc>
          <w:tcPr>
            <w:tcW w:w="1985"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293 (50,52)</w:t>
            </w:r>
          </w:p>
        </w:tc>
        <w:tc>
          <w:tcPr>
            <w:tcW w:w="1099" w:type="dxa"/>
            <w:vMerge/>
            <w:tcBorders>
              <w:top w:val="single" w:sz="4" w:space="0" w:color="auto"/>
              <w:left w:val="single" w:sz="4" w:space="0" w:color="auto"/>
              <w:bottom w:val="single" w:sz="4" w:space="0" w:color="auto"/>
              <w:right w:val="single" w:sz="4" w:space="0" w:color="auto"/>
            </w:tcBorders>
            <w:vAlign w:val="center"/>
            <w:hideMark/>
          </w:tcPr>
          <w:p w:rsidR="00F325E7" w:rsidRDefault="00F325E7" w:rsidP="00E6013D">
            <w:pPr>
              <w:rPr>
                <w:rFonts w:ascii="Times New Roman" w:hAnsi="Times New Roman"/>
                <w:sz w:val="28"/>
                <w:szCs w:val="28"/>
              </w:rPr>
            </w:pPr>
          </w:p>
        </w:tc>
      </w:tr>
      <w:tr w:rsidR="00F325E7" w:rsidTr="00E65AD3">
        <w:trPr>
          <w:trHeight w:val="431"/>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Курит n (%)</w:t>
            </w:r>
          </w:p>
        </w:tc>
        <w:tc>
          <w:tcPr>
            <w:tcW w:w="2450"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161 (27,76)</w:t>
            </w:r>
          </w:p>
        </w:tc>
        <w:tc>
          <w:tcPr>
            <w:tcW w:w="2126"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158 (27,24)</w:t>
            </w:r>
          </w:p>
        </w:tc>
        <w:tc>
          <w:tcPr>
            <w:tcW w:w="1985"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3 (0,52)</w:t>
            </w:r>
          </w:p>
        </w:tc>
        <w:tc>
          <w:tcPr>
            <w:tcW w:w="1099" w:type="dxa"/>
            <w:vMerge/>
            <w:tcBorders>
              <w:top w:val="single" w:sz="4" w:space="0" w:color="auto"/>
              <w:left w:val="single" w:sz="4" w:space="0" w:color="auto"/>
              <w:bottom w:val="single" w:sz="4" w:space="0" w:color="auto"/>
              <w:right w:val="single" w:sz="4" w:space="0" w:color="auto"/>
            </w:tcBorders>
            <w:vAlign w:val="center"/>
            <w:hideMark/>
          </w:tcPr>
          <w:p w:rsidR="00F325E7" w:rsidRDefault="00F325E7" w:rsidP="00E6013D">
            <w:pPr>
              <w:rPr>
                <w:rFonts w:ascii="Times New Roman" w:hAnsi="Times New Roman"/>
                <w:sz w:val="28"/>
                <w:szCs w:val="28"/>
              </w:rPr>
            </w:pPr>
          </w:p>
        </w:tc>
      </w:tr>
      <w:tr w:rsidR="00F325E7" w:rsidTr="00E65AD3">
        <w:trPr>
          <w:trHeight w:val="431"/>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Бросил n (%)</w:t>
            </w:r>
          </w:p>
        </w:tc>
        <w:tc>
          <w:tcPr>
            <w:tcW w:w="2450"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29 (5)</w:t>
            </w:r>
          </w:p>
        </w:tc>
        <w:tc>
          <w:tcPr>
            <w:tcW w:w="2126"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26 (4,48)</w:t>
            </w:r>
          </w:p>
        </w:tc>
        <w:tc>
          <w:tcPr>
            <w:tcW w:w="1985"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3 (0,52)</w:t>
            </w:r>
          </w:p>
        </w:tc>
        <w:tc>
          <w:tcPr>
            <w:tcW w:w="1099" w:type="dxa"/>
            <w:vMerge/>
            <w:tcBorders>
              <w:top w:val="single" w:sz="4" w:space="0" w:color="auto"/>
              <w:left w:val="single" w:sz="4" w:space="0" w:color="auto"/>
              <w:bottom w:val="single" w:sz="4" w:space="0" w:color="auto"/>
              <w:right w:val="single" w:sz="4" w:space="0" w:color="auto"/>
            </w:tcBorders>
            <w:vAlign w:val="center"/>
            <w:hideMark/>
          </w:tcPr>
          <w:p w:rsidR="00F325E7" w:rsidRDefault="00F325E7" w:rsidP="00E6013D">
            <w:pPr>
              <w:rPr>
                <w:rFonts w:ascii="Times New Roman" w:hAnsi="Times New Roman"/>
                <w:sz w:val="28"/>
                <w:szCs w:val="28"/>
              </w:rPr>
            </w:pPr>
          </w:p>
        </w:tc>
      </w:tr>
      <w:tr w:rsidR="00F325E7" w:rsidTr="00E65AD3">
        <w:trPr>
          <w:trHeight w:val="431"/>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 xml:space="preserve">САД </w:t>
            </w:r>
          </w:p>
          <w:p w:rsidR="00F325E7" w:rsidRDefault="00F325E7" w:rsidP="00E6013D">
            <w:pPr>
              <w:jc w:val="center"/>
              <w:rPr>
                <w:rFonts w:ascii="Times New Roman" w:hAnsi="Times New Roman"/>
                <w:sz w:val="28"/>
                <w:szCs w:val="28"/>
              </w:rPr>
            </w:pPr>
            <w:r>
              <w:rPr>
                <w:rFonts w:ascii="Times New Roman" w:hAnsi="Times New Roman"/>
                <w:sz w:val="28"/>
                <w:szCs w:val="28"/>
              </w:rPr>
              <w:t>(мм рт</w:t>
            </w:r>
            <w:r w:rsidR="00E65AD3">
              <w:rPr>
                <w:rFonts w:ascii="Century" w:hAnsi="Century"/>
                <w:sz w:val="28"/>
                <w:szCs w:val="28"/>
              </w:rPr>
              <w:t>.</w:t>
            </w:r>
            <w:r>
              <w:rPr>
                <w:rFonts w:ascii="Times New Roman" w:hAnsi="Times New Roman"/>
                <w:sz w:val="28"/>
                <w:szCs w:val="28"/>
              </w:rPr>
              <w:t>ст</w:t>
            </w:r>
            <w:r w:rsidR="00E65AD3">
              <w:rPr>
                <w:rFonts w:ascii="Century" w:hAnsi="Century"/>
                <w:sz w:val="28"/>
                <w:szCs w:val="28"/>
              </w:rPr>
              <w:t>.</w:t>
            </w:r>
            <w:r>
              <w:rPr>
                <w:rFonts w:ascii="Times New Roman" w:hAnsi="Times New Roman"/>
                <w:sz w:val="28"/>
                <w:szCs w:val="28"/>
              </w:rPr>
              <w:t>)</w:t>
            </w:r>
          </w:p>
        </w:tc>
        <w:tc>
          <w:tcPr>
            <w:tcW w:w="2450"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120±20</w:t>
            </w:r>
          </w:p>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(110-130)</w:t>
            </w:r>
          </w:p>
        </w:tc>
        <w:tc>
          <w:tcPr>
            <w:tcW w:w="2126"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120±28</w:t>
            </w:r>
          </w:p>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(110-137)</w:t>
            </w:r>
          </w:p>
        </w:tc>
        <w:tc>
          <w:tcPr>
            <w:tcW w:w="1985" w:type="dxa"/>
            <w:tcBorders>
              <w:top w:val="single" w:sz="4" w:space="0" w:color="auto"/>
              <w:left w:val="single" w:sz="4" w:space="0" w:color="auto"/>
              <w:bottom w:val="single" w:sz="4" w:space="0" w:color="auto"/>
              <w:right w:val="single" w:sz="4" w:space="0" w:color="auto"/>
            </w:tcBorders>
            <w:hideMark/>
          </w:tcPr>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120±10</w:t>
            </w:r>
          </w:p>
          <w:p w:rsidR="00F325E7" w:rsidRPr="002D5440" w:rsidRDefault="00F325E7" w:rsidP="00E6013D">
            <w:pPr>
              <w:jc w:val="center"/>
              <w:rPr>
                <w:rFonts w:ascii="Times New Roman" w:hAnsi="Times New Roman"/>
                <w:sz w:val="28"/>
                <w:szCs w:val="28"/>
              </w:rPr>
            </w:pPr>
            <w:r w:rsidRPr="002D5440">
              <w:rPr>
                <w:rFonts w:ascii="Times New Roman" w:hAnsi="Times New Roman"/>
                <w:sz w:val="28"/>
                <w:szCs w:val="28"/>
              </w:rPr>
              <w:t>(110-120)</w:t>
            </w:r>
          </w:p>
        </w:tc>
        <w:tc>
          <w:tcPr>
            <w:tcW w:w="1099" w:type="dxa"/>
            <w:tcBorders>
              <w:top w:val="single" w:sz="4" w:space="0" w:color="auto"/>
              <w:left w:val="single" w:sz="4" w:space="0" w:color="auto"/>
              <w:bottom w:val="single" w:sz="4" w:space="0" w:color="auto"/>
              <w:right w:val="single" w:sz="4" w:space="0" w:color="auto"/>
            </w:tcBorders>
            <w:hideMark/>
          </w:tcPr>
          <w:p w:rsidR="00F325E7" w:rsidRDefault="00F325E7" w:rsidP="00E65AD3">
            <w:pPr>
              <w:jc w:val="center"/>
              <w:rPr>
                <w:rFonts w:ascii="Times New Roman" w:hAnsi="Times New Roman"/>
                <w:sz w:val="28"/>
                <w:szCs w:val="28"/>
              </w:rPr>
            </w:pPr>
            <w:r>
              <w:rPr>
                <w:rFonts w:ascii="Times New Roman" w:hAnsi="Times New Roman"/>
                <w:sz w:val="28"/>
                <w:szCs w:val="28"/>
              </w:rPr>
              <w:t>0</w:t>
            </w:r>
            <w:r w:rsidR="00E65AD3">
              <w:rPr>
                <w:rFonts w:ascii="Century" w:hAnsi="Century"/>
                <w:sz w:val="28"/>
                <w:szCs w:val="28"/>
              </w:rPr>
              <w:t>,</w:t>
            </w:r>
            <w:r>
              <w:rPr>
                <w:rFonts w:ascii="Times New Roman" w:hAnsi="Times New Roman"/>
                <w:sz w:val="28"/>
                <w:szCs w:val="28"/>
              </w:rPr>
              <w:t>0001</w:t>
            </w:r>
          </w:p>
        </w:tc>
      </w:tr>
      <w:tr w:rsidR="00F325E7" w:rsidTr="00E65AD3">
        <w:trPr>
          <w:trHeight w:val="431"/>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ДАД</w:t>
            </w:r>
          </w:p>
          <w:p w:rsidR="00F325E7" w:rsidRDefault="00F325E7" w:rsidP="00E6013D">
            <w:pPr>
              <w:jc w:val="center"/>
              <w:rPr>
                <w:rFonts w:ascii="Times New Roman" w:hAnsi="Times New Roman"/>
                <w:sz w:val="28"/>
                <w:szCs w:val="28"/>
              </w:rPr>
            </w:pPr>
            <w:r>
              <w:rPr>
                <w:rFonts w:ascii="Times New Roman" w:hAnsi="Times New Roman"/>
                <w:sz w:val="28"/>
                <w:szCs w:val="28"/>
              </w:rPr>
              <w:t xml:space="preserve">(мм </w:t>
            </w:r>
            <w:r w:rsidRPr="00E65AD3">
              <w:rPr>
                <w:rFonts w:ascii="Times New Roman" w:hAnsi="Times New Roman"/>
                <w:sz w:val="28"/>
                <w:szCs w:val="28"/>
              </w:rPr>
              <w:t>рт</w:t>
            </w:r>
            <w:r w:rsidR="00E65AD3">
              <w:rPr>
                <w:rFonts w:ascii="Century" w:hAnsi="Century"/>
                <w:sz w:val="28"/>
                <w:szCs w:val="28"/>
              </w:rPr>
              <w:t>.</w:t>
            </w:r>
            <w:r w:rsidRPr="00E65AD3">
              <w:rPr>
                <w:rFonts w:ascii="Times New Roman" w:hAnsi="Times New Roman"/>
                <w:sz w:val="28"/>
                <w:szCs w:val="28"/>
              </w:rPr>
              <w:t>ст</w:t>
            </w:r>
            <w:r w:rsidR="00E65AD3">
              <w:rPr>
                <w:rFonts w:ascii="Century" w:hAnsi="Century"/>
                <w:sz w:val="28"/>
                <w:szCs w:val="28"/>
              </w:rPr>
              <w:t>.</w:t>
            </w:r>
            <w:r>
              <w:rPr>
                <w:rFonts w:ascii="Times New Roman" w:hAnsi="Times New Roman"/>
                <w:sz w:val="28"/>
                <w:szCs w:val="28"/>
              </w:rPr>
              <w:t>)</w:t>
            </w:r>
          </w:p>
        </w:tc>
        <w:tc>
          <w:tcPr>
            <w:tcW w:w="2450"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80±10</w:t>
            </w:r>
          </w:p>
          <w:p w:rsidR="00F325E7" w:rsidRDefault="00F325E7" w:rsidP="00E6013D">
            <w:pPr>
              <w:jc w:val="center"/>
              <w:rPr>
                <w:rFonts w:ascii="Times New Roman" w:hAnsi="Times New Roman"/>
                <w:sz w:val="28"/>
                <w:szCs w:val="28"/>
              </w:rPr>
            </w:pPr>
            <w:r>
              <w:rPr>
                <w:rFonts w:ascii="Times New Roman" w:hAnsi="Times New Roman"/>
                <w:sz w:val="28"/>
                <w:szCs w:val="28"/>
              </w:rPr>
              <w:t>(70-80)</w:t>
            </w:r>
          </w:p>
        </w:tc>
        <w:tc>
          <w:tcPr>
            <w:tcW w:w="212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80±20</w:t>
            </w:r>
          </w:p>
          <w:p w:rsidR="00F325E7" w:rsidRDefault="00F325E7" w:rsidP="00E6013D">
            <w:pPr>
              <w:jc w:val="center"/>
              <w:rPr>
                <w:rFonts w:ascii="Times New Roman" w:hAnsi="Times New Roman"/>
                <w:sz w:val="28"/>
                <w:szCs w:val="28"/>
              </w:rPr>
            </w:pPr>
            <w:r>
              <w:rPr>
                <w:rFonts w:ascii="Times New Roman" w:hAnsi="Times New Roman"/>
                <w:sz w:val="28"/>
                <w:szCs w:val="28"/>
              </w:rPr>
              <w:t>(70-90)</w:t>
            </w:r>
          </w:p>
        </w:tc>
        <w:tc>
          <w:tcPr>
            <w:tcW w:w="1985"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70±10</w:t>
            </w:r>
          </w:p>
          <w:p w:rsidR="00F325E7" w:rsidRDefault="00F325E7" w:rsidP="00E6013D">
            <w:pPr>
              <w:jc w:val="center"/>
              <w:rPr>
                <w:rFonts w:ascii="Times New Roman" w:hAnsi="Times New Roman"/>
                <w:sz w:val="28"/>
                <w:szCs w:val="28"/>
              </w:rPr>
            </w:pPr>
            <w:r>
              <w:rPr>
                <w:rFonts w:ascii="Times New Roman" w:hAnsi="Times New Roman"/>
                <w:sz w:val="28"/>
                <w:szCs w:val="28"/>
              </w:rPr>
              <w:t>(70-80)</w:t>
            </w:r>
          </w:p>
        </w:tc>
        <w:tc>
          <w:tcPr>
            <w:tcW w:w="1099"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0,0001</w:t>
            </w:r>
          </w:p>
        </w:tc>
      </w:tr>
    </w:tbl>
    <w:p w:rsidR="00F325E7" w:rsidRDefault="00F325E7" w:rsidP="00F325E7">
      <w:pPr>
        <w:spacing w:after="0" w:line="240" w:lineRule="auto"/>
        <w:jc w:val="both"/>
        <w:rPr>
          <w:rFonts w:ascii="Times New Roman" w:hAnsi="Times New Roman" w:cs="Times New Roman"/>
          <w:sz w:val="28"/>
          <w:szCs w:val="28"/>
        </w:rPr>
      </w:pPr>
    </w:p>
    <w:p w:rsidR="00F325E7" w:rsidRDefault="00F325E7" w:rsidP="00F325E7">
      <w:pPr>
        <w:spacing w:after="0" w:line="240" w:lineRule="auto"/>
        <w:rPr>
          <w:rFonts w:ascii="Times New Roman" w:hAnsi="Times New Roman" w:cs="Times New Roman"/>
          <w:sz w:val="28"/>
          <w:szCs w:val="28"/>
        </w:rPr>
        <w:sectPr w:rsidR="00F325E7">
          <w:pgSz w:w="11906" w:h="16838"/>
          <w:pgMar w:top="1134" w:right="850" w:bottom="1134" w:left="1701" w:header="708" w:footer="708" w:gutter="0"/>
          <w:cols w:space="720"/>
        </w:sectPr>
      </w:pPr>
    </w:p>
    <w:p w:rsidR="00F325E7" w:rsidRPr="003441A2" w:rsidRDefault="00F325E7" w:rsidP="00F325E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lastRenderedPageBreak/>
        <w:t xml:space="preserve">Продолжение таблицы </w:t>
      </w:r>
      <w:r w:rsidR="003441A2">
        <w:rPr>
          <w:rFonts w:ascii="Times New Roman" w:hAnsi="Times New Roman" w:cs="Times New Roman"/>
          <w:sz w:val="28"/>
          <w:szCs w:val="28"/>
          <w:lang w:val="kk-KZ"/>
        </w:rPr>
        <w:t>7</w:t>
      </w:r>
    </w:p>
    <w:tbl>
      <w:tblPr>
        <w:tblStyle w:val="af7"/>
        <w:tblW w:w="0" w:type="auto"/>
        <w:tblInd w:w="108" w:type="dxa"/>
        <w:tblLayout w:type="fixed"/>
        <w:tblLook w:val="04A0" w:firstRow="1" w:lastRow="0" w:firstColumn="1" w:lastColumn="0" w:noHBand="0" w:noVBand="1"/>
      </w:tblPr>
      <w:tblGrid>
        <w:gridCol w:w="1803"/>
        <w:gridCol w:w="2450"/>
        <w:gridCol w:w="2126"/>
        <w:gridCol w:w="2098"/>
        <w:gridCol w:w="986"/>
      </w:tblGrid>
      <w:tr w:rsidR="00F325E7" w:rsidTr="00E6013D">
        <w:trPr>
          <w:trHeight w:val="431"/>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1</w:t>
            </w:r>
          </w:p>
        </w:tc>
        <w:tc>
          <w:tcPr>
            <w:tcW w:w="2450"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2</w:t>
            </w:r>
          </w:p>
        </w:tc>
        <w:tc>
          <w:tcPr>
            <w:tcW w:w="212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3</w:t>
            </w:r>
          </w:p>
        </w:tc>
        <w:tc>
          <w:tcPr>
            <w:tcW w:w="2098"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4</w:t>
            </w:r>
          </w:p>
        </w:tc>
        <w:tc>
          <w:tcPr>
            <w:tcW w:w="98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5</w:t>
            </w:r>
          </w:p>
        </w:tc>
      </w:tr>
      <w:tr w:rsidR="00F325E7" w:rsidTr="00E6013D">
        <w:trPr>
          <w:trHeight w:val="431"/>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Инсулин, мкМЕ/мл</w:t>
            </w:r>
          </w:p>
        </w:tc>
        <w:tc>
          <w:tcPr>
            <w:tcW w:w="2450"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9,3±8,7</w:t>
            </w:r>
          </w:p>
          <w:p w:rsidR="00F325E7" w:rsidRDefault="00F325E7" w:rsidP="00E6013D">
            <w:pPr>
              <w:jc w:val="center"/>
              <w:rPr>
                <w:rFonts w:ascii="Times New Roman" w:hAnsi="Times New Roman"/>
                <w:sz w:val="28"/>
                <w:szCs w:val="28"/>
              </w:rPr>
            </w:pPr>
            <w:r>
              <w:rPr>
                <w:rFonts w:ascii="Times New Roman" w:hAnsi="Times New Roman"/>
                <w:sz w:val="28"/>
                <w:szCs w:val="28"/>
              </w:rPr>
              <w:t>(5,9-14,6)</w:t>
            </w:r>
          </w:p>
        </w:tc>
        <w:tc>
          <w:tcPr>
            <w:tcW w:w="212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8,7±8,25</w:t>
            </w:r>
          </w:p>
          <w:p w:rsidR="00F325E7" w:rsidRDefault="00F325E7" w:rsidP="00E6013D">
            <w:pPr>
              <w:jc w:val="center"/>
              <w:rPr>
                <w:rFonts w:ascii="Times New Roman" w:hAnsi="Times New Roman"/>
                <w:sz w:val="28"/>
                <w:szCs w:val="28"/>
              </w:rPr>
            </w:pPr>
            <w:r>
              <w:rPr>
                <w:rFonts w:ascii="Times New Roman" w:hAnsi="Times New Roman"/>
                <w:sz w:val="28"/>
                <w:szCs w:val="28"/>
              </w:rPr>
              <w:t>(5,65-13,9)</w:t>
            </w:r>
          </w:p>
        </w:tc>
        <w:tc>
          <w:tcPr>
            <w:tcW w:w="2098"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9,7±10,25</w:t>
            </w:r>
          </w:p>
          <w:p w:rsidR="00F325E7" w:rsidRDefault="00F325E7" w:rsidP="00E6013D">
            <w:pPr>
              <w:jc w:val="center"/>
              <w:rPr>
                <w:rFonts w:ascii="Times New Roman" w:hAnsi="Times New Roman"/>
                <w:sz w:val="28"/>
                <w:szCs w:val="28"/>
              </w:rPr>
            </w:pPr>
            <w:r>
              <w:rPr>
                <w:rFonts w:ascii="Times New Roman" w:hAnsi="Times New Roman"/>
                <w:sz w:val="28"/>
                <w:szCs w:val="28"/>
              </w:rPr>
              <w:t>(6,2-16,45)</w:t>
            </w:r>
          </w:p>
        </w:tc>
        <w:tc>
          <w:tcPr>
            <w:tcW w:w="98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0,1</w:t>
            </w:r>
          </w:p>
        </w:tc>
      </w:tr>
      <w:tr w:rsidR="00F325E7" w:rsidTr="00E6013D">
        <w:trPr>
          <w:trHeight w:val="431"/>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Глюкоза, моль/л</w:t>
            </w:r>
          </w:p>
        </w:tc>
        <w:tc>
          <w:tcPr>
            <w:tcW w:w="2450"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5,49±1,87</w:t>
            </w:r>
          </w:p>
          <w:p w:rsidR="00F325E7" w:rsidRDefault="00F325E7" w:rsidP="00E6013D">
            <w:pPr>
              <w:jc w:val="center"/>
              <w:rPr>
                <w:rFonts w:ascii="Times New Roman" w:hAnsi="Times New Roman"/>
                <w:sz w:val="28"/>
                <w:szCs w:val="28"/>
              </w:rPr>
            </w:pPr>
            <w:r>
              <w:rPr>
                <w:rFonts w:ascii="Times New Roman" w:hAnsi="Times New Roman"/>
                <w:sz w:val="28"/>
                <w:szCs w:val="28"/>
              </w:rPr>
              <w:t>(4,46-6,33)</w:t>
            </w:r>
          </w:p>
        </w:tc>
        <w:tc>
          <w:tcPr>
            <w:tcW w:w="212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5,56±1,85</w:t>
            </w:r>
          </w:p>
          <w:p w:rsidR="00F325E7" w:rsidRDefault="00F325E7" w:rsidP="00E6013D">
            <w:pPr>
              <w:jc w:val="center"/>
              <w:rPr>
                <w:rFonts w:ascii="Times New Roman" w:hAnsi="Times New Roman"/>
                <w:sz w:val="28"/>
                <w:szCs w:val="28"/>
              </w:rPr>
            </w:pPr>
            <w:r>
              <w:rPr>
                <w:rFonts w:ascii="Times New Roman" w:hAnsi="Times New Roman"/>
                <w:sz w:val="28"/>
                <w:szCs w:val="28"/>
              </w:rPr>
              <w:t>(4,49-6,34)</w:t>
            </w:r>
          </w:p>
        </w:tc>
        <w:tc>
          <w:tcPr>
            <w:tcW w:w="2098"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5,48±1,9</w:t>
            </w:r>
          </w:p>
          <w:p w:rsidR="00F325E7" w:rsidRDefault="00F325E7" w:rsidP="00E6013D">
            <w:pPr>
              <w:jc w:val="center"/>
              <w:rPr>
                <w:rFonts w:ascii="Times New Roman" w:hAnsi="Times New Roman"/>
                <w:sz w:val="28"/>
                <w:szCs w:val="28"/>
              </w:rPr>
            </w:pPr>
            <w:r>
              <w:rPr>
                <w:rFonts w:ascii="Times New Roman" w:hAnsi="Times New Roman"/>
                <w:sz w:val="28"/>
                <w:szCs w:val="28"/>
              </w:rPr>
              <w:t>(4,43-6,33)</w:t>
            </w:r>
          </w:p>
        </w:tc>
        <w:tc>
          <w:tcPr>
            <w:tcW w:w="98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0,56</w:t>
            </w:r>
          </w:p>
        </w:tc>
      </w:tr>
      <w:tr w:rsidR="00F325E7" w:rsidTr="00E6013D">
        <w:trPr>
          <w:trHeight w:val="431"/>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HOMA-IR</w:t>
            </w:r>
          </w:p>
        </w:tc>
        <w:tc>
          <w:tcPr>
            <w:tcW w:w="2450"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2,17±2,37</w:t>
            </w:r>
          </w:p>
          <w:p w:rsidR="00F325E7" w:rsidRDefault="00F325E7" w:rsidP="00E6013D">
            <w:pPr>
              <w:jc w:val="center"/>
              <w:rPr>
                <w:rFonts w:ascii="Times New Roman" w:hAnsi="Times New Roman"/>
                <w:sz w:val="28"/>
                <w:szCs w:val="28"/>
              </w:rPr>
            </w:pPr>
            <w:r>
              <w:rPr>
                <w:rFonts w:ascii="Times New Roman" w:hAnsi="Times New Roman"/>
                <w:sz w:val="28"/>
                <w:szCs w:val="28"/>
              </w:rPr>
              <w:t>1,34-3,72</w:t>
            </w:r>
          </w:p>
        </w:tc>
        <w:tc>
          <w:tcPr>
            <w:tcW w:w="212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2,1±2,15</w:t>
            </w:r>
          </w:p>
          <w:p w:rsidR="00F325E7" w:rsidRDefault="00F325E7" w:rsidP="00E6013D">
            <w:pPr>
              <w:jc w:val="center"/>
              <w:rPr>
                <w:rFonts w:ascii="Times New Roman" w:hAnsi="Times New Roman"/>
                <w:sz w:val="28"/>
                <w:szCs w:val="28"/>
              </w:rPr>
            </w:pPr>
            <w:r>
              <w:rPr>
                <w:rFonts w:ascii="Times New Roman" w:hAnsi="Times New Roman"/>
                <w:sz w:val="28"/>
                <w:szCs w:val="28"/>
              </w:rPr>
              <w:t>(1,34-3,49)</w:t>
            </w:r>
          </w:p>
        </w:tc>
        <w:tc>
          <w:tcPr>
            <w:tcW w:w="2098"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2,26±2,82</w:t>
            </w:r>
          </w:p>
          <w:p w:rsidR="00F325E7" w:rsidRDefault="00F325E7" w:rsidP="00E6013D">
            <w:pPr>
              <w:jc w:val="center"/>
              <w:rPr>
                <w:rFonts w:ascii="Times New Roman" w:hAnsi="Times New Roman"/>
                <w:sz w:val="28"/>
                <w:szCs w:val="28"/>
              </w:rPr>
            </w:pPr>
            <w:r>
              <w:rPr>
                <w:rFonts w:ascii="Times New Roman" w:hAnsi="Times New Roman"/>
                <w:sz w:val="28"/>
                <w:szCs w:val="28"/>
              </w:rPr>
              <w:t>(1,34-4,16)</w:t>
            </w:r>
          </w:p>
        </w:tc>
        <w:tc>
          <w:tcPr>
            <w:tcW w:w="98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0,39</w:t>
            </w:r>
          </w:p>
        </w:tc>
      </w:tr>
      <w:tr w:rsidR="00F325E7" w:rsidTr="00E6013D">
        <w:trPr>
          <w:trHeight w:val="431"/>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ОХС</w:t>
            </w:r>
            <w:r w:rsidR="00E65AD3">
              <w:rPr>
                <w:rFonts w:ascii="Century" w:hAnsi="Century"/>
                <w:sz w:val="28"/>
                <w:szCs w:val="28"/>
              </w:rPr>
              <w:t>,</w:t>
            </w:r>
            <w:r>
              <w:rPr>
                <w:rFonts w:ascii="Times New Roman" w:hAnsi="Times New Roman"/>
                <w:sz w:val="28"/>
                <w:szCs w:val="28"/>
              </w:rPr>
              <w:t xml:space="preserve"> ммоль</w:t>
            </w:r>
            <w:r w:rsidR="002056A4">
              <w:rPr>
                <w:rFonts w:ascii="Century" w:hAnsi="Century"/>
                <w:sz w:val="28"/>
                <w:szCs w:val="28"/>
              </w:rPr>
              <w:t>/</w:t>
            </w:r>
            <w:r>
              <w:rPr>
                <w:rFonts w:ascii="Times New Roman" w:hAnsi="Times New Roman"/>
                <w:sz w:val="28"/>
                <w:szCs w:val="28"/>
              </w:rPr>
              <w:t>л</w:t>
            </w:r>
          </w:p>
        </w:tc>
        <w:tc>
          <w:tcPr>
            <w:tcW w:w="2450"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3</w:t>
            </w:r>
            <w:r w:rsidR="00E65AD3">
              <w:rPr>
                <w:rFonts w:ascii="Century" w:hAnsi="Century"/>
                <w:sz w:val="28"/>
                <w:szCs w:val="28"/>
              </w:rPr>
              <w:t>,</w:t>
            </w:r>
            <w:r>
              <w:rPr>
                <w:rFonts w:ascii="Times New Roman" w:hAnsi="Times New Roman"/>
                <w:sz w:val="28"/>
                <w:szCs w:val="28"/>
              </w:rPr>
              <w:t>65±2</w:t>
            </w:r>
            <w:r w:rsidR="00E65AD3">
              <w:rPr>
                <w:rFonts w:ascii="Century" w:hAnsi="Century"/>
                <w:sz w:val="28"/>
                <w:szCs w:val="28"/>
              </w:rPr>
              <w:t>,</w:t>
            </w:r>
            <w:r>
              <w:rPr>
                <w:rFonts w:ascii="Times New Roman" w:hAnsi="Times New Roman"/>
                <w:sz w:val="28"/>
                <w:szCs w:val="28"/>
              </w:rPr>
              <w:t>0</w:t>
            </w:r>
          </w:p>
          <w:p w:rsidR="00F325E7" w:rsidRDefault="00F325E7" w:rsidP="00E6013D">
            <w:pPr>
              <w:jc w:val="center"/>
              <w:rPr>
                <w:rFonts w:ascii="Times New Roman" w:hAnsi="Times New Roman"/>
                <w:sz w:val="28"/>
                <w:szCs w:val="28"/>
              </w:rPr>
            </w:pPr>
            <w:r>
              <w:rPr>
                <w:rFonts w:ascii="Times New Roman" w:hAnsi="Times New Roman"/>
                <w:sz w:val="28"/>
                <w:szCs w:val="28"/>
              </w:rPr>
              <w:t>(2</w:t>
            </w:r>
            <w:r w:rsidR="00E65AD3">
              <w:rPr>
                <w:rFonts w:ascii="Century" w:hAnsi="Century"/>
                <w:sz w:val="28"/>
                <w:szCs w:val="28"/>
              </w:rPr>
              <w:t>,</w:t>
            </w:r>
            <w:r>
              <w:rPr>
                <w:rFonts w:ascii="Times New Roman" w:hAnsi="Times New Roman"/>
                <w:sz w:val="28"/>
                <w:szCs w:val="28"/>
              </w:rPr>
              <w:t>67-4</w:t>
            </w:r>
            <w:r w:rsidR="00E65AD3">
              <w:rPr>
                <w:rFonts w:ascii="Century" w:hAnsi="Century"/>
                <w:sz w:val="28"/>
                <w:szCs w:val="28"/>
              </w:rPr>
              <w:t>,</w:t>
            </w:r>
            <w:r>
              <w:rPr>
                <w:rFonts w:ascii="Times New Roman" w:hAnsi="Times New Roman"/>
                <w:sz w:val="28"/>
                <w:szCs w:val="28"/>
              </w:rPr>
              <w:t>67)</w:t>
            </w:r>
          </w:p>
        </w:tc>
        <w:tc>
          <w:tcPr>
            <w:tcW w:w="212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3</w:t>
            </w:r>
            <w:r w:rsidR="00E65AD3">
              <w:rPr>
                <w:rFonts w:ascii="Century" w:hAnsi="Century"/>
                <w:sz w:val="28"/>
                <w:szCs w:val="28"/>
              </w:rPr>
              <w:t>,</w:t>
            </w:r>
            <w:r>
              <w:rPr>
                <w:rFonts w:ascii="Times New Roman" w:hAnsi="Times New Roman"/>
                <w:sz w:val="28"/>
                <w:szCs w:val="28"/>
              </w:rPr>
              <w:t>7±2</w:t>
            </w:r>
            <w:r w:rsidR="00E65AD3">
              <w:rPr>
                <w:rFonts w:ascii="Century" w:hAnsi="Century"/>
                <w:sz w:val="28"/>
                <w:szCs w:val="28"/>
              </w:rPr>
              <w:t>,</w:t>
            </w:r>
            <w:r>
              <w:rPr>
                <w:rFonts w:ascii="Times New Roman" w:hAnsi="Times New Roman"/>
                <w:sz w:val="28"/>
                <w:szCs w:val="28"/>
              </w:rPr>
              <w:t>11</w:t>
            </w:r>
          </w:p>
          <w:p w:rsidR="00F325E7" w:rsidRDefault="00F325E7" w:rsidP="00E6013D">
            <w:pPr>
              <w:jc w:val="center"/>
              <w:rPr>
                <w:rFonts w:ascii="Times New Roman" w:hAnsi="Times New Roman"/>
                <w:sz w:val="28"/>
                <w:szCs w:val="28"/>
              </w:rPr>
            </w:pPr>
            <w:r>
              <w:rPr>
                <w:rFonts w:ascii="Times New Roman" w:hAnsi="Times New Roman"/>
                <w:sz w:val="28"/>
                <w:szCs w:val="28"/>
              </w:rPr>
              <w:t>(2</w:t>
            </w:r>
            <w:r w:rsidR="00E65AD3">
              <w:rPr>
                <w:rFonts w:ascii="Century" w:hAnsi="Century"/>
                <w:sz w:val="28"/>
                <w:szCs w:val="28"/>
              </w:rPr>
              <w:t>,</w:t>
            </w:r>
            <w:r>
              <w:rPr>
                <w:rFonts w:ascii="Times New Roman" w:hAnsi="Times New Roman"/>
                <w:sz w:val="28"/>
                <w:szCs w:val="28"/>
              </w:rPr>
              <w:t>6-4</w:t>
            </w:r>
            <w:r w:rsidR="00E65AD3">
              <w:rPr>
                <w:rFonts w:ascii="Century" w:hAnsi="Century"/>
                <w:sz w:val="28"/>
                <w:szCs w:val="28"/>
              </w:rPr>
              <w:t>,</w:t>
            </w:r>
            <w:r>
              <w:rPr>
                <w:rFonts w:ascii="Times New Roman" w:hAnsi="Times New Roman"/>
                <w:sz w:val="28"/>
                <w:szCs w:val="28"/>
              </w:rPr>
              <w:t>72)</w:t>
            </w:r>
          </w:p>
        </w:tc>
        <w:tc>
          <w:tcPr>
            <w:tcW w:w="2098"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3</w:t>
            </w:r>
            <w:r w:rsidR="00E65AD3">
              <w:rPr>
                <w:rFonts w:ascii="Century" w:hAnsi="Century"/>
                <w:sz w:val="28"/>
                <w:szCs w:val="28"/>
              </w:rPr>
              <w:t>,</w:t>
            </w:r>
            <w:r>
              <w:rPr>
                <w:rFonts w:ascii="Times New Roman" w:hAnsi="Times New Roman"/>
                <w:sz w:val="28"/>
                <w:szCs w:val="28"/>
              </w:rPr>
              <w:t>6±1</w:t>
            </w:r>
            <w:r w:rsidR="00E65AD3">
              <w:rPr>
                <w:rFonts w:ascii="Century" w:hAnsi="Century"/>
                <w:sz w:val="28"/>
                <w:szCs w:val="28"/>
              </w:rPr>
              <w:t>,</w:t>
            </w:r>
            <w:r>
              <w:rPr>
                <w:rFonts w:ascii="Times New Roman" w:hAnsi="Times New Roman"/>
                <w:sz w:val="28"/>
                <w:szCs w:val="28"/>
              </w:rPr>
              <w:t>8</w:t>
            </w:r>
          </w:p>
          <w:p w:rsidR="00F325E7" w:rsidRDefault="00F325E7" w:rsidP="00E6013D">
            <w:pPr>
              <w:jc w:val="center"/>
              <w:rPr>
                <w:rFonts w:ascii="Times New Roman" w:hAnsi="Times New Roman"/>
                <w:sz w:val="28"/>
                <w:szCs w:val="28"/>
              </w:rPr>
            </w:pPr>
            <w:r>
              <w:rPr>
                <w:rFonts w:ascii="Times New Roman" w:hAnsi="Times New Roman"/>
                <w:sz w:val="28"/>
                <w:szCs w:val="28"/>
              </w:rPr>
              <w:t>(2</w:t>
            </w:r>
            <w:r w:rsidR="00E65AD3">
              <w:rPr>
                <w:rFonts w:ascii="Century" w:hAnsi="Century"/>
                <w:sz w:val="28"/>
                <w:szCs w:val="28"/>
              </w:rPr>
              <w:t>,</w:t>
            </w:r>
            <w:r>
              <w:rPr>
                <w:rFonts w:ascii="Times New Roman" w:hAnsi="Times New Roman"/>
                <w:sz w:val="28"/>
                <w:szCs w:val="28"/>
              </w:rPr>
              <w:t>73-4</w:t>
            </w:r>
            <w:r w:rsidR="00E65AD3">
              <w:rPr>
                <w:rFonts w:ascii="Century" w:hAnsi="Century"/>
                <w:sz w:val="28"/>
                <w:szCs w:val="28"/>
              </w:rPr>
              <w:t>,</w:t>
            </w:r>
            <w:r>
              <w:rPr>
                <w:rFonts w:ascii="Times New Roman" w:hAnsi="Times New Roman"/>
                <w:sz w:val="28"/>
                <w:szCs w:val="28"/>
              </w:rPr>
              <w:t>53)</w:t>
            </w:r>
          </w:p>
        </w:tc>
        <w:tc>
          <w:tcPr>
            <w:tcW w:w="98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w:t>
            </w:r>
            <w:r w:rsidR="00E65AD3">
              <w:rPr>
                <w:rFonts w:ascii="Century" w:hAnsi="Century"/>
                <w:sz w:val="28"/>
                <w:szCs w:val="28"/>
              </w:rPr>
              <w:t>,</w:t>
            </w:r>
            <w:r>
              <w:rPr>
                <w:rFonts w:ascii="Times New Roman" w:hAnsi="Times New Roman"/>
                <w:sz w:val="28"/>
                <w:szCs w:val="28"/>
              </w:rPr>
              <w:t>74</w:t>
            </w:r>
          </w:p>
        </w:tc>
      </w:tr>
      <w:tr w:rsidR="00F325E7" w:rsidTr="00E6013D">
        <w:trPr>
          <w:trHeight w:val="431"/>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ТГ</w:t>
            </w:r>
            <w:r w:rsidR="002056A4">
              <w:rPr>
                <w:rFonts w:ascii="Century" w:hAnsi="Century"/>
                <w:sz w:val="28"/>
                <w:szCs w:val="28"/>
              </w:rPr>
              <w:t>,</w:t>
            </w:r>
            <w:r>
              <w:rPr>
                <w:rFonts w:ascii="Times New Roman" w:hAnsi="Times New Roman"/>
                <w:sz w:val="28"/>
                <w:szCs w:val="28"/>
              </w:rPr>
              <w:t xml:space="preserve"> ммоль</w:t>
            </w:r>
            <w:r w:rsidR="002056A4">
              <w:rPr>
                <w:rFonts w:ascii="Century" w:hAnsi="Century"/>
                <w:sz w:val="28"/>
                <w:szCs w:val="28"/>
              </w:rPr>
              <w:t>/</w:t>
            </w:r>
            <w:r>
              <w:rPr>
                <w:rFonts w:ascii="Times New Roman" w:hAnsi="Times New Roman"/>
                <w:sz w:val="28"/>
                <w:szCs w:val="28"/>
              </w:rPr>
              <w:t>л</w:t>
            </w:r>
          </w:p>
        </w:tc>
        <w:tc>
          <w:tcPr>
            <w:tcW w:w="2450"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1</w:t>
            </w:r>
            <w:r w:rsidR="002056A4">
              <w:rPr>
                <w:rFonts w:ascii="Century" w:hAnsi="Century"/>
                <w:sz w:val="28"/>
                <w:szCs w:val="28"/>
              </w:rPr>
              <w:t>,</w:t>
            </w:r>
            <w:r>
              <w:rPr>
                <w:rFonts w:ascii="Times New Roman" w:hAnsi="Times New Roman"/>
                <w:sz w:val="28"/>
                <w:szCs w:val="28"/>
              </w:rPr>
              <w:t>23±0</w:t>
            </w:r>
            <w:r w:rsidR="002056A4">
              <w:rPr>
                <w:rFonts w:ascii="Century" w:hAnsi="Century"/>
                <w:sz w:val="28"/>
                <w:szCs w:val="28"/>
              </w:rPr>
              <w:t>,</w:t>
            </w:r>
            <w:r>
              <w:rPr>
                <w:rFonts w:ascii="Times New Roman" w:hAnsi="Times New Roman"/>
                <w:sz w:val="28"/>
                <w:szCs w:val="28"/>
              </w:rPr>
              <w:t>89</w:t>
            </w:r>
          </w:p>
          <w:p w:rsidR="00F325E7" w:rsidRDefault="00F325E7" w:rsidP="00E6013D">
            <w:pPr>
              <w:jc w:val="center"/>
              <w:rPr>
                <w:rFonts w:ascii="Times New Roman" w:hAnsi="Times New Roman"/>
                <w:sz w:val="28"/>
                <w:szCs w:val="28"/>
              </w:rPr>
            </w:pPr>
            <w:r>
              <w:rPr>
                <w:rFonts w:ascii="Times New Roman" w:hAnsi="Times New Roman"/>
                <w:sz w:val="28"/>
                <w:szCs w:val="28"/>
              </w:rPr>
              <w:t>(0</w:t>
            </w:r>
            <w:r w:rsidR="002056A4">
              <w:rPr>
                <w:rFonts w:ascii="Century" w:hAnsi="Century"/>
                <w:sz w:val="28"/>
                <w:szCs w:val="28"/>
              </w:rPr>
              <w:t>,</w:t>
            </w:r>
            <w:r>
              <w:rPr>
                <w:rFonts w:ascii="Times New Roman" w:hAnsi="Times New Roman"/>
                <w:sz w:val="28"/>
                <w:szCs w:val="28"/>
              </w:rPr>
              <w:t>86-1</w:t>
            </w:r>
            <w:r w:rsidR="002056A4">
              <w:rPr>
                <w:rFonts w:ascii="Century" w:hAnsi="Century"/>
                <w:sz w:val="28"/>
                <w:szCs w:val="28"/>
              </w:rPr>
              <w:t>,</w:t>
            </w:r>
            <w:r>
              <w:rPr>
                <w:rFonts w:ascii="Times New Roman" w:hAnsi="Times New Roman"/>
                <w:sz w:val="28"/>
                <w:szCs w:val="28"/>
              </w:rPr>
              <w:t>75)</w:t>
            </w:r>
          </w:p>
        </w:tc>
        <w:tc>
          <w:tcPr>
            <w:tcW w:w="212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1</w:t>
            </w:r>
            <w:r w:rsidR="002056A4">
              <w:rPr>
                <w:rFonts w:ascii="Century" w:hAnsi="Century"/>
                <w:sz w:val="28"/>
                <w:szCs w:val="28"/>
              </w:rPr>
              <w:t>,</w:t>
            </w:r>
            <w:r>
              <w:rPr>
                <w:rFonts w:ascii="Times New Roman" w:hAnsi="Times New Roman"/>
                <w:sz w:val="28"/>
                <w:szCs w:val="28"/>
              </w:rPr>
              <w:t>24±0</w:t>
            </w:r>
            <w:r w:rsidR="002056A4">
              <w:rPr>
                <w:rFonts w:ascii="Century" w:hAnsi="Century"/>
                <w:sz w:val="28"/>
                <w:szCs w:val="28"/>
              </w:rPr>
              <w:t>,</w:t>
            </w:r>
            <w:r>
              <w:rPr>
                <w:rFonts w:ascii="Times New Roman" w:hAnsi="Times New Roman"/>
                <w:sz w:val="28"/>
                <w:szCs w:val="28"/>
              </w:rPr>
              <w:t>86</w:t>
            </w:r>
          </w:p>
          <w:p w:rsidR="00F325E7" w:rsidRDefault="00F325E7" w:rsidP="00E6013D">
            <w:pPr>
              <w:jc w:val="center"/>
              <w:rPr>
                <w:rFonts w:ascii="Times New Roman" w:hAnsi="Times New Roman"/>
                <w:sz w:val="28"/>
                <w:szCs w:val="28"/>
              </w:rPr>
            </w:pPr>
            <w:r>
              <w:rPr>
                <w:rFonts w:ascii="Times New Roman" w:hAnsi="Times New Roman"/>
                <w:sz w:val="28"/>
                <w:szCs w:val="28"/>
              </w:rPr>
              <w:t>(0</w:t>
            </w:r>
            <w:r w:rsidR="002056A4">
              <w:rPr>
                <w:rFonts w:ascii="Century" w:hAnsi="Century"/>
                <w:sz w:val="28"/>
                <w:szCs w:val="28"/>
              </w:rPr>
              <w:t>,</w:t>
            </w:r>
            <w:r>
              <w:rPr>
                <w:rFonts w:ascii="Times New Roman" w:hAnsi="Times New Roman"/>
                <w:sz w:val="28"/>
                <w:szCs w:val="28"/>
              </w:rPr>
              <w:t>85-1</w:t>
            </w:r>
            <w:r w:rsidR="002056A4">
              <w:rPr>
                <w:rFonts w:ascii="Century" w:hAnsi="Century"/>
                <w:sz w:val="28"/>
                <w:szCs w:val="28"/>
              </w:rPr>
              <w:t>,</w:t>
            </w:r>
            <w:r>
              <w:rPr>
                <w:rFonts w:ascii="Times New Roman" w:hAnsi="Times New Roman"/>
                <w:sz w:val="28"/>
                <w:szCs w:val="28"/>
              </w:rPr>
              <w:t>76)</w:t>
            </w:r>
          </w:p>
        </w:tc>
        <w:tc>
          <w:tcPr>
            <w:tcW w:w="2098"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1</w:t>
            </w:r>
            <w:r w:rsidR="002056A4">
              <w:rPr>
                <w:rFonts w:ascii="Century" w:hAnsi="Century"/>
                <w:sz w:val="28"/>
                <w:szCs w:val="28"/>
              </w:rPr>
              <w:t>,</w:t>
            </w:r>
            <w:r>
              <w:rPr>
                <w:rFonts w:ascii="Times New Roman" w:hAnsi="Times New Roman"/>
                <w:sz w:val="28"/>
                <w:szCs w:val="28"/>
              </w:rPr>
              <w:t>21±0</w:t>
            </w:r>
            <w:r w:rsidR="002056A4">
              <w:rPr>
                <w:rFonts w:ascii="Century" w:hAnsi="Century"/>
                <w:sz w:val="28"/>
                <w:szCs w:val="28"/>
              </w:rPr>
              <w:t>,</w:t>
            </w:r>
            <w:r>
              <w:rPr>
                <w:rFonts w:ascii="Times New Roman" w:hAnsi="Times New Roman"/>
                <w:sz w:val="28"/>
                <w:szCs w:val="28"/>
              </w:rPr>
              <w:t>91</w:t>
            </w:r>
          </w:p>
          <w:p w:rsidR="00F325E7" w:rsidRDefault="00F325E7" w:rsidP="00E6013D">
            <w:pPr>
              <w:jc w:val="center"/>
              <w:rPr>
                <w:rFonts w:ascii="Times New Roman" w:hAnsi="Times New Roman"/>
                <w:sz w:val="28"/>
                <w:szCs w:val="28"/>
              </w:rPr>
            </w:pPr>
            <w:r>
              <w:rPr>
                <w:rFonts w:ascii="Times New Roman" w:hAnsi="Times New Roman"/>
                <w:sz w:val="28"/>
                <w:szCs w:val="28"/>
              </w:rPr>
              <w:t>(0</w:t>
            </w:r>
            <w:r w:rsidR="002056A4">
              <w:rPr>
                <w:rFonts w:ascii="Century" w:hAnsi="Century"/>
                <w:sz w:val="28"/>
                <w:szCs w:val="28"/>
              </w:rPr>
              <w:t>,</w:t>
            </w:r>
            <w:r>
              <w:rPr>
                <w:rFonts w:ascii="Times New Roman" w:hAnsi="Times New Roman"/>
                <w:sz w:val="28"/>
                <w:szCs w:val="28"/>
              </w:rPr>
              <w:t>89-1</w:t>
            </w:r>
            <w:r w:rsidR="002056A4">
              <w:rPr>
                <w:rFonts w:ascii="Century" w:hAnsi="Century"/>
                <w:sz w:val="28"/>
                <w:szCs w:val="28"/>
              </w:rPr>
              <w:t>,</w:t>
            </w:r>
            <w:r>
              <w:rPr>
                <w:rFonts w:ascii="Times New Roman" w:hAnsi="Times New Roman"/>
                <w:sz w:val="28"/>
                <w:szCs w:val="28"/>
              </w:rPr>
              <w:t>75)</w:t>
            </w:r>
          </w:p>
        </w:tc>
        <w:tc>
          <w:tcPr>
            <w:tcW w:w="98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w:t>
            </w:r>
            <w:r w:rsidR="002056A4">
              <w:rPr>
                <w:rFonts w:ascii="Century" w:hAnsi="Century"/>
                <w:sz w:val="28"/>
                <w:szCs w:val="28"/>
              </w:rPr>
              <w:t>,</w:t>
            </w:r>
            <w:r>
              <w:rPr>
                <w:rFonts w:ascii="Times New Roman" w:hAnsi="Times New Roman"/>
                <w:sz w:val="28"/>
                <w:szCs w:val="28"/>
              </w:rPr>
              <w:t>68</w:t>
            </w:r>
          </w:p>
        </w:tc>
      </w:tr>
      <w:tr w:rsidR="00F325E7" w:rsidTr="00E6013D">
        <w:trPr>
          <w:trHeight w:val="431"/>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ЛПВП</w:t>
            </w:r>
            <w:r w:rsidR="002056A4">
              <w:rPr>
                <w:rFonts w:ascii="Century" w:hAnsi="Century"/>
                <w:sz w:val="28"/>
                <w:szCs w:val="28"/>
              </w:rPr>
              <w:t>,</w:t>
            </w:r>
            <w:r>
              <w:rPr>
                <w:rFonts w:ascii="Times New Roman" w:hAnsi="Times New Roman"/>
                <w:sz w:val="28"/>
                <w:szCs w:val="28"/>
              </w:rPr>
              <w:t xml:space="preserve"> ммоль</w:t>
            </w:r>
            <w:r w:rsidR="002056A4">
              <w:rPr>
                <w:rFonts w:ascii="Century" w:hAnsi="Century"/>
                <w:sz w:val="28"/>
                <w:szCs w:val="28"/>
              </w:rPr>
              <w:t>/</w:t>
            </w:r>
            <w:r>
              <w:rPr>
                <w:rFonts w:ascii="Times New Roman" w:hAnsi="Times New Roman"/>
                <w:sz w:val="28"/>
                <w:szCs w:val="28"/>
              </w:rPr>
              <w:t>л</w:t>
            </w:r>
          </w:p>
        </w:tc>
        <w:tc>
          <w:tcPr>
            <w:tcW w:w="2450"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w:t>
            </w:r>
            <w:r w:rsidR="002056A4">
              <w:rPr>
                <w:rFonts w:ascii="Century" w:hAnsi="Century"/>
                <w:sz w:val="28"/>
                <w:szCs w:val="28"/>
              </w:rPr>
              <w:t>,</w:t>
            </w:r>
            <w:r>
              <w:rPr>
                <w:rFonts w:ascii="Times New Roman" w:hAnsi="Times New Roman"/>
                <w:sz w:val="28"/>
                <w:szCs w:val="28"/>
              </w:rPr>
              <w:t>95±0</w:t>
            </w:r>
            <w:r w:rsidR="002056A4">
              <w:rPr>
                <w:rFonts w:ascii="Century" w:hAnsi="Century"/>
                <w:sz w:val="28"/>
                <w:szCs w:val="28"/>
              </w:rPr>
              <w:t>,</w:t>
            </w:r>
            <w:r>
              <w:rPr>
                <w:rFonts w:ascii="Times New Roman" w:hAnsi="Times New Roman"/>
                <w:sz w:val="28"/>
                <w:szCs w:val="28"/>
              </w:rPr>
              <w:t>79</w:t>
            </w:r>
          </w:p>
          <w:p w:rsidR="00F325E7" w:rsidRDefault="00F325E7" w:rsidP="00E6013D">
            <w:pPr>
              <w:jc w:val="center"/>
              <w:rPr>
                <w:rFonts w:ascii="Times New Roman" w:hAnsi="Times New Roman"/>
                <w:sz w:val="28"/>
                <w:szCs w:val="28"/>
              </w:rPr>
            </w:pPr>
            <w:r>
              <w:rPr>
                <w:rFonts w:ascii="Times New Roman" w:hAnsi="Times New Roman"/>
                <w:sz w:val="28"/>
                <w:szCs w:val="28"/>
              </w:rPr>
              <w:t>(0</w:t>
            </w:r>
            <w:r w:rsidR="002056A4">
              <w:rPr>
                <w:rFonts w:ascii="Century" w:hAnsi="Century"/>
                <w:sz w:val="28"/>
                <w:szCs w:val="28"/>
              </w:rPr>
              <w:t>,</w:t>
            </w:r>
            <w:r>
              <w:rPr>
                <w:rFonts w:ascii="Times New Roman" w:hAnsi="Times New Roman"/>
                <w:sz w:val="28"/>
                <w:szCs w:val="28"/>
              </w:rPr>
              <w:t>71-1</w:t>
            </w:r>
            <w:r w:rsidR="002056A4">
              <w:rPr>
                <w:rFonts w:ascii="Century" w:hAnsi="Century"/>
                <w:sz w:val="28"/>
                <w:szCs w:val="28"/>
              </w:rPr>
              <w:t>,</w:t>
            </w:r>
            <w:r>
              <w:rPr>
                <w:rFonts w:ascii="Times New Roman" w:hAnsi="Times New Roman"/>
                <w:sz w:val="28"/>
                <w:szCs w:val="28"/>
              </w:rPr>
              <w:t>5)</w:t>
            </w:r>
          </w:p>
        </w:tc>
        <w:tc>
          <w:tcPr>
            <w:tcW w:w="212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w:t>
            </w:r>
            <w:r w:rsidR="002056A4">
              <w:rPr>
                <w:rFonts w:ascii="Century" w:hAnsi="Century"/>
                <w:sz w:val="28"/>
                <w:szCs w:val="28"/>
              </w:rPr>
              <w:t>,</w:t>
            </w:r>
            <w:r>
              <w:rPr>
                <w:rFonts w:ascii="Times New Roman" w:hAnsi="Times New Roman"/>
                <w:sz w:val="28"/>
                <w:szCs w:val="28"/>
              </w:rPr>
              <w:t>99±0</w:t>
            </w:r>
            <w:r w:rsidR="002056A4">
              <w:rPr>
                <w:rFonts w:ascii="Century" w:hAnsi="Century"/>
                <w:sz w:val="28"/>
                <w:szCs w:val="28"/>
              </w:rPr>
              <w:t>,</w:t>
            </w:r>
            <w:r>
              <w:rPr>
                <w:rFonts w:ascii="Times New Roman" w:hAnsi="Times New Roman"/>
                <w:sz w:val="28"/>
                <w:szCs w:val="28"/>
              </w:rPr>
              <w:t>9</w:t>
            </w:r>
          </w:p>
          <w:p w:rsidR="00F325E7" w:rsidRDefault="00F325E7" w:rsidP="00E6013D">
            <w:pPr>
              <w:jc w:val="center"/>
              <w:rPr>
                <w:rFonts w:ascii="Times New Roman" w:hAnsi="Times New Roman"/>
                <w:sz w:val="28"/>
                <w:szCs w:val="28"/>
              </w:rPr>
            </w:pPr>
            <w:r>
              <w:rPr>
                <w:rFonts w:ascii="Times New Roman" w:hAnsi="Times New Roman"/>
                <w:sz w:val="28"/>
                <w:szCs w:val="28"/>
              </w:rPr>
              <w:t>(0</w:t>
            </w:r>
            <w:r w:rsidR="002056A4">
              <w:rPr>
                <w:rFonts w:ascii="Century" w:hAnsi="Century"/>
                <w:sz w:val="28"/>
                <w:szCs w:val="28"/>
              </w:rPr>
              <w:t>,</w:t>
            </w:r>
            <w:r>
              <w:rPr>
                <w:rFonts w:ascii="Times New Roman" w:hAnsi="Times New Roman"/>
                <w:sz w:val="28"/>
                <w:szCs w:val="28"/>
              </w:rPr>
              <w:t>71-1</w:t>
            </w:r>
            <w:r w:rsidR="002056A4">
              <w:rPr>
                <w:rFonts w:ascii="Century" w:hAnsi="Century"/>
                <w:sz w:val="28"/>
                <w:szCs w:val="28"/>
              </w:rPr>
              <w:t>,</w:t>
            </w:r>
            <w:r>
              <w:rPr>
                <w:rFonts w:ascii="Times New Roman" w:hAnsi="Times New Roman"/>
                <w:sz w:val="28"/>
                <w:szCs w:val="28"/>
              </w:rPr>
              <w:t>61)</w:t>
            </w:r>
          </w:p>
        </w:tc>
        <w:tc>
          <w:tcPr>
            <w:tcW w:w="2098"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w:t>
            </w:r>
            <w:r w:rsidR="002056A4">
              <w:rPr>
                <w:rFonts w:ascii="Century" w:hAnsi="Century"/>
                <w:sz w:val="28"/>
                <w:szCs w:val="28"/>
              </w:rPr>
              <w:t>,</w:t>
            </w:r>
            <w:r>
              <w:rPr>
                <w:rFonts w:ascii="Times New Roman" w:hAnsi="Times New Roman"/>
                <w:sz w:val="28"/>
                <w:szCs w:val="28"/>
              </w:rPr>
              <w:t>93±0</w:t>
            </w:r>
            <w:r w:rsidR="002056A4">
              <w:rPr>
                <w:rFonts w:ascii="Century" w:hAnsi="Century"/>
                <w:sz w:val="28"/>
                <w:szCs w:val="28"/>
              </w:rPr>
              <w:t>,</w:t>
            </w:r>
            <w:r>
              <w:rPr>
                <w:rFonts w:ascii="Times New Roman" w:hAnsi="Times New Roman"/>
                <w:sz w:val="28"/>
                <w:szCs w:val="28"/>
              </w:rPr>
              <w:t>74</w:t>
            </w:r>
          </w:p>
          <w:p w:rsidR="00F325E7" w:rsidRDefault="00F325E7" w:rsidP="00E6013D">
            <w:pPr>
              <w:jc w:val="center"/>
              <w:rPr>
                <w:rFonts w:ascii="Times New Roman" w:hAnsi="Times New Roman"/>
                <w:sz w:val="28"/>
                <w:szCs w:val="28"/>
              </w:rPr>
            </w:pPr>
            <w:r>
              <w:rPr>
                <w:rFonts w:ascii="Times New Roman" w:hAnsi="Times New Roman"/>
                <w:sz w:val="28"/>
                <w:szCs w:val="28"/>
              </w:rPr>
              <w:t>(0,7-1,44)</w:t>
            </w:r>
          </w:p>
        </w:tc>
        <w:tc>
          <w:tcPr>
            <w:tcW w:w="98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0,23</w:t>
            </w:r>
          </w:p>
        </w:tc>
      </w:tr>
      <w:tr w:rsidR="00F325E7" w:rsidTr="00E6013D">
        <w:trPr>
          <w:trHeight w:val="431"/>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ЛПНП</w:t>
            </w:r>
            <w:r w:rsidR="002056A4">
              <w:rPr>
                <w:rFonts w:ascii="Century" w:hAnsi="Century"/>
                <w:sz w:val="28"/>
                <w:szCs w:val="28"/>
              </w:rPr>
              <w:t>,</w:t>
            </w:r>
            <w:r>
              <w:rPr>
                <w:rFonts w:ascii="Times New Roman" w:hAnsi="Times New Roman"/>
                <w:sz w:val="28"/>
                <w:szCs w:val="28"/>
              </w:rPr>
              <w:t xml:space="preserve"> ммоль</w:t>
            </w:r>
            <w:r w:rsidR="002056A4">
              <w:rPr>
                <w:rFonts w:ascii="Century" w:hAnsi="Century"/>
                <w:sz w:val="28"/>
                <w:szCs w:val="28"/>
              </w:rPr>
              <w:t>/</w:t>
            </w:r>
            <w:r>
              <w:rPr>
                <w:rFonts w:ascii="Times New Roman" w:hAnsi="Times New Roman"/>
                <w:sz w:val="28"/>
                <w:szCs w:val="28"/>
              </w:rPr>
              <w:t>л</w:t>
            </w:r>
          </w:p>
        </w:tc>
        <w:tc>
          <w:tcPr>
            <w:tcW w:w="2450"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1,89±1,18</w:t>
            </w:r>
          </w:p>
          <w:p w:rsidR="00F325E7" w:rsidRDefault="00F325E7" w:rsidP="00E6013D">
            <w:pPr>
              <w:jc w:val="center"/>
              <w:rPr>
                <w:rFonts w:ascii="Times New Roman" w:hAnsi="Times New Roman"/>
                <w:sz w:val="28"/>
                <w:szCs w:val="28"/>
              </w:rPr>
            </w:pPr>
            <w:r>
              <w:rPr>
                <w:rFonts w:ascii="Times New Roman" w:hAnsi="Times New Roman"/>
                <w:sz w:val="28"/>
                <w:szCs w:val="28"/>
              </w:rPr>
              <w:t>(1,41-2,59)</w:t>
            </w:r>
          </w:p>
        </w:tc>
        <w:tc>
          <w:tcPr>
            <w:tcW w:w="212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1,87±1,09</w:t>
            </w:r>
          </w:p>
          <w:p w:rsidR="00F325E7" w:rsidRDefault="00F325E7" w:rsidP="00E6013D">
            <w:pPr>
              <w:jc w:val="center"/>
              <w:rPr>
                <w:rFonts w:ascii="Times New Roman" w:hAnsi="Times New Roman"/>
                <w:sz w:val="28"/>
                <w:szCs w:val="28"/>
              </w:rPr>
            </w:pPr>
            <w:r>
              <w:rPr>
                <w:rFonts w:ascii="Times New Roman" w:hAnsi="Times New Roman"/>
                <w:sz w:val="28"/>
                <w:szCs w:val="28"/>
              </w:rPr>
              <w:t>(1,0-2,57)</w:t>
            </w:r>
          </w:p>
        </w:tc>
        <w:tc>
          <w:tcPr>
            <w:tcW w:w="2098"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1</w:t>
            </w:r>
            <w:r w:rsidR="002056A4">
              <w:rPr>
                <w:rFonts w:ascii="Century" w:hAnsi="Century"/>
                <w:sz w:val="28"/>
                <w:szCs w:val="28"/>
              </w:rPr>
              <w:t>,</w:t>
            </w:r>
            <w:r>
              <w:rPr>
                <w:rFonts w:ascii="Times New Roman" w:hAnsi="Times New Roman"/>
                <w:sz w:val="28"/>
                <w:szCs w:val="28"/>
              </w:rPr>
              <w:t>93±1</w:t>
            </w:r>
            <w:r w:rsidR="002056A4">
              <w:rPr>
                <w:rFonts w:ascii="Century" w:hAnsi="Century"/>
                <w:sz w:val="28"/>
                <w:szCs w:val="28"/>
              </w:rPr>
              <w:t>,</w:t>
            </w:r>
            <w:r>
              <w:rPr>
                <w:rFonts w:ascii="Times New Roman" w:hAnsi="Times New Roman"/>
                <w:sz w:val="28"/>
                <w:szCs w:val="28"/>
              </w:rPr>
              <w:t>22</w:t>
            </w:r>
          </w:p>
          <w:p w:rsidR="00F325E7" w:rsidRDefault="00F325E7" w:rsidP="00E6013D">
            <w:pPr>
              <w:jc w:val="center"/>
              <w:rPr>
                <w:rFonts w:ascii="Times New Roman" w:hAnsi="Times New Roman"/>
                <w:sz w:val="28"/>
                <w:szCs w:val="28"/>
              </w:rPr>
            </w:pPr>
            <w:r>
              <w:rPr>
                <w:rFonts w:ascii="Times New Roman" w:hAnsi="Times New Roman"/>
                <w:sz w:val="28"/>
                <w:szCs w:val="28"/>
              </w:rPr>
              <w:t>(1</w:t>
            </w:r>
            <w:r w:rsidR="002056A4">
              <w:rPr>
                <w:rFonts w:ascii="Century" w:hAnsi="Century"/>
                <w:sz w:val="28"/>
                <w:szCs w:val="28"/>
              </w:rPr>
              <w:t>,</w:t>
            </w:r>
            <w:r>
              <w:rPr>
                <w:rFonts w:ascii="Times New Roman" w:hAnsi="Times New Roman"/>
                <w:sz w:val="28"/>
                <w:szCs w:val="28"/>
              </w:rPr>
              <w:t>03-2</w:t>
            </w:r>
            <w:r w:rsidR="002056A4">
              <w:rPr>
                <w:rFonts w:ascii="Century" w:hAnsi="Century"/>
                <w:sz w:val="28"/>
                <w:szCs w:val="28"/>
              </w:rPr>
              <w:t>,</w:t>
            </w:r>
            <w:r>
              <w:rPr>
                <w:rFonts w:ascii="Times New Roman" w:hAnsi="Times New Roman"/>
                <w:sz w:val="28"/>
                <w:szCs w:val="28"/>
              </w:rPr>
              <w:t>6)</w:t>
            </w:r>
          </w:p>
        </w:tc>
        <w:tc>
          <w:tcPr>
            <w:tcW w:w="98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w:t>
            </w:r>
            <w:r w:rsidR="002056A4">
              <w:rPr>
                <w:rFonts w:ascii="Century" w:hAnsi="Century"/>
                <w:sz w:val="28"/>
                <w:szCs w:val="28"/>
              </w:rPr>
              <w:t>,</w:t>
            </w:r>
            <w:r>
              <w:rPr>
                <w:rFonts w:ascii="Times New Roman" w:hAnsi="Times New Roman"/>
                <w:sz w:val="28"/>
                <w:szCs w:val="28"/>
              </w:rPr>
              <w:t>97</w:t>
            </w:r>
          </w:p>
        </w:tc>
      </w:tr>
      <w:tr w:rsidR="00F325E7" w:rsidTr="00E6013D">
        <w:trPr>
          <w:trHeight w:val="431"/>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апоА1</w:t>
            </w:r>
            <w:r w:rsidR="002056A4">
              <w:rPr>
                <w:rFonts w:ascii="Century" w:hAnsi="Century"/>
                <w:sz w:val="28"/>
                <w:szCs w:val="28"/>
              </w:rPr>
              <w:t>,</w:t>
            </w:r>
            <w:r>
              <w:rPr>
                <w:rFonts w:ascii="Times New Roman" w:hAnsi="Times New Roman"/>
                <w:sz w:val="28"/>
                <w:szCs w:val="28"/>
              </w:rPr>
              <w:t xml:space="preserve"> г</w:t>
            </w:r>
            <w:r w:rsidR="002056A4">
              <w:rPr>
                <w:rFonts w:ascii="Century" w:hAnsi="Century"/>
                <w:sz w:val="28"/>
                <w:szCs w:val="28"/>
              </w:rPr>
              <w:t>/</w:t>
            </w:r>
            <w:r>
              <w:rPr>
                <w:rFonts w:ascii="Times New Roman" w:hAnsi="Times New Roman"/>
                <w:sz w:val="28"/>
                <w:szCs w:val="28"/>
              </w:rPr>
              <w:t>л</w:t>
            </w:r>
          </w:p>
        </w:tc>
        <w:tc>
          <w:tcPr>
            <w:tcW w:w="2450"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1</w:t>
            </w:r>
            <w:r w:rsidR="002B32CA">
              <w:rPr>
                <w:rFonts w:ascii="Century" w:hAnsi="Century"/>
                <w:sz w:val="28"/>
                <w:szCs w:val="28"/>
              </w:rPr>
              <w:t>,</w:t>
            </w:r>
            <w:r>
              <w:rPr>
                <w:rFonts w:ascii="Times New Roman" w:hAnsi="Times New Roman"/>
                <w:sz w:val="28"/>
                <w:szCs w:val="28"/>
              </w:rPr>
              <w:t>5±0</w:t>
            </w:r>
            <w:r w:rsidR="002B32CA">
              <w:rPr>
                <w:rFonts w:ascii="Century" w:hAnsi="Century"/>
                <w:sz w:val="28"/>
                <w:szCs w:val="28"/>
              </w:rPr>
              <w:t>,</w:t>
            </w:r>
            <w:r>
              <w:rPr>
                <w:rFonts w:ascii="Times New Roman" w:hAnsi="Times New Roman"/>
                <w:sz w:val="28"/>
                <w:szCs w:val="28"/>
              </w:rPr>
              <w:t>41</w:t>
            </w:r>
          </w:p>
          <w:p w:rsidR="00F325E7" w:rsidRDefault="00F325E7" w:rsidP="00E6013D">
            <w:pPr>
              <w:jc w:val="center"/>
              <w:rPr>
                <w:rFonts w:ascii="Times New Roman" w:hAnsi="Times New Roman"/>
                <w:sz w:val="28"/>
                <w:szCs w:val="28"/>
              </w:rPr>
            </w:pPr>
            <w:r>
              <w:rPr>
                <w:rFonts w:ascii="Times New Roman" w:hAnsi="Times New Roman"/>
                <w:sz w:val="28"/>
                <w:szCs w:val="28"/>
              </w:rPr>
              <w:t>(1</w:t>
            </w:r>
            <w:r w:rsidR="002B32CA">
              <w:rPr>
                <w:rFonts w:ascii="Century" w:hAnsi="Century"/>
                <w:sz w:val="28"/>
                <w:szCs w:val="28"/>
              </w:rPr>
              <w:t>,</w:t>
            </w:r>
            <w:r>
              <w:rPr>
                <w:rFonts w:ascii="Times New Roman" w:hAnsi="Times New Roman"/>
                <w:sz w:val="28"/>
                <w:szCs w:val="28"/>
              </w:rPr>
              <w:t>31-1</w:t>
            </w:r>
            <w:r w:rsidR="002B32CA">
              <w:rPr>
                <w:rFonts w:ascii="Century" w:hAnsi="Century"/>
                <w:sz w:val="28"/>
                <w:szCs w:val="28"/>
              </w:rPr>
              <w:t>,</w:t>
            </w:r>
            <w:r>
              <w:rPr>
                <w:rFonts w:ascii="Times New Roman" w:hAnsi="Times New Roman"/>
                <w:sz w:val="28"/>
                <w:szCs w:val="28"/>
              </w:rPr>
              <w:t>72)</w:t>
            </w:r>
          </w:p>
        </w:tc>
        <w:tc>
          <w:tcPr>
            <w:tcW w:w="212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1</w:t>
            </w:r>
            <w:r w:rsidR="002B32CA">
              <w:rPr>
                <w:rFonts w:ascii="Century" w:hAnsi="Century"/>
                <w:sz w:val="28"/>
                <w:szCs w:val="28"/>
              </w:rPr>
              <w:t>,</w:t>
            </w:r>
            <w:r>
              <w:rPr>
                <w:rFonts w:ascii="Times New Roman" w:hAnsi="Times New Roman"/>
                <w:sz w:val="28"/>
                <w:szCs w:val="28"/>
              </w:rPr>
              <w:t>45±0</w:t>
            </w:r>
            <w:r w:rsidR="002B32CA">
              <w:rPr>
                <w:rFonts w:ascii="Century" w:hAnsi="Century"/>
                <w:sz w:val="28"/>
                <w:szCs w:val="28"/>
              </w:rPr>
              <w:t>,</w:t>
            </w:r>
            <w:r>
              <w:rPr>
                <w:rFonts w:ascii="Times New Roman" w:hAnsi="Times New Roman"/>
                <w:sz w:val="28"/>
                <w:szCs w:val="28"/>
              </w:rPr>
              <w:t>4</w:t>
            </w:r>
          </w:p>
          <w:p w:rsidR="00F325E7" w:rsidRDefault="00F325E7" w:rsidP="00E6013D">
            <w:pPr>
              <w:jc w:val="center"/>
              <w:rPr>
                <w:rFonts w:ascii="Times New Roman" w:hAnsi="Times New Roman"/>
                <w:sz w:val="28"/>
                <w:szCs w:val="28"/>
              </w:rPr>
            </w:pPr>
            <w:r>
              <w:rPr>
                <w:rFonts w:ascii="Times New Roman" w:hAnsi="Times New Roman"/>
                <w:sz w:val="28"/>
                <w:szCs w:val="28"/>
              </w:rPr>
              <w:t>(1</w:t>
            </w:r>
            <w:r w:rsidR="002B32CA">
              <w:rPr>
                <w:rFonts w:ascii="Century" w:hAnsi="Century"/>
                <w:sz w:val="28"/>
                <w:szCs w:val="28"/>
              </w:rPr>
              <w:t>,</w:t>
            </w:r>
            <w:r>
              <w:rPr>
                <w:rFonts w:ascii="Times New Roman" w:hAnsi="Times New Roman"/>
                <w:sz w:val="28"/>
                <w:szCs w:val="28"/>
              </w:rPr>
              <w:t>27-1</w:t>
            </w:r>
            <w:r w:rsidR="002B32CA">
              <w:rPr>
                <w:rFonts w:ascii="Century" w:hAnsi="Century"/>
                <w:sz w:val="28"/>
                <w:szCs w:val="28"/>
              </w:rPr>
              <w:t>,</w:t>
            </w:r>
            <w:r>
              <w:rPr>
                <w:rFonts w:ascii="Times New Roman" w:hAnsi="Times New Roman"/>
                <w:sz w:val="28"/>
                <w:szCs w:val="28"/>
              </w:rPr>
              <w:t>67)</w:t>
            </w:r>
          </w:p>
        </w:tc>
        <w:tc>
          <w:tcPr>
            <w:tcW w:w="2098"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1</w:t>
            </w:r>
            <w:r w:rsidR="002B32CA">
              <w:rPr>
                <w:rFonts w:ascii="Century" w:hAnsi="Century"/>
                <w:sz w:val="28"/>
                <w:szCs w:val="28"/>
              </w:rPr>
              <w:t>,</w:t>
            </w:r>
            <w:r>
              <w:rPr>
                <w:rFonts w:ascii="Times New Roman" w:hAnsi="Times New Roman"/>
                <w:sz w:val="28"/>
                <w:szCs w:val="28"/>
              </w:rPr>
              <w:t>53±0</w:t>
            </w:r>
            <w:r w:rsidR="002B32CA">
              <w:rPr>
                <w:rFonts w:ascii="Century" w:hAnsi="Century"/>
                <w:sz w:val="28"/>
                <w:szCs w:val="28"/>
              </w:rPr>
              <w:t>,</w:t>
            </w:r>
            <w:r>
              <w:rPr>
                <w:rFonts w:ascii="Times New Roman" w:hAnsi="Times New Roman"/>
                <w:sz w:val="28"/>
                <w:szCs w:val="28"/>
              </w:rPr>
              <w:t>39</w:t>
            </w:r>
          </w:p>
          <w:p w:rsidR="00F325E7" w:rsidRDefault="00F325E7" w:rsidP="00E6013D">
            <w:pPr>
              <w:jc w:val="center"/>
              <w:rPr>
                <w:rFonts w:ascii="Times New Roman" w:hAnsi="Times New Roman"/>
                <w:sz w:val="28"/>
                <w:szCs w:val="28"/>
              </w:rPr>
            </w:pPr>
            <w:r>
              <w:rPr>
                <w:rFonts w:ascii="Times New Roman" w:hAnsi="Times New Roman"/>
                <w:sz w:val="28"/>
                <w:szCs w:val="28"/>
              </w:rPr>
              <w:t>(1</w:t>
            </w:r>
            <w:r w:rsidR="002B32CA">
              <w:rPr>
                <w:rFonts w:ascii="Century" w:hAnsi="Century"/>
                <w:sz w:val="28"/>
                <w:szCs w:val="28"/>
              </w:rPr>
              <w:t>,</w:t>
            </w:r>
            <w:r>
              <w:rPr>
                <w:rFonts w:ascii="Times New Roman" w:hAnsi="Times New Roman"/>
                <w:sz w:val="28"/>
                <w:szCs w:val="28"/>
              </w:rPr>
              <w:t>35-1</w:t>
            </w:r>
            <w:r w:rsidR="002B32CA">
              <w:rPr>
                <w:rFonts w:ascii="Century" w:hAnsi="Century"/>
                <w:sz w:val="28"/>
                <w:szCs w:val="28"/>
              </w:rPr>
              <w:t>,</w:t>
            </w:r>
            <w:r>
              <w:rPr>
                <w:rFonts w:ascii="Times New Roman" w:hAnsi="Times New Roman"/>
                <w:sz w:val="28"/>
                <w:szCs w:val="28"/>
              </w:rPr>
              <w:t>74)</w:t>
            </w:r>
          </w:p>
        </w:tc>
        <w:tc>
          <w:tcPr>
            <w:tcW w:w="98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w:t>
            </w:r>
            <w:r w:rsidR="002B32CA">
              <w:rPr>
                <w:rFonts w:ascii="Century" w:hAnsi="Century"/>
                <w:sz w:val="28"/>
                <w:szCs w:val="28"/>
              </w:rPr>
              <w:t>,</w:t>
            </w:r>
            <w:r>
              <w:rPr>
                <w:rFonts w:ascii="Times New Roman" w:hAnsi="Times New Roman"/>
                <w:sz w:val="28"/>
                <w:szCs w:val="28"/>
              </w:rPr>
              <w:t>59</w:t>
            </w:r>
          </w:p>
        </w:tc>
      </w:tr>
      <w:tr w:rsidR="00F325E7" w:rsidTr="00E6013D">
        <w:trPr>
          <w:trHeight w:val="431"/>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апоВ</w:t>
            </w:r>
            <w:r w:rsidR="002056A4">
              <w:rPr>
                <w:rFonts w:ascii="Century" w:hAnsi="Century"/>
                <w:sz w:val="28"/>
                <w:szCs w:val="28"/>
              </w:rPr>
              <w:t>,</w:t>
            </w:r>
            <w:r>
              <w:rPr>
                <w:rFonts w:ascii="Times New Roman" w:hAnsi="Times New Roman"/>
                <w:sz w:val="28"/>
                <w:szCs w:val="28"/>
              </w:rPr>
              <w:t xml:space="preserve"> г</w:t>
            </w:r>
            <w:r w:rsidR="002056A4">
              <w:rPr>
                <w:rFonts w:ascii="Century" w:hAnsi="Century"/>
                <w:sz w:val="28"/>
                <w:szCs w:val="28"/>
              </w:rPr>
              <w:t>/</w:t>
            </w:r>
            <w:r>
              <w:rPr>
                <w:rFonts w:ascii="Times New Roman" w:hAnsi="Times New Roman"/>
                <w:sz w:val="28"/>
                <w:szCs w:val="28"/>
              </w:rPr>
              <w:t>л</w:t>
            </w:r>
          </w:p>
        </w:tc>
        <w:tc>
          <w:tcPr>
            <w:tcW w:w="2450"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0,97±0,38</w:t>
            </w:r>
          </w:p>
          <w:p w:rsidR="00F325E7" w:rsidRDefault="00F325E7" w:rsidP="00E6013D">
            <w:pPr>
              <w:jc w:val="center"/>
              <w:rPr>
                <w:rFonts w:ascii="Times New Roman" w:hAnsi="Times New Roman"/>
                <w:sz w:val="28"/>
                <w:szCs w:val="28"/>
              </w:rPr>
            </w:pPr>
            <w:r>
              <w:rPr>
                <w:rFonts w:ascii="Times New Roman" w:hAnsi="Times New Roman"/>
                <w:sz w:val="28"/>
                <w:szCs w:val="28"/>
              </w:rPr>
              <w:t>(0,79-1,17)</w:t>
            </w:r>
          </w:p>
        </w:tc>
        <w:tc>
          <w:tcPr>
            <w:tcW w:w="212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0,99±0,4</w:t>
            </w:r>
          </w:p>
          <w:p w:rsidR="00F325E7" w:rsidRDefault="00F325E7" w:rsidP="00E6013D">
            <w:pPr>
              <w:jc w:val="center"/>
              <w:rPr>
                <w:rFonts w:ascii="Times New Roman" w:hAnsi="Times New Roman"/>
                <w:sz w:val="28"/>
                <w:szCs w:val="28"/>
              </w:rPr>
            </w:pPr>
            <w:r>
              <w:rPr>
                <w:rFonts w:ascii="Times New Roman" w:hAnsi="Times New Roman"/>
                <w:sz w:val="28"/>
                <w:szCs w:val="28"/>
              </w:rPr>
              <w:t>(0,78-1,17)</w:t>
            </w:r>
          </w:p>
        </w:tc>
        <w:tc>
          <w:tcPr>
            <w:tcW w:w="2098"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0,96±0,38</w:t>
            </w:r>
          </w:p>
          <w:p w:rsidR="00F325E7" w:rsidRDefault="00F325E7" w:rsidP="00E6013D">
            <w:pPr>
              <w:jc w:val="center"/>
              <w:rPr>
                <w:rFonts w:ascii="Times New Roman" w:hAnsi="Times New Roman"/>
                <w:sz w:val="28"/>
                <w:szCs w:val="28"/>
              </w:rPr>
            </w:pPr>
            <w:r>
              <w:rPr>
                <w:rFonts w:ascii="Times New Roman" w:hAnsi="Times New Roman"/>
                <w:sz w:val="28"/>
                <w:szCs w:val="28"/>
              </w:rPr>
              <w:t>(0,79-1,16)</w:t>
            </w:r>
          </w:p>
        </w:tc>
        <w:tc>
          <w:tcPr>
            <w:tcW w:w="98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0,59</w:t>
            </w:r>
          </w:p>
        </w:tc>
      </w:tr>
      <w:tr w:rsidR="00F325E7" w:rsidTr="00E6013D">
        <w:trPr>
          <w:trHeight w:val="431"/>
        </w:trPr>
        <w:tc>
          <w:tcPr>
            <w:tcW w:w="1803"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апоВ/апоА1</w:t>
            </w:r>
          </w:p>
        </w:tc>
        <w:tc>
          <w:tcPr>
            <w:tcW w:w="2450"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0,65±0,31</w:t>
            </w:r>
          </w:p>
          <w:p w:rsidR="00F325E7" w:rsidRDefault="00F325E7" w:rsidP="00E6013D">
            <w:pPr>
              <w:jc w:val="center"/>
              <w:rPr>
                <w:rFonts w:ascii="Times New Roman" w:hAnsi="Times New Roman"/>
                <w:sz w:val="28"/>
                <w:szCs w:val="28"/>
              </w:rPr>
            </w:pPr>
            <w:r>
              <w:rPr>
                <w:rFonts w:ascii="Times New Roman" w:hAnsi="Times New Roman"/>
                <w:sz w:val="28"/>
                <w:szCs w:val="28"/>
              </w:rPr>
              <w:t>(0,51-0,82)</w:t>
            </w:r>
          </w:p>
        </w:tc>
        <w:tc>
          <w:tcPr>
            <w:tcW w:w="212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0,67±0,31</w:t>
            </w:r>
          </w:p>
          <w:p w:rsidR="00F325E7" w:rsidRDefault="00F325E7" w:rsidP="00E6013D">
            <w:pPr>
              <w:jc w:val="center"/>
              <w:rPr>
                <w:rFonts w:ascii="Times New Roman" w:hAnsi="Times New Roman"/>
                <w:sz w:val="28"/>
                <w:szCs w:val="28"/>
              </w:rPr>
            </w:pPr>
            <w:r>
              <w:rPr>
                <w:rFonts w:ascii="Times New Roman" w:hAnsi="Times New Roman"/>
                <w:sz w:val="28"/>
                <w:szCs w:val="28"/>
              </w:rPr>
              <w:t>(0,52-0,83)</w:t>
            </w:r>
          </w:p>
        </w:tc>
        <w:tc>
          <w:tcPr>
            <w:tcW w:w="2098"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0,62±0,32</w:t>
            </w:r>
          </w:p>
          <w:p w:rsidR="00F325E7" w:rsidRDefault="00F325E7" w:rsidP="00E6013D">
            <w:pPr>
              <w:jc w:val="center"/>
              <w:rPr>
                <w:rFonts w:ascii="Times New Roman" w:hAnsi="Times New Roman"/>
                <w:sz w:val="28"/>
                <w:szCs w:val="28"/>
              </w:rPr>
            </w:pPr>
            <w:r>
              <w:rPr>
                <w:rFonts w:ascii="Times New Roman" w:hAnsi="Times New Roman"/>
                <w:sz w:val="28"/>
                <w:szCs w:val="28"/>
              </w:rPr>
              <w:t>(0,49-0,81)</w:t>
            </w:r>
          </w:p>
        </w:tc>
        <w:tc>
          <w:tcPr>
            <w:tcW w:w="986" w:type="dxa"/>
            <w:tcBorders>
              <w:top w:val="single" w:sz="4" w:space="0" w:color="auto"/>
              <w:left w:val="single" w:sz="4" w:space="0" w:color="auto"/>
              <w:bottom w:val="single" w:sz="4" w:space="0" w:color="auto"/>
              <w:right w:val="single" w:sz="4" w:space="0" w:color="auto"/>
            </w:tcBorders>
            <w:hideMark/>
          </w:tcPr>
          <w:p w:rsidR="00F325E7" w:rsidRDefault="00F325E7" w:rsidP="00E6013D">
            <w:pPr>
              <w:jc w:val="center"/>
              <w:rPr>
                <w:rFonts w:ascii="Times New Roman" w:hAnsi="Times New Roman"/>
                <w:sz w:val="28"/>
                <w:szCs w:val="28"/>
              </w:rPr>
            </w:pPr>
            <w:r>
              <w:rPr>
                <w:rFonts w:ascii="Times New Roman" w:hAnsi="Times New Roman"/>
                <w:sz w:val="28"/>
                <w:szCs w:val="28"/>
              </w:rPr>
              <w:t>0,222</w:t>
            </w:r>
          </w:p>
        </w:tc>
      </w:tr>
      <w:tr w:rsidR="00F325E7" w:rsidTr="00E6013D">
        <w:trPr>
          <w:trHeight w:val="442"/>
        </w:trPr>
        <w:tc>
          <w:tcPr>
            <w:tcW w:w="9463" w:type="dxa"/>
            <w:gridSpan w:val="5"/>
            <w:tcBorders>
              <w:top w:val="single" w:sz="4" w:space="0" w:color="auto"/>
              <w:left w:val="single" w:sz="4" w:space="0" w:color="auto"/>
              <w:bottom w:val="single" w:sz="4" w:space="0" w:color="auto"/>
              <w:right w:val="single" w:sz="4" w:space="0" w:color="auto"/>
            </w:tcBorders>
            <w:hideMark/>
          </w:tcPr>
          <w:p w:rsidR="00F325E7" w:rsidRDefault="00F325E7" w:rsidP="00E6013D">
            <w:pPr>
              <w:jc w:val="both"/>
              <w:rPr>
                <w:rFonts w:ascii="Times New Roman" w:hAnsi="Times New Roman"/>
                <w:sz w:val="24"/>
                <w:szCs w:val="24"/>
              </w:rPr>
            </w:pPr>
            <w:r>
              <w:rPr>
                <w:rFonts w:ascii="Times New Roman" w:hAnsi="Times New Roman"/>
                <w:szCs w:val="24"/>
              </w:rPr>
              <w:t>Примечание НВ - нормальный вес; ИВ – избыточный вес; Ож – ожирение; *Критерий Манна-Уитни; Ме±IQR (Q1 – Q3) - Медиана ± межквартильный диапазон (1 квартиль – 3 квартиль)</w:t>
            </w:r>
          </w:p>
        </w:tc>
      </w:tr>
    </w:tbl>
    <w:p w:rsidR="00F325E7" w:rsidRDefault="00F325E7" w:rsidP="00BD5AE6">
      <w:pPr>
        <w:spacing w:after="0" w:line="240" w:lineRule="auto"/>
        <w:ind w:firstLine="567"/>
        <w:jc w:val="both"/>
        <w:rPr>
          <w:rFonts w:ascii="Times New Roman" w:hAnsi="Times New Roman" w:cs="Times New Roman"/>
          <w:sz w:val="28"/>
          <w:szCs w:val="28"/>
        </w:rPr>
      </w:pPr>
    </w:p>
    <w:p w:rsidR="008731EE" w:rsidRDefault="00205C5B" w:rsidP="00800BDE">
      <w:pPr>
        <w:spacing w:after="0"/>
        <w:ind w:firstLine="708"/>
        <w:jc w:val="both"/>
        <w:rPr>
          <w:rFonts w:ascii="Times New Roman" w:hAnsi="Times New Roman" w:cs="Times New Roman"/>
          <w:sz w:val="28"/>
          <w:szCs w:val="28"/>
        </w:rPr>
      </w:pPr>
      <w:r>
        <w:rPr>
          <w:rFonts w:ascii="Times New Roman" w:hAnsi="Times New Roman" w:cs="Times New Roman"/>
          <w:sz w:val="28"/>
          <w:szCs w:val="28"/>
        </w:rPr>
        <w:t>Абдоминальн</w:t>
      </w:r>
      <w:r>
        <w:rPr>
          <w:rFonts w:ascii="Times New Roman" w:hAnsi="Times New Roman" w:cs="Times New Roman"/>
          <w:sz w:val="28"/>
          <w:szCs w:val="28"/>
          <w:lang w:val="kk-KZ"/>
        </w:rPr>
        <w:t xml:space="preserve">ым </w:t>
      </w:r>
      <w:r>
        <w:rPr>
          <w:rFonts w:ascii="Times New Roman" w:hAnsi="Times New Roman" w:cs="Times New Roman"/>
          <w:sz w:val="28"/>
          <w:szCs w:val="28"/>
        </w:rPr>
        <w:t>ожирение</w:t>
      </w:r>
      <w:r>
        <w:rPr>
          <w:rFonts w:ascii="Times New Roman" w:hAnsi="Times New Roman" w:cs="Times New Roman"/>
          <w:sz w:val="28"/>
          <w:szCs w:val="28"/>
          <w:lang w:val="kk-KZ"/>
        </w:rPr>
        <w:t>м мы считали</w:t>
      </w:r>
      <w:r>
        <w:rPr>
          <w:rFonts w:ascii="Times New Roman" w:hAnsi="Times New Roman" w:cs="Times New Roman"/>
          <w:sz w:val="28"/>
          <w:szCs w:val="28"/>
        </w:rPr>
        <w:t>,</w:t>
      </w:r>
      <w:r>
        <w:rPr>
          <w:rFonts w:ascii="Times New Roman" w:hAnsi="Times New Roman" w:cs="Times New Roman"/>
          <w:sz w:val="28"/>
          <w:szCs w:val="28"/>
          <w:lang w:val="kk-KZ"/>
        </w:rPr>
        <w:t xml:space="preserve"> когда</w:t>
      </w:r>
      <w:r w:rsidR="00A65666">
        <w:rPr>
          <w:rFonts w:ascii="Times New Roman" w:hAnsi="Times New Roman" w:cs="Times New Roman"/>
          <w:sz w:val="28"/>
          <w:szCs w:val="28"/>
          <w:lang w:val="kk-KZ"/>
        </w:rPr>
        <w:t xml:space="preserve"> </w:t>
      </w:r>
      <w:r w:rsidR="008731EE">
        <w:rPr>
          <w:rFonts w:ascii="Times New Roman" w:hAnsi="Times New Roman" w:cs="Times New Roman"/>
          <w:sz w:val="28"/>
          <w:szCs w:val="28"/>
        </w:rPr>
        <w:t xml:space="preserve">окружности талии </w:t>
      </w:r>
      <w:r>
        <w:rPr>
          <w:rFonts w:ascii="Times New Roman" w:hAnsi="Times New Roman" w:cs="Times New Roman"/>
          <w:sz w:val="28"/>
          <w:szCs w:val="28"/>
        </w:rPr>
        <w:t xml:space="preserve">было </w:t>
      </w:r>
      <w:r w:rsidR="008731EE" w:rsidRPr="007E3CD0">
        <w:rPr>
          <w:rFonts w:ascii="Century" w:hAnsi="Century" w:cs="Times New Roman"/>
          <w:sz w:val="28"/>
          <w:szCs w:val="28"/>
        </w:rPr>
        <w:t>≥</w:t>
      </w:r>
      <w:r w:rsidR="008731EE" w:rsidRPr="007C47EA">
        <w:rPr>
          <w:rFonts w:ascii="Times New Roman" w:hAnsi="Times New Roman" w:cs="Times New Roman"/>
          <w:sz w:val="28"/>
          <w:szCs w:val="28"/>
        </w:rPr>
        <w:t>102 см у мужчин</w:t>
      </w:r>
      <w:r w:rsidR="008731EE">
        <w:rPr>
          <w:rFonts w:ascii="Times New Roman" w:hAnsi="Times New Roman" w:cs="Times New Roman"/>
          <w:sz w:val="28"/>
          <w:szCs w:val="28"/>
        </w:rPr>
        <w:t xml:space="preserve"> и</w:t>
      </w:r>
      <w:r w:rsidR="00A65666">
        <w:rPr>
          <w:rFonts w:ascii="Times New Roman" w:hAnsi="Times New Roman" w:cs="Times New Roman"/>
          <w:sz w:val="28"/>
          <w:szCs w:val="28"/>
        </w:rPr>
        <w:t xml:space="preserve"> </w:t>
      </w:r>
      <w:r w:rsidR="008731EE" w:rsidRPr="007E3CD0">
        <w:rPr>
          <w:rFonts w:ascii="Century" w:hAnsi="Century" w:cs="Times New Roman"/>
          <w:sz w:val="28"/>
          <w:szCs w:val="28"/>
        </w:rPr>
        <w:t>≥</w:t>
      </w:r>
      <w:r w:rsidR="008731EE" w:rsidRPr="007C47EA">
        <w:rPr>
          <w:rFonts w:ascii="Times New Roman" w:hAnsi="Times New Roman" w:cs="Times New Roman"/>
          <w:sz w:val="28"/>
          <w:szCs w:val="28"/>
        </w:rPr>
        <w:t>88 см у женщин</w:t>
      </w:r>
      <w:r w:rsidR="00A65666">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{"citationItems":[{"id":"ITEM-1","itemData":{"DOI":"10.1097/HJH.0000000000001961","ISBN":"0000000000","ISSN":"0263-6352","PMID":"30379783","abstract":"Blood pressure, epidemiology and risk. Globally, over 1 billion people have hypertension. As populations age and adopt more sedentary lifestyles, the worldwide prevalence of hypertension will continue to rise towards 1.5 billion by 2025. Elevated blood pressure (BP) is the leading global contributor to premature death, accounting for almost 10 million deaths in 2015, 4.9 million due to ischaemic heart disease and 3.5 million due to stroke. Hypertension is also a major risk factor for heart failure, atrial fibrillation, chronic kidney disease (CKD), peripheral artery disease (PAD) and cognitive decline. 2. Definition of hypertension. The classification of BP and the definition of hypertension is unchanged from previous European guidelines, and is defined as an office SBP at least 140 mmHg and/or DBP at least 90 mmHg, which is equivalent to a 24-h ABPM average of at least 130/80 mmHg, or a home blood pressure monitoring (HBPM) average at least 135/ 85 mmHg. 3. Screening and diagnosis of hypertension. Hypertension is usually asymptomatic (hence the term 'silent killer'). Because of its high prevalence, screening programmes should be established to ensure that BP is measured in all adults, at least every 5 years and more frequently in people with a high-normal BP. When hypertension is suspected because of an elevated screening BP, the diagnosis of hypertension should be confirmed either by repeated office BP measurements, over a number of visits, or by out-of-office BP measurement using 24-h ABPM or by HBPM. 4. The importance of cardiovascular risk assessment and detection of HMOD. Other cardiovascular risk factors such as dyslipidaemia and metabolic syndrome frequently cluster with hypertension. Thus, unless the patient is already at high or very high risk due to established CVD, formal cardiovascular risk assessment is recommended using the SCORE system. It is important to recognize, however, that the presence of HMOD, especially left ventricular hypertrophy (LVH), chronic kidney disease (CKD) or advanced retinopathy, further increases the risk of cardiovascular morbidity and mortality, and should be screened for as part of risk assessment in hypertensive patients because the SCORE system alone may underestimate their risk. 5. Think - could this patient have secondary hypertension? For most people with hypertension, no underlying cause will be detected. Secondary (and potentially remediable) causes of hypertension are more likely to be present in people w…","author":[{"dropping-particle":"","family":"Williams","given":"Bryan","non-dropping-particle":"","parse-names":false,"suffix":""},{"dropping-particle":"","family":"Mancia","given":"Giuseppe","non-dropping-particle":"","parse-names":false,"suffix":""},{"dropping-particle":"","family":"Spiering","given":"Wilko","non-dropping-particle":"","parse-names":false,"suffix":""},{"dropping-particle":"","family":"Agabiti Rosei","given":"Enrico","non-dropping-particle":"","parse-names":false,"suffix":""},{"dropping-particle":"","family":"Azizi","given":"Michel","non-dropping-particle":"","parse-names":false,"suffix":""},{"dropping-particle":"","family":"Burnier","given":"Michel","non-dropping-particle":"","parse-names":false,"suffix":""},{"dropping-particle":"","family":"Clement","given":"Denis","non-dropping-particle":"","parse-names":false,"suffix":""},{"dropping-particle":"","family":"Coca","given":"Antonio","non-dropping-particle":"","parse-names":false,"suffix":""},{"dropping-particle":"","family":"Simone","given":"Giovanni","non-dropping-particle":"De","parse-names":false,"suffix":""},{"dropping-particle":"","family":"Dominiczak","given":"Anna","non-dropping-particle":"","parse-names":false,"suffix":""},{"dropping-particle":"","family":"Kahan","given":"Thomas","non-dropping-particle":"","parse-names":false,"suffix":""},{"dropping-particle":"","family":"Mahfoud","given":"Felix","non-dropping-particle":"","parse-names":false,"suffix":""},{"dropping-particle":"","family":"Redon","given":"Josep","non-dropping-particle":"","parse-names":false,"suffix":""},{"dropping-particle":"","family":"Ruilope","given":"Luis","non-dropping-particle":"","parse-names":false,"suffix":""},{"dropping-particle":"","family":"Zanchetti","given":"Alberto","non-dropping-particle":"","parse-names":false,"suffix":""},{"dropping-particle":"","family":"Kerins","given":"Mary","non-dropping-particle":"","parse-names":false,"suffix":""},{"dropping-particle":"","family":"Kjeldsen","given":"Sverre","non-dropping-particle":"","parse-names":false,"suffix":""},{"dropping-particle":"","family":"Kreutz","given":"Reinhold","non-dropping-particle":"","parse-names":false,"suffix":""},{"dropping-particle":"","family":"Laurent","given":"Stephane","non-dropping-particle":"","parse-names":false,"suffix":""},{"dropping-particle":"","family":"Lip","given":"Gregory Y.H.","non-dropping-particle":"","parse-names":false,"suffix":""},{"dropping-particle":"","family":"McManus","given":"Richard","non-dropping-particle":"","parse-names":false,"suffix":""},{"dropping-particle":"","family":"Narkiewicz","given":"Krzysztof","non-dropping-particle":"","parse-names":false,"suffix":""},{"dropping-particle":"","family":"Ruschitzka","given":"Frank","non-dropping-particle":"","parse-names":false,"suffix":""},{"dropping-particle":"","family":"Schmieder","given":"Roland","non-dropping-particle":"","parse-names":false,"suffix":""},{"dropping-particle":"","family":"Shlyakhto","given":"Evgeny","non-dropping-particle":"","parse-names":false,"suffix":""},{"dropping-particle":"","family":"Tsioufis","given":"Konstantinos","non-dropping-particle":"","parse-names":false,"suffix":""},{"dropping-particle":"","family":"Aboyans","given":"Victor","non-dropping-particle":"","parse-names":false,"suffix":""},{"dropping-particle":"","family":"Desormais","given":"Ileana","non-dropping-particle":"","parse-names":false,"suffix":""}],"container-title":"Journal of Hypertension","id":"ITEM-1","issue":"12","issued":{"date-parts":[["2018","12"]]},"page":"1953-2041","title":"2018 Practice Guidelines for the management of arterial hypertension of the European Society of Cardiology and the European Society of Hypertension","type":"article-journal","volume":"36"},"uris":["http://www.mendeley.com/documents/?uuid=5a3b9d5c-e1e6-414e-aefe-3ae5567a180d"]}],"mendeley":{"formattedCitation":"[148]","manualFormatting":"[148, р. 1961]","plainTextFormattedCitation":"[148]","previouslyFormattedCitation":"[148]"},"properties":{"noteIndex":0},"schema":"https://github.com/citation-style-language/schema/raw/master/csl-citation.json"}</w:instrText>
      </w:r>
      <w:r w:rsidR="00EA0E64">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[148</w:t>
      </w:r>
      <w:r w:rsidR="00F87DB7">
        <w:rPr>
          <w:rFonts w:ascii="Times New Roman" w:hAnsi="Times New Roman" w:cs="Times New Roman"/>
          <w:noProof/>
          <w:sz w:val="28"/>
          <w:szCs w:val="28"/>
        </w:rPr>
        <w:t>, р. 1961</w:t>
      </w:r>
      <w:r w:rsidR="00F87DB7" w:rsidRPr="00F87DB7">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973BD5">
        <w:rPr>
          <w:rFonts w:ascii="Century" w:hAnsi="Century" w:cs="Times New Roman"/>
          <w:sz w:val="28"/>
          <w:szCs w:val="28"/>
        </w:rPr>
        <w:t>.</w:t>
      </w:r>
    </w:p>
    <w:p w:rsidR="007C47EA" w:rsidRDefault="00994774" w:rsidP="0085325A">
      <w:pPr>
        <w:spacing w:after="0"/>
        <w:ind w:firstLine="360"/>
        <w:jc w:val="both"/>
        <w:rPr>
          <w:rFonts w:ascii="Times New Roman" w:hAnsi="Times New Roman" w:cs="Times New Roman"/>
          <w:sz w:val="28"/>
          <w:szCs w:val="28"/>
        </w:rPr>
      </w:pPr>
      <w:r w:rsidRPr="00C2362F">
        <w:rPr>
          <w:rFonts w:ascii="Times New Roman" w:hAnsi="Times New Roman" w:cs="Times New Roman"/>
          <w:sz w:val="28"/>
          <w:szCs w:val="28"/>
        </w:rPr>
        <w:t xml:space="preserve">Целевые уровни липидного обмена </w:t>
      </w:r>
      <w:r>
        <w:rPr>
          <w:rFonts w:ascii="Times New Roman" w:hAnsi="Times New Roman" w:cs="Times New Roman"/>
          <w:sz w:val="28"/>
          <w:szCs w:val="28"/>
        </w:rPr>
        <w:t>были</w:t>
      </w:r>
      <w:r w:rsidR="00BD096F">
        <w:rPr>
          <w:rFonts w:ascii="Times New Roman" w:hAnsi="Times New Roman" w:cs="Times New Roman"/>
          <w:sz w:val="28"/>
          <w:szCs w:val="28"/>
        </w:rPr>
        <w:t xml:space="preserve"> подобраны</w:t>
      </w:r>
      <w:r w:rsidR="008B26CF">
        <w:rPr>
          <w:rFonts w:ascii="Times New Roman" w:hAnsi="Times New Roman" w:cs="Times New Roman"/>
          <w:sz w:val="28"/>
          <w:szCs w:val="28"/>
        </w:rPr>
        <w:t xml:space="preserve"> </w:t>
      </w:r>
      <w:r w:rsidR="007C47EA" w:rsidRPr="00C2362F">
        <w:rPr>
          <w:rFonts w:ascii="Times New Roman" w:hAnsi="Times New Roman" w:cs="Times New Roman"/>
          <w:sz w:val="28"/>
          <w:szCs w:val="28"/>
        </w:rPr>
        <w:t xml:space="preserve">согласно </w:t>
      </w:r>
      <w:r w:rsidR="007C47EA">
        <w:rPr>
          <w:rFonts w:ascii="Times New Roman" w:hAnsi="Times New Roman" w:cs="Times New Roman"/>
          <w:sz w:val="28"/>
          <w:szCs w:val="28"/>
        </w:rPr>
        <w:t>Р</w:t>
      </w:r>
      <w:r w:rsidR="007C47EA" w:rsidRPr="00C2362F">
        <w:rPr>
          <w:rFonts w:ascii="Times New Roman" w:hAnsi="Times New Roman" w:cs="Times New Roman"/>
          <w:sz w:val="28"/>
          <w:szCs w:val="28"/>
        </w:rPr>
        <w:t>екомендации ЕSH/ESC 2018</w:t>
      </w:r>
      <w:r w:rsidR="008B26CF">
        <w:rPr>
          <w:rFonts w:ascii="Times New Roman" w:hAnsi="Times New Roman" w:cs="Times New Roman"/>
          <w:sz w:val="28"/>
          <w:szCs w:val="28"/>
        </w:rPr>
        <w:t xml:space="preserve"> </w:t>
      </w:r>
      <w:r w:rsidR="00EA0E64" w:rsidRPr="00C2362F">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{"citationItems":[{"id":"ITEM-1","itemData":{"DOI":"10.1097/HJH.0000000000001961","ISBN":"0000000000","ISSN":"0263-6352","PMID":"30379783","abstract":"Blood pressure, epidemiology and risk. Globally, over 1 billion people have hypertension. As populations age and adopt more sedentary lifestyles, the worldwide prevalence of hypertension will continue to rise towards 1.5 billion by 2025. Elevated blood pressure (BP) is the leading global contributor to premature death, accounting for almost 10 million deaths in 2015, 4.9 million due to ischaemic heart disease and 3.5 million due to stroke. Hypertension is also a major risk factor for heart failure, atrial fibrillation, chronic kidney disease (CKD), peripheral artery disease (PAD) and cognitive decline. 2. Definition of hypertension. The classification of BP and the definition of hypertension is unchanged from previous European guidelines, and is defined as an office SBP at least 140 mmHg and/or DBP at least 90 mmHg, which is equivalent to a 24-h ABPM average of at least 130/80 mmHg, or a home blood pressure monitoring (HBPM) average at least 135/ 85 mmHg. 3. Screening and diagnosis of hypertension. Hypertension is usually asymptomatic (hence the term 'silent killer'). Because of its high prevalence, screening programmes should be established to ensure that BP is measured in all adults, at least every 5 years and more frequently in people with a high-normal BP. When hypertension is suspected because of an elevated screening BP, the diagnosis of hypertension should be confirmed either by repeated office BP measurements, over a number of visits, or by out-of-office BP measurement using 24-h ABPM or by HBPM. 4. The importance of cardiovascular risk assessment and detection of HMOD. Other cardiovascular risk factors such as dyslipidaemia and metabolic syndrome frequently cluster with hypertension. Thus, unless the patient is already at high or very high risk due to established CVD, formal cardiovascular risk assessment is recommended using the SCORE system. It is important to recognize, however, that the presence of HMOD, especially left ventricular hypertrophy (LVH), chronic kidney disease (CKD) or advanced retinopathy, further increases the risk of cardiovascular morbidity and mortality, and should be screened for as part of risk assessment in hypertensive patients because the SCORE system alone may underestimate their risk. 5. Think - could this patient have secondary hypertension? For most people with hypertension, no underlying cause will be detected. Secondary (and potentially remediable) causes of hypertension are more likely to be present in people w…","author":[{"dropping-particle":"","family":"Williams","given":"Bryan","non-dropping-particle":"","parse-names":false,"suffix":""},{"dropping-particle":"","family":"Mancia","given":"Giuseppe","non-dropping-particle":"","parse-names":false,"suffix":""},{"dropping-particle":"","family":"Spiering","given":"Wilko","non-dropping-particle":"","parse-names":false,"suffix":""},{"dropping-particle":"","family":"Agabiti Rosei","given":"Enrico","non-dropping-particle":"","parse-names":false,"suffix":""},{"dropping-particle":"","family":"Azizi","given":"Michel","non-dropping-particle":"","parse-names":false,"suffix":""},{"dropping-particle":"","family":"Burnier","given":"Michel","non-dropping-particle":"","parse-names":false,"suffix":""},{"dropping-particle":"","family":"Clement","given":"Denis","non-dropping-particle":"","parse-names":false,"suffix":""},{"dropping-particle":"","family":"Coca","given":"Antonio","non-dropping-particle":"","parse-names":false,"suffix":""},{"dropping-particle":"","family":"Simone","given":"Giovanni","non-dropping-particle":"De","parse-names":false,"suffix":""},{"dropping-particle":"","family":"Dominiczak","given":"Anna","non-dropping-particle":"","parse-names":false,"suffix":""},{"dropping-particle":"","family":"Kahan","given":"Thomas","non-dropping-particle":"","parse-names":false,"suffix":""},{"dropping-particle":"","family":"Mahfoud","given":"Felix","non-dropping-particle":"","parse-names":false,"suffix":""},{"dropping-particle":"","family":"Redon","given":"Josep","non-dropping-particle":"","parse-names":false,"suffix":""},{"dropping-particle":"","family":"Ruilope","given":"Luis","non-dropping-particle":"","parse-names":false,"suffix":""},{"dropping-particle":"","family":"Zanchetti","given":"Alberto","non-dropping-particle":"","parse-names":false,"suffix":""},{"dropping-particle":"","family":"Kerins","given":"Mary","non-dropping-particle":"","parse-names":false,"suffix":""},{"dropping-particle":"","family":"Kjeldsen","given":"Sverre","non-dropping-particle":"","parse-names":false,"suffix":""},{"dropping-particle":"","family":"Kreutz","given":"Reinhold","non-dropping-particle":"","parse-names":false,"suffix":""},{"dropping-particle":"","family":"Laurent","given":"Stephane","non-dropping-particle":"","parse-names":false,"suffix":""},{"dropping-particle":"","family":"Lip","given":"Gregory Y.H.","non-dropping-particle":"","parse-names":false,"suffix":""},{"dropping-particle":"","family":"McManus","given":"Richard","non-dropping-particle":"","parse-names":false,"suffix":""},{"dropping-particle":"","family":"Narkiewicz","given":"Krzysztof","non-dropping-particle":"","parse-names":false,"suffix":""},{"dropping-particle":"","family":"Ruschitzka","given":"Frank","non-dropping-particle":"","parse-names":false,"suffix":""},{"dropping-particle":"","family":"Schmieder","given":"Roland","non-dropping-particle":"","parse-names":false,"suffix":""},{"dropping-particle":"","family":"Shlyakhto","given":"Evgeny","non-dropping-particle":"","parse-names":false,"suffix":""},{"dropping-particle":"","family":"Tsioufis","given":"Konstantinos","non-dropping-particle":"","parse-names":false,"suffix":""},{"dropping-particle":"","family":"Aboyans","given":"Victor","non-dropping-particle":"","parse-names":false,"suffix":""},{"dropping-particle":"","family":"Desormais","given":"Ileana","non-dropping-particle":"","parse-names":false,"suffix":""}],"container-title":"Journal of Hypertension","id":"ITEM-1","issue":"12","issued":{"date-parts":[["2018","12"]]},"page":"1953-2041","title":"2018 Practice Guidelines for the management of arterial hypertension of the European Society of Cardiology and the European Society of Hypertension","type":"article-journal","volume":"36"},"uris":["http://www.mendeley.com/documents/?uuid=5a3b9d5c-e1e6-414e-aefe-3ae5567a180d"]}],"mendeley":{"formattedCitation":"[148]","manualFormatting":"[148, р. 2016]","plainTextFormattedCitation":"[148]","previouslyFormattedCitation":"[148]"},"properties":{"noteIndex":0},"schema":"https://github.com/citation-style-language/schema/raw/master/csl-citation.json"}</w:instrText>
      </w:r>
      <w:r w:rsidR="00EA0E64" w:rsidRPr="00C2362F">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[148</w:t>
      </w:r>
      <w:r w:rsidR="00F87DB7">
        <w:rPr>
          <w:rFonts w:ascii="Times New Roman" w:hAnsi="Times New Roman" w:cs="Times New Roman"/>
          <w:noProof/>
          <w:sz w:val="28"/>
          <w:szCs w:val="28"/>
        </w:rPr>
        <w:t>, р. 2016</w:t>
      </w:r>
      <w:r w:rsidR="00F87DB7" w:rsidRPr="00F87DB7">
        <w:rPr>
          <w:rFonts w:ascii="Times New Roman" w:hAnsi="Times New Roman" w:cs="Times New Roman"/>
          <w:noProof/>
          <w:sz w:val="28"/>
          <w:szCs w:val="28"/>
        </w:rPr>
        <w:t>]</w:t>
      </w:r>
      <w:r w:rsidR="00EA0E64" w:rsidRPr="00C2362F">
        <w:rPr>
          <w:rFonts w:ascii="Times New Roman" w:hAnsi="Times New Roman" w:cs="Times New Roman"/>
          <w:sz w:val="28"/>
          <w:szCs w:val="28"/>
        </w:rPr>
        <w:fldChar w:fldCharType="end"/>
      </w:r>
      <w:r w:rsidR="007C47EA">
        <w:rPr>
          <w:rFonts w:ascii="Times New Roman" w:hAnsi="Times New Roman" w:cs="Times New Roman"/>
          <w:sz w:val="28"/>
          <w:szCs w:val="28"/>
        </w:rPr>
        <w:t xml:space="preserve">: </w:t>
      </w:r>
    </w:p>
    <w:p w:rsidR="007C47EA" w:rsidRDefault="00994774" w:rsidP="00B96E35">
      <w:pPr>
        <w:pStyle w:val="af4"/>
        <w:numPr>
          <w:ilvl w:val="0"/>
          <w:numId w:val="25"/>
        </w:numPr>
        <w:spacing w:after="0"/>
        <w:jc w:val="both"/>
        <w:rPr>
          <w:rFonts w:ascii="Times New Roman" w:hAnsi="Times New Roman" w:cs="Times New Roman"/>
          <w:sz w:val="28"/>
          <w:szCs w:val="28"/>
        </w:rPr>
      </w:pPr>
      <w:r>
        <w:rPr>
          <w:rFonts w:ascii="Times New Roman" w:hAnsi="Times New Roman" w:cs="Times New Roman"/>
          <w:sz w:val="28"/>
          <w:szCs w:val="28"/>
        </w:rPr>
        <w:t>уровень ОХС</w:t>
      </w:r>
      <w:r w:rsidRPr="00973BD5">
        <w:rPr>
          <w:rFonts w:ascii="Century" w:hAnsi="Century" w:cs="Times New Roman"/>
          <w:sz w:val="28"/>
          <w:szCs w:val="28"/>
        </w:rPr>
        <w:t>&gt;</w:t>
      </w:r>
      <w:r>
        <w:rPr>
          <w:rFonts w:ascii="Times New Roman" w:hAnsi="Times New Roman" w:cs="Times New Roman"/>
          <w:sz w:val="28"/>
          <w:szCs w:val="28"/>
        </w:rPr>
        <w:t xml:space="preserve"> 4</w:t>
      </w:r>
      <w:r w:rsidRPr="00973BD5">
        <w:rPr>
          <w:rFonts w:ascii="Century" w:hAnsi="Century" w:cs="Times New Roman"/>
          <w:sz w:val="28"/>
          <w:szCs w:val="28"/>
        </w:rPr>
        <w:t>,</w:t>
      </w:r>
      <w:r>
        <w:rPr>
          <w:rFonts w:ascii="Times New Roman" w:hAnsi="Times New Roman" w:cs="Times New Roman"/>
          <w:sz w:val="28"/>
          <w:szCs w:val="28"/>
        </w:rPr>
        <w:t>9 ммоль</w:t>
      </w:r>
      <w:r w:rsidRPr="00973BD5">
        <w:rPr>
          <w:rFonts w:ascii="Century" w:hAnsi="Century" w:cs="Times New Roman"/>
          <w:sz w:val="28"/>
          <w:szCs w:val="28"/>
        </w:rPr>
        <w:t>/</w:t>
      </w:r>
      <w:r>
        <w:rPr>
          <w:rFonts w:ascii="Times New Roman" w:hAnsi="Times New Roman" w:cs="Times New Roman"/>
          <w:sz w:val="28"/>
          <w:szCs w:val="28"/>
        </w:rPr>
        <w:t>л</w:t>
      </w:r>
      <w:r w:rsidR="007C47EA" w:rsidRPr="00973BD5">
        <w:rPr>
          <w:rFonts w:ascii="Century" w:hAnsi="Century" w:cs="Times New Roman"/>
          <w:sz w:val="28"/>
          <w:szCs w:val="28"/>
        </w:rPr>
        <w:t>;</w:t>
      </w:r>
    </w:p>
    <w:p w:rsidR="007C47EA" w:rsidRDefault="00994774" w:rsidP="00B96E35">
      <w:pPr>
        <w:pStyle w:val="af4"/>
        <w:numPr>
          <w:ilvl w:val="0"/>
          <w:numId w:val="25"/>
        </w:numPr>
        <w:spacing w:after="0"/>
        <w:jc w:val="both"/>
        <w:rPr>
          <w:rFonts w:ascii="Times New Roman" w:hAnsi="Times New Roman" w:cs="Times New Roman"/>
          <w:sz w:val="28"/>
          <w:szCs w:val="28"/>
        </w:rPr>
      </w:pPr>
      <w:r>
        <w:rPr>
          <w:rFonts w:ascii="Times New Roman" w:hAnsi="Times New Roman" w:cs="Times New Roman"/>
          <w:sz w:val="28"/>
          <w:szCs w:val="28"/>
        </w:rPr>
        <w:t xml:space="preserve"> уровень ЛПНП</w:t>
      </w:r>
      <w:r w:rsidRPr="00973BD5">
        <w:rPr>
          <w:rFonts w:ascii="Century" w:hAnsi="Century" w:cs="Times New Roman"/>
          <w:sz w:val="28"/>
          <w:szCs w:val="28"/>
        </w:rPr>
        <w:t>&gt;</w:t>
      </w:r>
      <w:r>
        <w:rPr>
          <w:rFonts w:ascii="Times New Roman" w:hAnsi="Times New Roman" w:cs="Times New Roman"/>
          <w:sz w:val="28"/>
          <w:szCs w:val="28"/>
        </w:rPr>
        <w:t xml:space="preserve"> 3</w:t>
      </w:r>
      <w:r w:rsidRPr="00973BD5">
        <w:rPr>
          <w:rFonts w:ascii="Century" w:hAnsi="Century" w:cs="Times New Roman"/>
          <w:sz w:val="28"/>
          <w:szCs w:val="28"/>
        </w:rPr>
        <w:t>,</w:t>
      </w:r>
      <w:r>
        <w:rPr>
          <w:rFonts w:ascii="Times New Roman" w:hAnsi="Times New Roman" w:cs="Times New Roman"/>
          <w:sz w:val="28"/>
          <w:szCs w:val="28"/>
        </w:rPr>
        <w:t>0 ммоль</w:t>
      </w:r>
      <w:r w:rsidRPr="00973BD5">
        <w:rPr>
          <w:rFonts w:ascii="Century" w:hAnsi="Century" w:cs="Times New Roman"/>
          <w:sz w:val="28"/>
          <w:szCs w:val="28"/>
        </w:rPr>
        <w:t>/</w:t>
      </w:r>
      <w:r>
        <w:rPr>
          <w:rFonts w:ascii="Times New Roman" w:hAnsi="Times New Roman" w:cs="Times New Roman"/>
          <w:sz w:val="28"/>
          <w:szCs w:val="28"/>
        </w:rPr>
        <w:t>л</w:t>
      </w:r>
      <w:r w:rsidR="007C47EA" w:rsidRPr="00973BD5">
        <w:rPr>
          <w:rFonts w:ascii="Century" w:hAnsi="Century" w:cs="Times New Roman"/>
          <w:sz w:val="28"/>
          <w:szCs w:val="28"/>
        </w:rPr>
        <w:t>;</w:t>
      </w:r>
    </w:p>
    <w:p w:rsidR="007C47EA" w:rsidRDefault="007C47EA" w:rsidP="00B96E35">
      <w:pPr>
        <w:pStyle w:val="af4"/>
        <w:numPr>
          <w:ilvl w:val="0"/>
          <w:numId w:val="25"/>
        </w:numPr>
        <w:spacing w:after="0"/>
        <w:jc w:val="both"/>
        <w:rPr>
          <w:rFonts w:ascii="Times New Roman" w:hAnsi="Times New Roman" w:cs="Times New Roman"/>
          <w:sz w:val="28"/>
          <w:szCs w:val="28"/>
        </w:rPr>
      </w:pPr>
      <w:r w:rsidRPr="007C47EA">
        <w:rPr>
          <w:rFonts w:ascii="Times New Roman" w:hAnsi="Times New Roman" w:cs="Times New Roman"/>
          <w:sz w:val="28"/>
          <w:szCs w:val="28"/>
        </w:rPr>
        <w:t>уровень ЛПВП</w:t>
      </w:r>
      <w:r w:rsidRPr="00973BD5">
        <w:rPr>
          <w:rFonts w:ascii="Century" w:hAnsi="Century" w:cs="Times New Roman"/>
          <w:sz w:val="28"/>
          <w:szCs w:val="28"/>
        </w:rPr>
        <w:t>:</w:t>
      </w:r>
      <w:r w:rsidRPr="007C47EA">
        <w:rPr>
          <w:rFonts w:ascii="Times New Roman" w:hAnsi="Times New Roman" w:cs="Times New Roman"/>
          <w:sz w:val="28"/>
          <w:szCs w:val="28"/>
        </w:rPr>
        <w:t xml:space="preserve"> у мужчин</w:t>
      </w:r>
      <w:r w:rsidR="00A65666">
        <w:rPr>
          <w:rFonts w:ascii="Times New Roman" w:hAnsi="Times New Roman" w:cs="Times New Roman"/>
          <w:sz w:val="28"/>
          <w:szCs w:val="28"/>
        </w:rPr>
        <w:t xml:space="preserve"> </w:t>
      </w:r>
      <w:r w:rsidR="00800BDE" w:rsidRPr="00973BD5">
        <w:rPr>
          <w:rFonts w:ascii="Century" w:hAnsi="Century" w:cs="Times New Roman"/>
          <w:sz w:val="28"/>
          <w:szCs w:val="28"/>
        </w:rPr>
        <w:t>&lt;</w:t>
      </w:r>
      <w:r w:rsidR="00800BDE" w:rsidRPr="007C47EA">
        <w:rPr>
          <w:rFonts w:ascii="Times New Roman" w:hAnsi="Times New Roman" w:cs="Times New Roman"/>
          <w:sz w:val="28"/>
          <w:szCs w:val="28"/>
        </w:rPr>
        <w:t>1</w:t>
      </w:r>
      <w:r w:rsidR="00800BDE" w:rsidRPr="00973BD5">
        <w:rPr>
          <w:rFonts w:ascii="Century" w:hAnsi="Century" w:cs="Times New Roman"/>
          <w:sz w:val="28"/>
          <w:szCs w:val="28"/>
        </w:rPr>
        <w:t>,</w:t>
      </w:r>
      <w:r w:rsidR="00800BDE" w:rsidRPr="007C47EA">
        <w:rPr>
          <w:rFonts w:ascii="Times New Roman" w:hAnsi="Times New Roman" w:cs="Times New Roman"/>
          <w:sz w:val="28"/>
          <w:szCs w:val="28"/>
        </w:rPr>
        <w:t>0 ммоль</w:t>
      </w:r>
      <w:r w:rsidR="00800BDE" w:rsidRPr="00973BD5">
        <w:rPr>
          <w:rFonts w:ascii="Century" w:hAnsi="Century" w:cs="Times New Roman"/>
          <w:sz w:val="28"/>
          <w:szCs w:val="28"/>
        </w:rPr>
        <w:t>/</w:t>
      </w:r>
      <w:r w:rsidR="00994774">
        <w:rPr>
          <w:rFonts w:ascii="Times New Roman" w:hAnsi="Times New Roman" w:cs="Times New Roman"/>
          <w:sz w:val="28"/>
          <w:szCs w:val="28"/>
        </w:rPr>
        <w:t>л</w:t>
      </w:r>
      <w:r w:rsidR="00800BDE" w:rsidRPr="00973BD5">
        <w:rPr>
          <w:rFonts w:ascii="Century" w:hAnsi="Century" w:cs="Times New Roman"/>
          <w:sz w:val="28"/>
          <w:szCs w:val="28"/>
        </w:rPr>
        <w:t>,</w:t>
      </w:r>
      <w:r w:rsidR="00800BDE" w:rsidRPr="007C47EA">
        <w:rPr>
          <w:rFonts w:ascii="Times New Roman" w:hAnsi="Times New Roman" w:cs="Times New Roman"/>
          <w:sz w:val="28"/>
          <w:szCs w:val="28"/>
        </w:rPr>
        <w:t xml:space="preserve"> у женщ</w:t>
      </w:r>
      <w:r w:rsidR="00994774">
        <w:rPr>
          <w:rFonts w:ascii="Times New Roman" w:hAnsi="Times New Roman" w:cs="Times New Roman"/>
          <w:sz w:val="28"/>
          <w:szCs w:val="28"/>
        </w:rPr>
        <w:t xml:space="preserve">ин </w:t>
      </w:r>
      <w:r w:rsidR="00994774" w:rsidRPr="00973BD5">
        <w:rPr>
          <w:rFonts w:ascii="Century" w:hAnsi="Century" w:cs="Times New Roman"/>
          <w:sz w:val="28"/>
          <w:szCs w:val="28"/>
        </w:rPr>
        <w:t>&lt;</w:t>
      </w:r>
      <w:r w:rsidR="00994774">
        <w:rPr>
          <w:rFonts w:ascii="Times New Roman" w:hAnsi="Times New Roman" w:cs="Times New Roman"/>
          <w:sz w:val="28"/>
          <w:szCs w:val="28"/>
        </w:rPr>
        <w:t>1</w:t>
      </w:r>
      <w:r w:rsidR="00994774" w:rsidRPr="00973BD5">
        <w:rPr>
          <w:rFonts w:ascii="Century" w:hAnsi="Century" w:cs="Times New Roman"/>
          <w:sz w:val="28"/>
          <w:szCs w:val="28"/>
        </w:rPr>
        <w:t>,</w:t>
      </w:r>
      <w:r w:rsidR="00994774">
        <w:rPr>
          <w:rFonts w:ascii="Times New Roman" w:hAnsi="Times New Roman" w:cs="Times New Roman"/>
          <w:sz w:val="28"/>
          <w:szCs w:val="28"/>
        </w:rPr>
        <w:t>2 ммоль</w:t>
      </w:r>
      <w:r w:rsidR="00994774" w:rsidRPr="00973BD5">
        <w:rPr>
          <w:rFonts w:ascii="Century" w:hAnsi="Century" w:cs="Times New Roman"/>
          <w:sz w:val="28"/>
          <w:szCs w:val="28"/>
        </w:rPr>
        <w:t>/</w:t>
      </w:r>
      <w:r w:rsidR="00994774">
        <w:rPr>
          <w:rFonts w:ascii="Times New Roman" w:hAnsi="Times New Roman" w:cs="Times New Roman"/>
          <w:sz w:val="28"/>
          <w:szCs w:val="28"/>
        </w:rPr>
        <w:t>л</w:t>
      </w:r>
      <w:r w:rsidRPr="00973BD5">
        <w:rPr>
          <w:rFonts w:ascii="Century" w:hAnsi="Century" w:cs="Times New Roman"/>
          <w:sz w:val="28"/>
          <w:szCs w:val="28"/>
        </w:rPr>
        <w:t>;</w:t>
      </w:r>
    </w:p>
    <w:p w:rsidR="007C47EA" w:rsidRDefault="00800BDE" w:rsidP="00B96E35">
      <w:pPr>
        <w:pStyle w:val="af4"/>
        <w:numPr>
          <w:ilvl w:val="0"/>
          <w:numId w:val="25"/>
        </w:numPr>
        <w:spacing w:after="0"/>
        <w:jc w:val="both"/>
        <w:rPr>
          <w:rFonts w:ascii="Times New Roman" w:hAnsi="Times New Roman" w:cs="Times New Roman"/>
          <w:sz w:val="28"/>
          <w:szCs w:val="28"/>
        </w:rPr>
      </w:pPr>
      <w:r w:rsidRPr="007C47EA">
        <w:rPr>
          <w:rFonts w:ascii="Times New Roman" w:hAnsi="Times New Roman" w:cs="Times New Roman"/>
          <w:sz w:val="28"/>
          <w:szCs w:val="28"/>
        </w:rPr>
        <w:t>уровень ТГ</w:t>
      </w:r>
      <w:r w:rsidRPr="00973BD5">
        <w:rPr>
          <w:rFonts w:ascii="Century" w:hAnsi="Century" w:cs="Times New Roman"/>
          <w:sz w:val="28"/>
          <w:szCs w:val="28"/>
        </w:rPr>
        <w:t>&gt;</w:t>
      </w:r>
      <w:r w:rsidRPr="007C47EA">
        <w:rPr>
          <w:rFonts w:ascii="Times New Roman" w:hAnsi="Times New Roman" w:cs="Times New Roman"/>
          <w:sz w:val="28"/>
          <w:szCs w:val="28"/>
        </w:rPr>
        <w:t xml:space="preserve"> 1</w:t>
      </w:r>
      <w:r w:rsidRPr="00973BD5">
        <w:rPr>
          <w:rFonts w:ascii="Century" w:hAnsi="Century" w:cs="Times New Roman"/>
          <w:sz w:val="28"/>
          <w:szCs w:val="28"/>
        </w:rPr>
        <w:t>,</w:t>
      </w:r>
      <w:r w:rsidRPr="007C47EA">
        <w:rPr>
          <w:rFonts w:ascii="Times New Roman" w:hAnsi="Times New Roman" w:cs="Times New Roman"/>
          <w:sz w:val="28"/>
          <w:szCs w:val="28"/>
        </w:rPr>
        <w:t>7 ммоль</w:t>
      </w:r>
      <w:r w:rsidRPr="00973BD5">
        <w:rPr>
          <w:rFonts w:ascii="Century" w:hAnsi="Century" w:cs="Times New Roman"/>
          <w:sz w:val="28"/>
          <w:szCs w:val="28"/>
        </w:rPr>
        <w:t>/</w:t>
      </w:r>
      <w:r w:rsidRPr="007C47EA">
        <w:rPr>
          <w:rFonts w:ascii="Times New Roman" w:hAnsi="Times New Roman" w:cs="Times New Roman"/>
          <w:sz w:val="28"/>
          <w:szCs w:val="28"/>
        </w:rPr>
        <w:t>л</w:t>
      </w:r>
      <w:r w:rsidRPr="00973BD5">
        <w:rPr>
          <w:rFonts w:ascii="Century" w:hAnsi="Century" w:cs="Times New Roman"/>
          <w:sz w:val="28"/>
          <w:szCs w:val="28"/>
        </w:rPr>
        <w:t>;</w:t>
      </w:r>
      <w:r w:rsidRPr="007C47EA">
        <w:rPr>
          <w:rFonts w:ascii="Times New Roman" w:hAnsi="Times New Roman" w:cs="Times New Roman"/>
          <w:sz w:val="28"/>
          <w:szCs w:val="28"/>
        </w:rPr>
        <w:t xml:space="preserve"> </w:t>
      </w:r>
    </w:p>
    <w:p w:rsidR="007C47EA" w:rsidRDefault="00800BDE" w:rsidP="00B96E35">
      <w:pPr>
        <w:pStyle w:val="af4"/>
        <w:numPr>
          <w:ilvl w:val="0"/>
          <w:numId w:val="25"/>
        </w:numPr>
        <w:spacing w:after="0"/>
        <w:jc w:val="both"/>
        <w:rPr>
          <w:rFonts w:ascii="Times New Roman" w:hAnsi="Times New Roman" w:cs="Times New Roman"/>
          <w:sz w:val="28"/>
          <w:szCs w:val="28"/>
        </w:rPr>
      </w:pPr>
      <w:r w:rsidRPr="007C47EA">
        <w:rPr>
          <w:rFonts w:ascii="Times New Roman" w:hAnsi="Times New Roman" w:cs="Times New Roman"/>
          <w:sz w:val="28"/>
          <w:szCs w:val="28"/>
        </w:rPr>
        <w:t>уровень глюкозы в</w:t>
      </w:r>
      <w:r w:rsidR="00994774">
        <w:rPr>
          <w:rFonts w:ascii="Times New Roman" w:hAnsi="Times New Roman" w:cs="Times New Roman"/>
          <w:sz w:val="28"/>
          <w:szCs w:val="28"/>
        </w:rPr>
        <w:t xml:space="preserve"> плазме натощак 5</w:t>
      </w:r>
      <w:r w:rsidR="00994774" w:rsidRPr="00973BD5">
        <w:rPr>
          <w:rFonts w:ascii="Century" w:hAnsi="Century" w:cs="Times New Roman"/>
          <w:sz w:val="28"/>
          <w:szCs w:val="28"/>
        </w:rPr>
        <w:t>,</w:t>
      </w:r>
      <w:r w:rsidR="00994774">
        <w:rPr>
          <w:rFonts w:ascii="Times New Roman" w:hAnsi="Times New Roman" w:cs="Times New Roman"/>
          <w:sz w:val="28"/>
          <w:szCs w:val="28"/>
        </w:rPr>
        <w:t>6</w:t>
      </w:r>
      <w:r w:rsidR="00973BD5">
        <w:rPr>
          <w:rFonts w:ascii="Times New Roman" w:hAnsi="Times New Roman" w:cs="Times New Roman"/>
          <w:sz w:val="28"/>
          <w:szCs w:val="28"/>
        </w:rPr>
        <w:t xml:space="preserve"> </w:t>
      </w:r>
      <w:r w:rsidR="00994774" w:rsidRPr="00973BD5">
        <w:rPr>
          <w:rFonts w:ascii="Century" w:hAnsi="Century" w:cs="Times New Roman"/>
          <w:sz w:val="28"/>
          <w:szCs w:val="28"/>
        </w:rPr>
        <w:t>–</w:t>
      </w:r>
      <w:r w:rsidR="00973BD5" w:rsidRPr="00973BD5">
        <w:rPr>
          <w:rFonts w:ascii="Century" w:hAnsi="Century" w:cs="Times New Roman"/>
          <w:sz w:val="28"/>
          <w:szCs w:val="28"/>
        </w:rPr>
        <w:t xml:space="preserve"> </w:t>
      </w:r>
      <w:r w:rsidR="00994774">
        <w:rPr>
          <w:rFonts w:ascii="Times New Roman" w:hAnsi="Times New Roman" w:cs="Times New Roman"/>
          <w:sz w:val="28"/>
          <w:szCs w:val="28"/>
        </w:rPr>
        <w:t>6</w:t>
      </w:r>
      <w:r w:rsidR="00994774" w:rsidRPr="00973BD5">
        <w:rPr>
          <w:rFonts w:ascii="Century" w:hAnsi="Century" w:cs="Times New Roman"/>
          <w:sz w:val="28"/>
          <w:szCs w:val="28"/>
        </w:rPr>
        <w:t>,</w:t>
      </w:r>
      <w:r w:rsidR="00994774">
        <w:rPr>
          <w:rFonts w:ascii="Times New Roman" w:hAnsi="Times New Roman" w:cs="Times New Roman"/>
          <w:sz w:val="28"/>
          <w:szCs w:val="28"/>
        </w:rPr>
        <w:t>9 ммоль</w:t>
      </w:r>
      <w:r w:rsidR="00994774" w:rsidRPr="00973BD5">
        <w:rPr>
          <w:rFonts w:ascii="Century" w:hAnsi="Century" w:cs="Times New Roman"/>
          <w:sz w:val="28"/>
          <w:szCs w:val="28"/>
        </w:rPr>
        <w:t>/</w:t>
      </w:r>
      <w:r w:rsidR="00994774">
        <w:rPr>
          <w:rFonts w:ascii="Times New Roman" w:hAnsi="Times New Roman" w:cs="Times New Roman"/>
          <w:sz w:val="28"/>
          <w:szCs w:val="28"/>
        </w:rPr>
        <w:t>л</w:t>
      </w:r>
      <w:r w:rsidR="007C47EA">
        <w:rPr>
          <w:rFonts w:ascii="Times New Roman" w:hAnsi="Times New Roman" w:cs="Times New Roman"/>
          <w:sz w:val="28"/>
          <w:szCs w:val="28"/>
        </w:rPr>
        <w:t>.</w:t>
      </w:r>
    </w:p>
    <w:p w:rsidR="007C47EA" w:rsidRDefault="00BD096F" w:rsidP="0085325A">
      <w:pPr>
        <w:spacing w:after="0" w:line="240" w:lineRule="auto"/>
        <w:ind w:firstLine="360"/>
        <w:jc w:val="both"/>
        <w:rPr>
          <w:rFonts w:ascii="Times New Roman" w:hAnsi="Times New Roman" w:cs="Times New Roman"/>
          <w:sz w:val="28"/>
          <w:szCs w:val="28"/>
        </w:rPr>
      </w:pPr>
      <w:r w:rsidRPr="00BD096F">
        <w:rPr>
          <w:rFonts w:ascii="Times New Roman" w:hAnsi="Times New Roman" w:cs="Times New Roman"/>
          <w:sz w:val="28"/>
          <w:szCs w:val="28"/>
        </w:rPr>
        <w:t xml:space="preserve">В нашем исследовании </w:t>
      </w:r>
      <w:r w:rsidR="008E551E">
        <w:rPr>
          <w:rFonts w:ascii="Times New Roman" w:hAnsi="Times New Roman" w:cs="Times New Roman"/>
          <w:sz w:val="28"/>
          <w:szCs w:val="28"/>
        </w:rPr>
        <w:t xml:space="preserve">повышение </w:t>
      </w:r>
      <w:r w:rsidR="008E551E" w:rsidRPr="00BD096F">
        <w:rPr>
          <w:rFonts w:ascii="Times New Roman" w:hAnsi="Times New Roman" w:cs="Times New Roman"/>
          <w:sz w:val="28"/>
          <w:szCs w:val="28"/>
        </w:rPr>
        <w:t>уровн</w:t>
      </w:r>
      <w:r w:rsidR="008E551E">
        <w:rPr>
          <w:rFonts w:ascii="Times New Roman" w:hAnsi="Times New Roman" w:cs="Times New Roman"/>
          <w:sz w:val="28"/>
          <w:szCs w:val="28"/>
        </w:rPr>
        <w:t>я</w:t>
      </w:r>
      <w:r w:rsidR="008E551E" w:rsidRPr="00BD096F">
        <w:rPr>
          <w:rFonts w:ascii="Times New Roman" w:hAnsi="Times New Roman" w:cs="Times New Roman"/>
          <w:sz w:val="28"/>
          <w:szCs w:val="28"/>
        </w:rPr>
        <w:t xml:space="preserve"> апоВ ≥0,9 г/л считал</w:t>
      </w:r>
      <w:r w:rsidR="008E551E">
        <w:rPr>
          <w:rFonts w:ascii="Times New Roman" w:hAnsi="Times New Roman" w:cs="Times New Roman"/>
          <w:sz w:val="28"/>
          <w:szCs w:val="28"/>
        </w:rPr>
        <w:t xml:space="preserve">ось </w:t>
      </w:r>
      <w:r w:rsidRPr="00BD096F">
        <w:rPr>
          <w:rFonts w:ascii="Times New Roman" w:hAnsi="Times New Roman" w:cs="Times New Roman"/>
          <w:sz w:val="28"/>
          <w:szCs w:val="28"/>
        </w:rPr>
        <w:t xml:space="preserve">гипераполипопротеинемией В </w:t>
      </w:r>
      <w:r w:rsidR="00EA0E64" w:rsidRPr="00BD096F">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{"citationItems":[{"id":"ITEM-1","itemData":{"DOI":"emedicine.medscape.com/article/2087335-overview","abstract":"Reference Range Apolipoprotein B (apoB) levels are used to evaluate the risk for cardiovascular disease. The reference range of apoB levels in adults is less than 130 mg/dL (1.3 g/L). ApoB levels are higher in males than in females and tend to increase with age. It has been suggested the range be adjusted according to the risk factor stratification, [1] similar to LDL cholesterol (LDL-C). nterpretation Elevated apolipoprotein B (apoB) levels indicate an increased risk of cardiovascular disease. [3, 4, 5, 6] ApoB levels may be increased during pregnancy or coffee consumption, as well as during the fall and winter seasons. Low apoB levels may indicate Bassen-Kornzweig syndrome (abetalipoproteinemia), a very rare genetic condition characterized by apolipoprotein B deficiency. Other conditions that are associated with low apoB levels include the following: Liver cirrhosis Malnutrition Hyperthyroidism. ollection and Panels Specimen type: Plasma EDTA Patient instruction: Overnight fasting (12-14 hours) Collection tube: Lavender top (EDTA) Unacceptable conditions: Hemolyzed specimens Specimen preparation: Separate serum from cells as soon as possible or within 2 hours of collection and transfer 1 mL serum to transport tube Storage/transport temperature: Refrigerated Stability: Refrigerated 8 days; frozen 3 months Panels: None Background Description Apolipoprotein B (apoB) is a structural protein that constitutes a major component of the very-low-density lipoprotein (VLDL), the intermediate-density lipoprotein (IDL), and the low-density lipoprotein (LDL). Each of these lipoprotein particles carries one apoB molecule; as a result, the total serum apoB level corresponds to the total number of VLDL, IDL, and LDL particles. Because VLDL, IDL, and LDL are considered atherogenic, the apoB level should reflect the atherogenic potential of these lipoproteins. Cardiovascular risk is associated more with the number and size of circulating atherogenic particles than with the concentration of cholesterol in these particles. ApoB is not equivalent to non-LDL-C, because the latter reflects the cholesterol content of all atherogenic lipoproteins rather than the total number of circulating atherogenic particles. ApoB plays a central role in carrying cholesterol and triglycerides from the liver and gut to utilization and storage sites. Indications/Applications Incontestable data support the concept that apoB is a better tool to assess cardiovascular disease than LDL-C and non-D…","author":[{"dropping-particle":"","family":"Elhomsy","given":"Georges","non-dropping-particle":"","parse-names":false,"suffix":""},{"dropping-particle":"","family":"George T Griffing","given":"","non-dropping-particle":"","parse-names":false,"suffix":""}],"container-title":"Medscape","id":"ITEM-1","issued":{"date-parts":[["2014"]]},"title":"Goal level of apob 2014","type":"article-journal"},"uris":["http://www.mendeley.com/documents/?uuid=13797144-063b-4ef8-8011-9af520dbef43"]}],"mendeley":{"formattedCitation":"[161]","plainTextFormattedCitation":"[161]","previouslyFormattedCitation":"[161]"},"properties":{"noteIndex":0},"schema":"https://github.com/citation-style-language/schema/raw/master/csl-citation.json"}</w:instrText>
      </w:r>
      <w:r w:rsidR="00EA0E64" w:rsidRPr="00BD096F">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[161]</w:t>
      </w:r>
      <w:r w:rsidR="00EA0E64" w:rsidRPr="00BD096F">
        <w:rPr>
          <w:rFonts w:ascii="Times New Roman" w:hAnsi="Times New Roman" w:cs="Times New Roman"/>
          <w:sz w:val="28"/>
          <w:szCs w:val="28"/>
        </w:rPr>
        <w:fldChar w:fldCharType="end"/>
      </w:r>
      <w:r w:rsidRPr="00BD096F">
        <w:rPr>
          <w:rFonts w:ascii="Times New Roman" w:hAnsi="Times New Roman" w:cs="Times New Roman"/>
          <w:sz w:val="28"/>
          <w:szCs w:val="28"/>
        </w:rPr>
        <w:t xml:space="preserve">. </w:t>
      </w:r>
      <w:r w:rsidR="0085325A">
        <w:rPr>
          <w:rFonts w:ascii="Times New Roman" w:hAnsi="Times New Roman" w:cs="Times New Roman"/>
          <w:sz w:val="28"/>
          <w:szCs w:val="28"/>
        </w:rPr>
        <w:t>Применялись референсные значения для апоА1 – 1,04-2,25 г/л (для мужчин) и 1,08 – 2,25 г/л (для женщин)</w:t>
      </w:r>
      <w:r w:rsidR="002435A3">
        <w:rPr>
          <w:rFonts w:ascii="Times New Roman" w:hAnsi="Times New Roman" w:cs="Times New Roman"/>
          <w:sz w:val="28"/>
          <w:szCs w:val="28"/>
        </w:rPr>
        <w:t xml:space="preserve"> </w:t>
      </w:r>
      <w:r w:rsidR="00EA0E64" w:rsidRPr="00BD096F">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{"citationItems":[{"id":"ITEM-1","itemData":{"DOI":"10.1177/0004563219827620","ISSN":"17581001","abstract":"An elevated low-density lipoprotein cholesterol concentration is a classical risk factor for cardiovascular disease. This has led to pharmacotherapy in patients with atherosclerotic heart disease or high heart disease risk with statins to reduce serum low-density lipoprotein cholesterol. Even in patients in whom the target levels of low-density lipoprotein cholesterol are reached, there remains a significant residual cardiovascular risk; this is due, in part, to a focus on low-density lipoprotein cholesterol alone and neglect of other important aspects of lipoprotein metabolism. A more refined lipoprotein analysis will provide additional information on the accumulation of very low-density lipoproteins, intermediate density lipoproteins, chylomicrons, chylomicron-remnants and Lp(a) concentrations. Instead of measuring the cholesterol and triglyceride content of the lipoproteins, measurement of their apolipoproteins (apos) is more informative. Apos are either specific for a particular lipoprotein or for a group of lipoproteins. In particular measurement of apos in atherogenic particles is more biologically meaningful than the measurement of the cholesterol concentration contained in these particles. Applying apo profiling will not only improve characterization of the lipoprotein abnormality, but will also improve definition of therapeutic targets. Apo profiling aligns with the concept of precision medicine by which an individual patient is not treated as ‘average’ patient by the average (dose of) therapy. This concept of precision medicine fits the unmet clinical need for stratified cardiovascular medicine. The requirements for clinical application of proteomics, including apo profiling, can now be met using robust mass spectrometry technology which offers desirable analytical performance and standardization.","author":[{"dropping-particle":"","family":"Renee Ruhaak","given":"L.","non-dropping-particle":"","parse-names":false,"suffix":""},{"dropping-particle":"","family":"Laarse","given":"Arnoud","non-dropping-particle":"van der","parse-names":false,"suffix":""},{"dropping-particle":"","family":"Cobbaert","given":"Christa M.","non-dropping-particle":"","parse-names":false,"suffix":""}],"container-title":"Annals of Clinical Biochemistry","id":"ITEM-1","issue":"3","issued":{"date-parts":[["2019"]]},"page":"338-356","title":"Apolipoprotein profiling as a personalized approach to the diagnosis and treatment of dyslipidaemia","type":"article-journal","volume":"56"},"uris":["http://www.mendeley.com/documents/?uuid=9d29395d-90a9-4250-ba7f-a6c24fd91f65"]}],"mendeley":{"formattedCitation":"[30]","manualFormatting":"[30, р. 344]","plainTextFormattedCitation":"[30]","previouslyFormattedCitation":"[30]"},"properties":{"noteIndex":0},"schema":"https://github.com/citation-style-language/schema/raw/master/csl-citation.json"}</w:instrText>
      </w:r>
      <w:r w:rsidR="00EA0E64" w:rsidRPr="00BD096F">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[30</w:t>
      </w:r>
      <w:r w:rsidR="00F87DB7">
        <w:rPr>
          <w:rFonts w:ascii="Times New Roman" w:hAnsi="Times New Roman" w:cs="Times New Roman"/>
          <w:noProof/>
          <w:sz w:val="28"/>
          <w:szCs w:val="28"/>
        </w:rPr>
        <w:t>, р. 344</w:t>
      </w:r>
      <w:r w:rsidR="00F87DB7" w:rsidRPr="00F87DB7">
        <w:rPr>
          <w:rFonts w:ascii="Times New Roman" w:hAnsi="Times New Roman" w:cs="Times New Roman"/>
          <w:noProof/>
          <w:sz w:val="28"/>
          <w:szCs w:val="28"/>
        </w:rPr>
        <w:t>]</w:t>
      </w:r>
      <w:r w:rsidR="00EA0E64" w:rsidRPr="00BD096F">
        <w:rPr>
          <w:rFonts w:ascii="Times New Roman" w:hAnsi="Times New Roman" w:cs="Times New Roman"/>
          <w:sz w:val="28"/>
          <w:szCs w:val="28"/>
        </w:rPr>
        <w:fldChar w:fldCharType="end"/>
      </w:r>
      <w:r w:rsidR="0085325A" w:rsidRPr="00BD096F">
        <w:rPr>
          <w:rFonts w:ascii="Times New Roman" w:hAnsi="Times New Roman" w:cs="Times New Roman"/>
          <w:sz w:val="28"/>
          <w:szCs w:val="28"/>
        </w:rPr>
        <w:t>.</w:t>
      </w:r>
    </w:p>
    <w:p w:rsidR="00800BDE" w:rsidRDefault="0085325A" w:rsidP="00800BD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Г</w:t>
      </w:r>
      <w:r w:rsidR="00800BDE">
        <w:rPr>
          <w:rFonts w:ascii="Times New Roman" w:hAnsi="Times New Roman" w:cs="Times New Roman"/>
          <w:sz w:val="28"/>
          <w:szCs w:val="28"/>
        </w:rPr>
        <w:t>иперинсулинемией</w:t>
      </w:r>
      <w:r w:rsidR="002435A3">
        <w:rPr>
          <w:rFonts w:ascii="Times New Roman" w:hAnsi="Times New Roman" w:cs="Times New Roman"/>
          <w:sz w:val="28"/>
          <w:szCs w:val="28"/>
        </w:rPr>
        <w:t xml:space="preserve"> </w:t>
      </w:r>
      <w:r w:rsidR="00800BDE">
        <w:rPr>
          <w:rFonts w:ascii="Times New Roman" w:hAnsi="Times New Roman" w:cs="Times New Roman"/>
          <w:sz w:val="28"/>
          <w:szCs w:val="28"/>
        </w:rPr>
        <w:t xml:space="preserve">мы считали повышение уровня инсулина &gt;24,9 мкМЕ/мл. Для оценки ИР мы использовали </w:t>
      </w:r>
      <w:r w:rsidR="00032F9B">
        <w:rPr>
          <w:rFonts w:ascii="Times New Roman" w:hAnsi="Times New Roman" w:cs="Times New Roman"/>
          <w:sz w:val="28"/>
          <w:szCs w:val="28"/>
        </w:rPr>
        <w:t xml:space="preserve">индекс </w:t>
      </w:r>
      <w:r w:rsidR="00800BDE">
        <w:rPr>
          <w:rFonts w:ascii="Times New Roman" w:hAnsi="Times New Roman" w:cs="Times New Roman"/>
          <w:sz w:val="28"/>
          <w:szCs w:val="28"/>
        </w:rPr>
        <w:t xml:space="preserve">ИР – HOMA-IR, который рассчитывался по формуле инсулин натощак (МЕ/мл) х глюкоза натощак (ммоль/л)/22,5 и показатель HOMA-IR равны 2,7 и выше считался ИР </w:t>
      </w:r>
      <w:r w:rsidR="00EA0E64">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{"citationItems":[{"id":"ITEM-1","itemData":{"DOI":"10.1371/journal.pone.0154345","abstract":"Abstract Objectives To explore the association between the triglyceride to HDL-C ratio (TG/HDL-C) and insulin resistance in Chinese patients with newly diagnosed type 2 diabetes mellitus. Methods Patients with newly diagnosed type 2 diabetes mellitus (272 men and 288 women) were enrolled and divided into three groups according to TG/HDL-C tertiles. Insulin resistance was defined by homeostatic model assessment of insulin resistance (HOMA-IR). Demo- graphic information and clinical characteristics were obtained. Spearman’s correlation was used to estimate the association between TG/HDL-C and other variables. Multiple logistic regression analyses were adopted to obtain probabilities of insulin resistance. A receiver operating characteristic analysis was conducted to evaluate the ability of TG/HDL-C to dis- criminate insulin resistance. Results TG/HDL-C was associated with insulin resistance in Chinese patients with newly diagnosed T2DM (Spearman’s correlation coefficient = 0.21, P &lt; 0.01). Patients in the higher tertiles of TG/HDL-C had significantly higher HOMA-IR values than patients in the lower tertiles [T1: 2.68(1.74–3.70); T2: 2.96(2.29–4.56); T3: 3.09(2.30–4.99)]. Multiple logistic regression analysis showed that TG/HDL-C was significantly associated with HOMA-IR, and patients in the higher TG/HDL-C tertile had a higher OR than those in the lower TG/HDL-C tertile, after adjusting for multiple covariates including indices for central obesity [T1: 1; T2: 4.02 (1.86–8.71); T3: 4.30(1.99–9.29)]. Following stratification of waist circumference into PLOS","author":[{"dropping-particle":"","family":"Ren","given":"Xingxing","non-dropping-particle":"","parse-names":false,"suffix":""},{"dropping-particle":"","family":"Chen","given":"Zeng","non-dropping-particle":"","parse-names":false,"suffix":""},{"dropping-particle":"","family":"Zheng","given":"Shuang","non-dropping-particle":"","parse-names":false,"suffix":""},{"dropping-particle":"","family":"Han","given":"Tingting","non-dropping-particle":"","parse-names":false,"suffix":""},{"dropping-particle":"","family":"Li","given":"Yangxue","non-dropping-particle":"","parse-names":false,"suffix":""},{"dropping-particle":"","family":"Liu","given":"Wei","non-dropping-particle":"","parse-names":false,"suffix":""}],"container-title":"PLoS ONE","id":"ITEM-1","issue":"11(4)","issued":{"date-parts":[["2016"]]},"page":"1-13","title":"Association between Triglyceride to HDL-C Ratio ( TG / HDL-C ) and Insulin Resistance in Chinese Patients with Newly Diagnosed Type 2 Diabetes Mellitus","type":"article-journal","volume":"68"},"uris":["http://www.mendeley.com/documents/?uuid=878c2168-d630-4082-9406-6f31b70a4535"]}],"mendeley":{"formattedCitation":"[152]","manualFormatting":"[152, р. 3]","plainTextFormattedCitation":"[152]","previouslyFormattedCitation":"[152]"},"properties":{"noteIndex":0},"schema":"https://github.com/citation-style-language/schema/raw/master/csl-citation.json"}</w:instrText>
      </w:r>
      <w:r w:rsidR="00EA0E64">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[152</w:t>
      </w:r>
      <w:r w:rsidR="00F87DB7">
        <w:rPr>
          <w:rFonts w:ascii="Times New Roman" w:hAnsi="Times New Roman" w:cs="Times New Roman"/>
          <w:noProof/>
          <w:sz w:val="28"/>
          <w:szCs w:val="28"/>
        </w:rPr>
        <w:t>, р. 3</w:t>
      </w:r>
      <w:r w:rsidR="00F87DB7" w:rsidRPr="00F87DB7">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800BDE">
        <w:rPr>
          <w:rFonts w:ascii="Times New Roman" w:hAnsi="Times New Roman" w:cs="Times New Roman"/>
          <w:sz w:val="28"/>
          <w:szCs w:val="28"/>
        </w:rPr>
        <w:t xml:space="preserve">. </w:t>
      </w:r>
    </w:p>
    <w:p w:rsidR="00333326" w:rsidRDefault="00333326" w:rsidP="00BD5AE6">
      <w:pPr>
        <w:spacing w:after="0" w:line="240" w:lineRule="auto"/>
        <w:ind w:firstLine="567"/>
        <w:jc w:val="both"/>
        <w:rPr>
          <w:rFonts w:ascii="Times New Roman" w:hAnsi="Times New Roman" w:cs="Times New Roman"/>
          <w:i/>
          <w:sz w:val="28"/>
          <w:szCs w:val="28"/>
        </w:rPr>
        <w:sectPr w:rsidR="00333326">
          <w:pgSz w:w="11906" w:h="16838"/>
          <w:pgMar w:top="1134" w:right="850" w:bottom="1134" w:left="1701" w:header="708" w:footer="708" w:gutter="0"/>
          <w:cols w:space="720"/>
        </w:sectPr>
      </w:pPr>
    </w:p>
    <w:p w:rsidR="00AB12B3" w:rsidRDefault="00AB12B3" w:rsidP="00BD5AE6">
      <w:pPr>
        <w:spacing w:after="0" w:line="240" w:lineRule="auto"/>
        <w:ind w:firstLine="567"/>
        <w:jc w:val="both"/>
        <w:rPr>
          <w:rFonts w:ascii="Times New Roman" w:hAnsi="Times New Roman" w:cs="Times New Roman"/>
          <w:i/>
          <w:sz w:val="28"/>
          <w:szCs w:val="28"/>
        </w:rPr>
      </w:pPr>
      <w:r>
        <w:rPr>
          <w:rFonts w:ascii="Times New Roman" w:hAnsi="Times New Roman" w:cs="Times New Roman"/>
          <w:i/>
          <w:sz w:val="28"/>
          <w:szCs w:val="28"/>
        </w:rPr>
        <w:lastRenderedPageBreak/>
        <w:t>Общий холестерин</w:t>
      </w:r>
    </w:p>
    <w:p w:rsidR="00E547CE" w:rsidRDefault="00103D43" w:rsidP="00E547C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Распределение факторов риска по группам ОХС в исследуемой выборке представлен</w:t>
      </w:r>
      <w:r w:rsidR="004C43C7">
        <w:rPr>
          <w:rFonts w:ascii="Times New Roman" w:hAnsi="Times New Roman" w:cs="Times New Roman"/>
          <w:sz w:val="28"/>
          <w:szCs w:val="28"/>
          <w:lang w:val="kk-KZ"/>
        </w:rPr>
        <w:t>о</w:t>
      </w:r>
      <w:r>
        <w:rPr>
          <w:rFonts w:ascii="Times New Roman" w:hAnsi="Times New Roman" w:cs="Times New Roman"/>
          <w:sz w:val="28"/>
          <w:szCs w:val="28"/>
        </w:rPr>
        <w:t xml:space="preserve"> в таблице 8. </w:t>
      </w:r>
    </w:p>
    <w:p w:rsidR="00466689" w:rsidRDefault="00466689" w:rsidP="00EF3CBF">
      <w:pPr>
        <w:spacing w:after="0" w:line="240" w:lineRule="auto"/>
        <w:ind w:firstLine="708"/>
        <w:jc w:val="both"/>
        <w:rPr>
          <w:rFonts w:ascii="Times New Roman" w:hAnsi="Times New Roman" w:cs="Times New Roman"/>
          <w:sz w:val="28"/>
          <w:szCs w:val="28"/>
        </w:rPr>
      </w:pPr>
    </w:p>
    <w:p w:rsidR="00AB12B3" w:rsidRDefault="00AB12B3" w:rsidP="003441A2">
      <w:pPr>
        <w:spacing w:after="0" w:line="240" w:lineRule="auto"/>
        <w:jc w:val="both"/>
        <w:rPr>
          <w:rFonts w:ascii="Times New Roman" w:hAnsi="Times New Roman"/>
          <w:sz w:val="28"/>
          <w:szCs w:val="28"/>
          <w:lang w:val="kk-KZ"/>
        </w:rPr>
      </w:pPr>
      <w:r>
        <w:rPr>
          <w:rFonts w:ascii="Times New Roman" w:hAnsi="Times New Roman" w:cs="Times New Roman"/>
          <w:sz w:val="28"/>
          <w:szCs w:val="28"/>
        </w:rPr>
        <w:t xml:space="preserve">Таблица 8 </w:t>
      </w:r>
      <w:r w:rsidR="003441A2">
        <w:rPr>
          <w:rFonts w:ascii="Times New Roman" w:hAnsi="Times New Roman" w:cs="Times New Roman"/>
          <w:sz w:val="28"/>
          <w:szCs w:val="28"/>
          <w:lang w:val="kk-KZ"/>
        </w:rPr>
        <w:t xml:space="preserve">- </w:t>
      </w:r>
      <w:r>
        <w:rPr>
          <w:rFonts w:ascii="Times New Roman" w:hAnsi="Times New Roman" w:cs="Times New Roman"/>
          <w:sz w:val="28"/>
          <w:szCs w:val="28"/>
        </w:rPr>
        <w:t xml:space="preserve">Распределение факторов рисков по группам </w:t>
      </w:r>
      <w:r w:rsidR="0082399B">
        <w:rPr>
          <w:rFonts w:ascii="Times New Roman" w:hAnsi="Times New Roman" w:cs="Times New Roman"/>
          <w:sz w:val="28"/>
          <w:szCs w:val="28"/>
        </w:rPr>
        <w:t>общего холестерина</w:t>
      </w:r>
      <w:r w:rsidR="002435A3">
        <w:rPr>
          <w:rFonts w:ascii="Times New Roman" w:hAnsi="Times New Roman" w:cs="Times New Roman"/>
          <w:sz w:val="28"/>
          <w:szCs w:val="28"/>
        </w:rPr>
        <w:t xml:space="preserve"> </w:t>
      </w:r>
      <w:r w:rsidR="00DA472A">
        <w:rPr>
          <w:rFonts w:ascii="Times New Roman" w:hAnsi="Times New Roman" w:cs="Times New Roman"/>
          <w:sz w:val="28"/>
          <w:szCs w:val="28"/>
        </w:rPr>
        <w:t>(</w:t>
      </w:r>
      <w:r>
        <w:rPr>
          <w:rFonts w:ascii="Times New Roman" w:hAnsi="Times New Roman"/>
          <w:sz w:val="28"/>
          <w:szCs w:val="28"/>
        </w:rPr>
        <w:t>n=580</w:t>
      </w:r>
      <w:r w:rsidR="00DA472A">
        <w:rPr>
          <w:rFonts w:ascii="Times New Roman" w:hAnsi="Times New Roman"/>
          <w:sz w:val="28"/>
          <w:szCs w:val="28"/>
        </w:rPr>
        <w:t>)</w:t>
      </w:r>
    </w:p>
    <w:p w:rsidR="00E83EC5" w:rsidRPr="00E83EC5" w:rsidRDefault="00E83EC5" w:rsidP="003441A2">
      <w:pPr>
        <w:spacing w:after="0" w:line="240" w:lineRule="auto"/>
        <w:jc w:val="both"/>
        <w:rPr>
          <w:rFonts w:ascii="Times New Roman" w:hAnsi="Times New Roman" w:cs="Times New Roman"/>
          <w:sz w:val="28"/>
          <w:szCs w:val="28"/>
          <w:lang w:val="kk-KZ"/>
        </w:rPr>
      </w:pPr>
    </w:p>
    <w:tbl>
      <w:tblPr>
        <w:tblStyle w:val="af7"/>
        <w:tblW w:w="9495" w:type="dxa"/>
        <w:tblInd w:w="108" w:type="dxa"/>
        <w:tblLayout w:type="fixed"/>
        <w:tblLook w:val="04A0" w:firstRow="1" w:lastRow="0" w:firstColumn="1" w:lastColumn="0" w:noHBand="0" w:noVBand="1"/>
      </w:tblPr>
      <w:tblGrid>
        <w:gridCol w:w="3118"/>
        <w:gridCol w:w="2692"/>
        <w:gridCol w:w="2551"/>
        <w:gridCol w:w="1134"/>
      </w:tblGrid>
      <w:tr w:rsidR="00AB12B3" w:rsidTr="00333326">
        <w:trPr>
          <w:trHeight w:val="377"/>
        </w:trPr>
        <w:tc>
          <w:tcPr>
            <w:tcW w:w="3118"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5243" w:type="dxa"/>
            <w:gridSpan w:val="2"/>
            <w:tcBorders>
              <w:top w:val="single" w:sz="4" w:space="0" w:color="auto"/>
              <w:left w:val="single" w:sz="4" w:space="0" w:color="auto"/>
              <w:bottom w:val="single" w:sz="4" w:space="0" w:color="auto"/>
              <w:right w:val="single" w:sz="4" w:space="0" w:color="auto"/>
            </w:tcBorders>
            <w:hideMark/>
          </w:tcPr>
          <w:p w:rsidR="00AB12B3" w:rsidRDefault="009C35C2" w:rsidP="00150B5F">
            <w:pPr>
              <w:jc w:val="center"/>
              <w:rPr>
                <w:rFonts w:ascii="Times New Roman" w:hAnsi="Times New Roman"/>
                <w:sz w:val="28"/>
                <w:szCs w:val="28"/>
              </w:rPr>
            </w:pPr>
            <w:r>
              <w:rPr>
                <w:rFonts w:ascii="Times New Roman" w:hAnsi="Times New Roman"/>
                <w:sz w:val="28"/>
                <w:szCs w:val="28"/>
              </w:rPr>
              <w:t>О</w:t>
            </w:r>
            <w:r w:rsidR="00150B5F">
              <w:rPr>
                <w:rFonts w:ascii="Times New Roman" w:hAnsi="Times New Roman"/>
                <w:sz w:val="28"/>
                <w:szCs w:val="28"/>
              </w:rPr>
              <w:t>ХС</w:t>
            </w:r>
            <w:r w:rsidR="00AB12B3">
              <w:rPr>
                <w:rFonts w:ascii="Times New Roman" w:hAnsi="Times New Roman"/>
                <w:sz w:val="28"/>
                <w:szCs w:val="28"/>
              </w:rPr>
              <w:t>, ммоль/л</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р*</w:t>
            </w:r>
          </w:p>
        </w:tc>
      </w:tr>
      <w:tr w:rsidR="00AB12B3" w:rsidTr="00333326">
        <w:trPr>
          <w:trHeight w:val="379"/>
        </w:trPr>
        <w:tc>
          <w:tcPr>
            <w:tcW w:w="31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6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≤4,9</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255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&gt;4,9</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333326">
        <w:trPr>
          <w:trHeight w:val="323"/>
        </w:trPr>
        <w:tc>
          <w:tcPr>
            <w:tcW w:w="311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Возраст</w:t>
            </w:r>
            <w:r w:rsidRPr="00F20CD8">
              <w:rPr>
                <w:rFonts w:ascii="Century" w:hAnsi="Century"/>
                <w:sz w:val="28"/>
                <w:szCs w:val="28"/>
              </w:rPr>
              <w:t xml:space="preserve">, </w:t>
            </w:r>
            <w:r>
              <w:rPr>
                <w:rFonts w:ascii="Times New Roman" w:hAnsi="Times New Roman"/>
                <w:sz w:val="28"/>
                <w:szCs w:val="28"/>
              </w:rPr>
              <w:t>лет</w:t>
            </w:r>
          </w:p>
        </w:tc>
        <w:tc>
          <w:tcPr>
            <w:tcW w:w="2692"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46</w:t>
            </w:r>
            <w:r w:rsidRPr="00F20CD8">
              <w:rPr>
                <w:rFonts w:ascii="Century" w:hAnsi="Century"/>
                <w:sz w:val="28"/>
                <w:szCs w:val="28"/>
              </w:rPr>
              <w:t>±</w:t>
            </w:r>
            <w:r>
              <w:rPr>
                <w:rFonts w:ascii="Times New Roman" w:hAnsi="Times New Roman"/>
                <w:sz w:val="28"/>
                <w:szCs w:val="28"/>
              </w:rPr>
              <w:t>17 (38-55)</w:t>
            </w:r>
          </w:p>
        </w:tc>
        <w:tc>
          <w:tcPr>
            <w:tcW w:w="2551"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43</w:t>
            </w:r>
            <w:r w:rsidRPr="00F20CD8">
              <w:rPr>
                <w:rFonts w:ascii="Century" w:hAnsi="Century"/>
                <w:sz w:val="28"/>
                <w:szCs w:val="28"/>
              </w:rPr>
              <w:t>±</w:t>
            </w:r>
            <w:r>
              <w:rPr>
                <w:rFonts w:ascii="Times New Roman" w:hAnsi="Times New Roman"/>
                <w:sz w:val="28"/>
                <w:szCs w:val="28"/>
              </w:rPr>
              <w:t>15 (37</w:t>
            </w:r>
            <w:r w:rsidRPr="00F20CD8">
              <w:rPr>
                <w:rFonts w:ascii="Century" w:hAnsi="Century"/>
                <w:sz w:val="28"/>
                <w:szCs w:val="28"/>
              </w:rPr>
              <w:t>-</w:t>
            </w:r>
            <w:r>
              <w:rPr>
                <w:rFonts w:ascii="Times New Roman" w:hAnsi="Times New Roman"/>
                <w:sz w:val="28"/>
                <w:szCs w:val="28"/>
              </w:rPr>
              <w:t>51</w:t>
            </w:r>
            <w:r w:rsidRPr="00F20CD8">
              <w:rPr>
                <w:rFonts w:ascii="Century" w:hAnsi="Century"/>
                <w:sz w:val="28"/>
                <w:szCs w:val="28"/>
              </w:rPr>
              <w:t>,</w:t>
            </w:r>
            <w:r>
              <w:rPr>
                <w:rFonts w:ascii="Times New Roman" w:hAnsi="Times New Roman"/>
                <w:sz w:val="28"/>
                <w:szCs w:val="28"/>
              </w:rPr>
              <w:t>75)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F20CD8">
              <w:rPr>
                <w:rFonts w:ascii="Century" w:hAnsi="Century"/>
                <w:sz w:val="28"/>
                <w:szCs w:val="28"/>
              </w:rPr>
              <w:t>,</w:t>
            </w:r>
            <w:r>
              <w:rPr>
                <w:rFonts w:ascii="Times New Roman" w:hAnsi="Times New Roman"/>
                <w:sz w:val="28"/>
                <w:szCs w:val="28"/>
              </w:rPr>
              <w:t>069</w:t>
            </w:r>
          </w:p>
        </w:tc>
      </w:tr>
      <w:tr w:rsidR="00486DA3" w:rsidTr="00333326">
        <w:trPr>
          <w:trHeight w:val="323"/>
        </w:trPr>
        <w:tc>
          <w:tcPr>
            <w:tcW w:w="3118" w:type="dxa"/>
            <w:tcBorders>
              <w:top w:val="single" w:sz="4" w:space="0" w:color="auto"/>
              <w:left w:val="single" w:sz="4" w:space="0" w:color="auto"/>
              <w:bottom w:val="single" w:sz="4" w:space="0" w:color="auto"/>
              <w:right w:val="single" w:sz="4" w:space="0" w:color="auto"/>
            </w:tcBorders>
            <w:vAlign w:val="center"/>
          </w:tcPr>
          <w:p w:rsidR="00486DA3" w:rsidRDefault="00486DA3">
            <w:pPr>
              <w:jc w:val="center"/>
              <w:rPr>
                <w:rFonts w:ascii="Times New Roman" w:hAnsi="Times New Roman"/>
                <w:sz w:val="28"/>
                <w:szCs w:val="28"/>
              </w:rPr>
            </w:pPr>
            <w:r>
              <w:rPr>
                <w:rFonts w:ascii="Times New Roman" w:hAnsi="Times New Roman"/>
                <w:sz w:val="28"/>
                <w:szCs w:val="28"/>
              </w:rPr>
              <w:t>Окружность</w:t>
            </w:r>
            <w:r w:rsidRPr="00F20CD8">
              <w:rPr>
                <w:rFonts w:ascii="Century" w:hAnsi="Century"/>
                <w:sz w:val="28"/>
                <w:szCs w:val="28"/>
              </w:rPr>
              <w:t xml:space="preserve"> </w:t>
            </w:r>
            <w:r>
              <w:rPr>
                <w:rFonts w:ascii="Times New Roman" w:hAnsi="Times New Roman"/>
                <w:sz w:val="28"/>
                <w:szCs w:val="28"/>
              </w:rPr>
              <w:t>талии (см)</w:t>
            </w:r>
          </w:p>
        </w:tc>
        <w:tc>
          <w:tcPr>
            <w:tcW w:w="2692" w:type="dxa"/>
            <w:tcBorders>
              <w:top w:val="nil"/>
              <w:left w:val="single" w:sz="4" w:space="0" w:color="auto"/>
              <w:bottom w:val="single" w:sz="4" w:space="0" w:color="auto"/>
              <w:right w:val="single" w:sz="4" w:space="0" w:color="auto"/>
            </w:tcBorders>
            <w:vAlign w:val="center"/>
          </w:tcPr>
          <w:p w:rsidR="00486DA3" w:rsidRDefault="00486DA3">
            <w:pPr>
              <w:jc w:val="center"/>
              <w:rPr>
                <w:rFonts w:ascii="Times New Roman" w:hAnsi="Times New Roman"/>
                <w:sz w:val="28"/>
                <w:szCs w:val="28"/>
              </w:rPr>
            </w:pPr>
            <w:r>
              <w:rPr>
                <w:rFonts w:ascii="Times New Roman" w:hAnsi="Times New Roman"/>
                <w:sz w:val="28"/>
                <w:szCs w:val="28"/>
              </w:rPr>
              <w:t>96</w:t>
            </w:r>
            <w:r w:rsidRPr="00F20CD8">
              <w:rPr>
                <w:rFonts w:ascii="Century" w:hAnsi="Century"/>
                <w:sz w:val="28"/>
                <w:szCs w:val="28"/>
              </w:rPr>
              <w:t>±</w:t>
            </w:r>
            <w:r>
              <w:rPr>
                <w:rFonts w:ascii="Times New Roman" w:hAnsi="Times New Roman"/>
                <w:sz w:val="28"/>
                <w:szCs w:val="28"/>
              </w:rPr>
              <w:t>15 (90-105)</w:t>
            </w:r>
          </w:p>
        </w:tc>
        <w:tc>
          <w:tcPr>
            <w:tcW w:w="2551" w:type="dxa"/>
            <w:tcBorders>
              <w:top w:val="nil"/>
              <w:left w:val="single" w:sz="4" w:space="0" w:color="auto"/>
              <w:bottom w:val="single" w:sz="4" w:space="0" w:color="auto"/>
              <w:right w:val="single" w:sz="4" w:space="0" w:color="auto"/>
            </w:tcBorders>
            <w:vAlign w:val="center"/>
          </w:tcPr>
          <w:p w:rsidR="00486DA3" w:rsidRDefault="00486DA3">
            <w:pPr>
              <w:jc w:val="center"/>
              <w:rPr>
                <w:rFonts w:ascii="Times New Roman" w:hAnsi="Times New Roman"/>
                <w:sz w:val="28"/>
                <w:szCs w:val="28"/>
              </w:rPr>
            </w:pPr>
            <w:r>
              <w:rPr>
                <w:rFonts w:ascii="Times New Roman" w:hAnsi="Times New Roman"/>
                <w:sz w:val="28"/>
                <w:szCs w:val="28"/>
              </w:rPr>
              <w:t>95±18 (90</w:t>
            </w:r>
            <w:r w:rsidRPr="00F20CD8">
              <w:rPr>
                <w:rFonts w:ascii="Century" w:hAnsi="Century"/>
                <w:sz w:val="28"/>
                <w:szCs w:val="28"/>
              </w:rPr>
              <w:t>-</w:t>
            </w:r>
            <w:r>
              <w:rPr>
                <w:rFonts w:ascii="Times New Roman" w:hAnsi="Times New Roman"/>
                <w:sz w:val="28"/>
                <w:szCs w:val="28"/>
              </w:rPr>
              <w:t>108)</w:t>
            </w:r>
          </w:p>
        </w:tc>
        <w:tc>
          <w:tcPr>
            <w:tcW w:w="1134" w:type="dxa"/>
            <w:tcBorders>
              <w:top w:val="single" w:sz="4" w:space="0" w:color="auto"/>
              <w:left w:val="single" w:sz="4" w:space="0" w:color="auto"/>
              <w:bottom w:val="single" w:sz="4" w:space="0" w:color="auto"/>
              <w:right w:val="single" w:sz="4" w:space="0" w:color="auto"/>
            </w:tcBorders>
          </w:tcPr>
          <w:p w:rsidR="00486DA3" w:rsidRDefault="00486DA3">
            <w:pPr>
              <w:jc w:val="center"/>
              <w:rPr>
                <w:rFonts w:ascii="Times New Roman" w:hAnsi="Times New Roman"/>
                <w:sz w:val="28"/>
                <w:szCs w:val="28"/>
              </w:rPr>
            </w:pPr>
            <w:r>
              <w:rPr>
                <w:rFonts w:ascii="Times New Roman" w:hAnsi="Times New Roman"/>
                <w:sz w:val="28"/>
                <w:szCs w:val="28"/>
              </w:rPr>
              <w:t>0</w:t>
            </w:r>
            <w:r w:rsidRPr="00F20CD8">
              <w:rPr>
                <w:rFonts w:ascii="Century" w:hAnsi="Century"/>
                <w:sz w:val="28"/>
                <w:szCs w:val="28"/>
              </w:rPr>
              <w:t>,</w:t>
            </w:r>
            <w:r>
              <w:rPr>
                <w:rFonts w:ascii="Times New Roman" w:hAnsi="Times New Roman"/>
                <w:sz w:val="28"/>
                <w:szCs w:val="28"/>
              </w:rPr>
              <w:t>86</w:t>
            </w:r>
          </w:p>
        </w:tc>
      </w:tr>
      <w:tr w:rsidR="00486DA3" w:rsidTr="00333326">
        <w:trPr>
          <w:trHeight w:val="323"/>
        </w:trPr>
        <w:tc>
          <w:tcPr>
            <w:tcW w:w="3118" w:type="dxa"/>
            <w:tcBorders>
              <w:top w:val="single" w:sz="4" w:space="0" w:color="auto"/>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ИМТ (кг</w:t>
            </w:r>
            <w:r w:rsidRPr="00F20CD8">
              <w:rPr>
                <w:rFonts w:ascii="Century" w:hAnsi="Century"/>
                <w:sz w:val="28"/>
                <w:szCs w:val="28"/>
              </w:rPr>
              <w:t>/</w:t>
            </w:r>
            <w:r>
              <w:rPr>
                <w:rFonts w:ascii="Times New Roman" w:hAnsi="Times New Roman"/>
                <w:sz w:val="28"/>
                <w:szCs w:val="28"/>
              </w:rPr>
              <w:t>м</w:t>
            </w:r>
            <w:r>
              <w:rPr>
                <w:rFonts w:ascii="Times New Roman" w:hAnsi="Times New Roman"/>
                <w:sz w:val="28"/>
                <w:szCs w:val="28"/>
                <w:vertAlign w:val="superscript"/>
              </w:rPr>
              <w:t>2</w:t>
            </w:r>
            <w:r>
              <w:rPr>
                <w:rFonts w:ascii="Times New Roman" w:hAnsi="Times New Roman"/>
                <w:sz w:val="28"/>
                <w:szCs w:val="28"/>
              </w:rPr>
              <w:t>)</w:t>
            </w:r>
          </w:p>
        </w:tc>
        <w:tc>
          <w:tcPr>
            <w:tcW w:w="2692" w:type="dxa"/>
            <w:tcBorders>
              <w:top w:val="nil"/>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26</w:t>
            </w:r>
            <w:r w:rsidRPr="00F20CD8">
              <w:rPr>
                <w:rFonts w:ascii="Century" w:hAnsi="Century"/>
                <w:sz w:val="28"/>
                <w:szCs w:val="28"/>
              </w:rPr>
              <w:t>,</w:t>
            </w:r>
            <w:r>
              <w:rPr>
                <w:rFonts w:ascii="Times New Roman" w:hAnsi="Times New Roman"/>
                <w:sz w:val="28"/>
                <w:szCs w:val="28"/>
              </w:rPr>
              <w:t>06</w:t>
            </w:r>
            <w:r w:rsidRPr="00F20CD8">
              <w:rPr>
                <w:rFonts w:ascii="Century" w:hAnsi="Century"/>
                <w:sz w:val="28"/>
                <w:szCs w:val="28"/>
              </w:rPr>
              <w:t>±</w:t>
            </w:r>
            <w:r>
              <w:rPr>
                <w:rFonts w:ascii="Times New Roman" w:hAnsi="Times New Roman"/>
                <w:sz w:val="28"/>
                <w:szCs w:val="28"/>
              </w:rPr>
              <w:t>5</w:t>
            </w:r>
            <w:r w:rsidRPr="00F20CD8">
              <w:rPr>
                <w:rFonts w:ascii="Century" w:hAnsi="Century"/>
                <w:sz w:val="28"/>
                <w:szCs w:val="28"/>
              </w:rPr>
              <w:t>,</w:t>
            </w:r>
            <w:r>
              <w:rPr>
                <w:rFonts w:ascii="Times New Roman" w:hAnsi="Times New Roman"/>
                <w:sz w:val="28"/>
                <w:szCs w:val="28"/>
              </w:rPr>
              <w:t xml:space="preserve">83 </w:t>
            </w:r>
          </w:p>
          <w:p w:rsidR="00486DA3" w:rsidRDefault="00486DA3">
            <w:pPr>
              <w:jc w:val="center"/>
              <w:rPr>
                <w:rFonts w:ascii="Times New Roman" w:hAnsi="Times New Roman"/>
                <w:sz w:val="28"/>
                <w:szCs w:val="28"/>
              </w:rPr>
            </w:pPr>
            <w:r>
              <w:rPr>
                <w:rFonts w:ascii="Times New Roman" w:hAnsi="Times New Roman"/>
                <w:sz w:val="28"/>
                <w:szCs w:val="28"/>
              </w:rPr>
              <w:t>(23</w:t>
            </w:r>
            <w:r w:rsidRPr="00F20CD8">
              <w:rPr>
                <w:rFonts w:ascii="Century" w:hAnsi="Century"/>
                <w:sz w:val="28"/>
                <w:szCs w:val="28"/>
              </w:rPr>
              <w:t>,</w:t>
            </w:r>
            <w:r>
              <w:rPr>
                <w:rFonts w:ascii="Times New Roman" w:hAnsi="Times New Roman"/>
                <w:sz w:val="28"/>
                <w:szCs w:val="28"/>
              </w:rPr>
              <w:t>23-29</w:t>
            </w:r>
            <w:r w:rsidRPr="00F20CD8">
              <w:rPr>
                <w:rFonts w:ascii="Century" w:hAnsi="Century"/>
                <w:sz w:val="28"/>
                <w:szCs w:val="28"/>
              </w:rPr>
              <w:t>,</w:t>
            </w:r>
            <w:r>
              <w:rPr>
                <w:rFonts w:ascii="Times New Roman" w:hAnsi="Times New Roman"/>
                <w:sz w:val="28"/>
                <w:szCs w:val="28"/>
              </w:rPr>
              <w:t>06)</w:t>
            </w:r>
          </w:p>
        </w:tc>
        <w:tc>
          <w:tcPr>
            <w:tcW w:w="2551" w:type="dxa"/>
            <w:tcBorders>
              <w:top w:val="nil"/>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26</w:t>
            </w:r>
            <w:r w:rsidRPr="00F20CD8">
              <w:rPr>
                <w:rFonts w:ascii="Century" w:hAnsi="Century"/>
                <w:sz w:val="28"/>
                <w:szCs w:val="28"/>
              </w:rPr>
              <w:t>,</w:t>
            </w:r>
            <w:r>
              <w:rPr>
                <w:rFonts w:ascii="Times New Roman" w:hAnsi="Times New Roman"/>
                <w:sz w:val="28"/>
                <w:szCs w:val="28"/>
              </w:rPr>
              <w:t>24</w:t>
            </w:r>
            <w:r w:rsidRPr="00F20CD8">
              <w:rPr>
                <w:rFonts w:ascii="Century" w:hAnsi="Century"/>
                <w:sz w:val="28"/>
                <w:szCs w:val="28"/>
              </w:rPr>
              <w:t>±</w:t>
            </w:r>
            <w:r>
              <w:rPr>
                <w:rFonts w:ascii="Times New Roman" w:hAnsi="Times New Roman"/>
                <w:sz w:val="28"/>
                <w:szCs w:val="28"/>
              </w:rPr>
              <w:t>4</w:t>
            </w:r>
            <w:r w:rsidRPr="00F20CD8">
              <w:rPr>
                <w:rFonts w:ascii="Century" w:hAnsi="Century"/>
                <w:sz w:val="28"/>
                <w:szCs w:val="28"/>
              </w:rPr>
              <w:t>,</w:t>
            </w:r>
            <w:r>
              <w:rPr>
                <w:rFonts w:ascii="Times New Roman" w:hAnsi="Times New Roman"/>
                <w:sz w:val="28"/>
                <w:szCs w:val="28"/>
              </w:rPr>
              <w:t>72</w:t>
            </w:r>
          </w:p>
          <w:p w:rsidR="00486DA3" w:rsidRDefault="00486DA3">
            <w:pPr>
              <w:jc w:val="center"/>
              <w:rPr>
                <w:rFonts w:ascii="Times New Roman" w:hAnsi="Times New Roman"/>
                <w:sz w:val="28"/>
                <w:szCs w:val="28"/>
              </w:rPr>
            </w:pPr>
            <w:r>
              <w:rPr>
                <w:rFonts w:ascii="Times New Roman" w:hAnsi="Times New Roman"/>
                <w:sz w:val="28"/>
                <w:szCs w:val="28"/>
              </w:rPr>
              <w:t>(23</w:t>
            </w:r>
            <w:r w:rsidRPr="00F20CD8">
              <w:rPr>
                <w:rFonts w:ascii="Century" w:hAnsi="Century"/>
                <w:sz w:val="28"/>
                <w:szCs w:val="28"/>
              </w:rPr>
              <w:t>,</w:t>
            </w:r>
            <w:r>
              <w:rPr>
                <w:rFonts w:ascii="Times New Roman" w:hAnsi="Times New Roman"/>
                <w:sz w:val="28"/>
                <w:szCs w:val="28"/>
              </w:rPr>
              <w:t>61</w:t>
            </w:r>
            <w:r w:rsidRPr="00F20CD8">
              <w:rPr>
                <w:rFonts w:ascii="Century" w:hAnsi="Century"/>
                <w:sz w:val="28"/>
                <w:szCs w:val="28"/>
              </w:rPr>
              <w:t>-</w:t>
            </w:r>
            <w:r>
              <w:rPr>
                <w:rFonts w:ascii="Times New Roman" w:hAnsi="Times New Roman"/>
                <w:sz w:val="28"/>
                <w:szCs w:val="28"/>
              </w:rPr>
              <w:t>28</w:t>
            </w:r>
            <w:r w:rsidRPr="00F20CD8">
              <w:rPr>
                <w:rFonts w:ascii="Century" w:hAnsi="Century"/>
                <w:sz w:val="28"/>
                <w:szCs w:val="28"/>
              </w:rPr>
              <w:t>,</w:t>
            </w:r>
            <w:r>
              <w:rPr>
                <w:rFonts w:ascii="Times New Roman" w:hAnsi="Times New Roman"/>
                <w:sz w:val="28"/>
                <w:szCs w:val="28"/>
              </w:rPr>
              <w:t>33)</w:t>
            </w:r>
          </w:p>
        </w:tc>
        <w:tc>
          <w:tcPr>
            <w:tcW w:w="1134" w:type="dxa"/>
            <w:tcBorders>
              <w:top w:val="single" w:sz="4" w:space="0" w:color="auto"/>
              <w:left w:val="single" w:sz="4" w:space="0" w:color="auto"/>
              <w:bottom w:val="single" w:sz="4" w:space="0" w:color="auto"/>
              <w:right w:val="single" w:sz="4" w:space="0" w:color="auto"/>
            </w:tcBorders>
            <w:hideMark/>
          </w:tcPr>
          <w:p w:rsidR="00486DA3" w:rsidRDefault="00486DA3">
            <w:pPr>
              <w:jc w:val="center"/>
              <w:rPr>
                <w:rFonts w:ascii="Times New Roman" w:hAnsi="Times New Roman"/>
                <w:sz w:val="28"/>
                <w:szCs w:val="28"/>
              </w:rPr>
            </w:pPr>
            <w:r>
              <w:rPr>
                <w:rFonts w:ascii="Times New Roman" w:hAnsi="Times New Roman"/>
                <w:sz w:val="28"/>
                <w:szCs w:val="28"/>
              </w:rPr>
              <w:t>0</w:t>
            </w:r>
            <w:r w:rsidRPr="00F20CD8">
              <w:rPr>
                <w:rFonts w:ascii="Century" w:hAnsi="Century"/>
                <w:sz w:val="28"/>
                <w:szCs w:val="28"/>
              </w:rPr>
              <w:t>,</w:t>
            </w:r>
            <w:r>
              <w:rPr>
                <w:rFonts w:ascii="Times New Roman" w:hAnsi="Times New Roman"/>
                <w:sz w:val="28"/>
                <w:szCs w:val="28"/>
              </w:rPr>
              <w:t>93</w:t>
            </w:r>
          </w:p>
        </w:tc>
      </w:tr>
      <w:tr w:rsidR="00486DA3" w:rsidTr="00333326">
        <w:trPr>
          <w:trHeight w:val="323"/>
        </w:trPr>
        <w:tc>
          <w:tcPr>
            <w:tcW w:w="3118" w:type="dxa"/>
            <w:tcBorders>
              <w:top w:val="single" w:sz="4" w:space="0" w:color="auto"/>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САД (мм рт</w:t>
            </w:r>
            <w:r w:rsidRPr="00F20CD8">
              <w:rPr>
                <w:rFonts w:ascii="Century" w:hAnsi="Century"/>
                <w:sz w:val="28"/>
                <w:szCs w:val="28"/>
              </w:rPr>
              <w:t>.</w:t>
            </w:r>
            <w:r>
              <w:rPr>
                <w:rFonts w:ascii="Times New Roman" w:hAnsi="Times New Roman"/>
                <w:sz w:val="28"/>
                <w:szCs w:val="28"/>
              </w:rPr>
              <w:t>ст</w:t>
            </w:r>
            <w:r w:rsidRPr="00F20CD8">
              <w:rPr>
                <w:rFonts w:ascii="Century" w:hAnsi="Century"/>
                <w:sz w:val="28"/>
                <w:szCs w:val="28"/>
              </w:rPr>
              <w:t>.</w:t>
            </w:r>
            <w:r>
              <w:rPr>
                <w:rFonts w:ascii="Times New Roman" w:hAnsi="Times New Roman"/>
                <w:sz w:val="28"/>
                <w:szCs w:val="28"/>
              </w:rPr>
              <w:t>)</w:t>
            </w:r>
          </w:p>
        </w:tc>
        <w:tc>
          <w:tcPr>
            <w:tcW w:w="2692" w:type="dxa"/>
            <w:tcBorders>
              <w:top w:val="nil"/>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120</w:t>
            </w:r>
            <w:r w:rsidRPr="00F20CD8">
              <w:rPr>
                <w:rFonts w:ascii="Century" w:hAnsi="Century"/>
                <w:sz w:val="28"/>
                <w:szCs w:val="28"/>
              </w:rPr>
              <w:t>±</w:t>
            </w:r>
            <w:r>
              <w:rPr>
                <w:rFonts w:ascii="Times New Roman" w:hAnsi="Times New Roman"/>
                <w:sz w:val="28"/>
                <w:szCs w:val="28"/>
              </w:rPr>
              <w:t>20 (110</w:t>
            </w:r>
            <w:r w:rsidRPr="00F20CD8">
              <w:rPr>
                <w:rFonts w:ascii="Century" w:hAnsi="Century"/>
                <w:sz w:val="28"/>
                <w:szCs w:val="28"/>
              </w:rPr>
              <w:t>-</w:t>
            </w:r>
            <w:r>
              <w:rPr>
                <w:rFonts w:ascii="Times New Roman" w:hAnsi="Times New Roman"/>
                <w:sz w:val="28"/>
                <w:szCs w:val="28"/>
              </w:rPr>
              <w:t>130)</w:t>
            </w:r>
          </w:p>
        </w:tc>
        <w:tc>
          <w:tcPr>
            <w:tcW w:w="2551" w:type="dxa"/>
            <w:tcBorders>
              <w:top w:val="nil"/>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120</w:t>
            </w:r>
            <w:r w:rsidRPr="00F20CD8">
              <w:rPr>
                <w:rFonts w:ascii="Century" w:hAnsi="Century"/>
                <w:sz w:val="28"/>
                <w:szCs w:val="28"/>
              </w:rPr>
              <w:t>±</w:t>
            </w:r>
            <w:r>
              <w:rPr>
                <w:rFonts w:ascii="Times New Roman" w:hAnsi="Times New Roman"/>
                <w:sz w:val="28"/>
                <w:szCs w:val="28"/>
              </w:rPr>
              <w:t>10 (110</w:t>
            </w:r>
            <w:r w:rsidRPr="00F20CD8">
              <w:rPr>
                <w:rFonts w:ascii="Century" w:hAnsi="Century"/>
                <w:sz w:val="28"/>
                <w:szCs w:val="28"/>
              </w:rPr>
              <w:t>-</w:t>
            </w:r>
            <w:r>
              <w:rPr>
                <w:rFonts w:ascii="Times New Roman" w:hAnsi="Times New Roman"/>
                <w:sz w:val="28"/>
                <w:szCs w:val="28"/>
              </w:rPr>
              <w:t>120)</w:t>
            </w:r>
          </w:p>
        </w:tc>
        <w:tc>
          <w:tcPr>
            <w:tcW w:w="1134" w:type="dxa"/>
            <w:tcBorders>
              <w:top w:val="single" w:sz="4" w:space="0" w:color="auto"/>
              <w:left w:val="single" w:sz="4" w:space="0" w:color="auto"/>
              <w:bottom w:val="single" w:sz="4" w:space="0" w:color="auto"/>
              <w:right w:val="single" w:sz="4" w:space="0" w:color="auto"/>
            </w:tcBorders>
            <w:hideMark/>
          </w:tcPr>
          <w:p w:rsidR="00486DA3" w:rsidRDefault="00486DA3">
            <w:pPr>
              <w:jc w:val="center"/>
              <w:rPr>
                <w:rFonts w:ascii="Times New Roman" w:hAnsi="Times New Roman"/>
                <w:sz w:val="28"/>
                <w:szCs w:val="28"/>
              </w:rPr>
            </w:pPr>
            <w:r>
              <w:rPr>
                <w:rFonts w:ascii="Times New Roman" w:hAnsi="Times New Roman"/>
                <w:sz w:val="28"/>
                <w:szCs w:val="28"/>
              </w:rPr>
              <w:t>0</w:t>
            </w:r>
            <w:r w:rsidRPr="00F20CD8">
              <w:rPr>
                <w:rFonts w:ascii="Century" w:hAnsi="Century"/>
                <w:sz w:val="28"/>
                <w:szCs w:val="28"/>
              </w:rPr>
              <w:t>,</w:t>
            </w:r>
            <w:r>
              <w:rPr>
                <w:rFonts w:ascii="Times New Roman" w:hAnsi="Times New Roman"/>
                <w:sz w:val="28"/>
                <w:szCs w:val="28"/>
              </w:rPr>
              <w:t>081</w:t>
            </w:r>
          </w:p>
        </w:tc>
      </w:tr>
      <w:tr w:rsidR="00486DA3" w:rsidTr="00333326">
        <w:trPr>
          <w:trHeight w:val="323"/>
        </w:trPr>
        <w:tc>
          <w:tcPr>
            <w:tcW w:w="3118" w:type="dxa"/>
            <w:tcBorders>
              <w:top w:val="single" w:sz="4" w:space="0" w:color="auto"/>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ДАД (мм рт</w:t>
            </w:r>
            <w:r w:rsidRPr="00F20CD8">
              <w:rPr>
                <w:rFonts w:ascii="Century" w:hAnsi="Century"/>
                <w:sz w:val="28"/>
                <w:szCs w:val="28"/>
              </w:rPr>
              <w:t>.</w:t>
            </w:r>
            <w:r>
              <w:rPr>
                <w:rFonts w:ascii="Times New Roman" w:hAnsi="Times New Roman"/>
                <w:sz w:val="28"/>
                <w:szCs w:val="28"/>
              </w:rPr>
              <w:t>ст</w:t>
            </w:r>
            <w:r w:rsidRPr="00F20CD8">
              <w:rPr>
                <w:rFonts w:ascii="Century" w:hAnsi="Century"/>
                <w:sz w:val="28"/>
                <w:szCs w:val="28"/>
              </w:rPr>
              <w:t>.</w:t>
            </w:r>
            <w:r>
              <w:rPr>
                <w:rFonts w:ascii="Times New Roman" w:hAnsi="Times New Roman"/>
                <w:sz w:val="28"/>
                <w:szCs w:val="28"/>
              </w:rPr>
              <w:t>)</w:t>
            </w:r>
          </w:p>
        </w:tc>
        <w:tc>
          <w:tcPr>
            <w:tcW w:w="2692" w:type="dxa"/>
            <w:tcBorders>
              <w:top w:val="nil"/>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80</w:t>
            </w:r>
            <w:r w:rsidRPr="00F20CD8">
              <w:rPr>
                <w:rFonts w:ascii="Century" w:hAnsi="Century"/>
                <w:sz w:val="28"/>
                <w:szCs w:val="28"/>
              </w:rPr>
              <w:t>±</w:t>
            </w:r>
            <w:r>
              <w:rPr>
                <w:rFonts w:ascii="Times New Roman" w:hAnsi="Times New Roman"/>
                <w:sz w:val="28"/>
                <w:szCs w:val="28"/>
              </w:rPr>
              <w:t>15 (70</w:t>
            </w:r>
            <w:r w:rsidRPr="00F20CD8">
              <w:rPr>
                <w:rFonts w:ascii="Century" w:hAnsi="Century"/>
                <w:sz w:val="28"/>
                <w:szCs w:val="28"/>
              </w:rPr>
              <w:t>-</w:t>
            </w:r>
            <w:r>
              <w:rPr>
                <w:rFonts w:ascii="Times New Roman" w:hAnsi="Times New Roman"/>
                <w:sz w:val="28"/>
                <w:szCs w:val="28"/>
              </w:rPr>
              <w:t>85)</w:t>
            </w:r>
          </w:p>
        </w:tc>
        <w:tc>
          <w:tcPr>
            <w:tcW w:w="2551" w:type="dxa"/>
            <w:tcBorders>
              <w:top w:val="nil"/>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75</w:t>
            </w:r>
            <w:r w:rsidRPr="00F20CD8">
              <w:rPr>
                <w:rFonts w:ascii="Century" w:hAnsi="Century"/>
                <w:sz w:val="28"/>
                <w:szCs w:val="28"/>
              </w:rPr>
              <w:t>±</w:t>
            </w:r>
            <w:r>
              <w:rPr>
                <w:rFonts w:ascii="Times New Roman" w:hAnsi="Times New Roman"/>
                <w:sz w:val="28"/>
                <w:szCs w:val="28"/>
              </w:rPr>
              <w:t>10 (70</w:t>
            </w:r>
            <w:r w:rsidRPr="00F20CD8">
              <w:rPr>
                <w:rFonts w:ascii="Century" w:hAnsi="Century"/>
                <w:sz w:val="28"/>
                <w:szCs w:val="28"/>
              </w:rPr>
              <w:t>-</w:t>
            </w:r>
            <w:r>
              <w:rPr>
                <w:rFonts w:ascii="Times New Roman" w:hAnsi="Times New Roman"/>
                <w:sz w:val="28"/>
                <w:szCs w:val="28"/>
              </w:rPr>
              <w:t>80)</w:t>
            </w:r>
          </w:p>
        </w:tc>
        <w:tc>
          <w:tcPr>
            <w:tcW w:w="1134" w:type="dxa"/>
            <w:tcBorders>
              <w:top w:val="single" w:sz="4" w:space="0" w:color="auto"/>
              <w:left w:val="single" w:sz="4" w:space="0" w:color="auto"/>
              <w:bottom w:val="single" w:sz="4" w:space="0" w:color="auto"/>
              <w:right w:val="single" w:sz="4" w:space="0" w:color="auto"/>
            </w:tcBorders>
            <w:hideMark/>
          </w:tcPr>
          <w:p w:rsidR="00486DA3" w:rsidRDefault="00486DA3">
            <w:pPr>
              <w:jc w:val="center"/>
              <w:rPr>
                <w:rFonts w:ascii="Times New Roman" w:hAnsi="Times New Roman"/>
                <w:sz w:val="28"/>
                <w:szCs w:val="28"/>
              </w:rPr>
            </w:pPr>
            <w:r>
              <w:rPr>
                <w:rFonts w:ascii="Times New Roman" w:hAnsi="Times New Roman"/>
                <w:sz w:val="28"/>
                <w:szCs w:val="28"/>
              </w:rPr>
              <w:t>0</w:t>
            </w:r>
            <w:r w:rsidRPr="00F20CD8">
              <w:rPr>
                <w:rFonts w:ascii="Century" w:hAnsi="Century"/>
                <w:sz w:val="28"/>
                <w:szCs w:val="28"/>
              </w:rPr>
              <w:t>,</w:t>
            </w:r>
            <w:r>
              <w:rPr>
                <w:rFonts w:ascii="Times New Roman" w:hAnsi="Times New Roman"/>
                <w:sz w:val="28"/>
                <w:szCs w:val="28"/>
              </w:rPr>
              <w:t>04</w:t>
            </w:r>
          </w:p>
        </w:tc>
      </w:tr>
      <w:tr w:rsidR="00486DA3" w:rsidTr="00333326">
        <w:trPr>
          <w:trHeight w:val="442"/>
        </w:trPr>
        <w:tc>
          <w:tcPr>
            <w:tcW w:w="9495" w:type="dxa"/>
            <w:gridSpan w:val="4"/>
            <w:tcBorders>
              <w:top w:val="single" w:sz="4" w:space="0" w:color="auto"/>
              <w:left w:val="single" w:sz="4" w:space="0" w:color="auto"/>
              <w:bottom w:val="single" w:sz="4" w:space="0" w:color="auto"/>
              <w:right w:val="single" w:sz="4" w:space="0" w:color="auto"/>
            </w:tcBorders>
            <w:hideMark/>
          </w:tcPr>
          <w:p w:rsidR="002C26A4" w:rsidRDefault="00486DA3">
            <w:pPr>
              <w:jc w:val="both"/>
              <w:rPr>
                <w:rFonts w:ascii="Times New Roman" w:hAnsi="Times New Roman"/>
                <w:szCs w:val="24"/>
              </w:rPr>
            </w:pPr>
            <w:r>
              <w:rPr>
                <w:rFonts w:ascii="Times New Roman" w:hAnsi="Times New Roman"/>
                <w:szCs w:val="24"/>
              </w:rPr>
              <w:t xml:space="preserve">Примечание </w:t>
            </w:r>
            <w:r w:rsidR="002C26A4">
              <w:rPr>
                <w:rFonts w:ascii="Times New Roman" w:hAnsi="Times New Roman"/>
                <w:szCs w:val="24"/>
              </w:rPr>
              <w:t xml:space="preserve">ИМТ – индекс массы тела; САД </w:t>
            </w:r>
            <w:r>
              <w:rPr>
                <w:rFonts w:ascii="Times New Roman" w:hAnsi="Times New Roman"/>
                <w:szCs w:val="24"/>
              </w:rPr>
              <w:t xml:space="preserve">– </w:t>
            </w:r>
            <w:r w:rsidR="002C26A4">
              <w:rPr>
                <w:rFonts w:ascii="Times New Roman" w:hAnsi="Times New Roman"/>
                <w:szCs w:val="24"/>
              </w:rPr>
              <w:t>систолическое артериальное давление</w:t>
            </w:r>
            <w:r>
              <w:rPr>
                <w:rFonts w:ascii="Times New Roman" w:hAnsi="Times New Roman"/>
                <w:szCs w:val="24"/>
              </w:rPr>
              <w:t xml:space="preserve">; </w:t>
            </w:r>
            <w:r w:rsidR="002C26A4">
              <w:rPr>
                <w:rFonts w:ascii="Times New Roman" w:hAnsi="Times New Roman"/>
                <w:szCs w:val="24"/>
              </w:rPr>
              <w:t>ДАД – диастолическое артериальное давление</w:t>
            </w:r>
            <w:r>
              <w:rPr>
                <w:rFonts w:ascii="Times New Roman" w:hAnsi="Times New Roman"/>
                <w:szCs w:val="24"/>
              </w:rPr>
              <w:t xml:space="preserve">; *Критерий Манна-Уитни; </w:t>
            </w:r>
          </w:p>
          <w:p w:rsidR="00486DA3" w:rsidRDefault="00486DA3">
            <w:pPr>
              <w:jc w:val="both"/>
              <w:rPr>
                <w:rFonts w:ascii="Times New Roman" w:hAnsi="Times New Roman"/>
                <w:sz w:val="24"/>
                <w:szCs w:val="24"/>
              </w:rPr>
            </w:pPr>
            <w:r>
              <w:rPr>
                <w:rFonts w:ascii="Times New Roman" w:hAnsi="Times New Roman"/>
                <w:szCs w:val="24"/>
              </w:rPr>
              <w:t xml:space="preserve">Ме±IQR (Q1 – Q3) – Медиана ± межквартильный диапазон (1 квартиль – 3 квартиль); </w:t>
            </w:r>
          </w:p>
        </w:tc>
      </w:tr>
    </w:tbl>
    <w:p w:rsidR="00905C77" w:rsidRPr="00905C77" w:rsidRDefault="00905C77" w:rsidP="00EF3CBF">
      <w:pPr>
        <w:spacing w:after="0" w:line="240" w:lineRule="auto"/>
        <w:jc w:val="both"/>
        <w:rPr>
          <w:rFonts w:ascii="Times New Roman" w:hAnsi="Times New Roman" w:cs="Times New Roman"/>
          <w:sz w:val="28"/>
          <w:szCs w:val="28"/>
        </w:rPr>
      </w:pPr>
    </w:p>
    <w:p w:rsidR="00AB12B3" w:rsidRDefault="00AB12B3" w:rsidP="00EF3CBF">
      <w:pPr>
        <w:spacing w:after="0" w:line="240" w:lineRule="auto"/>
        <w:jc w:val="both"/>
        <w:rPr>
          <w:rFonts w:ascii="Times New Roman" w:hAnsi="Times New Roman"/>
          <w:sz w:val="28"/>
          <w:szCs w:val="28"/>
          <w:lang w:val="kk-KZ"/>
        </w:rPr>
      </w:pPr>
      <w:r>
        <w:rPr>
          <w:rFonts w:ascii="Times New Roman" w:hAnsi="Times New Roman" w:cs="Times New Roman"/>
          <w:sz w:val="28"/>
          <w:szCs w:val="28"/>
        </w:rPr>
        <w:t>Таблица 9</w:t>
      </w:r>
      <w:r w:rsidR="003441A2">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w:t>
      </w:r>
      <w:r w:rsidR="009C35C2">
        <w:rPr>
          <w:rFonts w:ascii="Times New Roman" w:hAnsi="Times New Roman" w:cs="Times New Roman"/>
          <w:sz w:val="28"/>
          <w:szCs w:val="28"/>
        </w:rPr>
        <w:t xml:space="preserve">факторов риска по </w:t>
      </w:r>
      <w:r>
        <w:rPr>
          <w:rFonts w:ascii="Times New Roman" w:hAnsi="Times New Roman" w:cs="Times New Roman"/>
          <w:sz w:val="28"/>
          <w:szCs w:val="28"/>
        </w:rPr>
        <w:t>групп</w:t>
      </w:r>
      <w:r w:rsidR="009C35C2">
        <w:rPr>
          <w:rFonts w:ascii="Times New Roman" w:hAnsi="Times New Roman" w:cs="Times New Roman"/>
          <w:sz w:val="28"/>
          <w:szCs w:val="28"/>
        </w:rPr>
        <w:t>ам общего холестерина</w:t>
      </w:r>
      <w:r w:rsidR="002435A3">
        <w:rPr>
          <w:rFonts w:ascii="Times New Roman" w:hAnsi="Times New Roman" w:cs="Times New Roman"/>
          <w:sz w:val="28"/>
          <w:szCs w:val="28"/>
        </w:rPr>
        <w:t xml:space="preserve"> </w:t>
      </w:r>
      <w:r w:rsidR="00DA472A">
        <w:rPr>
          <w:rFonts w:ascii="Times New Roman" w:hAnsi="Times New Roman" w:cs="Times New Roman"/>
          <w:sz w:val="28"/>
          <w:szCs w:val="28"/>
        </w:rPr>
        <w:t>(</w:t>
      </w:r>
      <w:r>
        <w:rPr>
          <w:rFonts w:ascii="Times New Roman" w:hAnsi="Times New Roman"/>
          <w:sz w:val="28"/>
          <w:szCs w:val="28"/>
        </w:rPr>
        <w:t>n=580</w:t>
      </w:r>
      <w:r w:rsidR="00DA472A">
        <w:rPr>
          <w:rFonts w:ascii="Times New Roman" w:hAnsi="Times New Roman"/>
          <w:sz w:val="28"/>
          <w:szCs w:val="28"/>
        </w:rPr>
        <w:t>)</w:t>
      </w:r>
    </w:p>
    <w:p w:rsidR="00E83EC5" w:rsidRPr="00E83EC5" w:rsidRDefault="00E83EC5" w:rsidP="00EF3CBF">
      <w:pPr>
        <w:spacing w:after="0" w:line="240" w:lineRule="auto"/>
        <w:jc w:val="both"/>
        <w:rPr>
          <w:rFonts w:ascii="Times New Roman" w:hAnsi="Times New Roman" w:cs="Times New Roman"/>
          <w:sz w:val="28"/>
          <w:szCs w:val="28"/>
          <w:lang w:val="kk-KZ"/>
        </w:rPr>
      </w:pPr>
    </w:p>
    <w:tbl>
      <w:tblPr>
        <w:tblStyle w:val="af7"/>
        <w:tblW w:w="9498" w:type="dxa"/>
        <w:tblInd w:w="108" w:type="dxa"/>
        <w:tblLayout w:type="fixed"/>
        <w:tblLook w:val="04A0" w:firstRow="1" w:lastRow="0" w:firstColumn="1" w:lastColumn="0" w:noHBand="0" w:noVBand="1"/>
      </w:tblPr>
      <w:tblGrid>
        <w:gridCol w:w="2128"/>
        <w:gridCol w:w="1560"/>
        <w:gridCol w:w="1276"/>
        <w:gridCol w:w="1134"/>
        <w:gridCol w:w="2266"/>
        <w:gridCol w:w="1134"/>
      </w:tblGrid>
      <w:tr w:rsidR="00AB12B3" w:rsidTr="00BD5AE6">
        <w:trPr>
          <w:trHeight w:val="377"/>
        </w:trPr>
        <w:tc>
          <w:tcPr>
            <w:tcW w:w="3688"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2410"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ОХС, ммоль/л</w:t>
            </w:r>
          </w:p>
        </w:tc>
        <w:tc>
          <w:tcPr>
            <w:tcW w:w="226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ОШ (95% ДИ)</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р*</w:t>
            </w:r>
          </w:p>
        </w:tc>
      </w:tr>
      <w:tr w:rsidR="00AB12B3" w:rsidTr="00BD5AE6">
        <w:trPr>
          <w:trHeight w:val="379"/>
        </w:trPr>
        <w:tc>
          <w:tcPr>
            <w:tcW w:w="3688" w:type="dxa"/>
            <w:gridSpan w:val="2"/>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27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≤4,9 n</w:t>
            </w:r>
          </w:p>
        </w:tc>
        <w:tc>
          <w:tcPr>
            <w:tcW w:w="113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 xml:space="preserve">&gt;4,9 n </w:t>
            </w:r>
          </w:p>
        </w:tc>
        <w:tc>
          <w:tcPr>
            <w:tcW w:w="226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BD5AE6">
        <w:trPr>
          <w:trHeight w:val="317"/>
        </w:trPr>
        <w:tc>
          <w:tcPr>
            <w:tcW w:w="2128"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Пол</w:t>
            </w:r>
          </w:p>
        </w:tc>
        <w:tc>
          <w:tcPr>
            <w:tcW w:w="1560"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 xml:space="preserve">Жен </w:t>
            </w:r>
          </w:p>
        </w:tc>
        <w:tc>
          <w:tcPr>
            <w:tcW w:w="127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254</w:t>
            </w:r>
          </w:p>
        </w:tc>
        <w:tc>
          <w:tcPr>
            <w:tcW w:w="113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45</w:t>
            </w:r>
          </w:p>
        </w:tc>
        <w:tc>
          <w:tcPr>
            <w:tcW w:w="226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0,74</w:t>
            </w:r>
          </w:p>
        </w:tc>
      </w:tr>
      <w:tr w:rsidR="00AB12B3" w:rsidTr="00BD5AE6">
        <w:trPr>
          <w:trHeight w:val="323"/>
        </w:trPr>
        <w:tc>
          <w:tcPr>
            <w:tcW w:w="212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 xml:space="preserve">Муж </w:t>
            </w:r>
          </w:p>
        </w:tc>
        <w:tc>
          <w:tcPr>
            <w:tcW w:w="127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234</w:t>
            </w:r>
          </w:p>
        </w:tc>
        <w:tc>
          <w:tcPr>
            <w:tcW w:w="113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47</w:t>
            </w:r>
          </w:p>
        </w:tc>
        <w:tc>
          <w:tcPr>
            <w:tcW w:w="226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1,13 (0,73-1,77)</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BD5AE6">
        <w:trPr>
          <w:trHeight w:val="323"/>
        </w:trPr>
        <w:tc>
          <w:tcPr>
            <w:tcW w:w="2128"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Возраст, лет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 xml:space="preserve">18 – 35 </w:t>
            </w:r>
          </w:p>
        </w:tc>
        <w:tc>
          <w:tcPr>
            <w:tcW w:w="1276"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83</w:t>
            </w:r>
          </w:p>
        </w:tc>
        <w:tc>
          <w:tcPr>
            <w:tcW w:w="1134"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20</w:t>
            </w:r>
          </w:p>
        </w:tc>
        <w:tc>
          <w:tcPr>
            <w:tcW w:w="226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0,34</w:t>
            </w:r>
          </w:p>
        </w:tc>
      </w:tr>
      <w:tr w:rsidR="00AB12B3" w:rsidTr="00BD5AE6">
        <w:trPr>
          <w:trHeight w:val="323"/>
        </w:trPr>
        <w:tc>
          <w:tcPr>
            <w:tcW w:w="212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 xml:space="preserve">36 – 45 </w:t>
            </w:r>
          </w:p>
        </w:tc>
        <w:tc>
          <w:tcPr>
            <w:tcW w:w="1276"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143</w:t>
            </w:r>
          </w:p>
        </w:tc>
        <w:tc>
          <w:tcPr>
            <w:tcW w:w="1134"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31</w:t>
            </w:r>
          </w:p>
        </w:tc>
        <w:tc>
          <w:tcPr>
            <w:tcW w:w="226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 (0,48-1,68)</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BD5AE6">
        <w:trPr>
          <w:trHeight w:val="323"/>
        </w:trPr>
        <w:tc>
          <w:tcPr>
            <w:tcW w:w="212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 xml:space="preserve">46 – 55 </w:t>
            </w:r>
          </w:p>
        </w:tc>
        <w:tc>
          <w:tcPr>
            <w:tcW w:w="1276"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141</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25</w:t>
            </w:r>
          </w:p>
        </w:tc>
        <w:tc>
          <w:tcPr>
            <w:tcW w:w="226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0,74 (0,38-1,41)</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BD5AE6">
        <w:trPr>
          <w:trHeight w:val="323"/>
        </w:trPr>
        <w:tc>
          <w:tcPr>
            <w:tcW w:w="212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 xml:space="preserve">56 – 65 </w:t>
            </w:r>
          </w:p>
        </w:tc>
        <w:tc>
          <w:tcPr>
            <w:tcW w:w="1276"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121</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16</w:t>
            </w:r>
          </w:p>
        </w:tc>
        <w:tc>
          <w:tcPr>
            <w:tcW w:w="226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0,55 (0,27-1,21)</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486DA3" w:rsidTr="003F0171">
        <w:trPr>
          <w:trHeight w:val="323"/>
        </w:trPr>
        <w:tc>
          <w:tcPr>
            <w:tcW w:w="2128" w:type="dxa"/>
            <w:vMerge w:val="restart"/>
            <w:tcBorders>
              <w:top w:val="single" w:sz="4" w:space="0" w:color="auto"/>
              <w:left w:val="single" w:sz="4" w:space="0" w:color="auto"/>
              <w:right w:val="single" w:sz="4" w:space="0" w:color="auto"/>
            </w:tcBorders>
            <w:vAlign w:val="center"/>
          </w:tcPr>
          <w:p w:rsidR="00486DA3" w:rsidRDefault="00486DA3" w:rsidP="00486DA3">
            <w:pPr>
              <w:jc w:val="center"/>
              <w:rPr>
                <w:rFonts w:ascii="Times New Roman" w:hAnsi="Times New Roman"/>
                <w:sz w:val="28"/>
                <w:szCs w:val="28"/>
              </w:rPr>
            </w:pPr>
            <w:r>
              <w:rPr>
                <w:rFonts w:ascii="Times New Roman" w:hAnsi="Times New Roman"/>
                <w:sz w:val="28"/>
                <w:szCs w:val="28"/>
              </w:rPr>
              <w:t>Окружность талии (см)</w:t>
            </w:r>
          </w:p>
        </w:tc>
        <w:tc>
          <w:tcPr>
            <w:tcW w:w="1560" w:type="dxa"/>
            <w:tcBorders>
              <w:top w:val="single" w:sz="4" w:space="0" w:color="auto"/>
              <w:left w:val="single" w:sz="4" w:space="0" w:color="auto"/>
              <w:bottom w:val="single" w:sz="4" w:space="0" w:color="auto"/>
              <w:right w:val="single" w:sz="4" w:space="0" w:color="auto"/>
            </w:tcBorders>
            <w:vAlign w:val="center"/>
          </w:tcPr>
          <w:p w:rsidR="00486DA3" w:rsidRDefault="00486DA3" w:rsidP="003F0171">
            <w:pPr>
              <w:jc w:val="center"/>
              <w:rPr>
                <w:rFonts w:ascii="Times New Roman" w:hAnsi="Times New Roman"/>
                <w:sz w:val="28"/>
                <w:szCs w:val="28"/>
              </w:rPr>
            </w:pPr>
            <w:r>
              <w:rPr>
                <w:rFonts w:ascii="Times New Roman" w:hAnsi="Times New Roman"/>
                <w:sz w:val="28"/>
                <w:szCs w:val="28"/>
              </w:rPr>
              <w:t>муж &lt;102</w:t>
            </w:r>
          </w:p>
          <w:p w:rsidR="00486DA3" w:rsidRDefault="00486DA3">
            <w:pPr>
              <w:jc w:val="center"/>
              <w:rPr>
                <w:rFonts w:ascii="Times New Roman" w:hAnsi="Times New Roman"/>
                <w:sz w:val="28"/>
                <w:szCs w:val="28"/>
              </w:rPr>
            </w:pPr>
            <w:r>
              <w:rPr>
                <w:rFonts w:ascii="Times New Roman" w:hAnsi="Times New Roman"/>
                <w:sz w:val="28"/>
                <w:szCs w:val="28"/>
              </w:rPr>
              <w:t xml:space="preserve">жен &lt;88 </w:t>
            </w:r>
          </w:p>
        </w:tc>
        <w:tc>
          <w:tcPr>
            <w:tcW w:w="1276" w:type="dxa"/>
            <w:tcBorders>
              <w:top w:val="nil"/>
              <w:left w:val="single" w:sz="4" w:space="0" w:color="auto"/>
              <w:bottom w:val="single" w:sz="4" w:space="0" w:color="auto"/>
              <w:right w:val="single" w:sz="4" w:space="0" w:color="auto"/>
            </w:tcBorders>
            <w:vAlign w:val="center"/>
          </w:tcPr>
          <w:p w:rsidR="00486DA3" w:rsidRDefault="00486DA3">
            <w:pPr>
              <w:jc w:val="center"/>
              <w:rPr>
                <w:rFonts w:ascii="Times New Roman" w:hAnsi="Times New Roman"/>
                <w:sz w:val="28"/>
                <w:szCs w:val="28"/>
              </w:rPr>
            </w:pPr>
            <w:r>
              <w:rPr>
                <w:rFonts w:ascii="Times New Roman" w:hAnsi="Times New Roman"/>
                <w:sz w:val="28"/>
                <w:szCs w:val="28"/>
              </w:rPr>
              <w:t>184</w:t>
            </w:r>
          </w:p>
        </w:tc>
        <w:tc>
          <w:tcPr>
            <w:tcW w:w="1134" w:type="dxa"/>
            <w:tcBorders>
              <w:top w:val="nil"/>
              <w:left w:val="single" w:sz="4" w:space="0" w:color="auto"/>
              <w:bottom w:val="single" w:sz="4" w:space="0" w:color="auto"/>
              <w:right w:val="single" w:sz="4" w:space="0" w:color="auto"/>
            </w:tcBorders>
          </w:tcPr>
          <w:p w:rsidR="00486DA3" w:rsidRDefault="00486DA3">
            <w:pPr>
              <w:jc w:val="center"/>
              <w:rPr>
                <w:rFonts w:ascii="Times New Roman" w:hAnsi="Times New Roman"/>
                <w:sz w:val="28"/>
                <w:szCs w:val="28"/>
              </w:rPr>
            </w:pPr>
            <w:r>
              <w:rPr>
                <w:rFonts w:ascii="Times New Roman" w:hAnsi="Times New Roman"/>
                <w:sz w:val="28"/>
                <w:szCs w:val="28"/>
              </w:rPr>
              <w:t>33</w:t>
            </w:r>
          </w:p>
        </w:tc>
        <w:tc>
          <w:tcPr>
            <w:tcW w:w="2266" w:type="dxa"/>
            <w:tcBorders>
              <w:top w:val="single" w:sz="4" w:space="0" w:color="auto"/>
              <w:left w:val="single" w:sz="4" w:space="0" w:color="auto"/>
              <w:bottom w:val="single" w:sz="4" w:space="0" w:color="auto"/>
              <w:right w:val="single" w:sz="4" w:space="0" w:color="auto"/>
            </w:tcBorders>
          </w:tcPr>
          <w:p w:rsidR="00486DA3" w:rsidRDefault="00486DA3">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right w:val="single" w:sz="4" w:space="0" w:color="auto"/>
            </w:tcBorders>
            <w:vAlign w:val="center"/>
          </w:tcPr>
          <w:p w:rsidR="00486DA3" w:rsidRDefault="00486DA3" w:rsidP="00486DA3">
            <w:pPr>
              <w:jc w:val="center"/>
              <w:rPr>
                <w:rFonts w:ascii="Times New Roman" w:hAnsi="Times New Roman"/>
                <w:sz w:val="28"/>
                <w:szCs w:val="28"/>
              </w:rPr>
            </w:pPr>
            <w:r>
              <w:rPr>
                <w:rFonts w:ascii="Times New Roman" w:hAnsi="Times New Roman"/>
                <w:sz w:val="28"/>
                <w:szCs w:val="28"/>
              </w:rPr>
              <w:t>0,74</w:t>
            </w:r>
          </w:p>
        </w:tc>
      </w:tr>
      <w:tr w:rsidR="00486DA3" w:rsidTr="003F0171">
        <w:trPr>
          <w:trHeight w:val="323"/>
        </w:trPr>
        <w:tc>
          <w:tcPr>
            <w:tcW w:w="2128" w:type="dxa"/>
            <w:vMerge/>
            <w:tcBorders>
              <w:left w:val="single" w:sz="4" w:space="0" w:color="auto"/>
              <w:bottom w:val="single" w:sz="4" w:space="0" w:color="auto"/>
              <w:right w:val="single" w:sz="4" w:space="0" w:color="auto"/>
            </w:tcBorders>
            <w:vAlign w:val="center"/>
          </w:tcPr>
          <w:p w:rsidR="00486DA3" w:rsidRDefault="00486DA3">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tcPr>
          <w:p w:rsidR="00486DA3" w:rsidRDefault="00486DA3" w:rsidP="003F0171">
            <w:pPr>
              <w:jc w:val="center"/>
              <w:rPr>
                <w:rFonts w:ascii="Times New Roman" w:hAnsi="Times New Roman"/>
                <w:sz w:val="28"/>
                <w:szCs w:val="28"/>
              </w:rPr>
            </w:pPr>
            <w:r>
              <w:rPr>
                <w:rFonts w:ascii="Times New Roman" w:hAnsi="Times New Roman"/>
                <w:sz w:val="28"/>
                <w:szCs w:val="28"/>
              </w:rPr>
              <w:t>муж ≥102</w:t>
            </w:r>
          </w:p>
          <w:p w:rsidR="00486DA3" w:rsidRDefault="00486DA3">
            <w:pPr>
              <w:jc w:val="center"/>
              <w:rPr>
                <w:rFonts w:ascii="Times New Roman" w:hAnsi="Times New Roman"/>
                <w:sz w:val="28"/>
                <w:szCs w:val="28"/>
              </w:rPr>
            </w:pPr>
            <w:r>
              <w:rPr>
                <w:rFonts w:ascii="Times New Roman" w:hAnsi="Times New Roman"/>
                <w:sz w:val="28"/>
                <w:szCs w:val="28"/>
              </w:rPr>
              <w:t xml:space="preserve">жен ≥88 </w:t>
            </w:r>
          </w:p>
        </w:tc>
        <w:tc>
          <w:tcPr>
            <w:tcW w:w="1276" w:type="dxa"/>
            <w:tcBorders>
              <w:top w:val="nil"/>
              <w:left w:val="single" w:sz="4" w:space="0" w:color="auto"/>
              <w:bottom w:val="single" w:sz="4" w:space="0" w:color="auto"/>
              <w:right w:val="single" w:sz="4" w:space="0" w:color="auto"/>
            </w:tcBorders>
            <w:vAlign w:val="center"/>
          </w:tcPr>
          <w:p w:rsidR="00486DA3" w:rsidRDefault="00486DA3">
            <w:pPr>
              <w:jc w:val="center"/>
              <w:rPr>
                <w:rFonts w:ascii="Times New Roman" w:hAnsi="Times New Roman"/>
                <w:sz w:val="28"/>
                <w:szCs w:val="28"/>
              </w:rPr>
            </w:pPr>
            <w:r>
              <w:rPr>
                <w:rFonts w:ascii="Times New Roman" w:hAnsi="Times New Roman"/>
                <w:sz w:val="28"/>
                <w:szCs w:val="28"/>
              </w:rPr>
              <w:t>304</w:t>
            </w:r>
          </w:p>
        </w:tc>
        <w:tc>
          <w:tcPr>
            <w:tcW w:w="1134" w:type="dxa"/>
            <w:tcBorders>
              <w:top w:val="nil"/>
              <w:left w:val="single" w:sz="4" w:space="0" w:color="auto"/>
              <w:bottom w:val="single" w:sz="4" w:space="0" w:color="auto"/>
              <w:right w:val="single" w:sz="4" w:space="0" w:color="auto"/>
            </w:tcBorders>
          </w:tcPr>
          <w:p w:rsidR="00486DA3" w:rsidRDefault="00486DA3">
            <w:pPr>
              <w:jc w:val="center"/>
              <w:rPr>
                <w:rFonts w:ascii="Times New Roman" w:hAnsi="Times New Roman"/>
                <w:sz w:val="28"/>
                <w:szCs w:val="28"/>
              </w:rPr>
            </w:pPr>
            <w:r>
              <w:rPr>
                <w:rFonts w:ascii="Times New Roman" w:hAnsi="Times New Roman"/>
                <w:sz w:val="28"/>
                <w:szCs w:val="28"/>
              </w:rPr>
              <w:t>59</w:t>
            </w:r>
          </w:p>
        </w:tc>
        <w:tc>
          <w:tcPr>
            <w:tcW w:w="2266" w:type="dxa"/>
            <w:tcBorders>
              <w:top w:val="single" w:sz="4" w:space="0" w:color="auto"/>
              <w:left w:val="single" w:sz="4" w:space="0" w:color="auto"/>
              <w:bottom w:val="single" w:sz="4" w:space="0" w:color="auto"/>
              <w:right w:val="single" w:sz="4" w:space="0" w:color="auto"/>
            </w:tcBorders>
          </w:tcPr>
          <w:p w:rsidR="00486DA3" w:rsidRDefault="00486DA3">
            <w:pPr>
              <w:jc w:val="center"/>
              <w:rPr>
                <w:rFonts w:ascii="Times New Roman" w:hAnsi="Times New Roman"/>
                <w:sz w:val="28"/>
                <w:szCs w:val="28"/>
              </w:rPr>
            </w:pPr>
            <w:r>
              <w:rPr>
                <w:rFonts w:ascii="Times New Roman" w:hAnsi="Times New Roman"/>
                <w:sz w:val="28"/>
                <w:szCs w:val="28"/>
              </w:rPr>
              <w:t>1,08 (0,68-1,72)</w:t>
            </w:r>
          </w:p>
        </w:tc>
        <w:tc>
          <w:tcPr>
            <w:tcW w:w="1134" w:type="dxa"/>
            <w:vMerge/>
            <w:tcBorders>
              <w:left w:val="single" w:sz="4" w:space="0" w:color="auto"/>
              <w:bottom w:val="single" w:sz="4" w:space="0" w:color="auto"/>
              <w:right w:val="single" w:sz="4" w:space="0" w:color="auto"/>
            </w:tcBorders>
            <w:vAlign w:val="center"/>
          </w:tcPr>
          <w:p w:rsidR="00486DA3" w:rsidRDefault="00486DA3">
            <w:pPr>
              <w:rPr>
                <w:rFonts w:ascii="Times New Roman" w:hAnsi="Times New Roman"/>
                <w:sz w:val="28"/>
                <w:szCs w:val="28"/>
              </w:rPr>
            </w:pPr>
          </w:p>
        </w:tc>
      </w:tr>
      <w:tr w:rsidR="00486DA3" w:rsidTr="00BD5AE6">
        <w:trPr>
          <w:trHeight w:val="323"/>
        </w:trPr>
        <w:tc>
          <w:tcPr>
            <w:tcW w:w="2128" w:type="dxa"/>
            <w:vMerge w:val="restart"/>
            <w:tcBorders>
              <w:top w:val="single" w:sz="4" w:space="0" w:color="auto"/>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ИМТ (кг/м</w:t>
            </w:r>
            <w:r>
              <w:rPr>
                <w:rFonts w:ascii="Times New Roman" w:hAnsi="Times New Roman"/>
                <w:sz w:val="28"/>
                <w:szCs w:val="28"/>
                <w:vertAlign w:val="superscript"/>
              </w:rPr>
              <w:t>2</w:t>
            </w:r>
            <w:r>
              <w:rPr>
                <w:rFonts w:ascii="Times New Roman" w:hAnsi="Times New Roman"/>
                <w:sz w:val="28"/>
                <w:szCs w:val="28"/>
              </w:rPr>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 xml:space="preserve">НВ </w:t>
            </w:r>
          </w:p>
        </w:tc>
        <w:tc>
          <w:tcPr>
            <w:tcW w:w="1276" w:type="dxa"/>
            <w:tcBorders>
              <w:top w:val="nil"/>
              <w:left w:val="single" w:sz="4" w:space="0" w:color="auto"/>
              <w:bottom w:val="single" w:sz="4" w:space="0" w:color="auto"/>
              <w:right w:val="single" w:sz="4" w:space="0" w:color="auto"/>
            </w:tcBorders>
            <w:hideMark/>
          </w:tcPr>
          <w:p w:rsidR="00486DA3" w:rsidRDefault="00486DA3">
            <w:pPr>
              <w:jc w:val="center"/>
            </w:pPr>
            <w:r>
              <w:rPr>
                <w:rFonts w:ascii="Times New Roman" w:hAnsi="Times New Roman"/>
                <w:sz w:val="28"/>
                <w:szCs w:val="28"/>
              </w:rPr>
              <w:t xml:space="preserve">195 </w:t>
            </w:r>
          </w:p>
        </w:tc>
        <w:tc>
          <w:tcPr>
            <w:tcW w:w="1134" w:type="dxa"/>
            <w:tcBorders>
              <w:top w:val="nil"/>
              <w:left w:val="single" w:sz="4" w:space="0" w:color="auto"/>
              <w:bottom w:val="single" w:sz="4" w:space="0" w:color="auto"/>
              <w:right w:val="single" w:sz="4" w:space="0" w:color="auto"/>
            </w:tcBorders>
            <w:hideMark/>
          </w:tcPr>
          <w:p w:rsidR="00486DA3" w:rsidRDefault="00486DA3">
            <w:pPr>
              <w:jc w:val="center"/>
            </w:pPr>
            <w:r>
              <w:rPr>
                <w:rFonts w:ascii="Times New Roman" w:hAnsi="Times New Roman"/>
                <w:sz w:val="28"/>
                <w:szCs w:val="28"/>
              </w:rPr>
              <w:t>37</w:t>
            </w:r>
          </w:p>
        </w:tc>
        <w:tc>
          <w:tcPr>
            <w:tcW w:w="2266" w:type="dxa"/>
            <w:tcBorders>
              <w:top w:val="single" w:sz="4" w:space="0" w:color="auto"/>
              <w:left w:val="single" w:sz="4" w:space="0" w:color="auto"/>
              <w:bottom w:val="single" w:sz="4" w:space="0" w:color="auto"/>
              <w:right w:val="single" w:sz="4" w:space="0" w:color="auto"/>
            </w:tcBorders>
            <w:hideMark/>
          </w:tcPr>
          <w:p w:rsidR="00486DA3" w:rsidRDefault="00486DA3">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486DA3" w:rsidRDefault="00486DA3">
            <w:pPr>
              <w:jc w:val="center"/>
              <w:rPr>
                <w:rFonts w:ascii="Times New Roman" w:hAnsi="Times New Roman"/>
                <w:sz w:val="28"/>
                <w:szCs w:val="28"/>
              </w:rPr>
            </w:pPr>
            <w:r>
              <w:rPr>
                <w:rFonts w:ascii="Times New Roman" w:hAnsi="Times New Roman"/>
                <w:sz w:val="28"/>
                <w:szCs w:val="28"/>
              </w:rPr>
              <w:t>0,38</w:t>
            </w:r>
          </w:p>
        </w:tc>
      </w:tr>
      <w:tr w:rsidR="00486DA3" w:rsidTr="00BD5AE6">
        <w:trPr>
          <w:trHeight w:val="323"/>
        </w:trPr>
        <w:tc>
          <w:tcPr>
            <w:tcW w:w="2128"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pPr>
              <w:rPr>
                <w:rFonts w:ascii="Times New Roman" w:hAnsi="Times New Roman"/>
                <w:sz w:val="28"/>
                <w:szCs w:val="28"/>
              </w:rPr>
            </w:pPr>
          </w:p>
        </w:tc>
        <w:tc>
          <w:tcPr>
            <w:tcW w:w="1560" w:type="dxa"/>
            <w:tcBorders>
              <w:top w:val="nil"/>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 xml:space="preserve">ИВ </w:t>
            </w:r>
          </w:p>
        </w:tc>
        <w:tc>
          <w:tcPr>
            <w:tcW w:w="1276" w:type="dxa"/>
            <w:tcBorders>
              <w:top w:val="nil"/>
              <w:left w:val="single" w:sz="4" w:space="0" w:color="auto"/>
              <w:bottom w:val="single" w:sz="4" w:space="0" w:color="auto"/>
              <w:right w:val="single" w:sz="4" w:space="0" w:color="auto"/>
            </w:tcBorders>
            <w:hideMark/>
          </w:tcPr>
          <w:p w:rsidR="00486DA3" w:rsidRDefault="00486DA3">
            <w:pPr>
              <w:jc w:val="center"/>
            </w:pPr>
            <w:r>
              <w:rPr>
                <w:rFonts w:ascii="Times New Roman" w:hAnsi="Times New Roman"/>
                <w:sz w:val="28"/>
                <w:szCs w:val="28"/>
              </w:rPr>
              <w:t>202</w:t>
            </w:r>
          </w:p>
        </w:tc>
        <w:tc>
          <w:tcPr>
            <w:tcW w:w="1134" w:type="dxa"/>
            <w:tcBorders>
              <w:top w:val="nil"/>
              <w:left w:val="single" w:sz="4" w:space="0" w:color="auto"/>
              <w:bottom w:val="single" w:sz="4" w:space="0" w:color="auto"/>
              <w:right w:val="single" w:sz="4" w:space="0" w:color="auto"/>
            </w:tcBorders>
            <w:hideMark/>
          </w:tcPr>
          <w:p w:rsidR="00486DA3" w:rsidRDefault="00486DA3">
            <w:pPr>
              <w:jc w:val="center"/>
            </w:pPr>
            <w:r>
              <w:rPr>
                <w:rFonts w:ascii="Times New Roman" w:hAnsi="Times New Roman"/>
                <w:sz w:val="28"/>
                <w:szCs w:val="28"/>
              </w:rPr>
              <w:t>43</w:t>
            </w:r>
          </w:p>
        </w:tc>
        <w:tc>
          <w:tcPr>
            <w:tcW w:w="2266" w:type="dxa"/>
            <w:tcBorders>
              <w:top w:val="single" w:sz="4" w:space="0" w:color="auto"/>
              <w:left w:val="single" w:sz="4" w:space="0" w:color="auto"/>
              <w:bottom w:val="single" w:sz="4" w:space="0" w:color="auto"/>
              <w:right w:val="single" w:sz="4" w:space="0" w:color="auto"/>
            </w:tcBorders>
            <w:hideMark/>
          </w:tcPr>
          <w:p w:rsidR="00486DA3" w:rsidRDefault="00486DA3">
            <w:pPr>
              <w:jc w:val="center"/>
              <w:rPr>
                <w:rFonts w:ascii="Times New Roman" w:hAnsi="Times New Roman"/>
                <w:sz w:val="28"/>
                <w:szCs w:val="28"/>
              </w:rPr>
            </w:pPr>
            <w:r>
              <w:rPr>
                <w:rFonts w:ascii="Times New Roman" w:hAnsi="Times New Roman"/>
                <w:sz w:val="28"/>
                <w:szCs w:val="28"/>
              </w:rPr>
              <w:t>1,12 (0,69-1,82)</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pPr>
              <w:rPr>
                <w:rFonts w:ascii="Times New Roman" w:hAnsi="Times New Roman"/>
                <w:sz w:val="28"/>
                <w:szCs w:val="28"/>
              </w:rPr>
            </w:pPr>
          </w:p>
        </w:tc>
      </w:tr>
      <w:tr w:rsidR="00486DA3" w:rsidTr="00BD5AE6">
        <w:trPr>
          <w:trHeight w:val="323"/>
        </w:trPr>
        <w:tc>
          <w:tcPr>
            <w:tcW w:w="2128"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pPr>
              <w:rPr>
                <w:rFonts w:ascii="Times New Roman" w:hAnsi="Times New Roman"/>
                <w:sz w:val="28"/>
                <w:szCs w:val="28"/>
              </w:rPr>
            </w:pPr>
          </w:p>
        </w:tc>
        <w:tc>
          <w:tcPr>
            <w:tcW w:w="1560" w:type="dxa"/>
            <w:tcBorders>
              <w:top w:val="nil"/>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Ож</w:t>
            </w:r>
          </w:p>
        </w:tc>
        <w:tc>
          <w:tcPr>
            <w:tcW w:w="1276" w:type="dxa"/>
            <w:tcBorders>
              <w:top w:val="nil"/>
              <w:left w:val="single" w:sz="4" w:space="0" w:color="auto"/>
              <w:bottom w:val="single" w:sz="4" w:space="0" w:color="auto"/>
              <w:right w:val="single" w:sz="4" w:space="0" w:color="auto"/>
            </w:tcBorders>
            <w:hideMark/>
          </w:tcPr>
          <w:p w:rsidR="00486DA3" w:rsidRDefault="00486DA3">
            <w:pPr>
              <w:jc w:val="center"/>
            </w:pPr>
            <w:r>
              <w:rPr>
                <w:rFonts w:ascii="Times New Roman" w:hAnsi="Times New Roman"/>
                <w:sz w:val="28"/>
                <w:szCs w:val="28"/>
              </w:rPr>
              <w:t>91</w:t>
            </w:r>
          </w:p>
        </w:tc>
        <w:tc>
          <w:tcPr>
            <w:tcW w:w="1134" w:type="dxa"/>
            <w:tcBorders>
              <w:top w:val="nil"/>
              <w:left w:val="single" w:sz="4" w:space="0" w:color="auto"/>
              <w:bottom w:val="single" w:sz="4" w:space="0" w:color="auto"/>
              <w:right w:val="single" w:sz="4" w:space="0" w:color="auto"/>
            </w:tcBorders>
            <w:hideMark/>
          </w:tcPr>
          <w:p w:rsidR="00486DA3" w:rsidRDefault="00486DA3">
            <w:pPr>
              <w:jc w:val="center"/>
            </w:pPr>
            <w:r>
              <w:rPr>
                <w:rFonts w:ascii="Times New Roman" w:hAnsi="Times New Roman"/>
                <w:sz w:val="28"/>
                <w:szCs w:val="28"/>
              </w:rPr>
              <w:t>12</w:t>
            </w:r>
          </w:p>
        </w:tc>
        <w:tc>
          <w:tcPr>
            <w:tcW w:w="2266" w:type="dxa"/>
            <w:tcBorders>
              <w:top w:val="single" w:sz="4" w:space="0" w:color="auto"/>
              <w:left w:val="single" w:sz="4" w:space="0" w:color="auto"/>
              <w:bottom w:val="single" w:sz="4" w:space="0" w:color="auto"/>
              <w:right w:val="single" w:sz="4" w:space="0" w:color="auto"/>
            </w:tcBorders>
            <w:hideMark/>
          </w:tcPr>
          <w:p w:rsidR="00486DA3" w:rsidRDefault="00486DA3">
            <w:pPr>
              <w:jc w:val="center"/>
              <w:rPr>
                <w:rFonts w:ascii="Times New Roman" w:hAnsi="Times New Roman"/>
                <w:sz w:val="28"/>
                <w:szCs w:val="28"/>
              </w:rPr>
            </w:pPr>
            <w:r>
              <w:rPr>
                <w:rFonts w:ascii="Times New Roman" w:hAnsi="Times New Roman"/>
                <w:sz w:val="28"/>
                <w:szCs w:val="28"/>
              </w:rPr>
              <w:t>0,69 (0,35-1,39)</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pPr>
              <w:rPr>
                <w:rFonts w:ascii="Times New Roman" w:hAnsi="Times New Roman"/>
                <w:sz w:val="28"/>
                <w:szCs w:val="28"/>
              </w:rPr>
            </w:pPr>
          </w:p>
        </w:tc>
      </w:tr>
      <w:tr w:rsidR="00486DA3" w:rsidTr="00BD5AE6">
        <w:trPr>
          <w:trHeight w:val="323"/>
        </w:trPr>
        <w:tc>
          <w:tcPr>
            <w:tcW w:w="2128" w:type="dxa"/>
            <w:vMerge w:val="restart"/>
            <w:tcBorders>
              <w:top w:val="single" w:sz="4" w:space="0" w:color="auto"/>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Статус курения</w:t>
            </w:r>
          </w:p>
        </w:tc>
        <w:tc>
          <w:tcPr>
            <w:tcW w:w="1560" w:type="dxa"/>
            <w:tcBorders>
              <w:top w:val="nil"/>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Не курит</w:t>
            </w:r>
          </w:p>
        </w:tc>
        <w:tc>
          <w:tcPr>
            <w:tcW w:w="1276" w:type="dxa"/>
            <w:tcBorders>
              <w:top w:val="nil"/>
              <w:left w:val="single" w:sz="4" w:space="0" w:color="auto"/>
              <w:bottom w:val="single" w:sz="4" w:space="0" w:color="auto"/>
              <w:right w:val="single" w:sz="4" w:space="0" w:color="auto"/>
            </w:tcBorders>
            <w:hideMark/>
          </w:tcPr>
          <w:p w:rsidR="00486DA3" w:rsidRDefault="00486DA3">
            <w:pPr>
              <w:jc w:val="center"/>
            </w:pPr>
            <w:r>
              <w:rPr>
                <w:rFonts w:ascii="Times New Roman" w:hAnsi="Times New Roman"/>
                <w:sz w:val="28"/>
                <w:szCs w:val="28"/>
              </w:rPr>
              <w:t>330</w:t>
            </w:r>
          </w:p>
        </w:tc>
        <w:tc>
          <w:tcPr>
            <w:tcW w:w="1134" w:type="dxa"/>
            <w:tcBorders>
              <w:top w:val="nil"/>
              <w:left w:val="single" w:sz="4" w:space="0" w:color="auto"/>
              <w:bottom w:val="single" w:sz="4" w:space="0" w:color="auto"/>
              <w:right w:val="single" w:sz="4" w:space="0" w:color="auto"/>
            </w:tcBorders>
            <w:hideMark/>
          </w:tcPr>
          <w:p w:rsidR="00486DA3" w:rsidRDefault="00486DA3">
            <w:pPr>
              <w:jc w:val="center"/>
            </w:pPr>
            <w:r>
              <w:rPr>
                <w:rFonts w:ascii="Times New Roman" w:hAnsi="Times New Roman"/>
                <w:sz w:val="28"/>
                <w:szCs w:val="28"/>
              </w:rPr>
              <w:t>60</w:t>
            </w:r>
          </w:p>
        </w:tc>
        <w:tc>
          <w:tcPr>
            <w:tcW w:w="2266" w:type="dxa"/>
            <w:tcBorders>
              <w:top w:val="single" w:sz="4" w:space="0" w:color="auto"/>
              <w:left w:val="single" w:sz="4" w:space="0" w:color="auto"/>
              <w:bottom w:val="single" w:sz="4" w:space="0" w:color="auto"/>
              <w:right w:val="single" w:sz="4" w:space="0" w:color="auto"/>
            </w:tcBorders>
            <w:hideMark/>
          </w:tcPr>
          <w:p w:rsidR="00486DA3" w:rsidRDefault="00486DA3">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486DA3" w:rsidRDefault="00486DA3">
            <w:pPr>
              <w:jc w:val="center"/>
              <w:rPr>
                <w:rFonts w:ascii="Times New Roman" w:hAnsi="Times New Roman"/>
                <w:sz w:val="28"/>
                <w:szCs w:val="28"/>
              </w:rPr>
            </w:pPr>
            <w:r>
              <w:rPr>
                <w:rFonts w:ascii="Times New Roman" w:hAnsi="Times New Roman"/>
                <w:sz w:val="28"/>
                <w:szCs w:val="28"/>
              </w:rPr>
              <w:t>0,53</w:t>
            </w:r>
          </w:p>
        </w:tc>
      </w:tr>
      <w:tr w:rsidR="00486DA3" w:rsidTr="00BD5AE6">
        <w:trPr>
          <w:trHeight w:val="323"/>
        </w:trPr>
        <w:tc>
          <w:tcPr>
            <w:tcW w:w="2128"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Курит</w:t>
            </w:r>
          </w:p>
        </w:tc>
        <w:tc>
          <w:tcPr>
            <w:tcW w:w="1276" w:type="dxa"/>
            <w:tcBorders>
              <w:top w:val="nil"/>
              <w:left w:val="single" w:sz="4" w:space="0" w:color="auto"/>
              <w:bottom w:val="single" w:sz="4" w:space="0" w:color="auto"/>
              <w:right w:val="single" w:sz="4" w:space="0" w:color="auto"/>
            </w:tcBorders>
            <w:hideMark/>
          </w:tcPr>
          <w:p w:rsidR="00486DA3" w:rsidRDefault="00486DA3">
            <w:pPr>
              <w:jc w:val="center"/>
            </w:pPr>
            <w:r>
              <w:rPr>
                <w:rFonts w:ascii="Times New Roman" w:hAnsi="Times New Roman"/>
                <w:sz w:val="28"/>
                <w:szCs w:val="28"/>
              </w:rPr>
              <w:t>132</w:t>
            </w:r>
          </w:p>
        </w:tc>
        <w:tc>
          <w:tcPr>
            <w:tcW w:w="1134" w:type="dxa"/>
            <w:tcBorders>
              <w:top w:val="nil"/>
              <w:left w:val="single" w:sz="4" w:space="0" w:color="auto"/>
              <w:bottom w:val="single" w:sz="4" w:space="0" w:color="auto"/>
              <w:right w:val="single" w:sz="4" w:space="0" w:color="auto"/>
            </w:tcBorders>
            <w:hideMark/>
          </w:tcPr>
          <w:p w:rsidR="00486DA3" w:rsidRDefault="00486DA3">
            <w:pPr>
              <w:jc w:val="center"/>
            </w:pPr>
            <w:r>
              <w:rPr>
                <w:rFonts w:ascii="Times New Roman" w:hAnsi="Times New Roman"/>
                <w:sz w:val="28"/>
                <w:szCs w:val="28"/>
              </w:rPr>
              <w:t>29</w:t>
            </w:r>
          </w:p>
        </w:tc>
        <w:tc>
          <w:tcPr>
            <w:tcW w:w="2266" w:type="dxa"/>
            <w:tcBorders>
              <w:top w:val="single" w:sz="4" w:space="0" w:color="auto"/>
              <w:left w:val="single" w:sz="4" w:space="0" w:color="auto"/>
              <w:bottom w:val="single" w:sz="4" w:space="0" w:color="auto"/>
              <w:right w:val="single" w:sz="4" w:space="0" w:color="auto"/>
            </w:tcBorders>
            <w:hideMark/>
          </w:tcPr>
          <w:p w:rsidR="00486DA3" w:rsidRDefault="00486DA3">
            <w:pPr>
              <w:jc w:val="center"/>
              <w:rPr>
                <w:rFonts w:ascii="Times New Roman" w:hAnsi="Times New Roman"/>
                <w:sz w:val="28"/>
                <w:szCs w:val="28"/>
              </w:rPr>
            </w:pPr>
            <w:r>
              <w:rPr>
                <w:rFonts w:ascii="Times New Roman" w:hAnsi="Times New Roman"/>
                <w:sz w:val="28"/>
                <w:szCs w:val="28"/>
              </w:rPr>
              <w:t>1,21 (0,74-1,97)</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pPr>
              <w:rPr>
                <w:rFonts w:ascii="Times New Roman" w:hAnsi="Times New Roman"/>
                <w:sz w:val="28"/>
                <w:szCs w:val="28"/>
              </w:rPr>
            </w:pPr>
          </w:p>
        </w:tc>
      </w:tr>
      <w:tr w:rsidR="00486DA3" w:rsidTr="00BD5AE6">
        <w:trPr>
          <w:trHeight w:val="323"/>
        </w:trPr>
        <w:tc>
          <w:tcPr>
            <w:tcW w:w="2128"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486DA3" w:rsidRDefault="00486DA3">
            <w:pPr>
              <w:jc w:val="center"/>
              <w:rPr>
                <w:rFonts w:ascii="Times New Roman" w:hAnsi="Times New Roman"/>
                <w:sz w:val="28"/>
                <w:szCs w:val="28"/>
              </w:rPr>
            </w:pPr>
            <w:r>
              <w:rPr>
                <w:rFonts w:ascii="Times New Roman" w:hAnsi="Times New Roman"/>
                <w:sz w:val="28"/>
                <w:szCs w:val="28"/>
              </w:rPr>
              <w:t>Бросил</w:t>
            </w:r>
          </w:p>
        </w:tc>
        <w:tc>
          <w:tcPr>
            <w:tcW w:w="1276" w:type="dxa"/>
            <w:tcBorders>
              <w:top w:val="nil"/>
              <w:left w:val="single" w:sz="4" w:space="0" w:color="auto"/>
              <w:bottom w:val="single" w:sz="4" w:space="0" w:color="auto"/>
              <w:right w:val="single" w:sz="4" w:space="0" w:color="auto"/>
            </w:tcBorders>
            <w:hideMark/>
          </w:tcPr>
          <w:p w:rsidR="00486DA3" w:rsidRDefault="00486DA3">
            <w:pPr>
              <w:jc w:val="center"/>
            </w:pPr>
            <w:r>
              <w:rPr>
                <w:rFonts w:ascii="Times New Roman" w:hAnsi="Times New Roman"/>
                <w:sz w:val="28"/>
                <w:szCs w:val="28"/>
              </w:rPr>
              <w:t>26</w:t>
            </w:r>
          </w:p>
        </w:tc>
        <w:tc>
          <w:tcPr>
            <w:tcW w:w="1134" w:type="dxa"/>
            <w:tcBorders>
              <w:top w:val="nil"/>
              <w:left w:val="single" w:sz="4" w:space="0" w:color="auto"/>
              <w:bottom w:val="single" w:sz="4" w:space="0" w:color="auto"/>
              <w:right w:val="single" w:sz="4" w:space="0" w:color="auto"/>
            </w:tcBorders>
            <w:hideMark/>
          </w:tcPr>
          <w:p w:rsidR="00486DA3" w:rsidRDefault="00486DA3">
            <w:pPr>
              <w:jc w:val="center"/>
            </w:pPr>
            <w:r>
              <w:rPr>
                <w:rFonts w:ascii="Times New Roman" w:hAnsi="Times New Roman"/>
                <w:sz w:val="28"/>
                <w:szCs w:val="28"/>
              </w:rPr>
              <w:t>3</w:t>
            </w:r>
          </w:p>
        </w:tc>
        <w:tc>
          <w:tcPr>
            <w:tcW w:w="2266" w:type="dxa"/>
            <w:tcBorders>
              <w:top w:val="single" w:sz="4" w:space="0" w:color="auto"/>
              <w:left w:val="single" w:sz="4" w:space="0" w:color="auto"/>
              <w:bottom w:val="single" w:sz="4" w:space="0" w:color="auto"/>
              <w:right w:val="single" w:sz="4" w:space="0" w:color="auto"/>
            </w:tcBorders>
            <w:hideMark/>
          </w:tcPr>
          <w:p w:rsidR="00486DA3" w:rsidRDefault="00486DA3">
            <w:pPr>
              <w:jc w:val="center"/>
              <w:rPr>
                <w:rFonts w:ascii="Times New Roman" w:hAnsi="Times New Roman"/>
                <w:sz w:val="28"/>
                <w:szCs w:val="28"/>
              </w:rPr>
            </w:pPr>
            <w:r>
              <w:rPr>
                <w:rFonts w:ascii="Times New Roman" w:hAnsi="Times New Roman"/>
                <w:sz w:val="28"/>
                <w:szCs w:val="28"/>
              </w:rPr>
              <w:t>0,63 (0,19-2,16)</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pPr>
              <w:rPr>
                <w:rFonts w:ascii="Times New Roman" w:hAnsi="Times New Roman"/>
                <w:sz w:val="28"/>
                <w:szCs w:val="28"/>
              </w:rPr>
            </w:pPr>
          </w:p>
        </w:tc>
      </w:tr>
      <w:tr w:rsidR="00486DA3" w:rsidTr="00BD5AE6">
        <w:trPr>
          <w:trHeight w:val="442"/>
        </w:trPr>
        <w:tc>
          <w:tcPr>
            <w:tcW w:w="9498" w:type="dxa"/>
            <w:gridSpan w:val="6"/>
            <w:tcBorders>
              <w:top w:val="single" w:sz="4" w:space="0" w:color="auto"/>
              <w:left w:val="single" w:sz="4" w:space="0" w:color="auto"/>
              <w:bottom w:val="single" w:sz="4" w:space="0" w:color="auto"/>
              <w:right w:val="single" w:sz="4" w:space="0" w:color="auto"/>
            </w:tcBorders>
            <w:hideMark/>
          </w:tcPr>
          <w:p w:rsidR="00486DA3" w:rsidRDefault="00486DA3">
            <w:pPr>
              <w:jc w:val="both"/>
              <w:rPr>
                <w:rFonts w:ascii="Times New Roman" w:hAnsi="Times New Roman"/>
                <w:szCs w:val="24"/>
              </w:rPr>
            </w:pPr>
            <w:r>
              <w:rPr>
                <w:rFonts w:ascii="Times New Roman" w:hAnsi="Times New Roman"/>
                <w:szCs w:val="24"/>
              </w:rPr>
              <w:t xml:space="preserve">Примечание НВ – нормальный вес; ИВ – избыточный вес; Ож – ожирение; </w:t>
            </w:r>
          </w:p>
          <w:p w:rsidR="00486DA3" w:rsidRDefault="00486DA3">
            <w:pPr>
              <w:jc w:val="both"/>
              <w:rPr>
                <w:rFonts w:ascii="Times New Roman" w:hAnsi="Times New Roman"/>
                <w:sz w:val="24"/>
                <w:szCs w:val="24"/>
              </w:rPr>
            </w:pPr>
            <w:r>
              <w:rPr>
                <w:rFonts w:ascii="Times New Roman" w:hAnsi="Times New Roman"/>
                <w:szCs w:val="24"/>
              </w:rPr>
              <w:t>* - χ</w:t>
            </w:r>
            <w:r>
              <w:rPr>
                <w:rFonts w:ascii="Times New Roman" w:hAnsi="Times New Roman"/>
                <w:szCs w:val="24"/>
                <w:vertAlign w:val="superscript"/>
              </w:rPr>
              <w:t>2</w:t>
            </w:r>
            <w:r>
              <w:rPr>
                <w:rFonts w:ascii="Times New Roman" w:hAnsi="Times New Roman"/>
                <w:szCs w:val="24"/>
              </w:rPr>
              <w:t xml:space="preserve"> – хи квадрат Пирсона; ОШ (95% ДИ) – Отношение шансов (95% Доверительный интервал)</w:t>
            </w:r>
          </w:p>
        </w:tc>
      </w:tr>
    </w:tbl>
    <w:p w:rsidR="00905C77" w:rsidRDefault="00B324BD" w:rsidP="00905C7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Кроме ДАД другие клинические показатели имели схожие уровни средних величин между группами ОХС (таблица 8). </w:t>
      </w:r>
      <w:r w:rsidR="002C26A4">
        <w:rPr>
          <w:rFonts w:ascii="Times New Roman" w:hAnsi="Times New Roman" w:cs="Times New Roman"/>
          <w:sz w:val="28"/>
          <w:szCs w:val="28"/>
        </w:rPr>
        <w:t>При изучении взаимосвязи между группами ОХС и группами факторов риска не было обнаружено статистически значимой связи (таблица 9).</w:t>
      </w:r>
      <w:r w:rsidR="00C708E3">
        <w:rPr>
          <w:rFonts w:ascii="Times New Roman" w:hAnsi="Times New Roman" w:cs="Times New Roman"/>
          <w:sz w:val="28"/>
          <w:szCs w:val="28"/>
        </w:rPr>
        <w:t xml:space="preserve"> </w:t>
      </w:r>
      <w:r w:rsidR="00905C77">
        <w:rPr>
          <w:rFonts w:ascii="Times New Roman" w:hAnsi="Times New Roman" w:cs="Times New Roman"/>
          <w:sz w:val="28"/>
          <w:szCs w:val="28"/>
        </w:rPr>
        <w:t>Распределения биохимических показателей по группам ОХС в исследуемой выборке представлены в таблице 10.</w:t>
      </w:r>
    </w:p>
    <w:p w:rsidR="00905C77" w:rsidRDefault="00905C77" w:rsidP="00905C7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оценке различий между средними значениями в группах ОХС было обнаружено, что уровни ТГ, ЛПНП, ЛПВП, апоВ и соотношении апоВ/апоА1 отличались по группам ОХС (таблица 10). У </w:t>
      </w:r>
      <w:r w:rsidR="00882293">
        <w:rPr>
          <w:rFonts w:ascii="Times New Roman" w:hAnsi="Times New Roman" w:cs="Times New Roman"/>
          <w:sz w:val="28"/>
          <w:szCs w:val="28"/>
        </w:rPr>
        <w:t>участников</w:t>
      </w:r>
      <w:r>
        <w:rPr>
          <w:rFonts w:ascii="Times New Roman" w:hAnsi="Times New Roman" w:cs="Times New Roman"/>
          <w:sz w:val="28"/>
          <w:szCs w:val="28"/>
        </w:rPr>
        <w:t xml:space="preserve"> с гиперхолестеринемией чаще встречались высокие уровни ТГ, ЛПНП, ЛПВП, апоВ и </w:t>
      </w:r>
      <w:r w:rsidR="00EF11DD">
        <w:rPr>
          <w:rFonts w:ascii="Times New Roman" w:hAnsi="Times New Roman" w:cs="Times New Roman"/>
          <w:sz w:val="28"/>
          <w:szCs w:val="28"/>
          <w:lang w:val="kk-KZ"/>
        </w:rPr>
        <w:t xml:space="preserve">значение </w:t>
      </w:r>
      <w:r>
        <w:rPr>
          <w:rFonts w:ascii="Times New Roman" w:hAnsi="Times New Roman" w:cs="Times New Roman"/>
          <w:sz w:val="28"/>
          <w:szCs w:val="28"/>
        </w:rPr>
        <w:t>апоВ/апоА1, а низкие уровни ЛПВП чаще сопровождались с нормальными уровнями ОХС (таблица 10).</w:t>
      </w:r>
    </w:p>
    <w:p w:rsidR="00905C77" w:rsidRDefault="00905C77" w:rsidP="00905C77">
      <w:pPr>
        <w:spacing w:after="0" w:line="240" w:lineRule="auto"/>
        <w:jc w:val="both"/>
        <w:rPr>
          <w:rFonts w:ascii="Times New Roman" w:hAnsi="Times New Roman" w:cs="Times New Roman"/>
          <w:sz w:val="28"/>
          <w:szCs w:val="28"/>
        </w:rPr>
      </w:pPr>
    </w:p>
    <w:p w:rsidR="00AB12B3" w:rsidRDefault="00AB12B3" w:rsidP="00EF3CBF">
      <w:pPr>
        <w:spacing w:after="0" w:line="240" w:lineRule="auto"/>
        <w:jc w:val="both"/>
        <w:rPr>
          <w:rFonts w:ascii="Times New Roman" w:hAnsi="Times New Roman" w:cs="Times New Roman"/>
          <w:sz w:val="28"/>
          <w:szCs w:val="28"/>
          <w:lang w:val="kk-KZ"/>
        </w:rPr>
      </w:pPr>
      <w:r w:rsidRPr="00F273C8">
        <w:rPr>
          <w:rFonts w:ascii="Times New Roman" w:hAnsi="Times New Roman" w:cs="Times New Roman"/>
          <w:bCs/>
          <w:sz w:val="28"/>
          <w:szCs w:val="28"/>
        </w:rPr>
        <w:t>Таблиц</w:t>
      </w:r>
      <w:r w:rsidR="00F273C8">
        <w:rPr>
          <w:rFonts w:ascii="Times New Roman" w:hAnsi="Times New Roman" w:cs="Times New Roman"/>
          <w:bCs/>
          <w:sz w:val="28"/>
          <w:szCs w:val="28"/>
        </w:rPr>
        <w:t>а</w:t>
      </w:r>
      <w:r w:rsidR="00E3665A">
        <w:rPr>
          <w:rFonts w:ascii="Times New Roman" w:hAnsi="Times New Roman" w:cs="Times New Roman"/>
          <w:bCs/>
          <w:sz w:val="28"/>
          <w:szCs w:val="28"/>
        </w:rPr>
        <w:t xml:space="preserve"> </w:t>
      </w:r>
      <w:r w:rsidRPr="00F273C8">
        <w:rPr>
          <w:rFonts w:ascii="Times New Roman" w:hAnsi="Times New Roman" w:cs="Times New Roman"/>
          <w:bCs/>
          <w:sz w:val="28"/>
          <w:szCs w:val="28"/>
        </w:rPr>
        <w:t>10</w:t>
      </w:r>
      <w:r w:rsidR="003441A2">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средних величин биохим</w:t>
      </w:r>
      <w:r w:rsidR="00DA15C9">
        <w:rPr>
          <w:rFonts w:ascii="Times New Roman" w:hAnsi="Times New Roman" w:cs="Times New Roman"/>
          <w:sz w:val="28"/>
          <w:szCs w:val="28"/>
        </w:rPr>
        <w:t>ических показателей по группам общего холестерина</w:t>
      </w:r>
    </w:p>
    <w:p w:rsidR="00E83EC5" w:rsidRPr="00E83EC5" w:rsidRDefault="00E83EC5" w:rsidP="00EF3CBF">
      <w:pPr>
        <w:spacing w:after="0" w:line="240" w:lineRule="auto"/>
        <w:jc w:val="both"/>
        <w:rPr>
          <w:rFonts w:ascii="Times New Roman" w:hAnsi="Times New Roman" w:cs="Times New Roman"/>
          <w:sz w:val="28"/>
          <w:szCs w:val="28"/>
          <w:lang w:val="kk-KZ"/>
        </w:rPr>
      </w:pPr>
    </w:p>
    <w:tbl>
      <w:tblPr>
        <w:tblStyle w:val="af7"/>
        <w:tblW w:w="9495" w:type="dxa"/>
        <w:tblInd w:w="108" w:type="dxa"/>
        <w:tblLayout w:type="fixed"/>
        <w:tblLook w:val="04A0" w:firstRow="1" w:lastRow="0" w:firstColumn="1" w:lastColumn="0" w:noHBand="0" w:noVBand="1"/>
      </w:tblPr>
      <w:tblGrid>
        <w:gridCol w:w="2835"/>
        <w:gridCol w:w="2694"/>
        <w:gridCol w:w="2835"/>
        <w:gridCol w:w="1131"/>
      </w:tblGrid>
      <w:tr w:rsidR="00AB12B3" w:rsidTr="004C1109">
        <w:trPr>
          <w:trHeight w:val="377"/>
        </w:trPr>
        <w:tc>
          <w:tcPr>
            <w:tcW w:w="2835"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5529"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ОХС, ммоль/л</w:t>
            </w:r>
          </w:p>
        </w:tc>
        <w:tc>
          <w:tcPr>
            <w:tcW w:w="1131"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4C1109">
        <w:trPr>
          <w:trHeight w:val="379"/>
        </w:trPr>
        <w:tc>
          <w:tcPr>
            <w:tcW w:w="2835"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69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≤4,9</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2835"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&gt;4,9</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4C1109">
        <w:trPr>
          <w:trHeight w:val="323"/>
        </w:trPr>
        <w:tc>
          <w:tcPr>
            <w:tcW w:w="2835"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ТГ, ммоль/л, n=580</w:t>
            </w:r>
          </w:p>
        </w:tc>
        <w:tc>
          <w:tcPr>
            <w:tcW w:w="269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1,18±0,83 (0,85-1,67)</w:t>
            </w:r>
          </w:p>
        </w:tc>
        <w:tc>
          <w:tcPr>
            <w:tcW w:w="2835"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1,44±1,16 (0,94-2,09)</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0,003</w:t>
            </w:r>
          </w:p>
        </w:tc>
      </w:tr>
      <w:tr w:rsidR="00AB12B3" w:rsidTr="004C1109">
        <w:trPr>
          <w:trHeight w:val="323"/>
        </w:trPr>
        <w:tc>
          <w:tcPr>
            <w:tcW w:w="2835"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ЛПНП</w:t>
            </w:r>
            <w:r w:rsidRPr="00726D05">
              <w:rPr>
                <w:rFonts w:ascii="Century" w:hAnsi="Century"/>
                <w:sz w:val="28"/>
                <w:szCs w:val="28"/>
              </w:rPr>
              <w:t>,</w:t>
            </w:r>
            <w:r>
              <w:rPr>
                <w:rFonts w:ascii="Times New Roman" w:hAnsi="Times New Roman"/>
                <w:sz w:val="28"/>
                <w:szCs w:val="28"/>
              </w:rPr>
              <w:t xml:space="preserve"> ммоль/л</w:t>
            </w:r>
            <w:r w:rsidRPr="00726D05">
              <w:rPr>
                <w:rFonts w:ascii="Century" w:hAnsi="Century"/>
                <w:sz w:val="28"/>
                <w:szCs w:val="28"/>
              </w:rPr>
              <w:t>,</w:t>
            </w:r>
            <w:r>
              <w:rPr>
                <w:rFonts w:ascii="Times New Roman" w:hAnsi="Times New Roman"/>
                <w:sz w:val="28"/>
                <w:szCs w:val="28"/>
              </w:rPr>
              <w:t xml:space="preserve"> n</w:t>
            </w:r>
            <w:r w:rsidRPr="00726D05">
              <w:rPr>
                <w:rFonts w:ascii="Century" w:hAnsi="Century"/>
                <w:sz w:val="28"/>
                <w:szCs w:val="28"/>
              </w:rPr>
              <w:t>=</w:t>
            </w:r>
            <w:r>
              <w:rPr>
                <w:rFonts w:ascii="Times New Roman" w:hAnsi="Times New Roman"/>
                <w:sz w:val="28"/>
                <w:szCs w:val="28"/>
              </w:rPr>
              <w:t>580</w:t>
            </w:r>
          </w:p>
        </w:tc>
        <w:tc>
          <w:tcPr>
            <w:tcW w:w="269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w:t>
            </w:r>
            <w:r w:rsidRPr="00726D05">
              <w:rPr>
                <w:rFonts w:ascii="Century" w:hAnsi="Century"/>
                <w:sz w:val="28"/>
                <w:szCs w:val="28"/>
              </w:rPr>
              <w:t>,</w:t>
            </w:r>
            <w:r>
              <w:rPr>
                <w:rFonts w:ascii="Times New Roman" w:hAnsi="Times New Roman"/>
                <w:sz w:val="28"/>
                <w:szCs w:val="28"/>
              </w:rPr>
              <w:t>82</w:t>
            </w:r>
            <w:r w:rsidRPr="00726D05">
              <w:rPr>
                <w:rFonts w:ascii="Century" w:hAnsi="Century"/>
                <w:sz w:val="28"/>
                <w:szCs w:val="28"/>
              </w:rPr>
              <w:t>±</w:t>
            </w:r>
            <w:r>
              <w:rPr>
                <w:rFonts w:ascii="Times New Roman" w:hAnsi="Times New Roman"/>
                <w:sz w:val="28"/>
                <w:szCs w:val="28"/>
              </w:rPr>
              <w:t>1</w:t>
            </w:r>
            <w:r w:rsidRPr="00726D05">
              <w:rPr>
                <w:rFonts w:ascii="Century" w:hAnsi="Century"/>
                <w:sz w:val="28"/>
                <w:szCs w:val="28"/>
              </w:rPr>
              <w:t>,</w:t>
            </w:r>
            <w:r>
              <w:rPr>
                <w:rFonts w:ascii="Times New Roman" w:hAnsi="Times New Roman"/>
                <w:sz w:val="28"/>
                <w:szCs w:val="28"/>
              </w:rPr>
              <w:t>12 (1,37</w:t>
            </w:r>
            <w:r w:rsidRPr="00726D05">
              <w:rPr>
                <w:rFonts w:ascii="Century" w:hAnsi="Century"/>
                <w:sz w:val="28"/>
                <w:szCs w:val="28"/>
              </w:rPr>
              <w:t>-</w:t>
            </w:r>
            <w:r>
              <w:rPr>
                <w:rFonts w:ascii="Times New Roman" w:hAnsi="Times New Roman"/>
                <w:sz w:val="28"/>
                <w:szCs w:val="28"/>
              </w:rPr>
              <w:t>2,49)</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w:t>
            </w:r>
            <w:r w:rsidRPr="00726D05">
              <w:rPr>
                <w:rFonts w:ascii="Century" w:hAnsi="Century"/>
                <w:sz w:val="28"/>
                <w:szCs w:val="28"/>
              </w:rPr>
              <w:t>,</w:t>
            </w:r>
            <w:r>
              <w:rPr>
                <w:rFonts w:ascii="Times New Roman" w:hAnsi="Times New Roman"/>
                <w:sz w:val="28"/>
                <w:szCs w:val="28"/>
              </w:rPr>
              <w:t>37</w:t>
            </w:r>
            <w:r w:rsidRPr="00726D05">
              <w:rPr>
                <w:rFonts w:ascii="Century" w:hAnsi="Century"/>
                <w:sz w:val="28"/>
                <w:szCs w:val="28"/>
              </w:rPr>
              <w:t>±</w:t>
            </w:r>
            <w:r>
              <w:rPr>
                <w:rFonts w:ascii="Times New Roman" w:hAnsi="Times New Roman"/>
                <w:sz w:val="28"/>
                <w:szCs w:val="28"/>
              </w:rPr>
              <w:t>1</w:t>
            </w:r>
            <w:r w:rsidRPr="00726D05">
              <w:rPr>
                <w:rFonts w:ascii="Century" w:hAnsi="Century"/>
                <w:sz w:val="28"/>
                <w:szCs w:val="28"/>
              </w:rPr>
              <w:t>,</w:t>
            </w:r>
            <w:r>
              <w:rPr>
                <w:rFonts w:ascii="Times New Roman" w:hAnsi="Times New Roman"/>
                <w:sz w:val="28"/>
                <w:szCs w:val="28"/>
              </w:rPr>
              <w:t>78 (1</w:t>
            </w:r>
            <w:r w:rsidRPr="00726D05">
              <w:rPr>
                <w:rFonts w:ascii="Century" w:hAnsi="Century"/>
                <w:sz w:val="28"/>
                <w:szCs w:val="28"/>
              </w:rPr>
              <w:t>,</w:t>
            </w:r>
            <w:r>
              <w:rPr>
                <w:rFonts w:ascii="Times New Roman" w:hAnsi="Times New Roman"/>
                <w:sz w:val="28"/>
                <w:szCs w:val="28"/>
              </w:rPr>
              <w:t>8-3</w:t>
            </w:r>
            <w:r w:rsidRPr="00726D05">
              <w:rPr>
                <w:rFonts w:ascii="Century" w:hAnsi="Century"/>
                <w:sz w:val="28"/>
                <w:szCs w:val="28"/>
              </w:rPr>
              <w:t>,</w:t>
            </w:r>
            <w:r>
              <w:rPr>
                <w:rFonts w:ascii="Times New Roman" w:hAnsi="Times New Roman"/>
                <w:sz w:val="28"/>
                <w:szCs w:val="28"/>
              </w:rPr>
              <w:t>58)</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4C1109">
        <w:trPr>
          <w:trHeight w:val="323"/>
        </w:trPr>
        <w:tc>
          <w:tcPr>
            <w:tcW w:w="2835"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ЛПВП</w:t>
            </w:r>
            <w:r w:rsidRPr="000D616E">
              <w:rPr>
                <w:rFonts w:ascii="Century" w:hAnsi="Century"/>
                <w:sz w:val="28"/>
                <w:szCs w:val="28"/>
              </w:rPr>
              <w:t xml:space="preserve">, </w:t>
            </w:r>
            <w:r>
              <w:rPr>
                <w:rFonts w:ascii="Times New Roman" w:hAnsi="Times New Roman"/>
                <w:sz w:val="28"/>
                <w:szCs w:val="28"/>
              </w:rPr>
              <w:t>ммоль/л</w:t>
            </w:r>
            <w:r w:rsidRPr="000D616E">
              <w:rPr>
                <w:rFonts w:ascii="Century" w:hAnsi="Century"/>
                <w:sz w:val="28"/>
                <w:szCs w:val="28"/>
              </w:rPr>
              <w:t>,</w:t>
            </w:r>
            <w:r>
              <w:rPr>
                <w:rFonts w:ascii="Times New Roman" w:hAnsi="Times New Roman"/>
                <w:sz w:val="28"/>
                <w:szCs w:val="28"/>
              </w:rPr>
              <w:t xml:space="preserve"> n</w:t>
            </w:r>
            <w:r w:rsidRPr="000D616E">
              <w:rPr>
                <w:rFonts w:ascii="Century" w:hAnsi="Century"/>
                <w:sz w:val="28"/>
                <w:szCs w:val="28"/>
              </w:rPr>
              <w:t>=</w:t>
            </w:r>
            <w:r>
              <w:rPr>
                <w:rFonts w:ascii="Times New Roman" w:hAnsi="Times New Roman"/>
                <w:sz w:val="28"/>
                <w:szCs w:val="28"/>
              </w:rPr>
              <w:t>580</w:t>
            </w:r>
          </w:p>
        </w:tc>
        <w:tc>
          <w:tcPr>
            <w:tcW w:w="269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0,9±0,72 (0,67-1,4)</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1,68±1,59 (1,37-2,49)</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4C1109">
        <w:trPr>
          <w:trHeight w:val="323"/>
        </w:trPr>
        <w:tc>
          <w:tcPr>
            <w:tcW w:w="2835"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 г/л, n=507</w:t>
            </w:r>
          </w:p>
        </w:tc>
        <w:tc>
          <w:tcPr>
            <w:tcW w:w="269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0,95±0,37 (0,77-1,14)</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1,21±0,64 (0,95-1,59)</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4C1109">
        <w:trPr>
          <w:trHeight w:val="323"/>
        </w:trPr>
        <w:tc>
          <w:tcPr>
            <w:tcW w:w="2835"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апоА1 г/л, n=507</w:t>
            </w:r>
          </w:p>
        </w:tc>
        <w:tc>
          <w:tcPr>
            <w:tcW w:w="269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w:t>
            </w:r>
            <w:r w:rsidRPr="000D616E">
              <w:rPr>
                <w:rFonts w:ascii="Century" w:hAnsi="Century"/>
                <w:sz w:val="28"/>
                <w:szCs w:val="28"/>
              </w:rPr>
              <w:t>,</w:t>
            </w:r>
            <w:r>
              <w:rPr>
                <w:rFonts w:ascii="Times New Roman" w:hAnsi="Times New Roman"/>
                <w:sz w:val="28"/>
                <w:szCs w:val="28"/>
              </w:rPr>
              <w:t>5</w:t>
            </w:r>
            <w:r w:rsidRPr="000D616E">
              <w:rPr>
                <w:rFonts w:ascii="Century" w:hAnsi="Century"/>
                <w:sz w:val="28"/>
                <w:szCs w:val="28"/>
              </w:rPr>
              <w:t>±</w:t>
            </w:r>
            <w:r>
              <w:rPr>
                <w:rFonts w:ascii="Times New Roman" w:hAnsi="Times New Roman"/>
                <w:sz w:val="28"/>
                <w:szCs w:val="28"/>
              </w:rPr>
              <w:t>0,41 (1</w:t>
            </w:r>
            <w:r w:rsidRPr="000D616E">
              <w:rPr>
                <w:rFonts w:ascii="Century" w:hAnsi="Century"/>
                <w:sz w:val="28"/>
                <w:szCs w:val="28"/>
              </w:rPr>
              <w:t>,</w:t>
            </w:r>
            <w:r>
              <w:rPr>
                <w:rFonts w:ascii="Times New Roman" w:hAnsi="Times New Roman"/>
                <w:sz w:val="28"/>
                <w:szCs w:val="28"/>
              </w:rPr>
              <w:t>31</w:t>
            </w:r>
            <w:r w:rsidRPr="000D616E">
              <w:rPr>
                <w:rFonts w:ascii="Century" w:hAnsi="Century"/>
                <w:sz w:val="28"/>
                <w:szCs w:val="28"/>
              </w:rPr>
              <w:t>-</w:t>
            </w:r>
            <w:r>
              <w:rPr>
                <w:rFonts w:ascii="Times New Roman" w:hAnsi="Times New Roman"/>
                <w:sz w:val="28"/>
                <w:szCs w:val="28"/>
              </w:rPr>
              <w:t>1</w:t>
            </w:r>
            <w:r w:rsidRPr="000D616E">
              <w:rPr>
                <w:rFonts w:ascii="Century" w:hAnsi="Century"/>
                <w:sz w:val="28"/>
                <w:szCs w:val="28"/>
              </w:rPr>
              <w:t>,</w:t>
            </w:r>
            <w:r>
              <w:rPr>
                <w:rFonts w:ascii="Times New Roman" w:hAnsi="Times New Roman"/>
                <w:sz w:val="28"/>
                <w:szCs w:val="28"/>
              </w:rPr>
              <w:t>72)</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w:t>
            </w:r>
            <w:r w:rsidRPr="000D616E">
              <w:rPr>
                <w:rFonts w:ascii="Century" w:hAnsi="Century"/>
                <w:sz w:val="28"/>
                <w:szCs w:val="28"/>
              </w:rPr>
              <w:t>,</w:t>
            </w:r>
            <w:r>
              <w:rPr>
                <w:rFonts w:ascii="Times New Roman" w:hAnsi="Times New Roman"/>
                <w:sz w:val="28"/>
                <w:szCs w:val="28"/>
              </w:rPr>
              <w:t>49</w:t>
            </w:r>
            <w:r w:rsidRPr="000D616E">
              <w:rPr>
                <w:rFonts w:ascii="Century" w:hAnsi="Century"/>
                <w:sz w:val="28"/>
                <w:szCs w:val="28"/>
              </w:rPr>
              <w:t>±</w:t>
            </w:r>
            <w:r>
              <w:rPr>
                <w:rFonts w:ascii="Times New Roman" w:hAnsi="Times New Roman"/>
                <w:sz w:val="28"/>
                <w:szCs w:val="28"/>
              </w:rPr>
              <w:t>0</w:t>
            </w:r>
            <w:r w:rsidRPr="000D616E">
              <w:rPr>
                <w:rFonts w:ascii="Century" w:hAnsi="Century"/>
                <w:sz w:val="28"/>
                <w:szCs w:val="28"/>
              </w:rPr>
              <w:t>,</w:t>
            </w:r>
            <w:r>
              <w:rPr>
                <w:rFonts w:ascii="Times New Roman" w:hAnsi="Times New Roman"/>
                <w:sz w:val="28"/>
                <w:szCs w:val="28"/>
              </w:rPr>
              <w:t>44 (1</w:t>
            </w:r>
            <w:r w:rsidRPr="000D616E">
              <w:rPr>
                <w:rFonts w:ascii="Century" w:hAnsi="Century"/>
                <w:sz w:val="28"/>
                <w:szCs w:val="28"/>
              </w:rPr>
              <w:t>,</w:t>
            </w:r>
            <w:r>
              <w:rPr>
                <w:rFonts w:ascii="Times New Roman" w:hAnsi="Times New Roman"/>
                <w:sz w:val="28"/>
                <w:szCs w:val="28"/>
              </w:rPr>
              <w:t>3</w:t>
            </w:r>
            <w:r w:rsidRPr="000D616E">
              <w:rPr>
                <w:rFonts w:ascii="Century" w:hAnsi="Century"/>
                <w:sz w:val="28"/>
                <w:szCs w:val="28"/>
              </w:rPr>
              <w:t>-</w:t>
            </w:r>
            <w:r>
              <w:rPr>
                <w:rFonts w:ascii="Times New Roman" w:hAnsi="Times New Roman"/>
                <w:sz w:val="28"/>
                <w:szCs w:val="28"/>
              </w:rPr>
              <w:t>1</w:t>
            </w:r>
            <w:r w:rsidRPr="000D616E">
              <w:rPr>
                <w:rFonts w:ascii="Century" w:hAnsi="Century"/>
                <w:sz w:val="28"/>
                <w:szCs w:val="28"/>
              </w:rPr>
              <w:t>,</w:t>
            </w:r>
            <w:r>
              <w:rPr>
                <w:rFonts w:ascii="Times New Roman" w:hAnsi="Times New Roman"/>
                <w:sz w:val="28"/>
                <w:szCs w:val="28"/>
              </w:rPr>
              <w:t>75)</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0D616E">
              <w:rPr>
                <w:rFonts w:ascii="Century" w:hAnsi="Century"/>
                <w:sz w:val="28"/>
                <w:szCs w:val="28"/>
              </w:rPr>
              <w:t>,</w:t>
            </w:r>
            <w:r>
              <w:rPr>
                <w:rFonts w:ascii="Times New Roman" w:hAnsi="Times New Roman"/>
                <w:sz w:val="28"/>
                <w:szCs w:val="28"/>
              </w:rPr>
              <w:t>65</w:t>
            </w:r>
          </w:p>
        </w:tc>
      </w:tr>
      <w:tr w:rsidR="00AB12B3" w:rsidTr="004C1109">
        <w:trPr>
          <w:trHeight w:val="323"/>
        </w:trPr>
        <w:tc>
          <w:tcPr>
            <w:tcW w:w="2835"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w:t>
            </w:r>
            <w:r w:rsidRPr="000D616E">
              <w:rPr>
                <w:rFonts w:ascii="Century" w:hAnsi="Century"/>
                <w:sz w:val="28"/>
                <w:szCs w:val="28"/>
              </w:rPr>
              <w:t>/</w:t>
            </w:r>
            <w:r>
              <w:rPr>
                <w:rFonts w:ascii="Times New Roman" w:hAnsi="Times New Roman"/>
                <w:sz w:val="28"/>
                <w:szCs w:val="28"/>
              </w:rPr>
              <w:t>апоА1, n</w:t>
            </w:r>
            <w:r w:rsidRPr="000D616E">
              <w:rPr>
                <w:rFonts w:ascii="Century" w:hAnsi="Century"/>
                <w:sz w:val="28"/>
                <w:szCs w:val="28"/>
              </w:rPr>
              <w:t>=</w:t>
            </w:r>
            <w:r>
              <w:rPr>
                <w:rFonts w:ascii="Times New Roman" w:hAnsi="Times New Roman"/>
                <w:sz w:val="28"/>
                <w:szCs w:val="28"/>
              </w:rPr>
              <w:t>507</w:t>
            </w:r>
          </w:p>
        </w:tc>
        <w:tc>
          <w:tcPr>
            <w:tcW w:w="269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0D616E">
              <w:rPr>
                <w:rFonts w:ascii="Century" w:hAnsi="Century"/>
                <w:sz w:val="28"/>
                <w:szCs w:val="28"/>
              </w:rPr>
              <w:t>,</w:t>
            </w:r>
            <w:r>
              <w:rPr>
                <w:rFonts w:ascii="Times New Roman" w:hAnsi="Times New Roman"/>
                <w:sz w:val="28"/>
                <w:szCs w:val="28"/>
              </w:rPr>
              <w:t>63</w:t>
            </w:r>
            <w:r w:rsidRPr="000D616E">
              <w:rPr>
                <w:rFonts w:ascii="Century" w:hAnsi="Century"/>
                <w:sz w:val="28"/>
                <w:szCs w:val="28"/>
              </w:rPr>
              <w:t>±</w:t>
            </w:r>
            <w:r>
              <w:rPr>
                <w:rFonts w:ascii="Times New Roman" w:hAnsi="Times New Roman"/>
                <w:sz w:val="28"/>
                <w:szCs w:val="28"/>
              </w:rPr>
              <w:t>0</w:t>
            </w:r>
            <w:r w:rsidRPr="000D616E">
              <w:rPr>
                <w:rFonts w:ascii="Century" w:hAnsi="Century"/>
                <w:sz w:val="28"/>
                <w:szCs w:val="28"/>
              </w:rPr>
              <w:t>,</w:t>
            </w:r>
            <w:r>
              <w:rPr>
                <w:rFonts w:ascii="Times New Roman" w:hAnsi="Times New Roman"/>
                <w:sz w:val="28"/>
                <w:szCs w:val="28"/>
              </w:rPr>
              <w:t>3 (0</w:t>
            </w:r>
            <w:r w:rsidRPr="000D616E">
              <w:rPr>
                <w:rFonts w:ascii="Century" w:hAnsi="Century"/>
                <w:sz w:val="28"/>
                <w:szCs w:val="28"/>
              </w:rPr>
              <w:t>,</w:t>
            </w:r>
            <w:r>
              <w:rPr>
                <w:rFonts w:ascii="Times New Roman" w:hAnsi="Times New Roman"/>
                <w:sz w:val="28"/>
                <w:szCs w:val="28"/>
              </w:rPr>
              <w:t>49</w:t>
            </w:r>
            <w:r w:rsidRPr="000D616E">
              <w:rPr>
                <w:rFonts w:ascii="Century" w:hAnsi="Century"/>
                <w:sz w:val="28"/>
                <w:szCs w:val="28"/>
              </w:rPr>
              <w:t>-</w:t>
            </w:r>
            <w:r>
              <w:rPr>
                <w:rFonts w:ascii="Times New Roman" w:hAnsi="Times New Roman"/>
                <w:sz w:val="28"/>
                <w:szCs w:val="28"/>
              </w:rPr>
              <w:t>0</w:t>
            </w:r>
            <w:r w:rsidRPr="000D616E">
              <w:rPr>
                <w:rFonts w:ascii="Century" w:hAnsi="Century"/>
                <w:sz w:val="28"/>
                <w:szCs w:val="28"/>
              </w:rPr>
              <w:t>,</w:t>
            </w:r>
            <w:r>
              <w:rPr>
                <w:rFonts w:ascii="Times New Roman" w:hAnsi="Times New Roman"/>
                <w:sz w:val="28"/>
                <w:szCs w:val="28"/>
              </w:rPr>
              <w:t>79)</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0D616E">
              <w:rPr>
                <w:rFonts w:ascii="Century" w:hAnsi="Century"/>
                <w:sz w:val="28"/>
                <w:szCs w:val="28"/>
              </w:rPr>
              <w:t>,</w:t>
            </w:r>
            <w:r>
              <w:rPr>
                <w:rFonts w:ascii="Times New Roman" w:hAnsi="Times New Roman"/>
                <w:sz w:val="28"/>
                <w:szCs w:val="28"/>
              </w:rPr>
              <w:t>82</w:t>
            </w:r>
            <w:r w:rsidRPr="000D616E">
              <w:rPr>
                <w:rFonts w:ascii="Century" w:hAnsi="Century"/>
                <w:sz w:val="28"/>
                <w:szCs w:val="28"/>
              </w:rPr>
              <w:t>±</w:t>
            </w:r>
            <w:r>
              <w:rPr>
                <w:rFonts w:ascii="Times New Roman" w:hAnsi="Times New Roman"/>
                <w:sz w:val="28"/>
                <w:szCs w:val="28"/>
              </w:rPr>
              <w:t>0</w:t>
            </w:r>
            <w:r w:rsidRPr="000D616E">
              <w:rPr>
                <w:rFonts w:ascii="Century" w:hAnsi="Century"/>
                <w:sz w:val="28"/>
                <w:szCs w:val="28"/>
              </w:rPr>
              <w:t>,</w:t>
            </w:r>
            <w:r>
              <w:rPr>
                <w:rFonts w:ascii="Times New Roman" w:hAnsi="Times New Roman"/>
                <w:sz w:val="28"/>
                <w:szCs w:val="28"/>
              </w:rPr>
              <w:t>43 (0</w:t>
            </w:r>
            <w:r w:rsidRPr="000D616E">
              <w:rPr>
                <w:rFonts w:ascii="Century" w:hAnsi="Century"/>
                <w:sz w:val="28"/>
                <w:szCs w:val="28"/>
              </w:rPr>
              <w:t>,</w:t>
            </w:r>
            <w:r>
              <w:rPr>
                <w:rFonts w:ascii="Times New Roman" w:hAnsi="Times New Roman"/>
                <w:sz w:val="28"/>
                <w:szCs w:val="28"/>
              </w:rPr>
              <w:t>63</w:t>
            </w:r>
            <w:r w:rsidRPr="000D616E">
              <w:rPr>
                <w:rFonts w:ascii="Century" w:hAnsi="Century"/>
                <w:sz w:val="28"/>
                <w:szCs w:val="28"/>
              </w:rPr>
              <w:t>-</w:t>
            </w:r>
            <w:r>
              <w:rPr>
                <w:rFonts w:ascii="Times New Roman" w:hAnsi="Times New Roman"/>
                <w:sz w:val="28"/>
                <w:szCs w:val="28"/>
              </w:rPr>
              <w:t>1</w:t>
            </w:r>
            <w:r w:rsidRPr="000D616E">
              <w:rPr>
                <w:rFonts w:ascii="Century" w:hAnsi="Century"/>
                <w:sz w:val="28"/>
                <w:szCs w:val="28"/>
              </w:rPr>
              <w:t>,</w:t>
            </w:r>
            <w:r>
              <w:rPr>
                <w:rFonts w:ascii="Times New Roman" w:hAnsi="Times New Roman"/>
                <w:sz w:val="28"/>
                <w:szCs w:val="28"/>
              </w:rPr>
              <w:t>07)</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4C1109">
              <w:rPr>
                <w:rFonts w:ascii="Century" w:hAnsi="Century"/>
                <w:sz w:val="28"/>
                <w:szCs w:val="28"/>
              </w:rPr>
              <w:t>,</w:t>
            </w:r>
            <w:r>
              <w:rPr>
                <w:rFonts w:ascii="Times New Roman" w:hAnsi="Times New Roman"/>
                <w:sz w:val="28"/>
                <w:szCs w:val="28"/>
              </w:rPr>
              <w:t>0001</w:t>
            </w:r>
          </w:p>
        </w:tc>
      </w:tr>
      <w:tr w:rsidR="00AB12B3" w:rsidTr="004C1109">
        <w:trPr>
          <w:trHeight w:val="323"/>
        </w:trPr>
        <w:tc>
          <w:tcPr>
            <w:tcW w:w="2835"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Инсулин</w:t>
            </w:r>
            <w:r w:rsidRPr="007B5148">
              <w:rPr>
                <w:rFonts w:ascii="Century" w:hAnsi="Century"/>
                <w:sz w:val="28"/>
                <w:szCs w:val="28"/>
              </w:rPr>
              <w:t>,</w:t>
            </w:r>
            <w:r>
              <w:rPr>
                <w:rFonts w:ascii="Times New Roman" w:hAnsi="Times New Roman"/>
                <w:sz w:val="28"/>
                <w:szCs w:val="28"/>
              </w:rPr>
              <w:t xml:space="preserve"> мкМЕ</w:t>
            </w:r>
            <w:r w:rsidRPr="007B5148">
              <w:rPr>
                <w:rFonts w:ascii="Century" w:hAnsi="Century"/>
                <w:sz w:val="28"/>
                <w:szCs w:val="28"/>
              </w:rPr>
              <w:t>/</w:t>
            </w:r>
            <w:r>
              <w:rPr>
                <w:rFonts w:ascii="Times New Roman" w:hAnsi="Times New Roman"/>
                <w:sz w:val="28"/>
                <w:szCs w:val="28"/>
              </w:rPr>
              <w:t>мл</w:t>
            </w:r>
            <w:r w:rsidRPr="007B5148">
              <w:rPr>
                <w:rFonts w:ascii="Century" w:hAnsi="Century"/>
                <w:sz w:val="28"/>
                <w:szCs w:val="28"/>
              </w:rPr>
              <w:t>,</w:t>
            </w:r>
            <w:r>
              <w:rPr>
                <w:rFonts w:ascii="Times New Roman" w:hAnsi="Times New Roman"/>
                <w:sz w:val="28"/>
                <w:szCs w:val="28"/>
              </w:rPr>
              <w:t xml:space="preserve"> n</w:t>
            </w:r>
            <w:r w:rsidRPr="007B5148">
              <w:rPr>
                <w:rFonts w:ascii="Century" w:hAnsi="Century"/>
                <w:sz w:val="28"/>
                <w:szCs w:val="28"/>
              </w:rPr>
              <w:t>=</w:t>
            </w:r>
            <w:r>
              <w:rPr>
                <w:rFonts w:ascii="Times New Roman" w:hAnsi="Times New Roman"/>
                <w:sz w:val="28"/>
                <w:szCs w:val="28"/>
              </w:rPr>
              <w:t>507</w:t>
            </w:r>
          </w:p>
        </w:tc>
        <w:tc>
          <w:tcPr>
            <w:tcW w:w="2694" w:type="dxa"/>
            <w:tcBorders>
              <w:top w:val="single" w:sz="4" w:space="0" w:color="auto"/>
              <w:left w:val="single" w:sz="4" w:space="0" w:color="auto"/>
              <w:bottom w:val="single" w:sz="4" w:space="0" w:color="auto"/>
              <w:right w:val="single" w:sz="4" w:space="0" w:color="auto"/>
            </w:tcBorders>
            <w:hideMark/>
          </w:tcPr>
          <w:p w:rsidR="00AB12B3" w:rsidRDefault="00AB12B3" w:rsidP="007B5148">
            <w:pPr>
              <w:jc w:val="center"/>
              <w:rPr>
                <w:rFonts w:ascii="Times New Roman" w:hAnsi="Times New Roman"/>
                <w:sz w:val="28"/>
                <w:szCs w:val="28"/>
              </w:rPr>
            </w:pPr>
            <w:r>
              <w:rPr>
                <w:rFonts w:ascii="Times New Roman" w:hAnsi="Times New Roman"/>
                <w:sz w:val="28"/>
                <w:szCs w:val="28"/>
              </w:rPr>
              <w:t>9</w:t>
            </w:r>
            <w:r w:rsidRPr="007B5148">
              <w:rPr>
                <w:rFonts w:ascii="Century" w:hAnsi="Century"/>
                <w:sz w:val="28"/>
                <w:szCs w:val="28"/>
              </w:rPr>
              <w:t>,</w:t>
            </w:r>
            <w:r>
              <w:rPr>
                <w:rFonts w:ascii="Times New Roman" w:hAnsi="Times New Roman"/>
                <w:sz w:val="28"/>
                <w:szCs w:val="28"/>
              </w:rPr>
              <w:t>4</w:t>
            </w:r>
            <w:r w:rsidRPr="007B5148">
              <w:rPr>
                <w:rFonts w:ascii="Century" w:hAnsi="Century"/>
                <w:sz w:val="28"/>
                <w:szCs w:val="28"/>
              </w:rPr>
              <w:t>±</w:t>
            </w:r>
            <w:r>
              <w:rPr>
                <w:rFonts w:ascii="Times New Roman" w:hAnsi="Times New Roman"/>
                <w:sz w:val="28"/>
                <w:szCs w:val="28"/>
              </w:rPr>
              <w:t>9</w:t>
            </w:r>
            <w:r w:rsidRPr="007B5148">
              <w:rPr>
                <w:rFonts w:ascii="Century" w:hAnsi="Century"/>
                <w:sz w:val="28"/>
                <w:szCs w:val="28"/>
              </w:rPr>
              <w:t>,</w:t>
            </w:r>
            <w:r>
              <w:rPr>
                <w:rFonts w:ascii="Times New Roman" w:hAnsi="Times New Roman"/>
                <w:sz w:val="28"/>
                <w:szCs w:val="28"/>
              </w:rPr>
              <w:t>05 (5</w:t>
            </w:r>
            <w:r w:rsidRPr="007B5148">
              <w:rPr>
                <w:rFonts w:ascii="Century" w:hAnsi="Century"/>
                <w:sz w:val="28"/>
                <w:szCs w:val="28"/>
              </w:rPr>
              <w:t>,</w:t>
            </w:r>
            <w:r>
              <w:rPr>
                <w:rFonts w:ascii="Times New Roman" w:hAnsi="Times New Roman"/>
                <w:sz w:val="28"/>
                <w:szCs w:val="28"/>
              </w:rPr>
              <w:t>9-14</w:t>
            </w:r>
            <w:r w:rsidRPr="007B5148">
              <w:rPr>
                <w:rFonts w:ascii="Century" w:hAnsi="Century"/>
                <w:sz w:val="28"/>
                <w:szCs w:val="28"/>
              </w:rPr>
              <w:t>,</w:t>
            </w:r>
            <w:r>
              <w:rPr>
                <w:rFonts w:ascii="Times New Roman" w:hAnsi="Times New Roman"/>
                <w:sz w:val="28"/>
                <w:szCs w:val="28"/>
              </w:rPr>
              <w:t>95)</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rsidP="007B5148">
            <w:pPr>
              <w:jc w:val="center"/>
              <w:rPr>
                <w:rFonts w:ascii="Times New Roman" w:hAnsi="Times New Roman"/>
                <w:sz w:val="28"/>
                <w:szCs w:val="28"/>
              </w:rPr>
            </w:pPr>
            <w:r>
              <w:rPr>
                <w:rFonts w:ascii="Times New Roman" w:hAnsi="Times New Roman"/>
                <w:sz w:val="28"/>
                <w:szCs w:val="28"/>
              </w:rPr>
              <w:t>8</w:t>
            </w:r>
            <w:r w:rsidRPr="007B5148">
              <w:rPr>
                <w:rFonts w:ascii="Century" w:hAnsi="Century"/>
                <w:sz w:val="28"/>
                <w:szCs w:val="28"/>
              </w:rPr>
              <w:t>,</w:t>
            </w:r>
            <w:r>
              <w:rPr>
                <w:rFonts w:ascii="Times New Roman" w:hAnsi="Times New Roman"/>
                <w:sz w:val="28"/>
                <w:szCs w:val="28"/>
              </w:rPr>
              <w:t>0</w:t>
            </w:r>
            <w:r w:rsidRPr="007B5148">
              <w:rPr>
                <w:rFonts w:ascii="Century" w:hAnsi="Century"/>
                <w:sz w:val="28"/>
                <w:szCs w:val="28"/>
              </w:rPr>
              <w:t>±</w:t>
            </w:r>
            <w:r>
              <w:rPr>
                <w:rFonts w:ascii="Times New Roman" w:hAnsi="Times New Roman"/>
                <w:sz w:val="28"/>
                <w:szCs w:val="28"/>
              </w:rPr>
              <w:t>6</w:t>
            </w:r>
            <w:r w:rsidRPr="007B5148">
              <w:rPr>
                <w:rFonts w:ascii="Century" w:hAnsi="Century"/>
                <w:sz w:val="28"/>
                <w:szCs w:val="28"/>
              </w:rPr>
              <w:t>,</w:t>
            </w:r>
            <w:r>
              <w:rPr>
                <w:rFonts w:ascii="Times New Roman" w:hAnsi="Times New Roman"/>
                <w:sz w:val="28"/>
                <w:szCs w:val="28"/>
              </w:rPr>
              <w:t>9 (5</w:t>
            </w:r>
            <w:r w:rsidRPr="007B5148">
              <w:rPr>
                <w:rFonts w:ascii="Century" w:hAnsi="Century"/>
                <w:sz w:val="28"/>
                <w:szCs w:val="28"/>
              </w:rPr>
              <w:t>,</w:t>
            </w:r>
            <w:r>
              <w:rPr>
                <w:rFonts w:ascii="Times New Roman" w:hAnsi="Times New Roman"/>
                <w:sz w:val="28"/>
                <w:szCs w:val="28"/>
              </w:rPr>
              <w:t>35</w:t>
            </w:r>
            <w:r w:rsidRPr="007B5148">
              <w:rPr>
                <w:rFonts w:ascii="Century" w:hAnsi="Century"/>
                <w:sz w:val="28"/>
                <w:szCs w:val="28"/>
              </w:rPr>
              <w:t>-</w:t>
            </w:r>
            <w:r>
              <w:rPr>
                <w:rFonts w:ascii="Times New Roman" w:hAnsi="Times New Roman"/>
                <w:sz w:val="28"/>
                <w:szCs w:val="28"/>
              </w:rPr>
              <w:t>12</w:t>
            </w:r>
            <w:r w:rsidRPr="007B5148">
              <w:rPr>
                <w:rFonts w:ascii="Century" w:hAnsi="Century"/>
                <w:sz w:val="28"/>
                <w:szCs w:val="28"/>
              </w:rPr>
              <w:t>,</w:t>
            </w:r>
            <w:r>
              <w:rPr>
                <w:rFonts w:ascii="Times New Roman" w:hAnsi="Times New Roman"/>
                <w:sz w:val="28"/>
                <w:szCs w:val="28"/>
              </w:rPr>
              <w:t>25)</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7B5148">
              <w:rPr>
                <w:rFonts w:ascii="Century" w:hAnsi="Century"/>
                <w:sz w:val="28"/>
                <w:szCs w:val="28"/>
              </w:rPr>
              <w:t>,</w:t>
            </w:r>
            <w:r>
              <w:rPr>
                <w:rFonts w:ascii="Times New Roman" w:hAnsi="Times New Roman"/>
                <w:sz w:val="28"/>
                <w:szCs w:val="28"/>
              </w:rPr>
              <w:t>12</w:t>
            </w:r>
          </w:p>
        </w:tc>
      </w:tr>
      <w:tr w:rsidR="00AB12B3" w:rsidTr="004C1109">
        <w:trPr>
          <w:trHeight w:val="323"/>
        </w:trPr>
        <w:tc>
          <w:tcPr>
            <w:tcW w:w="2835"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глюкоза, ммоль/л, n=580</w:t>
            </w:r>
          </w:p>
        </w:tc>
        <w:tc>
          <w:tcPr>
            <w:tcW w:w="269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5,49±1,97 (4,44-6,41)</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5,51±1,5 (4,66-6,16)</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0,98</w:t>
            </w:r>
          </w:p>
        </w:tc>
      </w:tr>
      <w:tr w:rsidR="00AB12B3" w:rsidTr="004C1109">
        <w:trPr>
          <w:trHeight w:val="323"/>
        </w:trPr>
        <w:tc>
          <w:tcPr>
            <w:tcW w:w="2835"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HOMA-IR, n=507</w:t>
            </w:r>
          </w:p>
        </w:tc>
        <w:tc>
          <w:tcPr>
            <w:tcW w:w="269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2,22±2,42 (1,35-3,77)</w:t>
            </w:r>
          </w:p>
        </w:tc>
        <w:tc>
          <w:tcPr>
            <w:tcW w:w="2835"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1,81±2,35 (1,78-3,53)</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0,35</w:t>
            </w:r>
          </w:p>
        </w:tc>
      </w:tr>
      <w:tr w:rsidR="00AB12B3" w:rsidTr="00726D05">
        <w:trPr>
          <w:trHeight w:val="442"/>
        </w:trPr>
        <w:tc>
          <w:tcPr>
            <w:tcW w:w="9495" w:type="dxa"/>
            <w:gridSpan w:val="4"/>
            <w:tcBorders>
              <w:top w:val="single" w:sz="4" w:space="0" w:color="auto"/>
              <w:left w:val="single" w:sz="4" w:space="0" w:color="auto"/>
              <w:bottom w:val="single" w:sz="4" w:space="0" w:color="auto"/>
              <w:right w:val="single" w:sz="4" w:space="0" w:color="auto"/>
            </w:tcBorders>
            <w:hideMark/>
          </w:tcPr>
          <w:p w:rsidR="004E5C23" w:rsidRDefault="00AB12B3">
            <w:pPr>
              <w:jc w:val="both"/>
              <w:rPr>
                <w:rFonts w:ascii="Times New Roman" w:hAnsi="Times New Roman"/>
                <w:szCs w:val="20"/>
                <w:lang w:val="kk-KZ"/>
              </w:rPr>
            </w:pPr>
            <w:r>
              <w:rPr>
                <w:rFonts w:ascii="Times New Roman" w:hAnsi="Times New Roman"/>
                <w:szCs w:val="20"/>
              </w:rPr>
              <w:t xml:space="preserve">Примечание *Критерий Манна-Уитни; </w:t>
            </w:r>
          </w:p>
          <w:p w:rsidR="00AB12B3" w:rsidRDefault="00AB12B3">
            <w:pPr>
              <w:jc w:val="both"/>
              <w:rPr>
                <w:rFonts w:ascii="Times New Roman" w:hAnsi="Times New Roman"/>
                <w:szCs w:val="20"/>
              </w:rPr>
            </w:pPr>
            <w:r>
              <w:rPr>
                <w:rFonts w:ascii="Times New Roman" w:hAnsi="Times New Roman"/>
                <w:szCs w:val="20"/>
              </w:rPr>
              <w:t>Ме±IQR (Q1 – Q3) – Медиана ± межквартильный диапазон (1 квартиль – 3 квартиль)</w:t>
            </w:r>
          </w:p>
        </w:tc>
      </w:tr>
    </w:tbl>
    <w:p w:rsidR="00AB12B3" w:rsidRDefault="00AB12B3" w:rsidP="00AB12B3">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 изучении взаимосвязи между группами ОХС и биохимически</w:t>
      </w:r>
      <w:r w:rsidR="00926E8E">
        <w:rPr>
          <w:rFonts w:ascii="Times New Roman" w:hAnsi="Times New Roman" w:cs="Times New Roman"/>
          <w:sz w:val="28"/>
          <w:szCs w:val="28"/>
        </w:rPr>
        <w:t>ми показателями</w:t>
      </w:r>
      <w:r>
        <w:rPr>
          <w:rFonts w:ascii="Times New Roman" w:hAnsi="Times New Roman" w:cs="Times New Roman"/>
          <w:sz w:val="28"/>
          <w:szCs w:val="28"/>
        </w:rPr>
        <w:t xml:space="preserve"> значимая </w:t>
      </w:r>
      <w:r w:rsidR="00926E8E">
        <w:rPr>
          <w:rFonts w:ascii="Times New Roman" w:hAnsi="Times New Roman" w:cs="Times New Roman"/>
          <w:sz w:val="28"/>
          <w:szCs w:val="28"/>
        </w:rPr>
        <w:t>ассоциация</w:t>
      </w:r>
      <w:r>
        <w:rPr>
          <w:rFonts w:ascii="Times New Roman" w:hAnsi="Times New Roman" w:cs="Times New Roman"/>
          <w:sz w:val="28"/>
          <w:szCs w:val="28"/>
        </w:rPr>
        <w:t xml:space="preserve"> была обнаружена </w:t>
      </w:r>
      <w:r w:rsidR="00D64272">
        <w:rPr>
          <w:rFonts w:ascii="Times New Roman" w:hAnsi="Times New Roman" w:cs="Times New Roman"/>
          <w:sz w:val="28"/>
          <w:szCs w:val="28"/>
        </w:rPr>
        <w:t>у</w:t>
      </w:r>
      <w:r>
        <w:rPr>
          <w:rFonts w:ascii="Times New Roman" w:hAnsi="Times New Roman" w:cs="Times New Roman"/>
          <w:sz w:val="28"/>
          <w:szCs w:val="28"/>
        </w:rPr>
        <w:t xml:space="preserve"> всех показател</w:t>
      </w:r>
      <w:r w:rsidR="00D64272">
        <w:rPr>
          <w:rFonts w:ascii="Times New Roman" w:hAnsi="Times New Roman" w:cs="Times New Roman"/>
          <w:sz w:val="28"/>
          <w:szCs w:val="28"/>
        </w:rPr>
        <w:t>ей</w:t>
      </w:r>
      <w:r>
        <w:rPr>
          <w:rFonts w:ascii="Times New Roman" w:hAnsi="Times New Roman" w:cs="Times New Roman"/>
          <w:sz w:val="28"/>
          <w:szCs w:val="28"/>
        </w:rPr>
        <w:t xml:space="preserve"> липидного обмена, кроме апоА1 (таблица 11).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гипертриглицеридемии шанс развития гиперхолестеринемии был на 2,08 раз выше </w:t>
      </w:r>
      <w:r w:rsidR="00926E8E">
        <w:rPr>
          <w:rFonts w:ascii="Times New Roman" w:hAnsi="Times New Roman" w:cs="Times New Roman"/>
          <w:sz w:val="28"/>
          <w:szCs w:val="28"/>
        </w:rPr>
        <w:t>в</w:t>
      </w:r>
      <w:r>
        <w:rPr>
          <w:rFonts w:ascii="Times New Roman" w:hAnsi="Times New Roman" w:cs="Times New Roman"/>
          <w:sz w:val="28"/>
          <w:szCs w:val="28"/>
        </w:rPr>
        <w:t xml:space="preserve"> сравнени</w:t>
      </w:r>
      <w:r w:rsidR="00926E8E">
        <w:rPr>
          <w:rFonts w:ascii="Times New Roman" w:hAnsi="Times New Roman" w:cs="Times New Roman"/>
          <w:sz w:val="28"/>
          <w:szCs w:val="28"/>
        </w:rPr>
        <w:t>и</w:t>
      </w:r>
      <w:r>
        <w:rPr>
          <w:rFonts w:ascii="Times New Roman" w:hAnsi="Times New Roman" w:cs="Times New Roman"/>
          <w:sz w:val="28"/>
          <w:szCs w:val="28"/>
        </w:rPr>
        <w:t xml:space="preserve"> с группой с нормальными показателями ТГ. При высоком уровне ЛПНП гиперхолестеринемия встречал</w:t>
      </w:r>
      <w:r w:rsidR="00926E8E">
        <w:rPr>
          <w:rFonts w:ascii="Times New Roman" w:hAnsi="Times New Roman" w:cs="Times New Roman"/>
          <w:sz w:val="28"/>
          <w:szCs w:val="28"/>
        </w:rPr>
        <w:t>а</w:t>
      </w:r>
      <w:r>
        <w:rPr>
          <w:rFonts w:ascii="Times New Roman" w:hAnsi="Times New Roman" w:cs="Times New Roman"/>
          <w:sz w:val="28"/>
          <w:szCs w:val="28"/>
        </w:rPr>
        <w:t xml:space="preserve">сь </w:t>
      </w:r>
      <w:r w:rsidR="00D64272" w:rsidRPr="00D64272">
        <w:rPr>
          <w:rFonts w:ascii="Times New Roman" w:hAnsi="Times New Roman" w:cs="Times New Roman"/>
          <w:sz w:val="28"/>
          <w:szCs w:val="28"/>
        </w:rPr>
        <w:t>в</w:t>
      </w:r>
      <w:r>
        <w:rPr>
          <w:rFonts w:ascii="Times New Roman" w:hAnsi="Times New Roman" w:cs="Times New Roman"/>
          <w:sz w:val="28"/>
          <w:szCs w:val="28"/>
        </w:rPr>
        <w:t xml:space="preserve"> 3,92 раз чаще чем, при нормальном уровне ЛПНП. У </w:t>
      </w:r>
      <w:r w:rsidR="007B25CE">
        <w:rPr>
          <w:rFonts w:ascii="Times New Roman" w:hAnsi="Times New Roman" w:cs="Times New Roman"/>
          <w:sz w:val="28"/>
          <w:szCs w:val="28"/>
        </w:rPr>
        <w:t>участников исследования</w:t>
      </w:r>
      <w:r>
        <w:rPr>
          <w:rFonts w:ascii="Times New Roman" w:hAnsi="Times New Roman" w:cs="Times New Roman"/>
          <w:sz w:val="28"/>
          <w:szCs w:val="28"/>
        </w:rPr>
        <w:t xml:space="preserve"> с низком уровнем ЛПВП гиперхолестеринемии встречал</w:t>
      </w:r>
      <w:r w:rsidR="00926E8E">
        <w:rPr>
          <w:rFonts w:ascii="Times New Roman" w:hAnsi="Times New Roman" w:cs="Times New Roman"/>
          <w:sz w:val="28"/>
          <w:szCs w:val="28"/>
        </w:rPr>
        <w:t>а</w:t>
      </w:r>
      <w:r>
        <w:rPr>
          <w:rFonts w:ascii="Times New Roman" w:hAnsi="Times New Roman" w:cs="Times New Roman"/>
          <w:sz w:val="28"/>
          <w:szCs w:val="28"/>
        </w:rPr>
        <w:t xml:space="preserve">сь 0,17 раз реже по сравнению с </w:t>
      </w:r>
      <w:r w:rsidR="008A587F">
        <w:rPr>
          <w:rFonts w:ascii="Times New Roman" w:hAnsi="Times New Roman" w:cs="Times New Roman"/>
          <w:sz w:val="28"/>
          <w:szCs w:val="28"/>
        </w:rPr>
        <w:t>участника</w:t>
      </w:r>
      <w:r>
        <w:rPr>
          <w:rFonts w:ascii="Times New Roman" w:hAnsi="Times New Roman" w:cs="Times New Roman"/>
          <w:sz w:val="28"/>
          <w:szCs w:val="28"/>
        </w:rPr>
        <w:t>ми</w:t>
      </w:r>
      <w:r w:rsidR="008A587F">
        <w:rPr>
          <w:rFonts w:ascii="Times New Roman" w:hAnsi="Times New Roman" w:cs="Times New Roman"/>
          <w:sz w:val="28"/>
          <w:szCs w:val="28"/>
        </w:rPr>
        <w:t xml:space="preserve"> исследования</w:t>
      </w:r>
      <w:r>
        <w:rPr>
          <w:rFonts w:ascii="Times New Roman" w:hAnsi="Times New Roman" w:cs="Times New Roman"/>
          <w:sz w:val="28"/>
          <w:szCs w:val="28"/>
        </w:rPr>
        <w:t xml:space="preserve"> с нормальным уровнем ЛПВП. При </w:t>
      </w:r>
      <w:r>
        <w:rPr>
          <w:rFonts w:ascii="Times New Roman" w:hAnsi="Times New Roman" w:cs="Times New Roman"/>
          <w:sz w:val="28"/>
          <w:szCs w:val="28"/>
        </w:rPr>
        <w:lastRenderedPageBreak/>
        <w:t>гипераполипопротеинемии В и высоки</w:t>
      </w:r>
      <w:r>
        <w:rPr>
          <w:rFonts w:ascii="Times New Roman" w:hAnsi="Times New Roman" w:cs="Times New Roman"/>
          <w:sz w:val="28"/>
          <w:szCs w:val="28"/>
          <w:lang w:val="kk-KZ"/>
        </w:rPr>
        <w:t>х</w:t>
      </w:r>
      <w:r>
        <w:rPr>
          <w:rFonts w:ascii="Times New Roman" w:hAnsi="Times New Roman" w:cs="Times New Roman"/>
          <w:sz w:val="28"/>
          <w:szCs w:val="28"/>
        </w:rPr>
        <w:t xml:space="preserve"> показателях апоВ/апоА1 шанс развития гиперхолестеринемии повышался</w:t>
      </w:r>
      <w:r w:rsidR="00926E8E">
        <w:rPr>
          <w:rFonts w:ascii="Times New Roman" w:hAnsi="Times New Roman" w:cs="Times New Roman"/>
          <w:sz w:val="28"/>
          <w:szCs w:val="28"/>
        </w:rPr>
        <w:t xml:space="preserve"> в</w:t>
      </w:r>
      <w:r>
        <w:rPr>
          <w:rFonts w:ascii="Times New Roman" w:hAnsi="Times New Roman" w:cs="Times New Roman"/>
          <w:sz w:val="28"/>
          <w:szCs w:val="28"/>
        </w:rPr>
        <w:t xml:space="preserve"> 3,28 и 3,42 раза, соответственно.</w:t>
      </w:r>
    </w:p>
    <w:p w:rsidR="00B324BD" w:rsidRDefault="00B324BD" w:rsidP="00EF3CBF">
      <w:pPr>
        <w:spacing w:after="0" w:line="240" w:lineRule="auto"/>
        <w:jc w:val="both"/>
        <w:rPr>
          <w:rFonts w:ascii="Times New Roman" w:hAnsi="Times New Roman" w:cs="Times New Roman"/>
          <w:sz w:val="28"/>
          <w:szCs w:val="28"/>
          <w:lang w:val="kk-KZ"/>
        </w:rPr>
      </w:pPr>
    </w:p>
    <w:p w:rsidR="00AB12B3" w:rsidRDefault="00AB12B3" w:rsidP="00EF3CB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Таблица 11 </w:t>
      </w:r>
      <w:r w:rsidR="003441A2">
        <w:rPr>
          <w:rFonts w:ascii="Times New Roman" w:hAnsi="Times New Roman" w:cs="Times New Roman"/>
          <w:sz w:val="28"/>
          <w:szCs w:val="28"/>
          <w:lang w:val="kk-KZ"/>
        </w:rPr>
        <w:t xml:space="preserve">- </w:t>
      </w:r>
      <w:r>
        <w:rPr>
          <w:rFonts w:ascii="Times New Roman" w:hAnsi="Times New Roman" w:cs="Times New Roman"/>
          <w:sz w:val="28"/>
          <w:szCs w:val="28"/>
        </w:rPr>
        <w:t xml:space="preserve">Распределение биохимических показателей по группам </w:t>
      </w:r>
      <w:r w:rsidR="00DA15C9">
        <w:rPr>
          <w:rFonts w:ascii="Times New Roman" w:hAnsi="Times New Roman" w:cs="Times New Roman"/>
          <w:sz w:val="28"/>
          <w:szCs w:val="28"/>
        </w:rPr>
        <w:t>общего холестерина</w:t>
      </w:r>
    </w:p>
    <w:p w:rsidR="00E83EC5" w:rsidRPr="00E83EC5" w:rsidRDefault="00E83EC5" w:rsidP="00EF3CBF">
      <w:pPr>
        <w:spacing w:after="0" w:line="240" w:lineRule="auto"/>
        <w:jc w:val="both"/>
        <w:rPr>
          <w:rFonts w:ascii="Times New Roman" w:hAnsi="Times New Roman" w:cs="Times New Roman"/>
          <w:sz w:val="28"/>
          <w:szCs w:val="28"/>
          <w:lang w:val="kk-KZ"/>
        </w:rPr>
      </w:pPr>
    </w:p>
    <w:tbl>
      <w:tblPr>
        <w:tblStyle w:val="af7"/>
        <w:tblW w:w="9495" w:type="dxa"/>
        <w:tblInd w:w="108" w:type="dxa"/>
        <w:tblLayout w:type="fixed"/>
        <w:tblLook w:val="04A0" w:firstRow="1" w:lastRow="0" w:firstColumn="1" w:lastColumn="0" w:noHBand="0" w:noVBand="1"/>
      </w:tblPr>
      <w:tblGrid>
        <w:gridCol w:w="2550"/>
        <w:gridCol w:w="1559"/>
        <w:gridCol w:w="1134"/>
        <w:gridCol w:w="1134"/>
        <w:gridCol w:w="2125"/>
        <w:gridCol w:w="993"/>
      </w:tblGrid>
      <w:tr w:rsidR="00AB12B3" w:rsidTr="00AB12B3">
        <w:trPr>
          <w:trHeight w:val="385"/>
        </w:trPr>
        <w:tc>
          <w:tcPr>
            <w:tcW w:w="411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2268"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ОХС, ммоль/л</w:t>
            </w:r>
          </w:p>
        </w:tc>
        <w:tc>
          <w:tcPr>
            <w:tcW w:w="212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ОШ (95% ДИ)</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AB12B3">
        <w:trPr>
          <w:trHeight w:val="387"/>
        </w:trPr>
        <w:tc>
          <w:tcPr>
            <w:tcW w:w="11057" w:type="dxa"/>
            <w:gridSpan w:val="2"/>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≤4,9 n</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&gt;4,9 n</w:t>
            </w: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B12B3">
        <w:trPr>
          <w:trHeight w:val="33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ТГ</w:t>
            </w:r>
            <w:r w:rsidRPr="004417F4">
              <w:rPr>
                <w:rFonts w:ascii="Century" w:hAnsi="Century"/>
                <w:sz w:val="28"/>
                <w:szCs w:val="28"/>
              </w:rPr>
              <w:t xml:space="preserve">, </w:t>
            </w:r>
            <w:r>
              <w:rPr>
                <w:rFonts w:ascii="Times New Roman" w:hAnsi="Times New Roman"/>
                <w:sz w:val="28"/>
                <w:szCs w:val="28"/>
              </w:rPr>
              <w:t>ммоль</w:t>
            </w:r>
            <w:r w:rsidRPr="004417F4">
              <w:rPr>
                <w:rFonts w:ascii="Century" w:hAnsi="Century"/>
                <w:sz w:val="28"/>
                <w:szCs w:val="28"/>
              </w:rPr>
              <w:t>/</w:t>
            </w:r>
            <w:r>
              <w:rPr>
                <w:rFonts w:ascii="Times New Roman" w:hAnsi="Times New Roman"/>
                <w:sz w:val="28"/>
                <w:szCs w:val="28"/>
              </w:rPr>
              <w:t>л</w:t>
            </w:r>
          </w:p>
          <w:p w:rsidR="00AB12B3" w:rsidRDefault="00AB12B3">
            <w:pPr>
              <w:jc w:val="center"/>
              <w:rPr>
                <w:rFonts w:ascii="Times New Roman" w:hAnsi="Times New Roman"/>
                <w:sz w:val="28"/>
                <w:szCs w:val="28"/>
              </w:rPr>
            </w:pPr>
            <w:r>
              <w:rPr>
                <w:rFonts w:ascii="Times New Roman" w:hAnsi="Times New Roman"/>
                <w:sz w:val="28"/>
                <w:szCs w:val="28"/>
              </w:rPr>
              <w:t>n=580</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373</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56</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0,002</w:t>
            </w:r>
          </w:p>
        </w:tc>
      </w:tr>
      <w:tr w:rsidR="00AB12B3" w:rsidTr="00AB12B3">
        <w:trPr>
          <w:trHeight w:val="330"/>
        </w:trPr>
        <w:tc>
          <w:tcPr>
            <w:tcW w:w="949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&gt;1,7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36</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2,08 (1,31-3,33)</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B12B3">
        <w:trPr>
          <w:trHeight w:val="33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ЛПНП</w:t>
            </w:r>
            <w:r w:rsidRPr="00D33FE8">
              <w:rPr>
                <w:rFonts w:ascii="Century" w:hAnsi="Century"/>
                <w:sz w:val="28"/>
                <w:szCs w:val="28"/>
              </w:rPr>
              <w:t>,</w:t>
            </w:r>
            <w:r>
              <w:rPr>
                <w:rFonts w:ascii="Times New Roman" w:hAnsi="Times New Roman"/>
                <w:sz w:val="28"/>
                <w:szCs w:val="28"/>
              </w:rPr>
              <w:t xml:space="preserve"> ммоль</w:t>
            </w:r>
            <w:r w:rsidRPr="00D33FE8">
              <w:rPr>
                <w:rFonts w:ascii="Century" w:hAnsi="Century"/>
                <w:sz w:val="28"/>
                <w:szCs w:val="28"/>
              </w:rPr>
              <w:t>/</w:t>
            </w:r>
            <w:r>
              <w:rPr>
                <w:rFonts w:ascii="Times New Roman" w:hAnsi="Times New Roman"/>
                <w:sz w:val="28"/>
                <w:szCs w:val="28"/>
              </w:rPr>
              <w:t>л n</w:t>
            </w:r>
            <w:r w:rsidRPr="00D33FE8">
              <w:rPr>
                <w:rFonts w:ascii="Century" w:hAnsi="Century"/>
                <w:sz w:val="28"/>
                <w:szCs w:val="28"/>
              </w:rPr>
              <w:t>=</w:t>
            </w:r>
            <w:r>
              <w:rPr>
                <w:rFonts w:ascii="Times New Roman" w:hAnsi="Times New Roman"/>
                <w:sz w:val="28"/>
                <w:szCs w:val="28"/>
              </w:rPr>
              <w:t>580</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sidRPr="00D33FE8">
              <w:rPr>
                <w:rFonts w:ascii="Century" w:hAnsi="Century"/>
                <w:sz w:val="28"/>
                <w:szCs w:val="28"/>
              </w:rPr>
              <w:t>≤</w:t>
            </w:r>
            <w:r>
              <w:rPr>
                <w:rFonts w:ascii="Times New Roman" w:hAnsi="Times New Roman"/>
                <w:sz w:val="28"/>
                <w:szCs w:val="28"/>
              </w:rPr>
              <w:t>3</w:t>
            </w:r>
            <w:r w:rsidRPr="00D33FE8">
              <w:rPr>
                <w:rFonts w:ascii="Century" w:hAnsi="Century"/>
                <w:sz w:val="28"/>
                <w:szCs w:val="28"/>
              </w:rPr>
              <w:t>,</w:t>
            </w:r>
            <w:r>
              <w:rPr>
                <w:rFonts w:ascii="Times New Roman" w:hAnsi="Times New Roman"/>
                <w:sz w:val="28"/>
                <w:szCs w:val="28"/>
              </w:rPr>
              <w:t>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432</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61</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4417F4">
              <w:rPr>
                <w:rFonts w:ascii="Century" w:hAnsi="Century"/>
                <w:sz w:val="28"/>
                <w:szCs w:val="28"/>
              </w:rPr>
              <w:t>,</w:t>
            </w:r>
            <w:r>
              <w:rPr>
                <w:rFonts w:ascii="Times New Roman" w:hAnsi="Times New Roman"/>
                <w:sz w:val="28"/>
                <w:szCs w:val="28"/>
              </w:rPr>
              <w:t>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AB12B3">
        <w:trPr>
          <w:trHeight w:val="330"/>
        </w:trPr>
        <w:tc>
          <w:tcPr>
            <w:tcW w:w="949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sidRPr="00D33FE8">
              <w:rPr>
                <w:rFonts w:ascii="Century" w:hAnsi="Century"/>
                <w:sz w:val="28"/>
                <w:szCs w:val="28"/>
              </w:rPr>
              <w:t>&gt;</w:t>
            </w:r>
            <w:r>
              <w:rPr>
                <w:rFonts w:ascii="Times New Roman" w:hAnsi="Times New Roman"/>
                <w:sz w:val="28"/>
                <w:szCs w:val="28"/>
              </w:rPr>
              <w:t>3</w:t>
            </w:r>
            <w:r w:rsidRPr="00D33FE8">
              <w:rPr>
                <w:rFonts w:ascii="Century" w:hAnsi="Century"/>
                <w:sz w:val="28"/>
                <w:szCs w:val="28"/>
              </w:rPr>
              <w:t>,</w:t>
            </w:r>
            <w:r>
              <w:rPr>
                <w:rFonts w:ascii="Times New Roman" w:hAnsi="Times New Roman"/>
                <w:sz w:val="28"/>
                <w:szCs w:val="28"/>
              </w:rPr>
              <w:t>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56</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31</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w:t>
            </w:r>
            <w:r w:rsidRPr="004417F4">
              <w:rPr>
                <w:rFonts w:ascii="Century" w:hAnsi="Century"/>
                <w:sz w:val="28"/>
                <w:szCs w:val="28"/>
              </w:rPr>
              <w:t>,</w:t>
            </w:r>
            <w:r>
              <w:rPr>
                <w:rFonts w:ascii="Times New Roman" w:hAnsi="Times New Roman"/>
                <w:sz w:val="28"/>
                <w:szCs w:val="28"/>
              </w:rPr>
              <w:t>92 (2</w:t>
            </w:r>
            <w:r w:rsidRPr="004417F4">
              <w:rPr>
                <w:rFonts w:ascii="Century" w:hAnsi="Century"/>
                <w:sz w:val="28"/>
                <w:szCs w:val="28"/>
              </w:rPr>
              <w:t>,</w:t>
            </w:r>
            <w:r>
              <w:rPr>
                <w:rFonts w:ascii="Times New Roman" w:hAnsi="Times New Roman"/>
                <w:sz w:val="28"/>
                <w:szCs w:val="28"/>
              </w:rPr>
              <w:t>34-6</w:t>
            </w:r>
            <w:r w:rsidRPr="004417F4">
              <w:rPr>
                <w:rFonts w:ascii="Times New Roman" w:hAnsi="Times New Roman"/>
                <w:sz w:val="28"/>
                <w:szCs w:val="28"/>
              </w:rPr>
              <w:t>,</w:t>
            </w:r>
            <w:r>
              <w:rPr>
                <w:rFonts w:ascii="Times New Roman" w:hAnsi="Times New Roman"/>
                <w:sz w:val="28"/>
                <w:szCs w:val="28"/>
              </w:rPr>
              <w:t>56)</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B12B3">
        <w:trPr>
          <w:trHeight w:val="33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ЛПВП</w:t>
            </w:r>
            <w:r w:rsidRPr="0093181D">
              <w:rPr>
                <w:rFonts w:ascii="Century" w:hAnsi="Century"/>
                <w:sz w:val="28"/>
                <w:szCs w:val="28"/>
              </w:rPr>
              <w:t xml:space="preserve">, </w:t>
            </w:r>
            <w:r>
              <w:rPr>
                <w:rFonts w:ascii="Times New Roman" w:hAnsi="Times New Roman"/>
                <w:sz w:val="28"/>
                <w:szCs w:val="28"/>
              </w:rPr>
              <w:t>ммоль/л n</w:t>
            </w:r>
            <w:r w:rsidRPr="004417F4">
              <w:rPr>
                <w:rFonts w:ascii="Century" w:hAnsi="Century"/>
                <w:sz w:val="28"/>
                <w:szCs w:val="28"/>
              </w:rPr>
              <w:t>=</w:t>
            </w:r>
            <w:r>
              <w:rPr>
                <w:rFonts w:ascii="Times New Roman" w:hAnsi="Times New Roman"/>
                <w:sz w:val="28"/>
                <w:szCs w:val="28"/>
              </w:rPr>
              <w:t>580</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Муж ≥1,0</w:t>
            </w:r>
          </w:p>
          <w:p w:rsidR="00AB12B3" w:rsidRDefault="00AB12B3">
            <w:pPr>
              <w:jc w:val="center"/>
            </w:pPr>
            <w:r>
              <w:rPr>
                <w:rFonts w:ascii="Times New Roman" w:hAnsi="Times New Roman"/>
                <w:sz w:val="28"/>
                <w:szCs w:val="28"/>
              </w:rPr>
              <w:t>Жен ≥1,2</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163</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69</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D33FE8">
              <w:rPr>
                <w:rFonts w:ascii="Century" w:hAnsi="Century"/>
                <w:sz w:val="28"/>
                <w:szCs w:val="28"/>
              </w:rPr>
              <w:t>,</w:t>
            </w:r>
            <w:r>
              <w:rPr>
                <w:rFonts w:ascii="Times New Roman" w:hAnsi="Times New Roman"/>
                <w:sz w:val="28"/>
                <w:szCs w:val="28"/>
              </w:rPr>
              <w:t>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AB12B3">
        <w:trPr>
          <w:trHeight w:val="330"/>
        </w:trPr>
        <w:tc>
          <w:tcPr>
            <w:tcW w:w="949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Муж &lt;1,0</w:t>
            </w:r>
          </w:p>
          <w:p w:rsidR="00AB12B3" w:rsidRDefault="00AB12B3">
            <w:pPr>
              <w:jc w:val="center"/>
              <w:rPr>
                <w:rFonts w:ascii="Times New Roman" w:hAnsi="Times New Roman"/>
                <w:sz w:val="28"/>
                <w:szCs w:val="28"/>
              </w:rPr>
            </w:pPr>
            <w:r>
              <w:rPr>
                <w:rFonts w:ascii="Times New Roman" w:hAnsi="Times New Roman"/>
                <w:sz w:val="28"/>
                <w:szCs w:val="28"/>
              </w:rPr>
              <w:t>Жен &lt;1,2</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325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23</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D33FE8">
              <w:rPr>
                <w:rFonts w:ascii="Century" w:hAnsi="Century"/>
                <w:sz w:val="28"/>
                <w:szCs w:val="28"/>
              </w:rPr>
              <w:t>,</w:t>
            </w:r>
            <w:r>
              <w:rPr>
                <w:rFonts w:ascii="Times New Roman" w:hAnsi="Times New Roman"/>
                <w:sz w:val="28"/>
                <w:szCs w:val="28"/>
              </w:rPr>
              <w:t>17 (0</w:t>
            </w:r>
            <w:r w:rsidRPr="00D33FE8">
              <w:rPr>
                <w:rFonts w:ascii="Century" w:hAnsi="Century"/>
                <w:sz w:val="28"/>
                <w:szCs w:val="28"/>
              </w:rPr>
              <w:t>,</w:t>
            </w:r>
            <w:r>
              <w:rPr>
                <w:rFonts w:ascii="Times New Roman" w:hAnsi="Times New Roman"/>
                <w:sz w:val="28"/>
                <w:szCs w:val="28"/>
              </w:rPr>
              <w:t>1-0</w:t>
            </w:r>
            <w:r w:rsidRPr="00D33FE8">
              <w:rPr>
                <w:rFonts w:ascii="Century" w:hAnsi="Century"/>
                <w:sz w:val="28"/>
                <w:szCs w:val="28"/>
              </w:rPr>
              <w:t>,</w:t>
            </w:r>
            <w:r>
              <w:rPr>
                <w:rFonts w:ascii="Times New Roman" w:hAnsi="Times New Roman"/>
                <w:sz w:val="28"/>
                <w:szCs w:val="28"/>
              </w:rPr>
              <w:t>28)</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B12B3">
        <w:trPr>
          <w:trHeight w:val="33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 г/л</w:t>
            </w:r>
          </w:p>
          <w:p w:rsidR="00AB12B3" w:rsidRDefault="00AB12B3">
            <w:pPr>
              <w:jc w:val="center"/>
              <w:rPr>
                <w:rFonts w:ascii="Times New Roman" w:hAnsi="Times New Roman"/>
                <w:sz w:val="28"/>
                <w:szCs w:val="28"/>
              </w:rPr>
            </w:pPr>
            <w:r>
              <w:rPr>
                <w:rFonts w:ascii="Times New Roman" w:hAnsi="Times New Roman"/>
                <w:sz w:val="28"/>
                <w:szCs w:val="28"/>
              </w:rPr>
              <w:t xml:space="preserve"> n=507</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&lt;0,9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187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AB12B3">
        <w:trPr>
          <w:trHeight w:val="330"/>
        </w:trPr>
        <w:tc>
          <w:tcPr>
            <w:tcW w:w="949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259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50</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3,28 (1,66-6,47)</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B12B3">
        <w:trPr>
          <w:trHeight w:val="33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апоА1 г/л</w:t>
            </w:r>
          </w:p>
          <w:p w:rsidR="00AB12B3" w:rsidRDefault="00AB12B3">
            <w:pPr>
              <w:jc w:val="center"/>
              <w:rPr>
                <w:rFonts w:ascii="Times New Roman" w:hAnsi="Times New Roman"/>
                <w:sz w:val="28"/>
                <w:szCs w:val="28"/>
              </w:rPr>
            </w:pPr>
            <w:r>
              <w:rPr>
                <w:rFonts w:ascii="Times New Roman" w:hAnsi="Times New Roman"/>
                <w:sz w:val="28"/>
                <w:szCs w:val="28"/>
              </w:rPr>
              <w:t>n=507</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color w:val="000000"/>
                <w:sz w:val="28"/>
                <w:szCs w:val="28"/>
              </w:rPr>
            </w:pPr>
            <w:r>
              <w:rPr>
                <w:rFonts w:ascii="Times New Roman" w:hAnsi="Times New Roman"/>
                <w:color w:val="000000"/>
                <w:sz w:val="28"/>
                <w:szCs w:val="28"/>
              </w:rPr>
              <w:t xml:space="preserve">Муж </w:t>
            </w:r>
            <w:r w:rsidRPr="00060C2F">
              <w:rPr>
                <w:rFonts w:ascii="Century" w:hAnsi="Century"/>
                <w:color w:val="000000"/>
                <w:sz w:val="28"/>
                <w:szCs w:val="28"/>
              </w:rPr>
              <w:t>≥</w:t>
            </w:r>
            <w:r>
              <w:rPr>
                <w:rFonts w:ascii="Times New Roman" w:hAnsi="Times New Roman"/>
                <w:color w:val="000000"/>
                <w:sz w:val="28"/>
                <w:szCs w:val="28"/>
              </w:rPr>
              <w:t>1</w:t>
            </w:r>
            <w:r w:rsidRPr="00BB0E09">
              <w:rPr>
                <w:rFonts w:ascii="Century" w:hAnsi="Century"/>
                <w:color w:val="000000"/>
                <w:sz w:val="28"/>
                <w:szCs w:val="28"/>
              </w:rPr>
              <w:t>,</w:t>
            </w:r>
            <w:r>
              <w:rPr>
                <w:rFonts w:ascii="Times New Roman" w:hAnsi="Times New Roman"/>
                <w:color w:val="000000"/>
                <w:sz w:val="28"/>
                <w:szCs w:val="28"/>
              </w:rPr>
              <w:t>04</w:t>
            </w:r>
          </w:p>
          <w:p w:rsidR="00AB12B3" w:rsidRDefault="00AB12B3">
            <w:pPr>
              <w:jc w:val="center"/>
              <w:rPr>
                <w:rFonts w:ascii="Times New Roman" w:hAnsi="Times New Roman"/>
                <w:sz w:val="28"/>
                <w:szCs w:val="28"/>
              </w:rPr>
            </w:pPr>
            <w:r>
              <w:rPr>
                <w:rFonts w:ascii="Times New Roman" w:hAnsi="Times New Roman"/>
                <w:color w:val="000000"/>
                <w:sz w:val="28"/>
                <w:szCs w:val="28"/>
              </w:rPr>
              <w:t xml:space="preserve">Жен </w:t>
            </w:r>
            <w:r w:rsidRPr="00060C2F">
              <w:rPr>
                <w:rFonts w:ascii="Century" w:hAnsi="Century"/>
                <w:color w:val="000000"/>
                <w:sz w:val="28"/>
                <w:szCs w:val="28"/>
              </w:rPr>
              <w:t>≥</w:t>
            </w:r>
            <w:r>
              <w:rPr>
                <w:rFonts w:ascii="Times New Roman" w:hAnsi="Times New Roman"/>
                <w:color w:val="000000"/>
                <w:sz w:val="28"/>
                <w:szCs w:val="28"/>
              </w:rPr>
              <w:t>1</w:t>
            </w:r>
            <w:r w:rsidRPr="00BB0E09">
              <w:rPr>
                <w:rFonts w:ascii="Century" w:hAnsi="Century"/>
                <w:color w:val="000000"/>
                <w:sz w:val="28"/>
                <w:szCs w:val="28"/>
              </w:rPr>
              <w:t>,</w:t>
            </w:r>
            <w:r>
              <w:rPr>
                <w:rFonts w:ascii="Times New Roman" w:hAnsi="Times New Roman"/>
                <w:color w:val="000000"/>
                <w:sz w:val="28"/>
                <w:szCs w:val="28"/>
              </w:rPr>
              <w:t xml:space="preserve">08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421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55</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060C2F">
              <w:rPr>
                <w:rFonts w:ascii="Century" w:hAnsi="Century"/>
                <w:sz w:val="28"/>
                <w:szCs w:val="28"/>
              </w:rPr>
              <w:t>,</w:t>
            </w:r>
            <w:r>
              <w:rPr>
                <w:rFonts w:ascii="Times New Roman" w:hAnsi="Times New Roman"/>
                <w:sz w:val="28"/>
                <w:szCs w:val="28"/>
              </w:rPr>
              <w:t>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060C2F">
              <w:rPr>
                <w:rFonts w:ascii="Century" w:hAnsi="Century"/>
                <w:sz w:val="28"/>
                <w:szCs w:val="28"/>
              </w:rPr>
              <w:t>,</w:t>
            </w:r>
            <w:r>
              <w:rPr>
                <w:rFonts w:ascii="Times New Roman" w:hAnsi="Times New Roman"/>
                <w:sz w:val="28"/>
                <w:szCs w:val="28"/>
              </w:rPr>
              <w:t>22</w:t>
            </w:r>
          </w:p>
        </w:tc>
      </w:tr>
      <w:tr w:rsidR="00AB12B3" w:rsidTr="00AB12B3">
        <w:trPr>
          <w:trHeight w:val="330"/>
        </w:trPr>
        <w:tc>
          <w:tcPr>
            <w:tcW w:w="949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color w:val="000000"/>
                <w:sz w:val="28"/>
                <w:szCs w:val="28"/>
              </w:rPr>
            </w:pPr>
            <w:r>
              <w:rPr>
                <w:rFonts w:ascii="Times New Roman" w:hAnsi="Times New Roman"/>
                <w:color w:val="000000"/>
                <w:sz w:val="28"/>
                <w:szCs w:val="28"/>
              </w:rPr>
              <w:t xml:space="preserve">Муж </w:t>
            </w:r>
            <w:r w:rsidRPr="00060C2F">
              <w:rPr>
                <w:rFonts w:ascii="Century" w:hAnsi="Century"/>
                <w:color w:val="000000"/>
                <w:sz w:val="28"/>
                <w:szCs w:val="28"/>
              </w:rPr>
              <w:t>&lt;</w:t>
            </w:r>
            <w:r>
              <w:rPr>
                <w:rFonts w:ascii="Times New Roman" w:hAnsi="Times New Roman"/>
                <w:color w:val="000000"/>
                <w:sz w:val="28"/>
                <w:szCs w:val="28"/>
              </w:rPr>
              <w:t>1</w:t>
            </w:r>
            <w:r w:rsidRPr="00BB0E09">
              <w:rPr>
                <w:rFonts w:ascii="Century" w:hAnsi="Century"/>
                <w:color w:val="000000"/>
                <w:sz w:val="28"/>
                <w:szCs w:val="28"/>
              </w:rPr>
              <w:t>,</w:t>
            </w:r>
            <w:r>
              <w:rPr>
                <w:rFonts w:ascii="Times New Roman" w:hAnsi="Times New Roman"/>
                <w:color w:val="000000"/>
                <w:sz w:val="28"/>
                <w:szCs w:val="28"/>
              </w:rPr>
              <w:t>04</w:t>
            </w:r>
          </w:p>
          <w:p w:rsidR="00AB12B3" w:rsidRDefault="00AB12B3">
            <w:pPr>
              <w:jc w:val="center"/>
              <w:rPr>
                <w:rFonts w:ascii="Times New Roman" w:hAnsi="Times New Roman"/>
                <w:color w:val="000000"/>
                <w:sz w:val="28"/>
                <w:szCs w:val="28"/>
              </w:rPr>
            </w:pPr>
            <w:r>
              <w:rPr>
                <w:rFonts w:ascii="Times New Roman" w:hAnsi="Times New Roman"/>
                <w:color w:val="000000"/>
                <w:sz w:val="28"/>
                <w:szCs w:val="28"/>
              </w:rPr>
              <w:t xml:space="preserve">Жен </w:t>
            </w:r>
            <w:r w:rsidRPr="00060C2F">
              <w:rPr>
                <w:rFonts w:ascii="Century" w:hAnsi="Century"/>
                <w:color w:val="000000"/>
                <w:sz w:val="28"/>
                <w:szCs w:val="28"/>
              </w:rPr>
              <w:t>&lt;</w:t>
            </w:r>
            <w:r>
              <w:rPr>
                <w:rFonts w:ascii="Times New Roman" w:hAnsi="Times New Roman"/>
                <w:color w:val="000000"/>
                <w:sz w:val="28"/>
                <w:szCs w:val="28"/>
              </w:rPr>
              <w:t>1</w:t>
            </w:r>
            <w:r w:rsidRPr="00BB0E09">
              <w:rPr>
                <w:rFonts w:ascii="Century" w:hAnsi="Century"/>
                <w:color w:val="000000"/>
                <w:sz w:val="28"/>
                <w:szCs w:val="28"/>
              </w:rPr>
              <w:t>,</w:t>
            </w:r>
            <w:r>
              <w:rPr>
                <w:rFonts w:ascii="Times New Roman" w:hAnsi="Times New Roman"/>
                <w:color w:val="000000"/>
                <w:sz w:val="28"/>
                <w:szCs w:val="28"/>
              </w:rPr>
              <w:t>08</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26</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6</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060C2F">
              <w:rPr>
                <w:rFonts w:ascii="Century" w:hAnsi="Century"/>
                <w:sz w:val="28"/>
                <w:szCs w:val="28"/>
              </w:rPr>
              <w:t>,</w:t>
            </w:r>
            <w:r>
              <w:rPr>
                <w:rFonts w:ascii="Times New Roman" w:hAnsi="Times New Roman"/>
                <w:sz w:val="28"/>
                <w:szCs w:val="28"/>
              </w:rPr>
              <w:t>77 (0</w:t>
            </w:r>
            <w:r w:rsidRPr="00060C2F">
              <w:rPr>
                <w:rFonts w:ascii="Century" w:hAnsi="Century"/>
                <w:sz w:val="28"/>
                <w:szCs w:val="28"/>
              </w:rPr>
              <w:t>,</w:t>
            </w:r>
            <w:r>
              <w:rPr>
                <w:rFonts w:ascii="Times New Roman" w:hAnsi="Times New Roman"/>
                <w:sz w:val="28"/>
                <w:szCs w:val="28"/>
              </w:rPr>
              <w:t>7-4</w:t>
            </w:r>
            <w:r w:rsidRPr="00060C2F">
              <w:rPr>
                <w:rFonts w:ascii="Century" w:hAnsi="Century"/>
                <w:sz w:val="28"/>
                <w:szCs w:val="28"/>
              </w:rPr>
              <w:t>,</w:t>
            </w:r>
            <w:r>
              <w:rPr>
                <w:rFonts w:ascii="Times New Roman" w:hAnsi="Times New Roman"/>
                <w:sz w:val="28"/>
                <w:szCs w:val="28"/>
              </w:rPr>
              <w:t>48)</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B12B3">
        <w:trPr>
          <w:trHeight w:val="33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w:t>
            </w:r>
            <w:r w:rsidRPr="00BB0E09">
              <w:rPr>
                <w:rFonts w:ascii="Century" w:hAnsi="Century"/>
                <w:sz w:val="28"/>
                <w:szCs w:val="28"/>
              </w:rPr>
              <w:t>/</w:t>
            </w:r>
            <w:r>
              <w:rPr>
                <w:rFonts w:ascii="Times New Roman" w:hAnsi="Times New Roman"/>
                <w:sz w:val="28"/>
                <w:szCs w:val="28"/>
              </w:rPr>
              <w:t>апоА1</w:t>
            </w:r>
          </w:p>
          <w:p w:rsidR="00AB12B3" w:rsidRDefault="00AB12B3">
            <w:pPr>
              <w:jc w:val="center"/>
              <w:rPr>
                <w:rFonts w:ascii="Times New Roman" w:hAnsi="Times New Roman"/>
                <w:sz w:val="28"/>
                <w:szCs w:val="28"/>
              </w:rPr>
            </w:pPr>
            <w:r>
              <w:rPr>
                <w:rFonts w:ascii="Times New Roman" w:hAnsi="Times New Roman"/>
                <w:sz w:val="28"/>
                <w:szCs w:val="28"/>
              </w:rPr>
              <w:t>n</w:t>
            </w:r>
            <w:r w:rsidRPr="00BB0E09">
              <w:rPr>
                <w:rFonts w:ascii="Century" w:hAnsi="Century"/>
                <w:sz w:val="28"/>
                <w:szCs w:val="28"/>
              </w:rPr>
              <w:t>=</w:t>
            </w:r>
            <w:r>
              <w:rPr>
                <w:rFonts w:ascii="Times New Roman" w:hAnsi="Times New Roman"/>
                <w:sz w:val="28"/>
                <w:szCs w:val="28"/>
              </w:rPr>
              <w:t>507</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BB0E09">
              <w:rPr>
                <w:rFonts w:ascii="Century" w:hAnsi="Century"/>
                <w:sz w:val="28"/>
                <w:szCs w:val="28"/>
              </w:rPr>
              <w:t>≤</w:t>
            </w:r>
            <w:r>
              <w:rPr>
                <w:rFonts w:ascii="Times New Roman" w:hAnsi="Times New Roman"/>
                <w:sz w:val="28"/>
                <w:szCs w:val="28"/>
              </w:rPr>
              <w:t>0</w:t>
            </w:r>
            <w:r w:rsidRPr="00BB0E09">
              <w:rPr>
                <w:rFonts w:ascii="Century" w:hAnsi="Century"/>
                <w:sz w:val="28"/>
                <w:szCs w:val="28"/>
              </w:rPr>
              <w:t>,</w:t>
            </w:r>
            <w:r>
              <w:rPr>
                <w:rFonts w:ascii="Times New Roman" w:hAnsi="Times New Roman"/>
                <w:sz w:val="28"/>
                <w:szCs w:val="28"/>
              </w:rPr>
              <w:t>85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362</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34</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BB0E09">
              <w:rPr>
                <w:rFonts w:ascii="Century" w:hAnsi="Century"/>
                <w:sz w:val="28"/>
                <w:szCs w:val="28"/>
              </w:rPr>
              <w:t>,</w:t>
            </w:r>
            <w:r>
              <w:rPr>
                <w:rFonts w:ascii="Times New Roman" w:hAnsi="Times New Roman"/>
                <w:sz w:val="28"/>
                <w:szCs w:val="28"/>
              </w:rPr>
              <w:t>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AB12B3">
        <w:trPr>
          <w:trHeight w:val="330"/>
        </w:trPr>
        <w:tc>
          <w:tcPr>
            <w:tcW w:w="949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BB0E09">
              <w:rPr>
                <w:rFonts w:ascii="Century" w:hAnsi="Century"/>
                <w:sz w:val="28"/>
                <w:szCs w:val="28"/>
              </w:rPr>
              <w:t>&gt;</w:t>
            </w:r>
            <w:r>
              <w:rPr>
                <w:rFonts w:ascii="Times New Roman" w:hAnsi="Times New Roman"/>
                <w:sz w:val="28"/>
                <w:szCs w:val="28"/>
              </w:rPr>
              <w:t>0,85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84</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27</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w:t>
            </w:r>
            <w:r w:rsidRPr="00BB0E09">
              <w:rPr>
                <w:rFonts w:ascii="Century" w:hAnsi="Century"/>
                <w:sz w:val="28"/>
                <w:szCs w:val="28"/>
              </w:rPr>
              <w:t>,</w:t>
            </w:r>
            <w:r>
              <w:rPr>
                <w:rFonts w:ascii="Times New Roman" w:hAnsi="Times New Roman"/>
                <w:sz w:val="28"/>
                <w:szCs w:val="28"/>
              </w:rPr>
              <w:t>42 (1</w:t>
            </w:r>
            <w:r w:rsidRPr="00BB0E09">
              <w:rPr>
                <w:rFonts w:ascii="Century" w:hAnsi="Century"/>
                <w:sz w:val="28"/>
                <w:szCs w:val="28"/>
              </w:rPr>
              <w:t>,</w:t>
            </w:r>
            <w:r>
              <w:rPr>
                <w:rFonts w:ascii="Times New Roman" w:hAnsi="Times New Roman"/>
                <w:sz w:val="28"/>
                <w:szCs w:val="28"/>
              </w:rPr>
              <w:t>96-5</w:t>
            </w:r>
            <w:r w:rsidRPr="00BB0E09">
              <w:rPr>
                <w:rFonts w:ascii="Century" w:hAnsi="Century"/>
                <w:sz w:val="28"/>
                <w:szCs w:val="28"/>
              </w:rPr>
              <w:t>,</w:t>
            </w:r>
            <w:r>
              <w:rPr>
                <w:rFonts w:ascii="Times New Roman" w:hAnsi="Times New Roman"/>
                <w:sz w:val="28"/>
                <w:szCs w:val="28"/>
              </w:rPr>
              <w:t>98)</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B12B3">
        <w:trPr>
          <w:trHeight w:val="33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Инсулин</w:t>
            </w:r>
            <w:r w:rsidRPr="00BB0E09">
              <w:rPr>
                <w:rFonts w:ascii="Century" w:hAnsi="Century"/>
                <w:sz w:val="28"/>
                <w:szCs w:val="28"/>
              </w:rPr>
              <w:t xml:space="preserve">, </w:t>
            </w:r>
            <w:r>
              <w:rPr>
                <w:rFonts w:ascii="Times New Roman" w:hAnsi="Times New Roman"/>
                <w:sz w:val="28"/>
                <w:szCs w:val="28"/>
              </w:rPr>
              <w:t>мкМЕ</w:t>
            </w:r>
            <w:r w:rsidRPr="00BB0E09">
              <w:rPr>
                <w:rFonts w:ascii="Century" w:hAnsi="Century"/>
                <w:sz w:val="28"/>
                <w:szCs w:val="28"/>
              </w:rPr>
              <w:t>/</w:t>
            </w:r>
            <w:r>
              <w:rPr>
                <w:rFonts w:ascii="Times New Roman" w:hAnsi="Times New Roman"/>
                <w:sz w:val="28"/>
                <w:szCs w:val="28"/>
              </w:rPr>
              <w:t>мл n</w:t>
            </w:r>
            <w:r w:rsidRPr="00BB0E09">
              <w:rPr>
                <w:rFonts w:ascii="Century" w:hAnsi="Century"/>
                <w:sz w:val="28"/>
                <w:szCs w:val="28"/>
              </w:rPr>
              <w:t>=</w:t>
            </w:r>
            <w:r>
              <w:rPr>
                <w:rFonts w:ascii="Times New Roman" w:hAnsi="Times New Roman"/>
                <w:sz w:val="28"/>
                <w:szCs w:val="28"/>
              </w:rPr>
              <w:t>507</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BB0E09">
              <w:rPr>
                <w:rFonts w:ascii="Century" w:hAnsi="Century"/>
                <w:sz w:val="28"/>
                <w:szCs w:val="28"/>
              </w:rPr>
              <w:t>≤</w:t>
            </w:r>
            <w:r>
              <w:rPr>
                <w:rFonts w:ascii="Times New Roman" w:hAnsi="Times New Roman"/>
                <w:sz w:val="28"/>
                <w:szCs w:val="28"/>
              </w:rPr>
              <w:t>24</w:t>
            </w:r>
            <w:r w:rsidRPr="00BB0E09">
              <w:rPr>
                <w:rFonts w:ascii="Century" w:hAnsi="Century"/>
                <w:sz w:val="28"/>
                <w:szCs w:val="28"/>
              </w:rPr>
              <w:t>,</w:t>
            </w:r>
            <w:r>
              <w:rPr>
                <w:rFonts w:ascii="Times New Roman" w:hAnsi="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408</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56</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BB0E09">
              <w:rPr>
                <w:rFonts w:ascii="Century" w:hAnsi="Century"/>
                <w:sz w:val="28"/>
                <w:szCs w:val="28"/>
              </w:rPr>
              <w:t>,</w:t>
            </w:r>
            <w:r>
              <w:rPr>
                <w:rFonts w:ascii="Times New Roman" w:hAnsi="Times New Roman"/>
                <w:sz w:val="28"/>
                <w:szCs w:val="28"/>
              </w:rPr>
              <w:t>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BB0E09">
              <w:rPr>
                <w:rFonts w:ascii="Century" w:hAnsi="Century"/>
                <w:sz w:val="28"/>
                <w:szCs w:val="28"/>
              </w:rPr>
              <w:t>,</w:t>
            </w:r>
            <w:r>
              <w:rPr>
                <w:rFonts w:ascii="Times New Roman" w:hAnsi="Times New Roman"/>
                <w:sz w:val="28"/>
                <w:szCs w:val="28"/>
              </w:rPr>
              <w:t>93</w:t>
            </w:r>
          </w:p>
        </w:tc>
      </w:tr>
      <w:tr w:rsidR="00AB12B3" w:rsidTr="00AB12B3">
        <w:trPr>
          <w:trHeight w:val="330"/>
        </w:trPr>
        <w:tc>
          <w:tcPr>
            <w:tcW w:w="949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BB0E09">
              <w:rPr>
                <w:rFonts w:ascii="Century" w:hAnsi="Century"/>
                <w:sz w:val="28"/>
                <w:szCs w:val="28"/>
              </w:rPr>
              <w:t>&gt;</w:t>
            </w:r>
            <w:r>
              <w:rPr>
                <w:rFonts w:ascii="Times New Roman" w:hAnsi="Times New Roman"/>
                <w:sz w:val="28"/>
                <w:szCs w:val="28"/>
              </w:rPr>
              <w:t>24</w:t>
            </w:r>
            <w:r w:rsidRPr="00BB0E09">
              <w:rPr>
                <w:rFonts w:ascii="Century" w:hAnsi="Century"/>
                <w:sz w:val="28"/>
                <w:szCs w:val="28"/>
              </w:rPr>
              <w:t>,</w:t>
            </w:r>
            <w:r>
              <w:rPr>
                <w:rFonts w:ascii="Times New Roman" w:hAnsi="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38</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BB0E09">
              <w:rPr>
                <w:rFonts w:ascii="Century" w:hAnsi="Century"/>
                <w:sz w:val="28"/>
                <w:szCs w:val="28"/>
              </w:rPr>
              <w:t>,</w:t>
            </w:r>
            <w:r>
              <w:rPr>
                <w:rFonts w:ascii="Times New Roman" w:hAnsi="Times New Roman"/>
                <w:sz w:val="28"/>
                <w:szCs w:val="28"/>
              </w:rPr>
              <w:t>96 (0</w:t>
            </w:r>
            <w:r w:rsidRPr="00BB0E09">
              <w:rPr>
                <w:rFonts w:ascii="Century" w:hAnsi="Century"/>
                <w:sz w:val="28"/>
                <w:szCs w:val="28"/>
              </w:rPr>
              <w:t>,</w:t>
            </w:r>
            <w:r>
              <w:rPr>
                <w:rFonts w:ascii="Times New Roman" w:hAnsi="Times New Roman"/>
                <w:sz w:val="28"/>
                <w:szCs w:val="28"/>
              </w:rPr>
              <w:t>36-2</w:t>
            </w:r>
            <w:r w:rsidRPr="00BB0E09">
              <w:rPr>
                <w:rFonts w:ascii="Century" w:hAnsi="Century"/>
                <w:sz w:val="28"/>
                <w:szCs w:val="28"/>
              </w:rPr>
              <w:t>,</w:t>
            </w:r>
            <w:r>
              <w:rPr>
                <w:rFonts w:ascii="Times New Roman" w:hAnsi="Times New Roman"/>
                <w:sz w:val="28"/>
                <w:szCs w:val="28"/>
              </w:rPr>
              <w:t>54)</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B12B3">
        <w:trPr>
          <w:trHeight w:val="33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глюкоза</w:t>
            </w:r>
            <w:r w:rsidRPr="00BB0E09">
              <w:rPr>
                <w:rFonts w:ascii="Century" w:hAnsi="Century"/>
                <w:sz w:val="28"/>
                <w:szCs w:val="28"/>
              </w:rPr>
              <w:t xml:space="preserve">, </w:t>
            </w:r>
            <w:r>
              <w:rPr>
                <w:rFonts w:ascii="Times New Roman" w:hAnsi="Times New Roman"/>
                <w:sz w:val="28"/>
                <w:szCs w:val="28"/>
              </w:rPr>
              <w:t>ммоль/л n=580</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≤5,59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256</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50</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0,95</w:t>
            </w:r>
          </w:p>
        </w:tc>
      </w:tr>
      <w:tr w:rsidR="00AB12B3" w:rsidTr="00AB12B3">
        <w:trPr>
          <w:trHeight w:val="330"/>
        </w:trPr>
        <w:tc>
          <w:tcPr>
            <w:tcW w:w="949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&gt;5,59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171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31</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0,93 (0,57-1,51)</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B12B3">
        <w:trPr>
          <w:trHeight w:val="330"/>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HOMA-IR</w:t>
            </w:r>
          </w:p>
          <w:p w:rsidR="00AB12B3" w:rsidRDefault="00AB12B3">
            <w:pPr>
              <w:jc w:val="center"/>
              <w:rPr>
                <w:rFonts w:ascii="Times New Roman" w:hAnsi="Times New Roman"/>
                <w:sz w:val="28"/>
                <w:szCs w:val="28"/>
              </w:rPr>
            </w:pPr>
            <w:r>
              <w:rPr>
                <w:rFonts w:ascii="Times New Roman" w:hAnsi="Times New Roman"/>
                <w:sz w:val="28"/>
                <w:szCs w:val="28"/>
              </w:rPr>
              <w:t>n=507</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&lt;2,7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269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42</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0,2</w:t>
            </w:r>
          </w:p>
        </w:tc>
      </w:tr>
      <w:tr w:rsidR="00AB12B3" w:rsidTr="00AB12B3">
        <w:trPr>
          <w:trHeight w:val="330"/>
        </w:trPr>
        <w:tc>
          <w:tcPr>
            <w:tcW w:w="949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177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19</w:t>
            </w:r>
          </w:p>
        </w:tc>
        <w:tc>
          <w:tcPr>
            <w:tcW w:w="212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0,69 (0,39-1,22)</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B12B3">
        <w:trPr>
          <w:trHeight w:val="451"/>
        </w:trPr>
        <w:tc>
          <w:tcPr>
            <w:tcW w:w="9498" w:type="dxa"/>
            <w:gridSpan w:val="6"/>
            <w:tcBorders>
              <w:top w:val="single" w:sz="4" w:space="0" w:color="auto"/>
              <w:left w:val="single" w:sz="4" w:space="0" w:color="auto"/>
              <w:bottom w:val="single" w:sz="4" w:space="0" w:color="auto"/>
              <w:right w:val="single" w:sz="4" w:space="0" w:color="auto"/>
            </w:tcBorders>
            <w:hideMark/>
          </w:tcPr>
          <w:p w:rsidR="004E5C23" w:rsidRDefault="00AB12B3">
            <w:pPr>
              <w:jc w:val="both"/>
              <w:rPr>
                <w:rFonts w:ascii="Times New Roman" w:hAnsi="Times New Roman"/>
                <w:szCs w:val="24"/>
                <w:lang w:val="kk-KZ"/>
              </w:rPr>
            </w:pPr>
            <w:r>
              <w:rPr>
                <w:rFonts w:ascii="Times New Roman" w:hAnsi="Times New Roman"/>
                <w:szCs w:val="24"/>
              </w:rPr>
              <w:t>Примечание * - χ</w:t>
            </w:r>
            <w:r>
              <w:rPr>
                <w:rFonts w:ascii="Times New Roman" w:hAnsi="Times New Roman"/>
                <w:szCs w:val="24"/>
                <w:vertAlign w:val="superscript"/>
              </w:rPr>
              <w:t>2</w:t>
            </w:r>
            <w:r>
              <w:rPr>
                <w:rFonts w:ascii="Times New Roman" w:hAnsi="Times New Roman"/>
                <w:szCs w:val="24"/>
              </w:rPr>
              <w:t xml:space="preserve"> – хи квадрат Пирсона; </w:t>
            </w:r>
          </w:p>
          <w:p w:rsidR="00AB12B3" w:rsidRDefault="00AB12B3">
            <w:pPr>
              <w:jc w:val="both"/>
              <w:rPr>
                <w:rFonts w:ascii="Times New Roman" w:hAnsi="Times New Roman"/>
                <w:sz w:val="20"/>
                <w:szCs w:val="20"/>
              </w:rPr>
            </w:pPr>
            <w:r>
              <w:rPr>
                <w:rFonts w:ascii="Times New Roman" w:hAnsi="Times New Roman"/>
                <w:szCs w:val="24"/>
              </w:rPr>
              <w:t>ОШ (95% ДИ) – Отношение шансов (95% Доверительный интервал)</w:t>
            </w:r>
          </w:p>
        </w:tc>
      </w:tr>
    </w:tbl>
    <w:p w:rsidR="00AB12B3" w:rsidRDefault="00AB12B3" w:rsidP="00AB12B3">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Так как, уровень ОХС включает в себя общее количество уровней ХС ЛПОНП, ЛПНП и ЛПВП</w:t>
      </w:r>
      <w:r w:rsidR="00F91780">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Journal","id":"ITEM-1","issue":"1","issued":{"date-parts":[["2020","1","1"]]},"page":"111-188","title":"2019 ESC/EAS Guidelines for the management of dyslipidaemias: lipid modification to reduce cardiovascular risk","type":"article-journal","volume":"41"},"uris":["http://www.mendeley.com/documents/?uuid=596ff8fa-459c-486e-8041-242d096c7b8b"]}],"mendeley":{"formattedCitation":"[2]","manualFormatting":"[2, р. 127]","plainTextFormattedCitation":"[2]","previouslyFormattedCitation":"[2]"},"properties":{"noteIndex":0},"schema":"https://github.com/citation-style-language/schema/raw/master/csl-citation.json"}</w:instrText>
      </w:r>
      <w:r w:rsidR="00EA0E64">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[2</w:t>
      </w:r>
      <w:r w:rsidR="00F87DB7">
        <w:rPr>
          <w:rFonts w:ascii="Times New Roman" w:hAnsi="Times New Roman" w:cs="Times New Roman"/>
          <w:noProof/>
          <w:sz w:val="28"/>
          <w:szCs w:val="28"/>
        </w:rPr>
        <w:t>, р. 127</w:t>
      </w:r>
      <w:r w:rsidR="00F87DB7" w:rsidRPr="00F87DB7">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r w:rsidR="00926E8E">
        <w:rPr>
          <w:rFonts w:ascii="Times New Roman" w:hAnsi="Times New Roman" w:cs="Times New Roman"/>
          <w:sz w:val="28"/>
          <w:szCs w:val="28"/>
        </w:rPr>
        <w:t>выявленная разница средних величин этих липидов в группах ОХС и их</w:t>
      </w:r>
      <w:r w:rsidR="008F3270">
        <w:rPr>
          <w:rFonts w:ascii="Times New Roman" w:hAnsi="Times New Roman" w:cs="Times New Roman"/>
          <w:sz w:val="28"/>
          <w:szCs w:val="28"/>
        </w:rPr>
        <w:t xml:space="preserve"> ассоциация с ОХС была ожидаемым результатом</w:t>
      </w:r>
      <w:r w:rsidR="00015C53">
        <w:rPr>
          <w:rFonts w:ascii="Times New Roman" w:hAnsi="Times New Roman" w:cs="Times New Roman"/>
          <w:sz w:val="28"/>
          <w:szCs w:val="28"/>
        </w:rPr>
        <w:t xml:space="preserve"> исследования</w:t>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Триглицериды</w:t>
      </w:r>
    </w:p>
    <w:p w:rsidR="00A950D5" w:rsidRDefault="00A634DD" w:rsidP="00A950D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таблице 12</w:t>
      </w:r>
      <w:r w:rsidR="00D07B5B">
        <w:rPr>
          <w:rFonts w:ascii="Times New Roman" w:hAnsi="Times New Roman" w:cs="Times New Roman"/>
          <w:sz w:val="28"/>
          <w:szCs w:val="28"/>
        </w:rPr>
        <w:t xml:space="preserve"> </w:t>
      </w:r>
      <w:r>
        <w:rPr>
          <w:rFonts w:ascii="Times New Roman" w:hAnsi="Times New Roman" w:cs="Times New Roman"/>
          <w:sz w:val="28"/>
          <w:szCs w:val="28"/>
        </w:rPr>
        <w:t>представлено р</w:t>
      </w:r>
      <w:r w:rsidR="00103D43">
        <w:rPr>
          <w:rFonts w:ascii="Times New Roman" w:hAnsi="Times New Roman" w:cs="Times New Roman"/>
          <w:sz w:val="28"/>
          <w:szCs w:val="28"/>
        </w:rPr>
        <w:t>аспределение факторов риска по группам ТГ.</w:t>
      </w:r>
      <w:r w:rsidR="00B27DCF">
        <w:rPr>
          <w:rFonts w:ascii="Times New Roman" w:hAnsi="Times New Roman" w:cs="Times New Roman"/>
          <w:sz w:val="28"/>
          <w:szCs w:val="28"/>
        </w:rPr>
        <w:t xml:space="preserve"> </w:t>
      </w:r>
      <w:r w:rsidR="00A950D5">
        <w:rPr>
          <w:rFonts w:ascii="Times New Roman" w:hAnsi="Times New Roman" w:cs="Times New Roman"/>
          <w:sz w:val="28"/>
          <w:szCs w:val="28"/>
        </w:rPr>
        <w:t>При сравнении средних величин факторов риска отличались средние величины ИМТ (р=0,018)</w:t>
      </w:r>
      <w:r>
        <w:rPr>
          <w:rFonts w:ascii="Times New Roman" w:hAnsi="Times New Roman" w:cs="Times New Roman"/>
          <w:sz w:val="28"/>
          <w:szCs w:val="28"/>
        </w:rPr>
        <w:t>,</w:t>
      </w:r>
      <w:r w:rsidR="00F91780">
        <w:rPr>
          <w:rFonts w:ascii="Times New Roman" w:hAnsi="Times New Roman" w:cs="Times New Roman"/>
          <w:sz w:val="28"/>
          <w:szCs w:val="28"/>
        </w:rPr>
        <w:t xml:space="preserve"> </w:t>
      </w:r>
      <w:r>
        <w:rPr>
          <w:rFonts w:ascii="Times New Roman" w:hAnsi="Times New Roman" w:cs="Times New Roman"/>
          <w:sz w:val="28"/>
          <w:szCs w:val="28"/>
        </w:rPr>
        <w:t xml:space="preserve">возраста (р=0,038) </w:t>
      </w:r>
      <w:r w:rsidR="00A950D5">
        <w:rPr>
          <w:rFonts w:ascii="Times New Roman" w:hAnsi="Times New Roman" w:cs="Times New Roman"/>
          <w:sz w:val="28"/>
          <w:szCs w:val="28"/>
        </w:rPr>
        <w:t xml:space="preserve">и окружности талии (р=0,029) между группами ТГ (таблица 12). </w:t>
      </w:r>
    </w:p>
    <w:p w:rsidR="00A950D5" w:rsidRDefault="00A950D5" w:rsidP="00905F06">
      <w:pPr>
        <w:spacing w:after="0" w:line="240" w:lineRule="auto"/>
        <w:jc w:val="both"/>
        <w:rPr>
          <w:rFonts w:ascii="Times New Roman" w:hAnsi="Times New Roman" w:cs="Times New Roman"/>
          <w:sz w:val="28"/>
          <w:szCs w:val="28"/>
          <w:lang w:val="kk-KZ"/>
        </w:rPr>
        <w:sectPr w:rsidR="00A950D5" w:rsidSect="005B1090">
          <w:pgSz w:w="11906" w:h="16838"/>
          <w:pgMar w:top="1134" w:right="850" w:bottom="1134" w:left="1701" w:header="708" w:footer="708" w:gutter="0"/>
          <w:cols w:space="720"/>
        </w:sectPr>
      </w:pPr>
    </w:p>
    <w:p w:rsidR="00E83EC5" w:rsidRDefault="00AB12B3" w:rsidP="00B324BD">
      <w:pPr>
        <w:spacing w:after="0" w:line="240" w:lineRule="auto"/>
        <w:jc w:val="both"/>
        <w:rPr>
          <w:rFonts w:ascii="Times New Roman" w:hAnsi="Times New Roman"/>
          <w:sz w:val="28"/>
          <w:szCs w:val="28"/>
          <w:lang w:val="kk-KZ"/>
        </w:rPr>
      </w:pPr>
      <w:r>
        <w:rPr>
          <w:rFonts w:ascii="Times New Roman" w:hAnsi="Times New Roman" w:cs="Times New Roman"/>
          <w:sz w:val="28"/>
          <w:szCs w:val="28"/>
        </w:rPr>
        <w:lastRenderedPageBreak/>
        <w:t>Таблица 12</w:t>
      </w:r>
      <w:r w:rsidR="00162472">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факторов рисков по группам </w:t>
      </w:r>
      <w:r w:rsidR="002A48A7">
        <w:rPr>
          <w:rFonts w:ascii="Times New Roman" w:hAnsi="Times New Roman" w:cs="Times New Roman"/>
          <w:sz w:val="28"/>
          <w:szCs w:val="28"/>
        </w:rPr>
        <w:t xml:space="preserve">триглицеридов </w:t>
      </w:r>
      <w:r w:rsidR="00DA472A">
        <w:rPr>
          <w:rFonts w:ascii="Times New Roman" w:hAnsi="Times New Roman" w:cs="Times New Roman"/>
          <w:sz w:val="28"/>
          <w:szCs w:val="28"/>
        </w:rPr>
        <w:t>(</w:t>
      </w:r>
      <w:r>
        <w:rPr>
          <w:rFonts w:ascii="Times New Roman" w:hAnsi="Times New Roman"/>
          <w:sz w:val="28"/>
          <w:szCs w:val="28"/>
        </w:rPr>
        <w:t>n=580</w:t>
      </w:r>
      <w:r w:rsidR="00DA472A">
        <w:rPr>
          <w:rFonts w:ascii="Times New Roman" w:hAnsi="Times New Roman"/>
          <w:sz w:val="28"/>
          <w:szCs w:val="28"/>
        </w:rPr>
        <w:t>)</w:t>
      </w:r>
    </w:p>
    <w:p w:rsidR="00B96E35" w:rsidRPr="00B96E35" w:rsidRDefault="00B96E35" w:rsidP="00B324BD">
      <w:pPr>
        <w:spacing w:after="0" w:line="240" w:lineRule="auto"/>
        <w:jc w:val="both"/>
        <w:rPr>
          <w:rFonts w:ascii="Times New Roman" w:hAnsi="Times New Roman"/>
          <w:sz w:val="28"/>
          <w:szCs w:val="28"/>
          <w:lang w:val="kk-KZ"/>
        </w:rPr>
      </w:pPr>
    </w:p>
    <w:tbl>
      <w:tblPr>
        <w:tblStyle w:val="af7"/>
        <w:tblpPr w:leftFromText="180" w:rightFromText="180" w:vertAnchor="text" w:horzAnchor="margin" w:tblpX="108" w:tblpY="197"/>
        <w:tblW w:w="9465" w:type="dxa"/>
        <w:tblLayout w:type="fixed"/>
        <w:tblLook w:val="04A0" w:firstRow="1" w:lastRow="0" w:firstColumn="1" w:lastColumn="0" w:noHBand="0" w:noVBand="1"/>
      </w:tblPr>
      <w:tblGrid>
        <w:gridCol w:w="3120"/>
        <w:gridCol w:w="2693"/>
        <w:gridCol w:w="2552"/>
        <w:gridCol w:w="1100"/>
      </w:tblGrid>
      <w:tr w:rsidR="00AB12B3" w:rsidTr="00DF4E3A">
        <w:trPr>
          <w:trHeight w:val="377"/>
        </w:trPr>
        <w:tc>
          <w:tcPr>
            <w:tcW w:w="3120"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5245"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ТГ, ммоль/л</w:t>
            </w:r>
          </w:p>
        </w:tc>
        <w:tc>
          <w:tcPr>
            <w:tcW w:w="1100"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DF4E3A">
        <w:trPr>
          <w:trHeight w:val="379"/>
        </w:trPr>
        <w:tc>
          <w:tcPr>
            <w:tcW w:w="3120"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69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≤1,7</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&gt;1,7</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1100"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DF4E3A">
        <w:trPr>
          <w:trHeight w:val="323"/>
        </w:trPr>
        <w:tc>
          <w:tcPr>
            <w:tcW w:w="3120"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Возраст</w:t>
            </w:r>
            <w:r w:rsidRPr="00BB0E09">
              <w:rPr>
                <w:rFonts w:ascii="Century" w:hAnsi="Century"/>
                <w:sz w:val="28"/>
                <w:szCs w:val="28"/>
              </w:rPr>
              <w:t xml:space="preserve">, </w:t>
            </w:r>
            <w:r>
              <w:rPr>
                <w:rFonts w:ascii="Times New Roman" w:hAnsi="Times New Roman"/>
                <w:sz w:val="28"/>
                <w:szCs w:val="28"/>
              </w:rPr>
              <w:t>лет</w:t>
            </w:r>
          </w:p>
        </w:tc>
        <w:tc>
          <w:tcPr>
            <w:tcW w:w="2693"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45</w:t>
            </w:r>
            <w:r w:rsidRPr="00BB0E09">
              <w:rPr>
                <w:rFonts w:ascii="Century" w:hAnsi="Century"/>
                <w:sz w:val="28"/>
                <w:szCs w:val="28"/>
              </w:rPr>
              <w:t>±</w:t>
            </w:r>
            <w:r>
              <w:rPr>
                <w:rFonts w:ascii="Times New Roman" w:hAnsi="Times New Roman"/>
                <w:sz w:val="28"/>
                <w:szCs w:val="28"/>
              </w:rPr>
              <w:t>17 (37</w:t>
            </w:r>
            <w:r w:rsidRPr="00BB0E09">
              <w:rPr>
                <w:rFonts w:ascii="Century" w:hAnsi="Century"/>
                <w:sz w:val="28"/>
                <w:szCs w:val="28"/>
              </w:rPr>
              <w:t>-</w:t>
            </w:r>
            <w:r>
              <w:rPr>
                <w:rFonts w:ascii="Times New Roman" w:hAnsi="Times New Roman"/>
                <w:sz w:val="28"/>
                <w:szCs w:val="28"/>
              </w:rPr>
              <w:t>54)</w:t>
            </w:r>
          </w:p>
        </w:tc>
        <w:tc>
          <w:tcPr>
            <w:tcW w:w="2552"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47</w:t>
            </w:r>
            <w:r w:rsidRPr="00BB0E09">
              <w:rPr>
                <w:rFonts w:ascii="Century" w:hAnsi="Century"/>
                <w:sz w:val="28"/>
                <w:szCs w:val="28"/>
              </w:rPr>
              <w:t>±</w:t>
            </w:r>
            <w:r>
              <w:rPr>
                <w:rFonts w:ascii="Times New Roman" w:hAnsi="Times New Roman"/>
                <w:sz w:val="28"/>
                <w:szCs w:val="28"/>
              </w:rPr>
              <w:t>17 (39</w:t>
            </w:r>
            <w:r w:rsidRPr="00BB0E09">
              <w:rPr>
                <w:rFonts w:ascii="Century" w:hAnsi="Century"/>
                <w:sz w:val="28"/>
                <w:szCs w:val="28"/>
              </w:rPr>
              <w:t>-</w:t>
            </w:r>
            <w:r>
              <w:rPr>
                <w:rFonts w:ascii="Times New Roman" w:hAnsi="Times New Roman"/>
                <w:sz w:val="28"/>
                <w:szCs w:val="28"/>
              </w:rPr>
              <w:t>56)</w:t>
            </w:r>
          </w:p>
        </w:tc>
        <w:tc>
          <w:tcPr>
            <w:tcW w:w="1100"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BB0E09">
              <w:rPr>
                <w:rFonts w:ascii="Century" w:hAnsi="Century"/>
                <w:sz w:val="28"/>
                <w:szCs w:val="28"/>
              </w:rPr>
              <w:t>,</w:t>
            </w:r>
            <w:r>
              <w:rPr>
                <w:rFonts w:ascii="Times New Roman" w:hAnsi="Times New Roman"/>
                <w:sz w:val="28"/>
                <w:szCs w:val="28"/>
              </w:rPr>
              <w:t>038</w:t>
            </w:r>
          </w:p>
        </w:tc>
      </w:tr>
      <w:tr w:rsidR="00486DA3" w:rsidTr="003F0171">
        <w:trPr>
          <w:trHeight w:val="323"/>
        </w:trPr>
        <w:tc>
          <w:tcPr>
            <w:tcW w:w="3120" w:type="dxa"/>
            <w:tcBorders>
              <w:top w:val="single" w:sz="4" w:space="0" w:color="auto"/>
              <w:left w:val="single" w:sz="4" w:space="0" w:color="auto"/>
              <w:bottom w:val="single" w:sz="4" w:space="0" w:color="auto"/>
              <w:right w:val="single" w:sz="4" w:space="0" w:color="auto"/>
            </w:tcBorders>
            <w:vAlign w:val="center"/>
          </w:tcPr>
          <w:p w:rsidR="00486DA3" w:rsidRDefault="00486DA3" w:rsidP="00486DA3">
            <w:pPr>
              <w:jc w:val="center"/>
              <w:rPr>
                <w:rFonts w:ascii="Times New Roman" w:hAnsi="Times New Roman"/>
                <w:sz w:val="28"/>
                <w:szCs w:val="28"/>
              </w:rPr>
            </w:pPr>
            <w:r>
              <w:rPr>
                <w:rFonts w:ascii="Times New Roman" w:hAnsi="Times New Roman"/>
                <w:sz w:val="28"/>
                <w:szCs w:val="28"/>
              </w:rPr>
              <w:t>Окружность талии (см)</w:t>
            </w:r>
          </w:p>
        </w:tc>
        <w:tc>
          <w:tcPr>
            <w:tcW w:w="2693" w:type="dxa"/>
            <w:tcBorders>
              <w:top w:val="nil"/>
              <w:left w:val="single" w:sz="4" w:space="0" w:color="auto"/>
              <w:bottom w:val="single" w:sz="4" w:space="0" w:color="auto"/>
              <w:right w:val="single" w:sz="4" w:space="0" w:color="auto"/>
            </w:tcBorders>
          </w:tcPr>
          <w:p w:rsidR="00486DA3" w:rsidRDefault="00486DA3" w:rsidP="00486DA3">
            <w:pPr>
              <w:jc w:val="center"/>
              <w:rPr>
                <w:rFonts w:ascii="Times New Roman" w:hAnsi="Times New Roman"/>
                <w:sz w:val="28"/>
                <w:szCs w:val="28"/>
              </w:rPr>
            </w:pPr>
            <w:r>
              <w:rPr>
                <w:rFonts w:ascii="Times New Roman" w:hAnsi="Times New Roman"/>
                <w:sz w:val="28"/>
                <w:szCs w:val="28"/>
              </w:rPr>
              <w:t>95</w:t>
            </w:r>
            <w:r w:rsidRPr="00BB0E09">
              <w:rPr>
                <w:rFonts w:ascii="Century" w:hAnsi="Century"/>
                <w:sz w:val="28"/>
                <w:szCs w:val="28"/>
              </w:rPr>
              <w:t>±</w:t>
            </w:r>
            <w:r>
              <w:rPr>
                <w:rFonts w:ascii="Times New Roman" w:hAnsi="Times New Roman"/>
                <w:sz w:val="28"/>
                <w:szCs w:val="28"/>
              </w:rPr>
              <w:t>15 (90</w:t>
            </w:r>
            <w:r w:rsidRPr="00BB0E09">
              <w:rPr>
                <w:rFonts w:ascii="Century" w:hAnsi="Century"/>
                <w:sz w:val="28"/>
                <w:szCs w:val="28"/>
              </w:rPr>
              <w:t>-</w:t>
            </w:r>
            <w:r>
              <w:rPr>
                <w:rFonts w:ascii="Times New Roman" w:hAnsi="Times New Roman"/>
                <w:sz w:val="28"/>
                <w:szCs w:val="28"/>
              </w:rPr>
              <w:t>105)</w:t>
            </w:r>
          </w:p>
        </w:tc>
        <w:tc>
          <w:tcPr>
            <w:tcW w:w="2552" w:type="dxa"/>
            <w:tcBorders>
              <w:top w:val="nil"/>
              <w:left w:val="single" w:sz="4" w:space="0" w:color="auto"/>
              <w:bottom w:val="single" w:sz="4" w:space="0" w:color="auto"/>
              <w:right w:val="single" w:sz="4" w:space="0" w:color="auto"/>
            </w:tcBorders>
          </w:tcPr>
          <w:p w:rsidR="00486DA3" w:rsidRDefault="00486DA3" w:rsidP="00486DA3">
            <w:pPr>
              <w:jc w:val="center"/>
              <w:rPr>
                <w:rFonts w:ascii="Times New Roman" w:hAnsi="Times New Roman"/>
                <w:sz w:val="28"/>
                <w:szCs w:val="28"/>
              </w:rPr>
            </w:pPr>
            <w:r>
              <w:rPr>
                <w:rFonts w:ascii="Times New Roman" w:hAnsi="Times New Roman"/>
                <w:sz w:val="28"/>
                <w:szCs w:val="28"/>
              </w:rPr>
              <w:t>97</w:t>
            </w:r>
            <w:r w:rsidRPr="00BB0E09">
              <w:rPr>
                <w:rFonts w:ascii="Century" w:hAnsi="Century"/>
                <w:sz w:val="28"/>
                <w:szCs w:val="28"/>
              </w:rPr>
              <w:t>±</w:t>
            </w:r>
            <w:r>
              <w:rPr>
                <w:rFonts w:ascii="Times New Roman" w:hAnsi="Times New Roman"/>
                <w:sz w:val="28"/>
                <w:szCs w:val="28"/>
              </w:rPr>
              <w:t>20 (90</w:t>
            </w:r>
            <w:r w:rsidRPr="00BB0E09">
              <w:rPr>
                <w:rFonts w:ascii="Century" w:hAnsi="Century"/>
                <w:sz w:val="28"/>
                <w:szCs w:val="28"/>
              </w:rPr>
              <w:t>-</w:t>
            </w:r>
            <w:r>
              <w:rPr>
                <w:rFonts w:ascii="Times New Roman" w:hAnsi="Times New Roman"/>
                <w:sz w:val="28"/>
                <w:szCs w:val="28"/>
              </w:rPr>
              <w:t>110)</w:t>
            </w:r>
          </w:p>
        </w:tc>
        <w:tc>
          <w:tcPr>
            <w:tcW w:w="1100" w:type="dxa"/>
            <w:tcBorders>
              <w:top w:val="single" w:sz="4" w:space="0" w:color="auto"/>
              <w:left w:val="single" w:sz="4" w:space="0" w:color="auto"/>
              <w:bottom w:val="single" w:sz="4" w:space="0" w:color="auto"/>
              <w:right w:val="single" w:sz="4" w:space="0" w:color="auto"/>
            </w:tcBorders>
          </w:tcPr>
          <w:p w:rsidR="00486DA3" w:rsidRDefault="00486DA3" w:rsidP="00486DA3">
            <w:pPr>
              <w:jc w:val="center"/>
              <w:rPr>
                <w:rFonts w:ascii="Times New Roman" w:hAnsi="Times New Roman"/>
                <w:sz w:val="28"/>
                <w:szCs w:val="28"/>
              </w:rPr>
            </w:pPr>
            <w:r>
              <w:rPr>
                <w:rFonts w:ascii="Times New Roman" w:hAnsi="Times New Roman"/>
                <w:sz w:val="28"/>
                <w:szCs w:val="28"/>
              </w:rPr>
              <w:t>0</w:t>
            </w:r>
            <w:r w:rsidRPr="00BB0E09">
              <w:rPr>
                <w:rFonts w:ascii="Century" w:hAnsi="Century"/>
                <w:sz w:val="28"/>
                <w:szCs w:val="28"/>
              </w:rPr>
              <w:t>,</w:t>
            </w:r>
            <w:r>
              <w:rPr>
                <w:rFonts w:ascii="Times New Roman" w:hAnsi="Times New Roman"/>
                <w:sz w:val="28"/>
                <w:szCs w:val="28"/>
              </w:rPr>
              <w:t>029</w:t>
            </w:r>
          </w:p>
        </w:tc>
      </w:tr>
      <w:tr w:rsidR="00486DA3" w:rsidTr="00DF4E3A">
        <w:trPr>
          <w:trHeight w:val="323"/>
        </w:trPr>
        <w:tc>
          <w:tcPr>
            <w:tcW w:w="3120" w:type="dxa"/>
            <w:tcBorders>
              <w:top w:val="single" w:sz="4" w:space="0" w:color="auto"/>
              <w:left w:val="single" w:sz="4" w:space="0" w:color="auto"/>
              <w:bottom w:val="single" w:sz="4" w:space="0" w:color="auto"/>
              <w:right w:val="single" w:sz="4" w:space="0" w:color="auto"/>
            </w:tcBorders>
            <w:vAlign w:val="center"/>
            <w:hideMark/>
          </w:tcPr>
          <w:p w:rsidR="00486DA3" w:rsidRDefault="00486DA3" w:rsidP="00486DA3">
            <w:pPr>
              <w:jc w:val="center"/>
              <w:rPr>
                <w:rFonts w:ascii="Times New Roman" w:hAnsi="Times New Roman"/>
                <w:sz w:val="28"/>
                <w:szCs w:val="28"/>
              </w:rPr>
            </w:pPr>
            <w:r>
              <w:rPr>
                <w:rFonts w:ascii="Times New Roman" w:hAnsi="Times New Roman"/>
                <w:sz w:val="28"/>
                <w:szCs w:val="28"/>
              </w:rPr>
              <w:t>ИМТ (кг</w:t>
            </w:r>
            <w:r w:rsidRPr="00BB0E09">
              <w:rPr>
                <w:rFonts w:ascii="Century" w:hAnsi="Century"/>
                <w:sz w:val="28"/>
                <w:szCs w:val="28"/>
              </w:rPr>
              <w:t>/</w:t>
            </w:r>
            <w:r>
              <w:rPr>
                <w:rFonts w:ascii="Times New Roman" w:hAnsi="Times New Roman"/>
                <w:sz w:val="28"/>
                <w:szCs w:val="28"/>
              </w:rPr>
              <w:t>м</w:t>
            </w:r>
            <w:r>
              <w:rPr>
                <w:rFonts w:ascii="Times New Roman" w:hAnsi="Times New Roman"/>
                <w:sz w:val="28"/>
                <w:szCs w:val="28"/>
                <w:vertAlign w:val="superscript"/>
              </w:rPr>
              <w:t>2</w:t>
            </w:r>
            <w:r>
              <w:rPr>
                <w:rFonts w:ascii="Times New Roman" w:hAnsi="Times New Roman"/>
                <w:sz w:val="28"/>
                <w:szCs w:val="28"/>
              </w:rPr>
              <w:t>)</w:t>
            </w:r>
          </w:p>
        </w:tc>
        <w:tc>
          <w:tcPr>
            <w:tcW w:w="2693" w:type="dxa"/>
            <w:tcBorders>
              <w:top w:val="nil"/>
              <w:left w:val="single" w:sz="4" w:space="0" w:color="auto"/>
              <w:bottom w:val="single" w:sz="4" w:space="0" w:color="auto"/>
              <w:right w:val="single" w:sz="4" w:space="0" w:color="auto"/>
            </w:tcBorders>
            <w:hideMark/>
          </w:tcPr>
          <w:p w:rsidR="00486DA3" w:rsidRDefault="00486DA3" w:rsidP="00486DA3">
            <w:pPr>
              <w:jc w:val="center"/>
              <w:rPr>
                <w:rFonts w:ascii="Times New Roman" w:hAnsi="Times New Roman"/>
                <w:sz w:val="28"/>
                <w:szCs w:val="28"/>
              </w:rPr>
            </w:pPr>
            <w:r>
              <w:rPr>
                <w:rFonts w:ascii="Times New Roman" w:hAnsi="Times New Roman"/>
                <w:sz w:val="28"/>
                <w:szCs w:val="28"/>
              </w:rPr>
              <w:t xml:space="preserve">25,95±5,41 </w:t>
            </w:r>
          </w:p>
          <w:p w:rsidR="00486DA3" w:rsidRDefault="00486DA3" w:rsidP="00486DA3">
            <w:pPr>
              <w:jc w:val="center"/>
            </w:pPr>
            <w:r>
              <w:rPr>
                <w:rFonts w:ascii="Times New Roman" w:hAnsi="Times New Roman"/>
                <w:sz w:val="28"/>
                <w:szCs w:val="28"/>
              </w:rPr>
              <w:t>(23</w:t>
            </w:r>
            <w:r w:rsidRPr="00BB0E09">
              <w:rPr>
                <w:rFonts w:ascii="Century" w:hAnsi="Century"/>
                <w:sz w:val="28"/>
                <w:szCs w:val="28"/>
              </w:rPr>
              <w:t>,</w:t>
            </w:r>
            <w:r>
              <w:rPr>
                <w:rFonts w:ascii="Times New Roman" w:hAnsi="Times New Roman"/>
                <w:sz w:val="28"/>
                <w:szCs w:val="28"/>
              </w:rPr>
              <w:t>19</w:t>
            </w:r>
            <w:r w:rsidRPr="00BB0E09">
              <w:rPr>
                <w:rFonts w:ascii="Century" w:hAnsi="Century"/>
                <w:sz w:val="28"/>
                <w:szCs w:val="28"/>
              </w:rPr>
              <w:t>-</w:t>
            </w:r>
            <w:r>
              <w:rPr>
                <w:rFonts w:ascii="Times New Roman" w:hAnsi="Times New Roman"/>
                <w:sz w:val="28"/>
                <w:szCs w:val="28"/>
              </w:rPr>
              <w:t>28</w:t>
            </w:r>
            <w:r w:rsidRPr="00BB0E09">
              <w:rPr>
                <w:rFonts w:ascii="Century" w:hAnsi="Century"/>
                <w:sz w:val="28"/>
                <w:szCs w:val="28"/>
              </w:rPr>
              <w:t>,</w:t>
            </w:r>
            <w:r>
              <w:rPr>
                <w:rFonts w:ascii="Times New Roman" w:hAnsi="Times New Roman"/>
                <w:sz w:val="28"/>
                <w:szCs w:val="28"/>
              </w:rPr>
              <w:t>6)</w:t>
            </w:r>
          </w:p>
        </w:tc>
        <w:tc>
          <w:tcPr>
            <w:tcW w:w="2552" w:type="dxa"/>
            <w:tcBorders>
              <w:top w:val="nil"/>
              <w:left w:val="single" w:sz="4" w:space="0" w:color="auto"/>
              <w:bottom w:val="single" w:sz="4" w:space="0" w:color="auto"/>
              <w:right w:val="single" w:sz="4" w:space="0" w:color="auto"/>
            </w:tcBorders>
            <w:hideMark/>
          </w:tcPr>
          <w:p w:rsidR="00486DA3" w:rsidRDefault="00486DA3" w:rsidP="00486DA3">
            <w:pPr>
              <w:jc w:val="center"/>
              <w:rPr>
                <w:rFonts w:ascii="Times New Roman" w:hAnsi="Times New Roman"/>
                <w:sz w:val="28"/>
                <w:szCs w:val="28"/>
              </w:rPr>
            </w:pPr>
            <w:r>
              <w:rPr>
                <w:rFonts w:ascii="Times New Roman" w:hAnsi="Times New Roman"/>
                <w:sz w:val="28"/>
                <w:szCs w:val="28"/>
              </w:rPr>
              <w:t>27</w:t>
            </w:r>
            <w:r w:rsidRPr="00BB0E09">
              <w:rPr>
                <w:rFonts w:ascii="Century" w:hAnsi="Century"/>
                <w:sz w:val="28"/>
                <w:szCs w:val="28"/>
              </w:rPr>
              <w:t>,</w:t>
            </w:r>
            <w:r>
              <w:rPr>
                <w:rFonts w:ascii="Times New Roman" w:hAnsi="Times New Roman"/>
                <w:sz w:val="28"/>
                <w:szCs w:val="28"/>
              </w:rPr>
              <w:t>04</w:t>
            </w:r>
            <w:r w:rsidRPr="00BB0E09">
              <w:rPr>
                <w:rFonts w:ascii="Century" w:hAnsi="Century"/>
                <w:sz w:val="28"/>
                <w:szCs w:val="28"/>
              </w:rPr>
              <w:t>±</w:t>
            </w:r>
            <w:r>
              <w:rPr>
                <w:rFonts w:ascii="Times New Roman" w:hAnsi="Times New Roman"/>
                <w:sz w:val="28"/>
                <w:szCs w:val="28"/>
              </w:rPr>
              <w:t>6</w:t>
            </w:r>
            <w:r w:rsidRPr="00BB0E09">
              <w:rPr>
                <w:rFonts w:ascii="Century" w:hAnsi="Century"/>
                <w:sz w:val="28"/>
                <w:szCs w:val="28"/>
              </w:rPr>
              <w:t>,</w:t>
            </w:r>
            <w:r>
              <w:rPr>
                <w:rFonts w:ascii="Times New Roman" w:hAnsi="Times New Roman"/>
                <w:sz w:val="28"/>
                <w:szCs w:val="28"/>
              </w:rPr>
              <w:t xml:space="preserve">02 </w:t>
            </w:r>
          </w:p>
          <w:p w:rsidR="00486DA3" w:rsidRDefault="00486DA3" w:rsidP="00486DA3">
            <w:pPr>
              <w:jc w:val="center"/>
            </w:pPr>
            <w:r>
              <w:rPr>
                <w:rFonts w:ascii="Times New Roman" w:hAnsi="Times New Roman"/>
                <w:sz w:val="28"/>
                <w:szCs w:val="28"/>
              </w:rPr>
              <w:t>(23</w:t>
            </w:r>
            <w:r w:rsidRPr="00BB0E09">
              <w:rPr>
                <w:rFonts w:ascii="Century" w:hAnsi="Century"/>
                <w:sz w:val="28"/>
                <w:szCs w:val="28"/>
              </w:rPr>
              <w:t>,</w:t>
            </w:r>
            <w:r>
              <w:rPr>
                <w:rFonts w:ascii="Times New Roman" w:hAnsi="Times New Roman"/>
                <w:sz w:val="28"/>
                <w:szCs w:val="28"/>
              </w:rPr>
              <w:t>61</w:t>
            </w:r>
            <w:r w:rsidRPr="00BB0E09">
              <w:rPr>
                <w:rFonts w:ascii="Century" w:hAnsi="Century"/>
                <w:sz w:val="28"/>
                <w:szCs w:val="28"/>
              </w:rPr>
              <w:t>-</w:t>
            </w:r>
            <w:r>
              <w:rPr>
                <w:rFonts w:ascii="Times New Roman" w:hAnsi="Times New Roman"/>
                <w:sz w:val="28"/>
                <w:szCs w:val="28"/>
              </w:rPr>
              <w:t>29</w:t>
            </w:r>
            <w:r w:rsidR="00BB0E09" w:rsidRPr="00BB0E09">
              <w:rPr>
                <w:rFonts w:ascii="Century" w:hAnsi="Century"/>
                <w:sz w:val="28"/>
                <w:szCs w:val="28"/>
              </w:rPr>
              <w:t>,</w:t>
            </w:r>
            <w:r>
              <w:rPr>
                <w:rFonts w:ascii="Times New Roman" w:hAnsi="Times New Roman"/>
                <w:sz w:val="28"/>
                <w:szCs w:val="28"/>
              </w:rPr>
              <w:t>63)</w:t>
            </w:r>
          </w:p>
        </w:tc>
        <w:tc>
          <w:tcPr>
            <w:tcW w:w="1100" w:type="dxa"/>
            <w:tcBorders>
              <w:top w:val="single" w:sz="4" w:space="0" w:color="auto"/>
              <w:left w:val="single" w:sz="4" w:space="0" w:color="auto"/>
              <w:bottom w:val="single" w:sz="4" w:space="0" w:color="auto"/>
              <w:right w:val="single" w:sz="4" w:space="0" w:color="auto"/>
            </w:tcBorders>
            <w:hideMark/>
          </w:tcPr>
          <w:p w:rsidR="00486DA3" w:rsidRDefault="00486DA3" w:rsidP="00486DA3">
            <w:pPr>
              <w:jc w:val="center"/>
              <w:rPr>
                <w:rFonts w:ascii="Times New Roman" w:hAnsi="Times New Roman"/>
                <w:sz w:val="28"/>
                <w:szCs w:val="28"/>
              </w:rPr>
            </w:pPr>
            <w:r>
              <w:rPr>
                <w:rFonts w:ascii="Times New Roman" w:hAnsi="Times New Roman"/>
                <w:sz w:val="28"/>
                <w:szCs w:val="28"/>
              </w:rPr>
              <w:t>0</w:t>
            </w:r>
            <w:r w:rsidRPr="00BB0E09">
              <w:rPr>
                <w:rFonts w:ascii="Century" w:hAnsi="Century"/>
                <w:sz w:val="28"/>
                <w:szCs w:val="28"/>
              </w:rPr>
              <w:t>,</w:t>
            </w:r>
            <w:r>
              <w:rPr>
                <w:rFonts w:ascii="Times New Roman" w:hAnsi="Times New Roman"/>
                <w:sz w:val="28"/>
                <w:szCs w:val="28"/>
              </w:rPr>
              <w:t>018</w:t>
            </w:r>
          </w:p>
        </w:tc>
      </w:tr>
      <w:tr w:rsidR="00486DA3" w:rsidTr="00DF4E3A">
        <w:trPr>
          <w:trHeight w:val="323"/>
        </w:trPr>
        <w:tc>
          <w:tcPr>
            <w:tcW w:w="3120" w:type="dxa"/>
            <w:tcBorders>
              <w:top w:val="single" w:sz="4" w:space="0" w:color="auto"/>
              <w:left w:val="single" w:sz="4" w:space="0" w:color="auto"/>
              <w:bottom w:val="single" w:sz="4" w:space="0" w:color="auto"/>
              <w:right w:val="single" w:sz="4" w:space="0" w:color="auto"/>
            </w:tcBorders>
            <w:vAlign w:val="center"/>
            <w:hideMark/>
          </w:tcPr>
          <w:p w:rsidR="00486DA3" w:rsidRDefault="00486DA3" w:rsidP="00486DA3">
            <w:pPr>
              <w:jc w:val="center"/>
              <w:rPr>
                <w:rFonts w:ascii="Times New Roman" w:hAnsi="Times New Roman"/>
                <w:sz w:val="28"/>
                <w:szCs w:val="28"/>
              </w:rPr>
            </w:pPr>
            <w:r>
              <w:rPr>
                <w:rFonts w:ascii="Times New Roman" w:hAnsi="Times New Roman"/>
                <w:sz w:val="28"/>
                <w:szCs w:val="28"/>
              </w:rPr>
              <w:t>САД (мм рт.ст.)</w:t>
            </w:r>
          </w:p>
        </w:tc>
        <w:tc>
          <w:tcPr>
            <w:tcW w:w="2693" w:type="dxa"/>
            <w:tcBorders>
              <w:top w:val="nil"/>
              <w:left w:val="single" w:sz="4" w:space="0" w:color="auto"/>
              <w:bottom w:val="single" w:sz="4" w:space="0" w:color="auto"/>
              <w:right w:val="single" w:sz="4" w:space="0" w:color="auto"/>
            </w:tcBorders>
            <w:hideMark/>
          </w:tcPr>
          <w:p w:rsidR="00486DA3" w:rsidRDefault="00486DA3" w:rsidP="00486DA3">
            <w:pPr>
              <w:jc w:val="center"/>
            </w:pPr>
            <w:r>
              <w:rPr>
                <w:rFonts w:ascii="Times New Roman" w:hAnsi="Times New Roman"/>
                <w:sz w:val="28"/>
                <w:szCs w:val="28"/>
              </w:rPr>
              <w:t>120±10 (110-120)</w:t>
            </w:r>
          </w:p>
        </w:tc>
        <w:tc>
          <w:tcPr>
            <w:tcW w:w="2552" w:type="dxa"/>
            <w:tcBorders>
              <w:top w:val="nil"/>
              <w:left w:val="single" w:sz="4" w:space="0" w:color="auto"/>
              <w:bottom w:val="single" w:sz="4" w:space="0" w:color="auto"/>
              <w:right w:val="single" w:sz="4" w:space="0" w:color="auto"/>
            </w:tcBorders>
            <w:hideMark/>
          </w:tcPr>
          <w:p w:rsidR="00486DA3" w:rsidRDefault="00486DA3" w:rsidP="00486DA3">
            <w:pPr>
              <w:jc w:val="center"/>
            </w:pPr>
            <w:r>
              <w:rPr>
                <w:rFonts w:ascii="Times New Roman" w:hAnsi="Times New Roman"/>
                <w:sz w:val="28"/>
                <w:szCs w:val="28"/>
              </w:rPr>
              <w:t>120±30 (110-140)</w:t>
            </w:r>
          </w:p>
        </w:tc>
        <w:tc>
          <w:tcPr>
            <w:tcW w:w="1100" w:type="dxa"/>
            <w:tcBorders>
              <w:top w:val="single" w:sz="4" w:space="0" w:color="auto"/>
              <w:left w:val="single" w:sz="4" w:space="0" w:color="auto"/>
              <w:bottom w:val="single" w:sz="4" w:space="0" w:color="auto"/>
              <w:right w:val="single" w:sz="4" w:space="0" w:color="auto"/>
            </w:tcBorders>
            <w:hideMark/>
          </w:tcPr>
          <w:p w:rsidR="00486DA3" w:rsidRDefault="00486DA3" w:rsidP="00486DA3">
            <w:pPr>
              <w:jc w:val="center"/>
              <w:rPr>
                <w:rFonts w:ascii="Times New Roman" w:hAnsi="Times New Roman"/>
                <w:sz w:val="28"/>
                <w:szCs w:val="28"/>
              </w:rPr>
            </w:pPr>
            <w:r>
              <w:rPr>
                <w:rFonts w:ascii="Times New Roman" w:hAnsi="Times New Roman"/>
                <w:sz w:val="28"/>
                <w:szCs w:val="28"/>
              </w:rPr>
              <w:t>0,06</w:t>
            </w:r>
          </w:p>
        </w:tc>
      </w:tr>
      <w:tr w:rsidR="00486DA3" w:rsidTr="00DF4E3A">
        <w:trPr>
          <w:trHeight w:val="365"/>
        </w:trPr>
        <w:tc>
          <w:tcPr>
            <w:tcW w:w="3120" w:type="dxa"/>
            <w:tcBorders>
              <w:top w:val="single" w:sz="4" w:space="0" w:color="auto"/>
              <w:left w:val="single" w:sz="4" w:space="0" w:color="auto"/>
              <w:bottom w:val="single" w:sz="4" w:space="0" w:color="auto"/>
              <w:right w:val="single" w:sz="4" w:space="0" w:color="auto"/>
            </w:tcBorders>
            <w:vAlign w:val="center"/>
            <w:hideMark/>
          </w:tcPr>
          <w:p w:rsidR="00486DA3" w:rsidRDefault="00486DA3" w:rsidP="00486DA3">
            <w:pPr>
              <w:jc w:val="center"/>
              <w:rPr>
                <w:rFonts w:ascii="Times New Roman" w:hAnsi="Times New Roman"/>
                <w:sz w:val="28"/>
                <w:szCs w:val="28"/>
              </w:rPr>
            </w:pPr>
            <w:r>
              <w:rPr>
                <w:rFonts w:ascii="Times New Roman" w:hAnsi="Times New Roman"/>
                <w:sz w:val="28"/>
                <w:szCs w:val="28"/>
              </w:rPr>
              <w:t>ДАД (мм рт.ст.)</w:t>
            </w:r>
          </w:p>
        </w:tc>
        <w:tc>
          <w:tcPr>
            <w:tcW w:w="2693" w:type="dxa"/>
            <w:tcBorders>
              <w:top w:val="nil"/>
              <w:left w:val="single" w:sz="4" w:space="0" w:color="auto"/>
              <w:bottom w:val="single" w:sz="4" w:space="0" w:color="auto"/>
              <w:right w:val="single" w:sz="4" w:space="0" w:color="auto"/>
            </w:tcBorders>
            <w:hideMark/>
          </w:tcPr>
          <w:p w:rsidR="00486DA3" w:rsidRDefault="00486DA3" w:rsidP="00486DA3">
            <w:pPr>
              <w:jc w:val="center"/>
            </w:pPr>
            <w:r>
              <w:rPr>
                <w:rFonts w:ascii="Times New Roman" w:hAnsi="Times New Roman"/>
                <w:sz w:val="28"/>
                <w:szCs w:val="28"/>
              </w:rPr>
              <w:t>80±10 (70-80)</w:t>
            </w:r>
          </w:p>
        </w:tc>
        <w:tc>
          <w:tcPr>
            <w:tcW w:w="2552" w:type="dxa"/>
            <w:tcBorders>
              <w:top w:val="nil"/>
              <w:left w:val="single" w:sz="4" w:space="0" w:color="auto"/>
              <w:bottom w:val="single" w:sz="4" w:space="0" w:color="auto"/>
              <w:right w:val="single" w:sz="4" w:space="0" w:color="auto"/>
            </w:tcBorders>
            <w:hideMark/>
          </w:tcPr>
          <w:p w:rsidR="00486DA3" w:rsidRDefault="00486DA3" w:rsidP="00486DA3">
            <w:pPr>
              <w:jc w:val="center"/>
            </w:pPr>
            <w:r>
              <w:rPr>
                <w:rFonts w:ascii="Times New Roman" w:hAnsi="Times New Roman"/>
                <w:sz w:val="28"/>
                <w:szCs w:val="28"/>
              </w:rPr>
              <w:t>80±20 (70-90)</w:t>
            </w:r>
          </w:p>
        </w:tc>
        <w:tc>
          <w:tcPr>
            <w:tcW w:w="1100" w:type="dxa"/>
            <w:tcBorders>
              <w:top w:val="single" w:sz="4" w:space="0" w:color="auto"/>
              <w:left w:val="single" w:sz="4" w:space="0" w:color="auto"/>
              <w:bottom w:val="single" w:sz="4" w:space="0" w:color="auto"/>
              <w:right w:val="single" w:sz="4" w:space="0" w:color="auto"/>
            </w:tcBorders>
            <w:hideMark/>
          </w:tcPr>
          <w:p w:rsidR="00486DA3" w:rsidRDefault="00486DA3" w:rsidP="00486DA3">
            <w:pPr>
              <w:jc w:val="center"/>
              <w:rPr>
                <w:rFonts w:ascii="Times New Roman" w:hAnsi="Times New Roman"/>
                <w:sz w:val="28"/>
                <w:szCs w:val="28"/>
              </w:rPr>
            </w:pPr>
            <w:r>
              <w:rPr>
                <w:rFonts w:ascii="Times New Roman" w:hAnsi="Times New Roman"/>
                <w:sz w:val="28"/>
                <w:szCs w:val="28"/>
              </w:rPr>
              <w:t>0,29</w:t>
            </w:r>
          </w:p>
        </w:tc>
      </w:tr>
      <w:tr w:rsidR="00486DA3" w:rsidTr="00DF4E3A">
        <w:trPr>
          <w:trHeight w:val="442"/>
        </w:trPr>
        <w:tc>
          <w:tcPr>
            <w:tcW w:w="9465" w:type="dxa"/>
            <w:gridSpan w:val="4"/>
            <w:tcBorders>
              <w:top w:val="single" w:sz="4" w:space="0" w:color="auto"/>
              <w:left w:val="single" w:sz="4" w:space="0" w:color="auto"/>
              <w:bottom w:val="single" w:sz="4" w:space="0" w:color="auto"/>
              <w:right w:val="single" w:sz="4" w:space="0" w:color="auto"/>
            </w:tcBorders>
            <w:hideMark/>
          </w:tcPr>
          <w:p w:rsidR="00C708E3" w:rsidRDefault="00C708E3" w:rsidP="00C708E3">
            <w:pPr>
              <w:jc w:val="both"/>
              <w:rPr>
                <w:rFonts w:ascii="Times New Roman" w:hAnsi="Times New Roman"/>
                <w:szCs w:val="24"/>
              </w:rPr>
            </w:pPr>
            <w:r>
              <w:rPr>
                <w:rFonts w:ascii="Times New Roman" w:hAnsi="Times New Roman"/>
                <w:szCs w:val="24"/>
              </w:rPr>
              <w:t xml:space="preserve">Примечание ИМТ – индекс массы тела; САД – систолическое артериальное давление; ДАД – диастолическое артериальное давление; *Критерий Манна-Уитни; </w:t>
            </w:r>
          </w:p>
          <w:p w:rsidR="00486DA3" w:rsidRDefault="00C708E3" w:rsidP="00C708E3">
            <w:pPr>
              <w:jc w:val="both"/>
              <w:rPr>
                <w:rFonts w:ascii="Times New Roman" w:hAnsi="Times New Roman"/>
                <w:szCs w:val="20"/>
              </w:rPr>
            </w:pPr>
            <w:r>
              <w:rPr>
                <w:rFonts w:ascii="Times New Roman" w:hAnsi="Times New Roman"/>
                <w:szCs w:val="24"/>
              </w:rPr>
              <w:t>Ме±IQR (Q1 – Q3) – Медиана ± межквартильный диапазон (1 квартиль – 3 квартиль);</w:t>
            </w:r>
          </w:p>
        </w:tc>
      </w:tr>
    </w:tbl>
    <w:p w:rsidR="00294BFC" w:rsidRDefault="00294BFC" w:rsidP="00DF4E3A">
      <w:pPr>
        <w:spacing w:after="0" w:line="240" w:lineRule="auto"/>
        <w:ind w:firstLine="708"/>
        <w:jc w:val="both"/>
        <w:rPr>
          <w:rFonts w:ascii="Times New Roman" w:hAnsi="Times New Roman" w:cs="Times New Roman"/>
          <w:sz w:val="28"/>
          <w:szCs w:val="28"/>
        </w:rPr>
      </w:pPr>
    </w:p>
    <w:p w:rsidR="00A950D5" w:rsidRDefault="00A950D5" w:rsidP="00A950D5">
      <w:pPr>
        <w:spacing w:after="0" w:line="240" w:lineRule="auto"/>
        <w:jc w:val="both"/>
        <w:rPr>
          <w:rFonts w:ascii="Times New Roman" w:hAnsi="Times New Roman"/>
          <w:sz w:val="28"/>
          <w:szCs w:val="28"/>
          <w:lang w:val="kk-KZ"/>
        </w:rPr>
      </w:pPr>
      <w:r>
        <w:rPr>
          <w:rFonts w:ascii="Times New Roman" w:hAnsi="Times New Roman" w:cs="Times New Roman"/>
          <w:sz w:val="28"/>
          <w:szCs w:val="28"/>
        </w:rPr>
        <w:t>Таблица 13</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факторов рисков по группам триглицеридов </w:t>
      </w:r>
      <w:r w:rsidR="00DA472A">
        <w:rPr>
          <w:rFonts w:ascii="Times New Roman" w:hAnsi="Times New Roman" w:cs="Times New Roman"/>
          <w:sz w:val="28"/>
          <w:szCs w:val="28"/>
        </w:rPr>
        <w:t>(</w:t>
      </w:r>
      <w:r>
        <w:rPr>
          <w:rFonts w:ascii="Times New Roman" w:hAnsi="Times New Roman"/>
          <w:sz w:val="28"/>
          <w:szCs w:val="28"/>
        </w:rPr>
        <w:t>n=580</w:t>
      </w:r>
      <w:r w:rsidR="00DA472A">
        <w:rPr>
          <w:rFonts w:ascii="Times New Roman" w:hAnsi="Times New Roman"/>
          <w:sz w:val="28"/>
          <w:szCs w:val="28"/>
        </w:rPr>
        <w:t>)</w:t>
      </w:r>
    </w:p>
    <w:p w:rsidR="00E83EC5" w:rsidRPr="00E83EC5" w:rsidRDefault="00E83EC5" w:rsidP="00A950D5">
      <w:pPr>
        <w:spacing w:after="0" w:line="240" w:lineRule="auto"/>
        <w:jc w:val="both"/>
        <w:rPr>
          <w:rFonts w:ascii="Times New Roman" w:hAnsi="Times New Roman" w:cs="Times New Roman"/>
          <w:sz w:val="28"/>
          <w:szCs w:val="28"/>
          <w:lang w:val="kk-KZ"/>
        </w:rPr>
      </w:pPr>
    </w:p>
    <w:tbl>
      <w:tblPr>
        <w:tblStyle w:val="af7"/>
        <w:tblW w:w="9360" w:type="dxa"/>
        <w:tblInd w:w="108" w:type="dxa"/>
        <w:tblLayout w:type="fixed"/>
        <w:tblLook w:val="04A0" w:firstRow="1" w:lastRow="0" w:firstColumn="1" w:lastColumn="0" w:noHBand="0" w:noVBand="1"/>
      </w:tblPr>
      <w:tblGrid>
        <w:gridCol w:w="2128"/>
        <w:gridCol w:w="1702"/>
        <w:gridCol w:w="1134"/>
        <w:gridCol w:w="1276"/>
        <w:gridCol w:w="2128"/>
        <w:gridCol w:w="992"/>
      </w:tblGrid>
      <w:tr w:rsidR="00A950D5" w:rsidTr="007B6B94">
        <w:trPr>
          <w:trHeight w:val="377"/>
        </w:trPr>
        <w:tc>
          <w:tcPr>
            <w:tcW w:w="383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jc w:val="center"/>
              <w:rPr>
                <w:rFonts w:ascii="Times New Roman" w:hAnsi="Times New Roman"/>
                <w:sz w:val="28"/>
                <w:szCs w:val="28"/>
              </w:rPr>
            </w:pPr>
            <w:r>
              <w:rPr>
                <w:rFonts w:ascii="Times New Roman" w:hAnsi="Times New Roman"/>
                <w:sz w:val="28"/>
                <w:szCs w:val="28"/>
              </w:rPr>
              <w:t>Параметры</w:t>
            </w:r>
          </w:p>
        </w:tc>
        <w:tc>
          <w:tcPr>
            <w:tcW w:w="2410" w:type="dxa"/>
            <w:gridSpan w:val="2"/>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rPr>
                <w:rFonts w:ascii="Times New Roman" w:hAnsi="Times New Roman"/>
                <w:sz w:val="28"/>
                <w:szCs w:val="28"/>
              </w:rPr>
            </w:pPr>
            <w:r>
              <w:rPr>
                <w:rFonts w:ascii="Times New Roman" w:hAnsi="Times New Roman"/>
                <w:sz w:val="28"/>
                <w:szCs w:val="28"/>
              </w:rPr>
              <w:t>ТГ, ммоль/л</w:t>
            </w:r>
          </w:p>
        </w:tc>
        <w:tc>
          <w:tcPr>
            <w:tcW w:w="2128" w:type="dxa"/>
            <w:vMerge w:val="restart"/>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rPr>
                <w:rFonts w:ascii="Times New Roman" w:hAnsi="Times New Roman"/>
                <w:sz w:val="28"/>
                <w:szCs w:val="28"/>
              </w:rPr>
            </w:pPr>
            <w:r>
              <w:rPr>
                <w:rFonts w:ascii="Times New Roman" w:hAnsi="Times New Roman"/>
                <w:sz w:val="28"/>
                <w:szCs w:val="28"/>
              </w:rPr>
              <w:t>ОШ (95% ДИ)</w:t>
            </w:r>
          </w:p>
        </w:tc>
        <w:tc>
          <w:tcPr>
            <w:tcW w:w="992" w:type="dxa"/>
            <w:vMerge w:val="restart"/>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rPr>
                <w:rFonts w:ascii="Times New Roman" w:hAnsi="Times New Roman"/>
                <w:sz w:val="28"/>
                <w:szCs w:val="28"/>
              </w:rPr>
            </w:pPr>
            <w:r>
              <w:rPr>
                <w:rFonts w:ascii="Times New Roman" w:hAnsi="Times New Roman"/>
                <w:sz w:val="28"/>
                <w:szCs w:val="28"/>
              </w:rPr>
              <w:t>р*</w:t>
            </w:r>
          </w:p>
        </w:tc>
      </w:tr>
      <w:tr w:rsidR="00A950D5" w:rsidTr="007B6B94">
        <w:trPr>
          <w:trHeight w:val="379"/>
        </w:trPr>
        <w:tc>
          <w:tcPr>
            <w:tcW w:w="3830" w:type="dxa"/>
            <w:gridSpan w:val="2"/>
            <w:vMerge/>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rPr>
                <w:rFonts w:ascii="Times New Roman" w:hAnsi="Times New Roman"/>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rPr>
                <w:rFonts w:ascii="Times New Roman" w:hAnsi="Times New Roman"/>
                <w:sz w:val="28"/>
                <w:szCs w:val="28"/>
              </w:rPr>
            </w:pPr>
            <w:r>
              <w:rPr>
                <w:rFonts w:ascii="Times New Roman" w:hAnsi="Times New Roman"/>
                <w:sz w:val="28"/>
                <w:szCs w:val="28"/>
              </w:rPr>
              <w:t>≤1,7 n</w:t>
            </w:r>
          </w:p>
        </w:tc>
        <w:tc>
          <w:tcPr>
            <w:tcW w:w="1276" w:type="dxa"/>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rPr>
                <w:rFonts w:ascii="Times New Roman" w:hAnsi="Times New Roman"/>
                <w:sz w:val="28"/>
                <w:szCs w:val="28"/>
              </w:rPr>
            </w:pPr>
            <w:r>
              <w:rPr>
                <w:rFonts w:ascii="Times New Roman" w:hAnsi="Times New Roman"/>
                <w:sz w:val="28"/>
                <w:szCs w:val="28"/>
              </w:rPr>
              <w:t>≤1,7 n</w:t>
            </w:r>
          </w:p>
        </w:tc>
        <w:tc>
          <w:tcPr>
            <w:tcW w:w="2128" w:type="dxa"/>
            <w:vMerge/>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rPr>
                <w:rFonts w:ascii="Times New Roman" w:hAnsi="Times New Roman"/>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rPr>
                <w:rFonts w:ascii="Times New Roman" w:hAnsi="Times New Roman"/>
                <w:sz w:val="28"/>
                <w:szCs w:val="28"/>
              </w:rPr>
            </w:pPr>
          </w:p>
        </w:tc>
      </w:tr>
      <w:tr w:rsidR="00A950D5" w:rsidTr="007B6B94">
        <w:trPr>
          <w:trHeight w:val="317"/>
        </w:trPr>
        <w:tc>
          <w:tcPr>
            <w:tcW w:w="2128" w:type="dxa"/>
            <w:vMerge w:val="restart"/>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jc w:val="center"/>
              <w:rPr>
                <w:rFonts w:ascii="Times New Roman" w:hAnsi="Times New Roman"/>
                <w:sz w:val="28"/>
                <w:szCs w:val="28"/>
              </w:rPr>
            </w:pPr>
            <w:r>
              <w:rPr>
                <w:rFonts w:ascii="Times New Roman" w:hAnsi="Times New Roman"/>
                <w:sz w:val="28"/>
                <w:szCs w:val="28"/>
              </w:rPr>
              <w:t>Пол</w:t>
            </w:r>
          </w:p>
        </w:tc>
        <w:tc>
          <w:tcPr>
            <w:tcW w:w="1702" w:type="dxa"/>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jc w:val="center"/>
              <w:rPr>
                <w:rFonts w:ascii="Times New Roman" w:hAnsi="Times New Roman"/>
                <w:sz w:val="28"/>
                <w:szCs w:val="28"/>
              </w:rPr>
            </w:pPr>
            <w:r>
              <w:rPr>
                <w:rFonts w:ascii="Times New Roman" w:hAnsi="Times New Roman"/>
                <w:sz w:val="28"/>
                <w:szCs w:val="28"/>
              </w:rPr>
              <w:t xml:space="preserve">Жен </w:t>
            </w:r>
          </w:p>
        </w:tc>
        <w:tc>
          <w:tcPr>
            <w:tcW w:w="1134" w:type="dxa"/>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pPr>
            <w:r>
              <w:rPr>
                <w:rFonts w:ascii="Times New Roman" w:hAnsi="Times New Roman"/>
                <w:sz w:val="28"/>
                <w:szCs w:val="28"/>
              </w:rPr>
              <w:t>220</w:t>
            </w:r>
          </w:p>
        </w:tc>
        <w:tc>
          <w:tcPr>
            <w:tcW w:w="1276" w:type="dxa"/>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pPr>
            <w:r>
              <w:rPr>
                <w:rFonts w:ascii="Times New Roman" w:hAnsi="Times New Roman"/>
                <w:sz w:val="28"/>
                <w:szCs w:val="28"/>
              </w:rPr>
              <w:t>79</w:t>
            </w:r>
          </w:p>
        </w:tc>
        <w:tc>
          <w:tcPr>
            <w:tcW w:w="2128" w:type="dxa"/>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rPr>
                <w:rFonts w:ascii="Times New Roman" w:hAnsi="Times New Roman"/>
                <w:sz w:val="28"/>
                <w:szCs w:val="28"/>
              </w:rPr>
            </w:pPr>
            <w:r>
              <w:rPr>
                <w:rFonts w:ascii="Times New Roman" w:hAnsi="Times New Roman"/>
                <w:sz w:val="28"/>
                <w:szCs w:val="28"/>
              </w:rPr>
              <w:t>1,0</w:t>
            </w:r>
          </w:p>
        </w:tc>
        <w:tc>
          <w:tcPr>
            <w:tcW w:w="992" w:type="dxa"/>
            <w:vMerge w:val="restart"/>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rPr>
                <w:rFonts w:ascii="Times New Roman" w:hAnsi="Times New Roman"/>
                <w:sz w:val="28"/>
                <w:szCs w:val="28"/>
              </w:rPr>
            </w:pPr>
            <w:r>
              <w:rPr>
                <w:rFonts w:ascii="Times New Roman" w:hAnsi="Times New Roman"/>
                <w:sz w:val="28"/>
                <w:szCs w:val="28"/>
              </w:rPr>
              <w:t>0,83</w:t>
            </w:r>
          </w:p>
        </w:tc>
      </w:tr>
      <w:tr w:rsidR="00A950D5" w:rsidTr="007B6B94">
        <w:trPr>
          <w:trHeight w:val="323"/>
        </w:trPr>
        <w:tc>
          <w:tcPr>
            <w:tcW w:w="2128" w:type="dxa"/>
            <w:vMerge/>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rPr>
                <w:rFonts w:ascii="Times New Roman" w:hAnsi="Times New Roman"/>
                <w:sz w:val="28"/>
                <w:szCs w:val="28"/>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jc w:val="center"/>
              <w:rPr>
                <w:rFonts w:ascii="Times New Roman" w:hAnsi="Times New Roman"/>
                <w:sz w:val="28"/>
                <w:szCs w:val="28"/>
              </w:rPr>
            </w:pPr>
            <w:r>
              <w:rPr>
                <w:rFonts w:ascii="Times New Roman" w:hAnsi="Times New Roman"/>
                <w:sz w:val="28"/>
                <w:szCs w:val="28"/>
              </w:rPr>
              <w:t xml:space="preserve">Муж </w:t>
            </w:r>
          </w:p>
        </w:tc>
        <w:tc>
          <w:tcPr>
            <w:tcW w:w="1134" w:type="dxa"/>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pPr>
            <w:r>
              <w:rPr>
                <w:rFonts w:ascii="Times New Roman" w:hAnsi="Times New Roman"/>
                <w:sz w:val="28"/>
                <w:szCs w:val="28"/>
              </w:rPr>
              <w:t>209</w:t>
            </w:r>
          </w:p>
        </w:tc>
        <w:tc>
          <w:tcPr>
            <w:tcW w:w="1276" w:type="dxa"/>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pPr>
            <w:r>
              <w:rPr>
                <w:rFonts w:ascii="Times New Roman" w:hAnsi="Times New Roman"/>
                <w:sz w:val="28"/>
                <w:szCs w:val="28"/>
              </w:rPr>
              <w:t>72</w:t>
            </w:r>
          </w:p>
        </w:tc>
        <w:tc>
          <w:tcPr>
            <w:tcW w:w="2128" w:type="dxa"/>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rPr>
                <w:rFonts w:ascii="Times New Roman" w:hAnsi="Times New Roman"/>
                <w:sz w:val="28"/>
                <w:szCs w:val="28"/>
              </w:rPr>
            </w:pPr>
            <w:r>
              <w:rPr>
                <w:rFonts w:ascii="Times New Roman" w:hAnsi="Times New Roman"/>
                <w:sz w:val="28"/>
                <w:szCs w:val="28"/>
              </w:rPr>
              <w:t>0,96 (0,66-1,39)</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rPr>
                <w:rFonts w:ascii="Times New Roman" w:hAnsi="Times New Roman"/>
                <w:sz w:val="28"/>
                <w:szCs w:val="28"/>
              </w:rPr>
            </w:pPr>
          </w:p>
        </w:tc>
      </w:tr>
      <w:tr w:rsidR="00A950D5" w:rsidTr="007B6B94">
        <w:trPr>
          <w:trHeight w:val="323"/>
        </w:trPr>
        <w:tc>
          <w:tcPr>
            <w:tcW w:w="2128" w:type="dxa"/>
            <w:vMerge w:val="restart"/>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jc w:val="center"/>
              <w:rPr>
                <w:rFonts w:ascii="Times New Roman" w:hAnsi="Times New Roman"/>
                <w:sz w:val="28"/>
                <w:szCs w:val="28"/>
              </w:rPr>
            </w:pPr>
            <w:r>
              <w:rPr>
                <w:rFonts w:ascii="Times New Roman" w:hAnsi="Times New Roman"/>
                <w:sz w:val="28"/>
                <w:szCs w:val="28"/>
              </w:rPr>
              <w:t>Возраст, лет</w:t>
            </w:r>
          </w:p>
        </w:tc>
        <w:tc>
          <w:tcPr>
            <w:tcW w:w="1702" w:type="dxa"/>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jc w:val="center"/>
              <w:rPr>
                <w:rFonts w:ascii="Times New Roman" w:hAnsi="Times New Roman"/>
                <w:sz w:val="28"/>
                <w:szCs w:val="28"/>
              </w:rPr>
            </w:pPr>
            <w:r>
              <w:rPr>
                <w:rFonts w:ascii="Times New Roman" w:hAnsi="Times New Roman"/>
                <w:sz w:val="28"/>
                <w:szCs w:val="28"/>
              </w:rPr>
              <w:t xml:space="preserve">18 – 35 </w:t>
            </w:r>
          </w:p>
        </w:tc>
        <w:tc>
          <w:tcPr>
            <w:tcW w:w="1134" w:type="dxa"/>
            <w:tcBorders>
              <w:top w:val="nil"/>
              <w:left w:val="single" w:sz="4" w:space="0" w:color="auto"/>
              <w:bottom w:val="single" w:sz="4" w:space="0" w:color="auto"/>
              <w:right w:val="single" w:sz="4" w:space="0" w:color="auto"/>
            </w:tcBorders>
            <w:hideMark/>
          </w:tcPr>
          <w:p w:rsidR="00A950D5" w:rsidRDefault="00A950D5" w:rsidP="007B6B94">
            <w:pPr>
              <w:jc w:val="center"/>
            </w:pPr>
            <w:r>
              <w:rPr>
                <w:rFonts w:ascii="Times New Roman" w:hAnsi="Times New Roman"/>
                <w:sz w:val="28"/>
                <w:szCs w:val="28"/>
              </w:rPr>
              <w:t>81</w:t>
            </w:r>
          </w:p>
        </w:tc>
        <w:tc>
          <w:tcPr>
            <w:tcW w:w="1276" w:type="dxa"/>
            <w:tcBorders>
              <w:top w:val="nil"/>
              <w:left w:val="single" w:sz="4" w:space="0" w:color="auto"/>
              <w:bottom w:val="single" w:sz="4" w:space="0" w:color="auto"/>
              <w:right w:val="single" w:sz="4" w:space="0" w:color="auto"/>
            </w:tcBorders>
            <w:hideMark/>
          </w:tcPr>
          <w:p w:rsidR="00A950D5" w:rsidRDefault="00A950D5" w:rsidP="007B6B94">
            <w:pPr>
              <w:jc w:val="center"/>
            </w:pPr>
            <w:r>
              <w:rPr>
                <w:rFonts w:ascii="Times New Roman" w:hAnsi="Times New Roman"/>
                <w:sz w:val="28"/>
                <w:szCs w:val="28"/>
              </w:rPr>
              <w:t>22</w:t>
            </w:r>
          </w:p>
        </w:tc>
        <w:tc>
          <w:tcPr>
            <w:tcW w:w="2128" w:type="dxa"/>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rPr>
                <w:rFonts w:ascii="Times New Roman" w:hAnsi="Times New Roman"/>
                <w:sz w:val="28"/>
                <w:szCs w:val="28"/>
              </w:rPr>
            </w:pPr>
            <w:r>
              <w:rPr>
                <w:rFonts w:ascii="Times New Roman" w:hAnsi="Times New Roman"/>
                <w:sz w:val="28"/>
                <w:szCs w:val="28"/>
              </w:rPr>
              <w:t>1,0</w:t>
            </w:r>
          </w:p>
        </w:tc>
        <w:tc>
          <w:tcPr>
            <w:tcW w:w="992" w:type="dxa"/>
            <w:vMerge w:val="restart"/>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rPr>
                <w:rFonts w:ascii="Times New Roman" w:hAnsi="Times New Roman"/>
                <w:sz w:val="28"/>
                <w:szCs w:val="28"/>
              </w:rPr>
            </w:pPr>
            <w:r>
              <w:rPr>
                <w:rFonts w:ascii="Times New Roman" w:hAnsi="Times New Roman"/>
                <w:sz w:val="28"/>
                <w:szCs w:val="28"/>
              </w:rPr>
              <w:t>0,21</w:t>
            </w:r>
          </w:p>
        </w:tc>
      </w:tr>
      <w:tr w:rsidR="00A950D5" w:rsidTr="007B6B94">
        <w:trPr>
          <w:trHeight w:val="323"/>
        </w:trPr>
        <w:tc>
          <w:tcPr>
            <w:tcW w:w="2128" w:type="dxa"/>
            <w:vMerge/>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rPr>
                <w:rFonts w:ascii="Times New Roman" w:hAnsi="Times New Roman"/>
                <w:sz w:val="28"/>
                <w:szCs w:val="28"/>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jc w:val="center"/>
              <w:rPr>
                <w:rFonts w:ascii="Times New Roman" w:hAnsi="Times New Roman"/>
                <w:sz w:val="28"/>
                <w:szCs w:val="28"/>
              </w:rPr>
            </w:pPr>
            <w:r>
              <w:rPr>
                <w:rFonts w:ascii="Times New Roman" w:hAnsi="Times New Roman"/>
                <w:sz w:val="28"/>
                <w:szCs w:val="28"/>
              </w:rPr>
              <w:t xml:space="preserve">36 – 45 </w:t>
            </w:r>
          </w:p>
        </w:tc>
        <w:tc>
          <w:tcPr>
            <w:tcW w:w="1134" w:type="dxa"/>
            <w:tcBorders>
              <w:top w:val="nil"/>
              <w:left w:val="single" w:sz="4" w:space="0" w:color="auto"/>
              <w:bottom w:val="single" w:sz="4" w:space="0" w:color="auto"/>
              <w:right w:val="single" w:sz="4" w:space="0" w:color="auto"/>
            </w:tcBorders>
            <w:hideMark/>
          </w:tcPr>
          <w:p w:rsidR="00A950D5" w:rsidRDefault="00A950D5" w:rsidP="007B6B94">
            <w:pPr>
              <w:jc w:val="center"/>
            </w:pPr>
            <w:r>
              <w:rPr>
                <w:rFonts w:ascii="Times New Roman" w:hAnsi="Times New Roman"/>
                <w:sz w:val="28"/>
                <w:szCs w:val="28"/>
              </w:rPr>
              <w:t>135</w:t>
            </w:r>
          </w:p>
        </w:tc>
        <w:tc>
          <w:tcPr>
            <w:tcW w:w="1276" w:type="dxa"/>
            <w:tcBorders>
              <w:top w:val="nil"/>
              <w:left w:val="single" w:sz="4" w:space="0" w:color="auto"/>
              <w:bottom w:val="single" w:sz="4" w:space="0" w:color="auto"/>
              <w:right w:val="single" w:sz="4" w:space="0" w:color="auto"/>
            </w:tcBorders>
            <w:hideMark/>
          </w:tcPr>
          <w:p w:rsidR="00A950D5" w:rsidRDefault="00A950D5" w:rsidP="007B6B94">
            <w:pPr>
              <w:jc w:val="center"/>
            </w:pPr>
            <w:r>
              <w:rPr>
                <w:rFonts w:ascii="Times New Roman" w:hAnsi="Times New Roman"/>
                <w:sz w:val="28"/>
                <w:szCs w:val="28"/>
              </w:rPr>
              <w:t>39</w:t>
            </w:r>
          </w:p>
        </w:tc>
        <w:tc>
          <w:tcPr>
            <w:tcW w:w="2128" w:type="dxa"/>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rPr>
                <w:rFonts w:ascii="Times New Roman" w:hAnsi="Times New Roman"/>
                <w:sz w:val="28"/>
                <w:szCs w:val="28"/>
              </w:rPr>
            </w:pPr>
            <w:r>
              <w:rPr>
                <w:rFonts w:ascii="Times New Roman" w:hAnsi="Times New Roman"/>
                <w:sz w:val="28"/>
                <w:szCs w:val="28"/>
              </w:rPr>
              <w:t>1,06 (0,59-1,92)</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rPr>
                <w:rFonts w:ascii="Times New Roman" w:hAnsi="Times New Roman"/>
                <w:sz w:val="28"/>
                <w:szCs w:val="28"/>
              </w:rPr>
            </w:pPr>
          </w:p>
        </w:tc>
      </w:tr>
      <w:tr w:rsidR="00A950D5" w:rsidTr="007B6B94">
        <w:trPr>
          <w:trHeight w:val="323"/>
        </w:trPr>
        <w:tc>
          <w:tcPr>
            <w:tcW w:w="2128" w:type="dxa"/>
            <w:vMerge/>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rPr>
                <w:rFonts w:ascii="Times New Roman" w:hAnsi="Times New Roman"/>
                <w:sz w:val="28"/>
                <w:szCs w:val="28"/>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jc w:val="center"/>
              <w:rPr>
                <w:rFonts w:ascii="Times New Roman" w:hAnsi="Times New Roman"/>
                <w:sz w:val="28"/>
                <w:szCs w:val="28"/>
              </w:rPr>
            </w:pPr>
            <w:r>
              <w:rPr>
                <w:rFonts w:ascii="Times New Roman" w:hAnsi="Times New Roman"/>
                <w:sz w:val="28"/>
                <w:szCs w:val="28"/>
              </w:rPr>
              <w:t xml:space="preserve">46 – 55 </w:t>
            </w:r>
          </w:p>
        </w:tc>
        <w:tc>
          <w:tcPr>
            <w:tcW w:w="1134" w:type="dxa"/>
            <w:tcBorders>
              <w:top w:val="nil"/>
              <w:left w:val="single" w:sz="4" w:space="0" w:color="auto"/>
              <w:bottom w:val="single" w:sz="4" w:space="0" w:color="auto"/>
              <w:right w:val="single" w:sz="4" w:space="0" w:color="auto"/>
            </w:tcBorders>
            <w:hideMark/>
          </w:tcPr>
          <w:p w:rsidR="00A950D5" w:rsidRDefault="00A950D5" w:rsidP="007B6B94">
            <w:pPr>
              <w:jc w:val="center"/>
            </w:pPr>
            <w:r>
              <w:rPr>
                <w:rFonts w:ascii="Times New Roman" w:hAnsi="Times New Roman"/>
                <w:sz w:val="28"/>
                <w:szCs w:val="28"/>
              </w:rPr>
              <w:t>116</w:t>
            </w:r>
          </w:p>
        </w:tc>
        <w:tc>
          <w:tcPr>
            <w:tcW w:w="1276" w:type="dxa"/>
            <w:tcBorders>
              <w:top w:val="nil"/>
              <w:left w:val="single" w:sz="4" w:space="0" w:color="auto"/>
              <w:bottom w:val="single" w:sz="4" w:space="0" w:color="auto"/>
              <w:right w:val="single" w:sz="4" w:space="0" w:color="auto"/>
            </w:tcBorders>
            <w:hideMark/>
          </w:tcPr>
          <w:p w:rsidR="00A950D5" w:rsidRDefault="00A950D5" w:rsidP="007B6B94">
            <w:pPr>
              <w:jc w:val="center"/>
            </w:pPr>
            <w:r>
              <w:rPr>
                <w:rFonts w:ascii="Times New Roman" w:hAnsi="Times New Roman"/>
                <w:sz w:val="28"/>
                <w:szCs w:val="28"/>
              </w:rPr>
              <w:t>50</w:t>
            </w:r>
          </w:p>
        </w:tc>
        <w:tc>
          <w:tcPr>
            <w:tcW w:w="2128" w:type="dxa"/>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rPr>
                <w:rFonts w:ascii="Times New Roman" w:hAnsi="Times New Roman"/>
                <w:sz w:val="28"/>
                <w:szCs w:val="28"/>
              </w:rPr>
            </w:pPr>
            <w:r>
              <w:rPr>
                <w:rFonts w:ascii="Times New Roman" w:hAnsi="Times New Roman"/>
                <w:sz w:val="28"/>
                <w:szCs w:val="28"/>
              </w:rPr>
              <w:t>1,59 (0,89-2,82)</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rPr>
                <w:rFonts w:ascii="Times New Roman" w:hAnsi="Times New Roman"/>
                <w:sz w:val="28"/>
                <w:szCs w:val="28"/>
              </w:rPr>
            </w:pPr>
          </w:p>
        </w:tc>
      </w:tr>
      <w:tr w:rsidR="00A950D5" w:rsidTr="007B6B94">
        <w:trPr>
          <w:trHeight w:val="323"/>
        </w:trPr>
        <w:tc>
          <w:tcPr>
            <w:tcW w:w="2128" w:type="dxa"/>
            <w:vMerge/>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rPr>
                <w:rFonts w:ascii="Times New Roman" w:hAnsi="Times New Roman"/>
                <w:sz w:val="28"/>
                <w:szCs w:val="28"/>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jc w:val="center"/>
              <w:rPr>
                <w:rFonts w:ascii="Times New Roman" w:hAnsi="Times New Roman"/>
                <w:sz w:val="28"/>
                <w:szCs w:val="28"/>
              </w:rPr>
            </w:pPr>
            <w:r>
              <w:rPr>
                <w:rFonts w:ascii="Times New Roman" w:hAnsi="Times New Roman"/>
                <w:sz w:val="28"/>
                <w:szCs w:val="28"/>
              </w:rPr>
              <w:t xml:space="preserve">56 – 65 </w:t>
            </w:r>
          </w:p>
        </w:tc>
        <w:tc>
          <w:tcPr>
            <w:tcW w:w="1134" w:type="dxa"/>
            <w:tcBorders>
              <w:top w:val="nil"/>
              <w:left w:val="single" w:sz="4" w:space="0" w:color="auto"/>
              <w:bottom w:val="single" w:sz="4" w:space="0" w:color="auto"/>
              <w:right w:val="single" w:sz="4" w:space="0" w:color="auto"/>
            </w:tcBorders>
            <w:hideMark/>
          </w:tcPr>
          <w:p w:rsidR="00A950D5" w:rsidRDefault="00A950D5" w:rsidP="007B6B94">
            <w:pPr>
              <w:jc w:val="center"/>
            </w:pPr>
            <w:r>
              <w:rPr>
                <w:rFonts w:ascii="Times New Roman" w:hAnsi="Times New Roman"/>
                <w:sz w:val="28"/>
                <w:szCs w:val="28"/>
              </w:rPr>
              <w:t>97</w:t>
            </w:r>
          </w:p>
        </w:tc>
        <w:tc>
          <w:tcPr>
            <w:tcW w:w="1276" w:type="dxa"/>
            <w:tcBorders>
              <w:top w:val="nil"/>
              <w:left w:val="single" w:sz="4" w:space="0" w:color="auto"/>
              <w:bottom w:val="single" w:sz="4" w:space="0" w:color="auto"/>
              <w:right w:val="single" w:sz="4" w:space="0" w:color="auto"/>
            </w:tcBorders>
            <w:hideMark/>
          </w:tcPr>
          <w:p w:rsidR="00A950D5" w:rsidRDefault="00A950D5" w:rsidP="007B6B94">
            <w:pPr>
              <w:jc w:val="center"/>
            </w:pPr>
            <w:r>
              <w:rPr>
                <w:rFonts w:ascii="Times New Roman" w:hAnsi="Times New Roman"/>
                <w:sz w:val="28"/>
                <w:szCs w:val="28"/>
              </w:rPr>
              <w:t>40</w:t>
            </w:r>
          </w:p>
        </w:tc>
        <w:tc>
          <w:tcPr>
            <w:tcW w:w="2128" w:type="dxa"/>
            <w:tcBorders>
              <w:top w:val="single" w:sz="4" w:space="0" w:color="auto"/>
              <w:left w:val="single" w:sz="4" w:space="0" w:color="auto"/>
              <w:bottom w:val="single" w:sz="4" w:space="0" w:color="auto"/>
              <w:right w:val="single" w:sz="4" w:space="0" w:color="auto"/>
            </w:tcBorders>
            <w:hideMark/>
          </w:tcPr>
          <w:p w:rsidR="00A950D5" w:rsidRDefault="00A950D5" w:rsidP="007B6B94">
            <w:pPr>
              <w:jc w:val="center"/>
              <w:rPr>
                <w:rFonts w:ascii="Times New Roman" w:hAnsi="Times New Roman"/>
                <w:sz w:val="28"/>
                <w:szCs w:val="28"/>
              </w:rPr>
            </w:pPr>
            <w:r>
              <w:rPr>
                <w:rFonts w:ascii="Times New Roman" w:hAnsi="Times New Roman"/>
                <w:sz w:val="28"/>
                <w:szCs w:val="28"/>
              </w:rPr>
              <w:t>1,52 (0,83-2,76)</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950D5" w:rsidRDefault="00A950D5" w:rsidP="007B6B94">
            <w:pPr>
              <w:rPr>
                <w:rFonts w:ascii="Times New Roman" w:hAnsi="Times New Roman"/>
                <w:sz w:val="28"/>
                <w:szCs w:val="28"/>
              </w:rPr>
            </w:pPr>
          </w:p>
        </w:tc>
      </w:tr>
      <w:tr w:rsidR="00486DA3" w:rsidTr="003F0171">
        <w:trPr>
          <w:trHeight w:val="323"/>
        </w:trPr>
        <w:tc>
          <w:tcPr>
            <w:tcW w:w="2128" w:type="dxa"/>
            <w:vMerge w:val="restart"/>
            <w:tcBorders>
              <w:top w:val="single" w:sz="4" w:space="0" w:color="auto"/>
              <w:left w:val="single" w:sz="4" w:space="0" w:color="auto"/>
              <w:right w:val="single" w:sz="4" w:space="0" w:color="auto"/>
            </w:tcBorders>
            <w:vAlign w:val="center"/>
          </w:tcPr>
          <w:p w:rsidR="00486DA3" w:rsidRDefault="00486DA3" w:rsidP="00486DA3">
            <w:pPr>
              <w:jc w:val="center"/>
              <w:rPr>
                <w:rFonts w:ascii="Times New Roman" w:hAnsi="Times New Roman"/>
                <w:sz w:val="28"/>
                <w:szCs w:val="28"/>
              </w:rPr>
            </w:pPr>
            <w:r>
              <w:rPr>
                <w:rFonts w:ascii="Times New Roman" w:hAnsi="Times New Roman"/>
                <w:sz w:val="28"/>
                <w:szCs w:val="28"/>
              </w:rPr>
              <w:t>Окружность талии (см)</w:t>
            </w:r>
          </w:p>
        </w:tc>
        <w:tc>
          <w:tcPr>
            <w:tcW w:w="1702" w:type="dxa"/>
            <w:tcBorders>
              <w:top w:val="single" w:sz="4" w:space="0" w:color="auto"/>
              <w:left w:val="single" w:sz="4" w:space="0" w:color="auto"/>
              <w:bottom w:val="single" w:sz="4" w:space="0" w:color="auto"/>
              <w:right w:val="single" w:sz="4" w:space="0" w:color="auto"/>
            </w:tcBorders>
            <w:vAlign w:val="center"/>
          </w:tcPr>
          <w:p w:rsidR="00486DA3" w:rsidRDefault="00486DA3" w:rsidP="003F0171">
            <w:pPr>
              <w:jc w:val="center"/>
              <w:rPr>
                <w:rFonts w:ascii="Times New Roman" w:hAnsi="Times New Roman"/>
                <w:sz w:val="28"/>
                <w:szCs w:val="28"/>
              </w:rPr>
            </w:pPr>
            <w:r>
              <w:rPr>
                <w:rFonts w:ascii="Times New Roman" w:hAnsi="Times New Roman"/>
                <w:sz w:val="28"/>
                <w:szCs w:val="28"/>
              </w:rPr>
              <w:t>муж &lt;102</w:t>
            </w:r>
          </w:p>
          <w:p w:rsidR="00486DA3" w:rsidRDefault="00486DA3" w:rsidP="007B6B94">
            <w:pPr>
              <w:jc w:val="center"/>
              <w:rPr>
                <w:rFonts w:ascii="Times New Roman" w:hAnsi="Times New Roman"/>
                <w:sz w:val="28"/>
                <w:szCs w:val="28"/>
              </w:rPr>
            </w:pPr>
            <w:r>
              <w:rPr>
                <w:rFonts w:ascii="Times New Roman" w:hAnsi="Times New Roman"/>
                <w:sz w:val="28"/>
                <w:szCs w:val="28"/>
              </w:rPr>
              <w:t xml:space="preserve">жен &lt;88 </w:t>
            </w:r>
          </w:p>
        </w:tc>
        <w:tc>
          <w:tcPr>
            <w:tcW w:w="1134" w:type="dxa"/>
            <w:tcBorders>
              <w:top w:val="nil"/>
              <w:left w:val="single" w:sz="4" w:space="0" w:color="auto"/>
              <w:bottom w:val="single" w:sz="4" w:space="0" w:color="auto"/>
              <w:right w:val="single" w:sz="4" w:space="0" w:color="auto"/>
            </w:tcBorders>
          </w:tcPr>
          <w:p w:rsidR="00486DA3" w:rsidRDefault="00486DA3" w:rsidP="007B6B94">
            <w:pPr>
              <w:jc w:val="center"/>
              <w:rPr>
                <w:rFonts w:ascii="Times New Roman" w:hAnsi="Times New Roman"/>
                <w:sz w:val="28"/>
                <w:szCs w:val="28"/>
              </w:rPr>
            </w:pPr>
            <w:r>
              <w:rPr>
                <w:rFonts w:ascii="Times New Roman" w:hAnsi="Times New Roman"/>
                <w:sz w:val="28"/>
                <w:szCs w:val="28"/>
              </w:rPr>
              <w:t>172</w:t>
            </w:r>
          </w:p>
        </w:tc>
        <w:tc>
          <w:tcPr>
            <w:tcW w:w="1276" w:type="dxa"/>
            <w:tcBorders>
              <w:top w:val="nil"/>
              <w:left w:val="single" w:sz="4" w:space="0" w:color="auto"/>
              <w:bottom w:val="single" w:sz="4" w:space="0" w:color="auto"/>
              <w:right w:val="single" w:sz="4" w:space="0" w:color="auto"/>
            </w:tcBorders>
          </w:tcPr>
          <w:p w:rsidR="00486DA3" w:rsidRDefault="00486DA3" w:rsidP="007B6B94">
            <w:pPr>
              <w:jc w:val="center"/>
              <w:rPr>
                <w:rFonts w:ascii="Times New Roman" w:hAnsi="Times New Roman"/>
                <w:sz w:val="28"/>
                <w:szCs w:val="28"/>
              </w:rPr>
            </w:pPr>
            <w:r>
              <w:rPr>
                <w:rFonts w:ascii="Times New Roman" w:hAnsi="Times New Roman"/>
                <w:sz w:val="28"/>
                <w:szCs w:val="28"/>
              </w:rPr>
              <w:t>257</w:t>
            </w:r>
          </w:p>
        </w:tc>
        <w:tc>
          <w:tcPr>
            <w:tcW w:w="2128" w:type="dxa"/>
            <w:tcBorders>
              <w:top w:val="single" w:sz="4" w:space="0" w:color="auto"/>
              <w:left w:val="single" w:sz="4" w:space="0" w:color="auto"/>
              <w:bottom w:val="single" w:sz="4" w:space="0" w:color="auto"/>
              <w:right w:val="single" w:sz="4" w:space="0" w:color="auto"/>
            </w:tcBorders>
          </w:tcPr>
          <w:p w:rsidR="00486DA3" w:rsidRDefault="00486DA3" w:rsidP="007B6B94">
            <w:pPr>
              <w:jc w:val="center"/>
              <w:rPr>
                <w:rFonts w:ascii="Times New Roman" w:hAnsi="Times New Roman"/>
                <w:sz w:val="28"/>
                <w:szCs w:val="28"/>
              </w:rPr>
            </w:pPr>
            <w:r>
              <w:rPr>
                <w:rFonts w:ascii="Times New Roman" w:hAnsi="Times New Roman"/>
                <w:sz w:val="28"/>
                <w:szCs w:val="28"/>
              </w:rPr>
              <w:t>1,0</w:t>
            </w:r>
          </w:p>
        </w:tc>
        <w:tc>
          <w:tcPr>
            <w:tcW w:w="992" w:type="dxa"/>
            <w:vMerge w:val="restart"/>
            <w:tcBorders>
              <w:top w:val="single" w:sz="4" w:space="0" w:color="auto"/>
              <w:left w:val="single" w:sz="4" w:space="0" w:color="auto"/>
              <w:right w:val="single" w:sz="4" w:space="0" w:color="auto"/>
            </w:tcBorders>
            <w:vAlign w:val="center"/>
          </w:tcPr>
          <w:p w:rsidR="00486DA3" w:rsidRDefault="00486DA3" w:rsidP="00486DA3">
            <w:pPr>
              <w:jc w:val="center"/>
              <w:rPr>
                <w:rFonts w:ascii="Times New Roman" w:hAnsi="Times New Roman"/>
                <w:sz w:val="28"/>
                <w:szCs w:val="28"/>
              </w:rPr>
            </w:pPr>
            <w:r>
              <w:rPr>
                <w:rFonts w:ascii="Times New Roman" w:hAnsi="Times New Roman"/>
                <w:sz w:val="28"/>
                <w:szCs w:val="28"/>
              </w:rPr>
              <w:t>0,025</w:t>
            </w:r>
          </w:p>
        </w:tc>
      </w:tr>
      <w:tr w:rsidR="00486DA3" w:rsidTr="003F0171">
        <w:trPr>
          <w:trHeight w:val="323"/>
        </w:trPr>
        <w:tc>
          <w:tcPr>
            <w:tcW w:w="2128" w:type="dxa"/>
            <w:vMerge/>
            <w:tcBorders>
              <w:left w:val="single" w:sz="4" w:space="0" w:color="auto"/>
              <w:bottom w:val="single" w:sz="4" w:space="0" w:color="auto"/>
              <w:right w:val="single" w:sz="4" w:space="0" w:color="auto"/>
            </w:tcBorders>
            <w:vAlign w:val="center"/>
          </w:tcPr>
          <w:p w:rsidR="00486DA3" w:rsidRDefault="00486DA3" w:rsidP="007B6B94">
            <w:pPr>
              <w:rPr>
                <w:rFonts w:ascii="Times New Roman" w:hAnsi="Times New Roman"/>
                <w:sz w:val="28"/>
                <w:szCs w:val="28"/>
              </w:rPr>
            </w:pPr>
          </w:p>
        </w:tc>
        <w:tc>
          <w:tcPr>
            <w:tcW w:w="1702" w:type="dxa"/>
            <w:tcBorders>
              <w:top w:val="single" w:sz="4" w:space="0" w:color="auto"/>
              <w:left w:val="single" w:sz="4" w:space="0" w:color="auto"/>
              <w:bottom w:val="single" w:sz="4" w:space="0" w:color="auto"/>
              <w:right w:val="single" w:sz="4" w:space="0" w:color="auto"/>
            </w:tcBorders>
            <w:vAlign w:val="center"/>
          </w:tcPr>
          <w:p w:rsidR="00486DA3" w:rsidRDefault="00486DA3" w:rsidP="003F0171">
            <w:pPr>
              <w:jc w:val="center"/>
              <w:rPr>
                <w:rFonts w:ascii="Times New Roman" w:hAnsi="Times New Roman"/>
                <w:sz w:val="28"/>
                <w:szCs w:val="28"/>
              </w:rPr>
            </w:pPr>
            <w:r>
              <w:rPr>
                <w:rFonts w:ascii="Times New Roman" w:hAnsi="Times New Roman"/>
                <w:sz w:val="28"/>
                <w:szCs w:val="28"/>
              </w:rPr>
              <w:t>муж ≥102</w:t>
            </w:r>
          </w:p>
          <w:p w:rsidR="00486DA3" w:rsidRDefault="00486DA3" w:rsidP="007B6B94">
            <w:pPr>
              <w:jc w:val="center"/>
              <w:rPr>
                <w:rFonts w:ascii="Times New Roman" w:hAnsi="Times New Roman"/>
                <w:sz w:val="28"/>
                <w:szCs w:val="28"/>
              </w:rPr>
            </w:pPr>
            <w:r>
              <w:rPr>
                <w:rFonts w:ascii="Times New Roman" w:hAnsi="Times New Roman"/>
                <w:sz w:val="28"/>
                <w:szCs w:val="28"/>
              </w:rPr>
              <w:t xml:space="preserve">жен ≥88 </w:t>
            </w:r>
          </w:p>
        </w:tc>
        <w:tc>
          <w:tcPr>
            <w:tcW w:w="1134" w:type="dxa"/>
            <w:tcBorders>
              <w:top w:val="nil"/>
              <w:left w:val="single" w:sz="4" w:space="0" w:color="auto"/>
              <w:bottom w:val="single" w:sz="4" w:space="0" w:color="auto"/>
              <w:right w:val="single" w:sz="4" w:space="0" w:color="auto"/>
            </w:tcBorders>
          </w:tcPr>
          <w:p w:rsidR="00486DA3" w:rsidRDefault="00486DA3" w:rsidP="007B6B94">
            <w:pPr>
              <w:jc w:val="center"/>
              <w:rPr>
                <w:rFonts w:ascii="Times New Roman" w:hAnsi="Times New Roman"/>
                <w:sz w:val="28"/>
                <w:szCs w:val="28"/>
              </w:rPr>
            </w:pPr>
            <w:r>
              <w:rPr>
                <w:rFonts w:ascii="Times New Roman" w:hAnsi="Times New Roman"/>
                <w:sz w:val="28"/>
                <w:szCs w:val="28"/>
              </w:rPr>
              <w:t>45</w:t>
            </w:r>
          </w:p>
        </w:tc>
        <w:tc>
          <w:tcPr>
            <w:tcW w:w="1276" w:type="dxa"/>
            <w:tcBorders>
              <w:top w:val="nil"/>
              <w:left w:val="single" w:sz="4" w:space="0" w:color="auto"/>
              <w:bottom w:val="single" w:sz="4" w:space="0" w:color="auto"/>
              <w:right w:val="single" w:sz="4" w:space="0" w:color="auto"/>
            </w:tcBorders>
          </w:tcPr>
          <w:p w:rsidR="00486DA3" w:rsidRDefault="00486DA3" w:rsidP="007B6B94">
            <w:pPr>
              <w:jc w:val="center"/>
              <w:rPr>
                <w:rFonts w:ascii="Times New Roman" w:hAnsi="Times New Roman"/>
                <w:sz w:val="28"/>
                <w:szCs w:val="28"/>
              </w:rPr>
            </w:pPr>
            <w:r>
              <w:rPr>
                <w:rFonts w:ascii="Times New Roman" w:hAnsi="Times New Roman"/>
                <w:sz w:val="28"/>
                <w:szCs w:val="28"/>
              </w:rPr>
              <w:t>106</w:t>
            </w:r>
          </w:p>
        </w:tc>
        <w:tc>
          <w:tcPr>
            <w:tcW w:w="2128" w:type="dxa"/>
            <w:tcBorders>
              <w:top w:val="single" w:sz="4" w:space="0" w:color="auto"/>
              <w:left w:val="single" w:sz="4" w:space="0" w:color="auto"/>
              <w:bottom w:val="single" w:sz="4" w:space="0" w:color="auto"/>
              <w:right w:val="single" w:sz="4" w:space="0" w:color="auto"/>
            </w:tcBorders>
          </w:tcPr>
          <w:p w:rsidR="00486DA3" w:rsidRDefault="00486DA3" w:rsidP="007B6B94">
            <w:pPr>
              <w:jc w:val="center"/>
              <w:rPr>
                <w:rFonts w:ascii="Times New Roman" w:hAnsi="Times New Roman"/>
                <w:sz w:val="28"/>
                <w:szCs w:val="28"/>
              </w:rPr>
            </w:pPr>
            <w:r>
              <w:rPr>
                <w:rFonts w:ascii="Times New Roman" w:hAnsi="Times New Roman"/>
                <w:sz w:val="28"/>
                <w:szCs w:val="28"/>
              </w:rPr>
              <w:t>1,58 (1,06-2,35)</w:t>
            </w:r>
          </w:p>
        </w:tc>
        <w:tc>
          <w:tcPr>
            <w:tcW w:w="992" w:type="dxa"/>
            <w:vMerge/>
            <w:tcBorders>
              <w:left w:val="single" w:sz="4" w:space="0" w:color="auto"/>
              <w:bottom w:val="single" w:sz="4" w:space="0" w:color="auto"/>
              <w:right w:val="single" w:sz="4" w:space="0" w:color="auto"/>
            </w:tcBorders>
            <w:vAlign w:val="center"/>
          </w:tcPr>
          <w:p w:rsidR="00486DA3" w:rsidRDefault="00486DA3" w:rsidP="007B6B94">
            <w:pPr>
              <w:rPr>
                <w:rFonts w:ascii="Times New Roman" w:hAnsi="Times New Roman"/>
                <w:sz w:val="28"/>
                <w:szCs w:val="28"/>
              </w:rPr>
            </w:pPr>
          </w:p>
        </w:tc>
      </w:tr>
      <w:tr w:rsidR="00486DA3" w:rsidTr="007B6B94">
        <w:trPr>
          <w:trHeight w:val="323"/>
        </w:trPr>
        <w:tc>
          <w:tcPr>
            <w:tcW w:w="2128" w:type="dxa"/>
            <w:vMerge w:val="restart"/>
            <w:tcBorders>
              <w:top w:val="single" w:sz="4" w:space="0" w:color="auto"/>
              <w:left w:val="single" w:sz="4" w:space="0" w:color="auto"/>
              <w:bottom w:val="single" w:sz="4" w:space="0" w:color="auto"/>
              <w:right w:val="single" w:sz="4" w:space="0" w:color="auto"/>
            </w:tcBorders>
            <w:vAlign w:val="center"/>
            <w:hideMark/>
          </w:tcPr>
          <w:p w:rsidR="00486DA3" w:rsidRDefault="00486DA3" w:rsidP="007B6B94">
            <w:pPr>
              <w:jc w:val="center"/>
              <w:rPr>
                <w:rFonts w:ascii="Times New Roman" w:hAnsi="Times New Roman"/>
                <w:sz w:val="28"/>
                <w:szCs w:val="28"/>
              </w:rPr>
            </w:pPr>
            <w:r>
              <w:rPr>
                <w:rFonts w:ascii="Times New Roman" w:hAnsi="Times New Roman"/>
                <w:sz w:val="28"/>
                <w:szCs w:val="28"/>
              </w:rPr>
              <w:t>ИМТ (кг/м</w:t>
            </w:r>
            <w:r>
              <w:rPr>
                <w:rFonts w:ascii="Times New Roman" w:hAnsi="Times New Roman"/>
                <w:sz w:val="28"/>
                <w:szCs w:val="28"/>
                <w:vertAlign w:val="superscript"/>
              </w:rPr>
              <w:t>2</w:t>
            </w:r>
            <w:r>
              <w:rPr>
                <w:rFonts w:ascii="Times New Roman" w:hAnsi="Times New Roman"/>
                <w:sz w:val="28"/>
                <w:szCs w:val="28"/>
              </w:rPr>
              <w:t>)</w:t>
            </w:r>
          </w:p>
        </w:tc>
        <w:tc>
          <w:tcPr>
            <w:tcW w:w="1702" w:type="dxa"/>
            <w:tcBorders>
              <w:top w:val="single" w:sz="4" w:space="0" w:color="auto"/>
              <w:left w:val="single" w:sz="4" w:space="0" w:color="auto"/>
              <w:bottom w:val="single" w:sz="4" w:space="0" w:color="auto"/>
              <w:right w:val="single" w:sz="4" w:space="0" w:color="auto"/>
            </w:tcBorders>
            <w:vAlign w:val="center"/>
            <w:hideMark/>
          </w:tcPr>
          <w:p w:rsidR="00486DA3" w:rsidRDefault="00486DA3" w:rsidP="007B6B94">
            <w:pPr>
              <w:jc w:val="center"/>
              <w:rPr>
                <w:rFonts w:ascii="Times New Roman" w:hAnsi="Times New Roman"/>
                <w:sz w:val="28"/>
                <w:szCs w:val="28"/>
              </w:rPr>
            </w:pPr>
            <w:r>
              <w:rPr>
                <w:rFonts w:ascii="Times New Roman" w:hAnsi="Times New Roman"/>
                <w:sz w:val="28"/>
                <w:szCs w:val="28"/>
              </w:rPr>
              <w:t xml:space="preserve">НВ </w:t>
            </w:r>
          </w:p>
        </w:tc>
        <w:tc>
          <w:tcPr>
            <w:tcW w:w="1134" w:type="dxa"/>
            <w:tcBorders>
              <w:top w:val="nil"/>
              <w:left w:val="single" w:sz="4" w:space="0" w:color="auto"/>
              <w:bottom w:val="single" w:sz="4" w:space="0" w:color="auto"/>
              <w:right w:val="single" w:sz="4" w:space="0" w:color="auto"/>
            </w:tcBorders>
            <w:hideMark/>
          </w:tcPr>
          <w:p w:rsidR="00486DA3" w:rsidRDefault="00486DA3" w:rsidP="007B6B94">
            <w:pPr>
              <w:jc w:val="center"/>
            </w:pPr>
            <w:r>
              <w:rPr>
                <w:rFonts w:ascii="Times New Roman" w:hAnsi="Times New Roman"/>
                <w:sz w:val="28"/>
                <w:szCs w:val="28"/>
              </w:rPr>
              <w:t>180</w:t>
            </w:r>
          </w:p>
        </w:tc>
        <w:tc>
          <w:tcPr>
            <w:tcW w:w="1276" w:type="dxa"/>
            <w:tcBorders>
              <w:top w:val="nil"/>
              <w:left w:val="single" w:sz="4" w:space="0" w:color="auto"/>
              <w:bottom w:val="single" w:sz="4" w:space="0" w:color="auto"/>
              <w:right w:val="single" w:sz="4" w:space="0" w:color="auto"/>
            </w:tcBorders>
            <w:hideMark/>
          </w:tcPr>
          <w:p w:rsidR="00486DA3" w:rsidRDefault="00486DA3" w:rsidP="007B6B94">
            <w:pPr>
              <w:jc w:val="center"/>
            </w:pPr>
            <w:r>
              <w:rPr>
                <w:rFonts w:ascii="Times New Roman" w:hAnsi="Times New Roman"/>
                <w:sz w:val="28"/>
                <w:szCs w:val="28"/>
              </w:rPr>
              <w:t>52</w:t>
            </w:r>
          </w:p>
        </w:tc>
        <w:tc>
          <w:tcPr>
            <w:tcW w:w="2128" w:type="dxa"/>
            <w:tcBorders>
              <w:top w:val="single" w:sz="4" w:space="0" w:color="auto"/>
              <w:left w:val="single" w:sz="4" w:space="0" w:color="auto"/>
              <w:bottom w:val="single" w:sz="4" w:space="0" w:color="auto"/>
              <w:right w:val="single" w:sz="4" w:space="0" w:color="auto"/>
            </w:tcBorders>
            <w:hideMark/>
          </w:tcPr>
          <w:p w:rsidR="00486DA3" w:rsidRDefault="00486DA3" w:rsidP="007B6B94">
            <w:pPr>
              <w:jc w:val="center"/>
              <w:rPr>
                <w:rFonts w:ascii="Times New Roman" w:hAnsi="Times New Roman"/>
                <w:sz w:val="28"/>
                <w:szCs w:val="28"/>
              </w:rPr>
            </w:pPr>
            <w:r>
              <w:rPr>
                <w:rFonts w:ascii="Times New Roman" w:hAnsi="Times New Roman"/>
                <w:sz w:val="28"/>
                <w:szCs w:val="28"/>
              </w:rPr>
              <w:t>1,0</w:t>
            </w:r>
          </w:p>
        </w:tc>
        <w:tc>
          <w:tcPr>
            <w:tcW w:w="992" w:type="dxa"/>
            <w:vMerge w:val="restart"/>
            <w:tcBorders>
              <w:top w:val="single" w:sz="4" w:space="0" w:color="auto"/>
              <w:left w:val="single" w:sz="4" w:space="0" w:color="auto"/>
              <w:bottom w:val="single" w:sz="4" w:space="0" w:color="auto"/>
              <w:right w:val="single" w:sz="4" w:space="0" w:color="auto"/>
            </w:tcBorders>
            <w:hideMark/>
          </w:tcPr>
          <w:p w:rsidR="00486DA3" w:rsidRDefault="00486DA3" w:rsidP="007B6B94">
            <w:pPr>
              <w:jc w:val="center"/>
              <w:rPr>
                <w:rFonts w:ascii="Times New Roman" w:hAnsi="Times New Roman"/>
                <w:sz w:val="28"/>
                <w:szCs w:val="28"/>
              </w:rPr>
            </w:pPr>
            <w:r>
              <w:rPr>
                <w:rFonts w:ascii="Times New Roman" w:hAnsi="Times New Roman"/>
                <w:sz w:val="28"/>
                <w:szCs w:val="28"/>
              </w:rPr>
              <w:t>0,12</w:t>
            </w:r>
          </w:p>
        </w:tc>
      </w:tr>
      <w:tr w:rsidR="00486DA3" w:rsidTr="007B6B94">
        <w:trPr>
          <w:trHeight w:val="323"/>
        </w:trPr>
        <w:tc>
          <w:tcPr>
            <w:tcW w:w="2128"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rsidP="007B6B94">
            <w:pPr>
              <w:rPr>
                <w:rFonts w:ascii="Times New Roman" w:hAnsi="Times New Roman"/>
                <w:sz w:val="28"/>
                <w:szCs w:val="28"/>
              </w:rPr>
            </w:pPr>
          </w:p>
        </w:tc>
        <w:tc>
          <w:tcPr>
            <w:tcW w:w="1702" w:type="dxa"/>
            <w:tcBorders>
              <w:top w:val="nil"/>
              <w:left w:val="single" w:sz="4" w:space="0" w:color="auto"/>
              <w:bottom w:val="single" w:sz="4" w:space="0" w:color="auto"/>
              <w:right w:val="single" w:sz="4" w:space="0" w:color="auto"/>
            </w:tcBorders>
            <w:vAlign w:val="center"/>
            <w:hideMark/>
          </w:tcPr>
          <w:p w:rsidR="00486DA3" w:rsidRDefault="00486DA3" w:rsidP="007B6B94">
            <w:pPr>
              <w:jc w:val="center"/>
              <w:rPr>
                <w:rFonts w:ascii="Times New Roman" w:hAnsi="Times New Roman"/>
                <w:sz w:val="28"/>
                <w:szCs w:val="28"/>
              </w:rPr>
            </w:pPr>
            <w:r>
              <w:rPr>
                <w:rFonts w:ascii="Times New Roman" w:hAnsi="Times New Roman"/>
                <w:sz w:val="28"/>
                <w:szCs w:val="28"/>
              </w:rPr>
              <w:t xml:space="preserve">ИВ </w:t>
            </w:r>
          </w:p>
        </w:tc>
        <w:tc>
          <w:tcPr>
            <w:tcW w:w="1134" w:type="dxa"/>
            <w:tcBorders>
              <w:top w:val="nil"/>
              <w:left w:val="single" w:sz="4" w:space="0" w:color="auto"/>
              <w:bottom w:val="single" w:sz="4" w:space="0" w:color="auto"/>
              <w:right w:val="single" w:sz="4" w:space="0" w:color="auto"/>
            </w:tcBorders>
            <w:hideMark/>
          </w:tcPr>
          <w:p w:rsidR="00486DA3" w:rsidRDefault="00486DA3" w:rsidP="007B6B94">
            <w:pPr>
              <w:jc w:val="center"/>
            </w:pPr>
            <w:r>
              <w:rPr>
                <w:rFonts w:ascii="Times New Roman" w:hAnsi="Times New Roman"/>
                <w:sz w:val="28"/>
                <w:szCs w:val="28"/>
              </w:rPr>
              <w:t>180</w:t>
            </w:r>
          </w:p>
        </w:tc>
        <w:tc>
          <w:tcPr>
            <w:tcW w:w="1276" w:type="dxa"/>
            <w:tcBorders>
              <w:top w:val="nil"/>
              <w:left w:val="single" w:sz="4" w:space="0" w:color="auto"/>
              <w:bottom w:val="single" w:sz="4" w:space="0" w:color="auto"/>
              <w:right w:val="single" w:sz="4" w:space="0" w:color="auto"/>
            </w:tcBorders>
            <w:hideMark/>
          </w:tcPr>
          <w:p w:rsidR="00486DA3" w:rsidRDefault="00486DA3" w:rsidP="007B6B94">
            <w:pPr>
              <w:jc w:val="center"/>
            </w:pPr>
            <w:r>
              <w:rPr>
                <w:rFonts w:ascii="Times New Roman" w:hAnsi="Times New Roman"/>
                <w:sz w:val="28"/>
                <w:szCs w:val="28"/>
              </w:rPr>
              <w:t>65</w:t>
            </w:r>
          </w:p>
        </w:tc>
        <w:tc>
          <w:tcPr>
            <w:tcW w:w="2128" w:type="dxa"/>
            <w:tcBorders>
              <w:top w:val="single" w:sz="4" w:space="0" w:color="auto"/>
              <w:left w:val="single" w:sz="4" w:space="0" w:color="auto"/>
              <w:bottom w:val="single" w:sz="4" w:space="0" w:color="auto"/>
              <w:right w:val="single" w:sz="4" w:space="0" w:color="auto"/>
            </w:tcBorders>
            <w:hideMark/>
          </w:tcPr>
          <w:p w:rsidR="00486DA3" w:rsidRDefault="00486DA3" w:rsidP="007B6B94">
            <w:pPr>
              <w:jc w:val="center"/>
              <w:rPr>
                <w:rFonts w:ascii="Times New Roman" w:hAnsi="Times New Roman"/>
                <w:sz w:val="28"/>
                <w:szCs w:val="28"/>
              </w:rPr>
            </w:pPr>
            <w:r>
              <w:rPr>
                <w:rFonts w:ascii="Times New Roman" w:hAnsi="Times New Roman"/>
                <w:sz w:val="28"/>
                <w:szCs w:val="28"/>
              </w:rPr>
              <w:t>1,25 (0,82-1,9)</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rsidP="007B6B94">
            <w:pPr>
              <w:rPr>
                <w:rFonts w:ascii="Times New Roman" w:hAnsi="Times New Roman"/>
                <w:sz w:val="28"/>
                <w:szCs w:val="28"/>
              </w:rPr>
            </w:pPr>
          </w:p>
        </w:tc>
      </w:tr>
      <w:tr w:rsidR="00486DA3" w:rsidTr="007B6B94">
        <w:trPr>
          <w:trHeight w:val="323"/>
        </w:trPr>
        <w:tc>
          <w:tcPr>
            <w:tcW w:w="2128"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rsidP="007B6B94">
            <w:pPr>
              <w:rPr>
                <w:rFonts w:ascii="Times New Roman" w:hAnsi="Times New Roman"/>
                <w:sz w:val="28"/>
                <w:szCs w:val="28"/>
              </w:rPr>
            </w:pPr>
          </w:p>
        </w:tc>
        <w:tc>
          <w:tcPr>
            <w:tcW w:w="1702" w:type="dxa"/>
            <w:tcBorders>
              <w:top w:val="nil"/>
              <w:left w:val="single" w:sz="4" w:space="0" w:color="auto"/>
              <w:bottom w:val="single" w:sz="4" w:space="0" w:color="auto"/>
              <w:right w:val="single" w:sz="4" w:space="0" w:color="auto"/>
            </w:tcBorders>
            <w:vAlign w:val="center"/>
            <w:hideMark/>
          </w:tcPr>
          <w:p w:rsidR="00486DA3" w:rsidRDefault="00486DA3" w:rsidP="007B6B94">
            <w:pPr>
              <w:jc w:val="center"/>
              <w:rPr>
                <w:rFonts w:ascii="Times New Roman" w:hAnsi="Times New Roman"/>
                <w:sz w:val="28"/>
                <w:szCs w:val="28"/>
              </w:rPr>
            </w:pPr>
            <w:r>
              <w:rPr>
                <w:rFonts w:ascii="Times New Roman" w:hAnsi="Times New Roman"/>
                <w:sz w:val="28"/>
                <w:szCs w:val="28"/>
              </w:rPr>
              <w:t>Ож</w:t>
            </w:r>
          </w:p>
        </w:tc>
        <w:tc>
          <w:tcPr>
            <w:tcW w:w="1134" w:type="dxa"/>
            <w:tcBorders>
              <w:top w:val="nil"/>
              <w:left w:val="single" w:sz="4" w:space="0" w:color="auto"/>
              <w:bottom w:val="single" w:sz="4" w:space="0" w:color="auto"/>
              <w:right w:val="single" w:sz="4" w:space="0" w:color="auto"/>
            </w:tcBorders>
            <w:hideMark/>
          </w:tcPr>
          <w:p w:rsidR="00486DA3" w:rsidRDefault="00486DA3" w:rsidP="007B6B94">
            <w:pPr>
              <w:jc w:val="center"/>
            </w:pPr>
            <w:r>
              <w:rPr>
                <w:rFonts w:ascii="Times New Roman" w:hAnsi="Times New Roman"/>
                <w:sz w:val="28"/>
                <w:szCs w:val="28"/>
              </w:rPr>
              <w:t>69</w:t>
            </w:r>
          </w:p>
        </w:tc>
        <w:tc>
          <w:tcPr>
            <w:tcW w:w="1276" w:type="dxa"/>
            <w:tcBorders>
              <w:top w:val="nil"/>
              <w:left w:val="single" w:sz="4" w:space="0" w:color="auto"/>
              <w:bottom w:val="single" w:sz="4" w:space="0" w:color="auto"/>
              <w:right w:val="single" w:sz="4" w:space="0" w:color="auto"/>
            </w:tcBorders>
            <w:hideMark/>
          </w:tcPr>
          <w:p w:rsidR="00486DA3" w:rsidRDefault="00486DA3" w:rsidP="007B6B94">
            <w:pPr>
              <w:jc w:val="center"/>
            </w:pPr>
            <w:r>
              <w:rPr>
                <w:rFonts w:ascii="Times New Roman" w:hAnsi="Times New Roman"/>
                <w:sz w:val="28"/>
                <w:szCs w:val="28"/>
              </w:rPr>
              <w:t>34</w:t>
            </w:r>
          </w:p>
        </w:tc>
        <w:tc>
          <w:tcPr>
            <w:tcW w:w="2128" w:type="dxa"/>
            <w:tcBorders>
              <w:top w:val="single" w:sz="4" w:space="0" w:color="auto"/>
              <w:left w:val="single" w:sz="4" w:space="0" w:color="auto"/>
              <w:bottom w:val="single" w:sz="4" w:space="0" w:color="auto"/>
              <w:right w:val="single" w:sz="4" w:space="0" w:color="auto"/>
            </w:tcBorders>
            <w:hideMark/>
          </w:tcPr>
          <w:p w:rsidR="00486DA3" w:rsidRDefault="00486DA3" w:rsidP="007B6B94">
            <w:pPr>
              <w:jc w:val="center"/>
              <w:rPr>
                <w:rFonts w:ascii="Times New Roman" w:hAnsi="Times New Roman"/>
                <w:sz w:val="28"/>
                <w:szCs w:val="28"/>
              </w:rPr>
            </w:pPr>
            <w:r>
              <w:rPr>
                <w:rFonts w:ascii="Times New Roman" w:hAnsi="Times New Roman"/>
                <w:sz w:val="28"/>
                <w:szCs w:val="28"/>
              </w:rPr>
              <w:t>1,71 (1,02-2,85)</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rsidP="007B6B94">
            <w:pPr>
              <w:rPr>
                <w:rFonts w:ascii="Times New Roman" w:hAnsi="Times New Roman"/>
                <w:sz w:val="28"/>
                <w:szCs w:val="28"/>
              </w:rPr>
            </w:pPr>
          </w:p>
        </w:tc>
      </w:tr>
      <w:tr w:rsidR="00486DA3" w:rsidTr="007B6B94">
        <w:trPr>
          <w:trHeight w:val="323"/>
        </w:trPr>
        <w:tc>
          <w:tcPr>
            <w:tcW w:w="2128" w:type="dxa"/>
            <w:vMerge w:val="restart"/>
            <w:tcBorders>
              <w:top w:val="single" w:sz="4" w:space="0" w:color="auto"/>
              <w:left w:val="single" w:sz="4" w:space="0" w:color="auto"/>
              <w:bottom w:val="single" w:sz="4" w:space="0" w:color="auto"/>
              <w:right w:val="single" w:sz="4" w:space="0" w:color="auto"/>
            </w:tcBorders>
            <w:vAlign w:val="center"/>
            <w:hideMark/>
          </w:tcPr>
          <w:p w:rsidR="00486DA3" w:rsidRDefault="00486DA3" w:rsidP="007B6B94">
            <w:pPr>
              <w:jc w:val="center"/>
              <w:rPr>
                <w:rFonts w:ascii="Times New Roman" w:hAnsi="Times New Roman"/>
                <w:sz w:val="28"/>
                <w:szCs w:val="28"/>
              </w:rPr>
            </w:pPr>
            <w:r>
              <w:rPr>
                <w:rFonts w:ascii="Times New Roman" w:hAnsi="Times New Roman"/>
                <w:sz w:val="28"/>
                <w:szCs w:val="28"/>
              </w:rPr>
              <w:t>Статус курения</w:t>
            </w:r>
          </w:p>
        </w:tc>
        <w:tc>
          <w:tcPr>
            <w:tcW w:w="1702" w:type="dxa"/>
            <w:tcBorders>
              <w:top w:val="nil"/>
              <w:left w:val="single" w:sz="4" w:space="0" w:color="auto"/>
              <w:bottom w:val="single" w:sz="4" w:space="0" w:color="auto"/>
              <w:right w:val="single" w:sz="4" w:space="0" w:color="auto"/>
            </w:tcBorders>
            <w:vAlign w:val="center"/>
            <w:hideMark/>
          </w:tcPr>
          <w:p w:rsidR="00486DA3" w:rsidRDefault="00486DA3" w:rsidP="007B6B94">
            <w:pPr>
              <w:jc w:val="center"/>
              <w:rPr>
                <w:rFonts w:ascii="Times New Roman" w:hAnsi="Times New Roman"/>
                <w:sz w:val="28"/>
                <w:szCs w:val="28"/>
              </w:rPr>
            </w:pPr>
            <w:r>
              <w:rPr>
                <w:rFonts w:ascii="Times New Roman" w:hAnsi="Times New Roman"/>
                <w:sz w:val="28"/>
                <w:szCs w:val="28"/>
              </w:rPr>
              <w:t>Не курит</w:t>
            </w:r>
          </w:p>
        </w:tc>
        <w:tc>
          <w:tcPr>
            <w:tcW w:w="1134" w:type="dxa"/>
            <w:tcBorders>
              <w:top w:val="nil"/>
              <w:left w:val="single" w:sz="4" w:space="0" w:color="auto"/>
              <w:bottom w:val="single" w:sz="4" w:space="0" w:color="auto"/>
              <w:right w:val="single" w:sz="4" w:space="0" w:color="auto"/>
            </w:tcBorders>
            <w:hideMark/>
          </w:tcPr>
          <w:p w:rsidR="00486DA3" w:rsidRDefault="00486DA3" w:rsidP="007B6B94">
            <w:pPr>
              <w:jc w:val="center"/>
            </w:pPr>
            <w:r>
              <w:rPr>
                <w:rFonts w:ascii="Times New Roman" w:hAnsi="Times New Roman"/>
                <w:sz w:val="28"/>
                <w:szCs w:val="28"/>
              </w:rPr>
              <w:t>291</w:t>
            </w:r>
          </w:p>
        </w:tc>
        <w:tc>
          <w:tcPr>
            <w:tcW w:w="1276" w:type="dxa"/>
            <w:tcBorders>
              <w:top w:val="nil"/>
              <w:left w:val="single" w:sz="4" w:space="0" w:color="auto"/>
              <w:bottom w:val="single" w:sz="4" w:space="0" w:color="auto"/>
              <w:right w:val="single" w:sz="4" w:space="0" w:color="auto"/>
            </w:tcBorders>
            <w:hideMark/>
          </w:tcPr>
          <w:p w:rsidR="00486DA3" w:rsidRDefault="00486DA3" w:rsidP="007B6B94">
            <w:pPr>
              <w:jc w:val="center"/>
            </w:pPr>
            <w:r>
              <w:rPr>
                <w:rFonts w:ascii="Times New Roman" w:hAnsi="Times New Roman"/>
                <w:sz w:val="28"/>
                <w:szCs w:val="28"/>
              </w:rPr>
              <w:t>99</w:t>
            </w:r>
          </w:p>
        </w:tc>
        <w:tc>
          <w:tcPr>
            <w:tcW w:w="2128" w:type="dxa"/>
            <w:tcBorders>
              <w:top w:val="single" w:sz="4" w:space="0" w:color="auto"/>
              <w:left w:val="single" w:sz="4" w:space="0" w:color="auto"/>
              <w:bottom w:val="single" w:sz="4" w:space="0" w:color="auto"/>
              <w:right w:val="single" w:sz="4" w:space="0" w:color="auto"/>
            </w:tcBorders>
            <w:hideMark/>
          </w:tcPr>
          <w:p w:rsidR="00486DA3" w:rsidRDefault="00486DA3" w:rsidP="007B6B94">
            <w:pPr>
              <w:jc w:val="center"/>
              <w:rPr>
                <w:rFonts w:ascii="Times New Roman" w:hAnsi="Times New Roman"/>
                <w:sz w:val="28"/>
                <w:szCs w:val="28"/>
              </w:rPr>
            </w:pPr>
            <w:r>
              <w:rPr>
                <w:rFonts w:ascii="Times New Roman" w:hAnsi="Times New Roman"/>
                <w:sz w:val="28"/>
                <w:szCs w:val="28"/>
              </w:rPr>
              <w:t>1,0</w:t>
            </w:r>
          </w:p>
        </w:tc>
        <w:tc>
          <w:tcPr>
            <w:tcW w:w="992" w:type="dxa"/>
            <w:vMerge w:val="restart"/>
            <w:tcBorders>
              <w:top w:val="single" w:sz="4" w:space="0" w:color="auto"/>
              <w:left w:val="single" w:sz="4" w:space="0" w:color="auto"/>
              <w:bottom w:val="single" w:sz="4" w:space="0" w:color="auto"/>
              <w:right w:val="single" w:sz="4" w:space="0" w:color="auto"/>
            </w:tcBorders>
            <w:hideMark/>
          </w:tcPr>
          <w:p w:rsidR="00486DA3" w:rsidRDefault="00486DA3" w:rsidP="007B6B94">
            <w:pPr>
              <w:jc w:val="center"/>
              <w:rPr>
                <w:rFonts w:ascii="Times New Roman" w:hAnsi="Times New Roman"/>
                <w:sz w:val="28"/>
                <w:szCs w:val="28"/>
              </w:rPr>
            </w:pPr>
            <w:r>
              <w:rPr>
                <w:rFonts w:ascii="Times New Roman" w:hAnsi="Times New Roman"/>
                <w:sz w:val="28"/>
                <w:szCs w:val="28"/>
              </w:rPr>
              <w:t>0,33</w:t>
            </w:r>
          </w:p>
        </w:tc>
      </w:tr>
      <w:tr w:rsidR="00486DA3" w:rsidTr="007B6B94">
        <w:trPr>
          <w:trHeight w:val="323"/>
        </w:trPr>
        <w:tc>
          <w:tcPr>
            <w:tcW w:w="2128"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rsidP="007B6B94">
            <w:pPr>
              <w:rPr>
                <w:rFonts w:ascii="Times New Roman" w:hAnsi="Times New Roman"/>
                <w:sz w:val="28"/>
                <w:szCs w:val="28"/>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486DA3" w:rsidRDefault="00486DA3" w:rsidP="007B6B94">
            <w:pPr>
              <w:jc w:val="center"/>
              <w:rPr>
                <w:rFonts w:ascii="Times New Roman" w:hAnsi="Times New Roman"/>
                <w:sz w:val="28"/>
                <w:szCs w:val="28"/>
              </w:rPr>
            </w:pPr>
            <w:r>
              <w:rPr>
                <w:rFonts w:ascii="Times New Roman" w:hAnsi="Times New Roman"/>
                <w:sz w:val="28"/>
                <w:szCs w:val="28"/>
              </w:rPr>
              <w:t>Курит</w:t>
            </w:r>
          </w:p>
        </w:tc>
        <w:tc>
          <w:tcPr>
            <w:tcW w:w="1134" w:type="dxa"/>
            <w:tcBorders>
              <w:top w:val="nil"/>
              <w:left w:val="single" w:sz="4" w:space="0" w:color="auto"/>
              <w:bottom w:val="single" w:sz="4" w:space="0" w:color="auto"/>
              <w:right w:val="single" w:sz="4" w:space="0" w:color="auto"/>
            </w:tcBorders>
            <w:hideMark/>
          </w:tcPr>
          <w:p w:rsidR="00486DA3" w:rsidRDefault="00486DA3" w:rsidP="007B6B94">
            <w:pPr>
              <w:jc w:val="center"/>
            </w:pPr>
            <w:r>
              <w:rPr>
                <w:rFonts w:ascii="Times New Roman" w:hAnsi="Times New Roman"/>
                <w:sz w:val="28"/>
                <w:szCs w:val="28"/>
              </w:rPr>
              <w:t>120</w:t>
            </w:r>
          </w:p>
        </w:tc>
        <w:tc>
          <w:tcPr>
            <w:tcW w:w="1276" w:type="dxa"/>
            <w:tcBorders>
              <w:top w:val="nil"/>
              <w:left w:val="single" w:sz="4" w:space="0" w:color="auto"/>
              <w:bottom w:val="single" w:sz="4" w:space="0" w:color="auto"/>
              <w:right w:val="single" w:sz="4" w:space="0" w:color="auto"/>
            </w:tcBorders>
            <w:hideMark/>
          </w:tcPr>
          <w:p w:rsidR="00486DA3" w:rsidRDefault="00486DA3" w:rsidP="007B6B94">
            <w:pPr>
              <w:jc w:val="center"/>
            </w:pPr>
            <w:r>
              <w:rPr>
                <w:rFonts w:ascii="Times New Roman" w:hAnsi="Times New Roman"/>
                <w:sz w:val="28"/>
                <w:szCs w:val="28"/>
              </w:rPr>
              <w:t>41</w:t>
            </w:r>
          </w:p>
        </w:tc>
        <w:tc>
          <w:tcPr>
            <w:tcW w:w="2128" w:type="dxa"/>
            <w:tcBorders>
              <w:top w:val="single" w:sz="4" w:space="0" w:color="auto"/>
              <w:left w:val="single" w:sz="4" w:space="0" w:color="auto"/>
              <w:bottom w:val="single" w:sz="4" w:space="0" w:color="auto"/>
              <w:right w:val="single" w:sz="4" w:space="0" w:color="auto"/>
            </w:tcBorders>
            <w:hideMark/>
          </w:tcPr>
          <w:p w:rsidR="00486DA3" w:rsidRDefault="00486DA3" w:rsidP="007B6B94">
            <w:pPr>
              <w:jc w:val="center"/>
              <w:rPr>
                <w:rFonts w:ascii="Times New Roman" w:hAnsi="Times New Roman"/>
                <w:sz w:val="28"/>
                <w:szCs w:val="28"/>
              </w:rPr>
            </w:pPr>
            <w:r>
              <w:rPr>
                <w:rFonts w:ascii="Times New Roman" w:hAnsi="Times New Roman"/>
                <w:sz w:val="28"/>
                <w:szCs w:val="28"/>
              </w:rPr>
              <w:t>1,0 (0,66-1,53)</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rsidP="007B6B94">
            <w:pPr>
              <w:rPr>
                <w:rFonts w:ascii="Times New Roman" w:hAnsi="Times New Roman"/>
                <w:sz w:val="28"/>
                <w:szCs w:val="28"/>
              </w:rPr>
            </w:pPr>
          </w:p>
        </w:tc>
      </w:tr>
      <w:tr w:rsidR="00486DA3" w:rsidTr="007B6B94">
        <w:trPr>
          <w:trHeight w:val="323"/>
        </w:trPr>
        <w:tc>
          <w:tcPr>
            <w:tcW w:w="2128"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rsidP="007B6B94">
            <w:pPr>
              <w:rPr>
                <w:rFonts w:ascii="Times New Roman" w:hAnsi="Times New Roman"/>
                <w:sz w:val="28"/>
                <w:szCs w:val="28"/>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486DA3" w:rsidRDefault="00486DA3" w:rsidP="007B6B94">
            <w:pPr>
              <w:jc w:val="center"/>
              <w:rPr>
                <w:rFonts w:ascii="Times New Roman" w:hAnsi="Times New Roman"/>
                <w:sz w:val="28"/>
                <w:szCs w:val="28"/>
              </w:rPr>
            </w:pPr>
            <w:r>
              <w:rPr>
                <w:rFonts w:ascii="Times New Roman" w:hAnsi="Times New Roman"/>
                <w:sz w:val="28"/>
                <w:szCs w:val="28"/>
              </w:rPr>
              <w:t>Бросил</w:t>
            </w:r>
          </w:p>
        </w:tc>
        <w:tc>
          <w:tcPr>
            <w:tcW w:w="1134" w:type="dxa"/>
            <w:tcBorders>
              <w:top w:val="nil"/>
              <w:left w:val="single" w:sz="4" w:space="0" w:color="auto"/>
              <w:bottom w:val="single" w:sz="4" w:space="0" w:color="auto"/>
              <w:right w:val="single" w:sz="4" w:space="0" w:color="auto"/>
            </w:tcBorders>
            <w:hideMark/>
          </w:tcPr>
          <w:p w:rsidR="00486DA3" w:rsidRDefault="00486DA3" w:rsidP="007B6B94">
            <w:pPr>
              <w:jc w:val="center"/>
            </w:pPr>
            <w:r>
              <w:rPr>
                <w:rFonts w:ascii="Times New Roman" w:hAnsi="Times New Roman"/>
                <w:sz w:val="28"/>
                <w:szCs w:val="28"/>
              </w:rPr>
              <w:t>18</w:t>
            </w:r>
          </w:p>
        </w:tc>
        <w:tc>
          <w:tcPr>
            <w:tcW w:w="1276" w:type="dxa"/>
            <w:tcBorders>
              <w:top w:val="nil"/>
              <w:left w:val="single" w:sz="4" w:space="0" w:color="auto"/>
              <w:bottom w:val="single" w:sz="4" w:space="0" w:color="auto"/>
              <w:right w:val="single" w:sz="4" w:space="0" w:color="auto"/>
            </w:tcBorders>
            <w:hideMark/>
          </w:tcPr>
          <w:p w:rsidR="00486DA3" w:rsidRDefault="00486DA3" w:rsidP="007B6B94">
            <w:pPr>
              <w:jc w:val="center"/>
            </w:pPr>
            <w:r>
              <w:rPr>
                <w:rFonts w:ascii="Times New Roman" w:hAnsi="Times New Roman"/>
                <w:sz w:val="28"/>
                <w:szCs w:val="28"/>
              </w:rPr>
              <w:t>11</w:t>
            </w:r>
          </w:p>
        </w:tc>
        <w:tc>
          <w:tcPr>
            <w:tcW w:w="2128" w:type="dxa"/>
            <w:tcBorders>
              <w:top w:val="single" w:sz="4" w:space="0" w:color="auto"/>
              <w:left w:val="single" w:sz="4" w:space="0" w:color="auto"/>
              <w:bottom w:val="single" w:sz="4" w:space="0" w:color="auto"/>
              <w:right w:val="single" w:sz="4" w:space="0" w:color="auto"/>
            </w:tcBorders>
            <w:hideMark/>
          </w:tcPr>
          <w:p w:rsidR="00486DA3" w:rsidRDefault="00486DA3" w:rsidP="007B6B94">
            <w:pPr>
              <w:jc w:val="center"/>
              <w:rPr>
                <w:rFonts w:ascii="Times New Roman" w:hAnsi="Times New Roman"/>
                <w:sz w:val="28"/>
                <w:szCs w:val="28"/>
              </w:rPr>
            </w:pPr>
            <w:r>
              <w:rPr>
                <w:rFonts w:ascii="Times New Roman" w:hAnsi="Times New Roman"/>
                <w:sz w:val="28"/>
                <w:szCs w:val="28"/>
              </w:rPr>
              <w:t>1,79 (0,82-3,93)</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rsidP="007B6B94">
            <w:pPr>
              <w:rPr>
                <w:rFonts w:ascii="Times New Roman" w:hAnsi="Times New Roman"/>
                <w:sz w:val="28"/>
                <w:szCs w:val="28"/>
              </w:rPr>
            </w:pPr>
          </w:p>
        </w:tc>
      </w:tr>
      <w:tr w:rsidR="00486DA3" w:rsidTr="007B6B94">
        <w:trPr>
          <w:trHeight w:val="442"/>
        </w:trPr>
        <w:tc>
          <w:tcPr>
            <w:tcW w:w="9360" w:type="dxa"/>
            <w:gridSpan w:val="6"/>
            <w:tcBorders>
              <w:top w:val="single" w:sz="4" w:space="0" w:color="auto"/>
              <w:left w:val="single" w:sz="4" w:space="0" w:color="auto"/>
              <w:bottom w:val="single" w:sz="4" w:space="0" w:color="auto"/>
              <w:right w:val="single" w:sz="4" w:space="0" w:color="auto"/>
            </w:tcBorders>
            <w:hideMark/>
          </w:tcPr>
          <w:p w:rsidR="00486DA3" w:rsidRDefault="00486DA3" w:rsidP="007B6B94">
            <w:pPr>
              <w:jc w:val="both"/>
              <w:rPr>
                <w:rFonts w:ascii="Times New Roman" w:hAnsi="Times New Roman"/>
                <w:szCs w:val="24"/>
              </w:rPr>
            </w:pPr>
            <w:r>
              <w:rPr>
                <w:rFonts w:ascii="Times New Roman" w:hAnsi="Times New Roman"/>
                <w:szCs w:val="24"/>
              </w:rPr>
              <w:t xml:space="preserve">Примечание НВ – нормальный вес; ИВ – избыточный вес; Ож – ожирение; </w:t>
            </w:r>
          </w:p>
          <w:p w:rsidR="00486DA3" w:rsidRDefault="00486DA3" w:rsidP="007B6B94">
            <w:pPr>
              <w:jc w:val="both"/>
              <w:rPr>
                <w:rFonts w:ascii="Times New Roman" w:hAnsi="Times New Roman"/>
                <w:szCs w:val="24"/>
              </w:rPr>
            </w:pPr>
            <w:r>
              <w:rPr>
                <w:rFonts w:ascii="Times New Roman" w:hAnsi="Times New Roman"/>
                <w:szCs w:val="24"/>
              </w:rPr>
              <w:t>* - χ</w:t>
            </w:r>
            <w:r>
              <w:rPr>
                <w:rFonts w:ascii="Times New Roman" w:hAnsi="Times New Roman"/>
                <w:szCs w:val="24"/>
                <w:vertAlign w:val="superscript"/>
              </w:rPr>
              <w:t>2</w:t>
            </w:r>
            <w:r>
              <w:rPr>
                <w:rFonts w:ascii="Times New Roman" w:hAnsi="Times New Roman"/>
                <w:szCs w:val="24"/>
              </w:rPr>
              <w:t xml:space="preserve"> – хи квадрат Пирсона; ОШ (95% ДИ) – Отношение шансов (95% Доверительный интервал)</w:t>
            </w:r>
          </w:p>
        </w:tc>
      </w:tr>
    </w:tbl>
    <w:p w:rsidR="00542DF3" w:rsidRDefault="00542DF3" w:rsidP="00A950D5">
      <w:pPr>
        <w:spacing w:after="0" w:line="240" w:lineRule="auto"/>
        <w:ind w:firstLine="708"/>
        <w:jc w:val="both"/>
        <w:rPr>
          <w:rFonts w:ascii="Times New Roman" w:hAnsi="Times New Roman" w:cs="Times New Roman"/>
          <w:sz w:val="28"/>
          <w:szCs w:val="28"/>
        </w:rPr>
      </w:pPr>
    </w:p>
    <w:p w:rsidR="00542DF3" w:rsidRDefault="00542DF3" w:rsidP="00542DF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Гипертриглицеридемия чаще сопровождалась высокими показателями ИМТ и окружности талии. При изучении взаимосвязи с помощью критерия χ</w:t>
      </w:r>
      <w:r>
        <w:rPr>
          <w:rFonts w:ascii="Times New Roman" w:hAnsi="Times New Roman" w:cs="Times New Roman"/>
          <w:sz w:val="28"/>
          <w:szCs w:val="28"/>
          <w:vertAlign w:val="superscript"/>
        </w:rPr>
        <w:t>2</w:t>
      </w:r>
      <w:r>
        <w:rPr>
          <w:rFonts w:ascii="Times New Roman" w:hAnsi="Times New Roman" w:cs="Times New Roman"/>
          <w:sz w:val="28"/>
          <w:szCs w:val="28"/>
        </w:rPr>
        <w:t xml:space="preserve"> Пирсона между группами ТГ и возрастом не удалось выявить связи (р=0,21). </w:t>
      </w:r>
      <w:r>
        <w:rPr>
          <w:rFonts w:ascii="Times New Roman" w:hAnsi="Times New Roman" w:cs="Times New Roman"/>
          <w:sz w:val="28"/>
          <w:szCs w:val="28"/>
        </w:rPr>
        <w:lastRenderedPageBreak/>
        <w:t xml:space="preserve">Также в нашем исследовании связь между группами ИМТ и ТГ (р=0,12) отсутствовала (таблица 13). А между группами окружности талии и ТГ была обнаружена значимая связь (р=0,025). </w:t>
      </w:r>
    </w:p>
    <w:p w:rsidR="00A950D5" w:rsidRDefault="00A950D5" w:rsidP="00A950D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Гипертриглицеридемия чаще встречалась у </w:t>
      </w:r>
      <w:r w:rsidR="00882293">
        <w:rPr>
          <w:rFonts w:ascii="Times New Roman" w:hAnsi="Times New Roman" w:cs="Times New Roman"/>
          <w:sz w:val="28"/>
          <w:szCs w:val="28"/>
        </w:rPr>
        <w:t>участников исследования</w:t>
      </w:r>
      <w:r>
        <w:rPr>
          <w:rFonts w:ascii="Times New Roman" w:hAnsi="Times New Roman" w:cs="Times New Roman"/>
          <w:sz w:val="28"/>
          <w:szCs w:val="28"/>
        </w:rPr>
        <w:t>, которые имели абдоминальное ожирение. Шанс</w:t>
      </w:r>
      <w:r w:rsidR="00D07B5B">
        <w:rPr>
          <w:rFonts w:ascii="Times New Roman" w:hAnsi="Times New Roman" w:cs="Times New Roman"/>
          <w:sz w:val="28"/>
          <w:szCs w:val="28"/>
        </w:rPr>
        <w:t xml:space="preserve"> </w:t>
      </w:r>
      <w:r>
        <w:rPr>
          <w:rFonts w:ascii="Times New Roman" w:hAnsi="Times New Roman" w:cs="Times New Roman"/>
          <w:sz w:val="28"/>
          <w:szCs w:val="28"/>
        </w:rPr>
        <w:t xml:space="preserve">развития гипертриглицеридемии был в 1,58 раза выше у </w:t>
      </w:r>
      <w:r w:rsidR="00882293">
        <w:rPr>
          <w:rFonts w:ascii="Times New Roman" w:hAnsi="Times New Roman" w:cs="Times New Roman"/>
          <w:sz w:val="28"/>
          <w:szCs w:val="28"/>
        </w:rPr>
        <w:t>участников</w:t>
      </w:r>
      <w:r>
        <w:rPr>
          <w:rFonts w:ascii="Times New Roman" w:hAnsi="Times New Roman" w:cs="Times New Roman"/>
          <w:sz w:val="28"/>
          <w:szCs w:val="28"/>
        </w:rPr>
        <w:t xml:space="preserve"> с абдоминальным ожирением по сравнению с лицами, которые имели нормальные показатели окружности талии (таблица 13). Наши результаты схожи с данными других исследователей </w:t>
      </w:r>
      <w:r w:rsidR="00EA0E64">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disorders.","type":"article-journal","volume":"16"},"uris":["http://www.mendeley.com/documents/?uuid=c34613a0-bf02-4657-92df-ceedf4f3100e"]},{"id":"ITEM-2","itemData":{"DOI":"10.1093/eurheartj/eht151","ISBN":"0263-6352","ISSN":"0195668X","PMID":"23771844","abstract":"Because of new evidence on several diagnostic and therapeutic aspects of hypertension, the present guidelines differ in many respects from the previous ones [2]. Some of the most important differences are listed below: 1. Epidemiological data on hypertension and BP control in Europe. 2. Strengthening of the prognostic value of home blood pressure monitoring (HBPM) and of its role for diagnosis and management of hypertension, next to ambulatory blood pressure monitoring (ABPM). 3. Update of the prognostic significance of night-time BP, white-coat hypertension and masked hypertension. 4. Re-emphasis on integration of BP, cardiovascular (CV) risk factors, asymptomatic organ damage (OD) and clinical complications for total CV risk assessment. 5. Update of the prognostic significance of asymptomatic OD, including heart, blood vessels, kidney, eye and brain. 6. Reconsideration of the risk of overweight and target body mass index (BMI) in hypertension. 7. Hypertension in young people. 8. Initiation of antihypertensive treatment. More evidence- based criteria and no drug treatment of high normal BP. 9. Target BP for treatment. More evidence-based criteria and unified target systolic blood pressure (SBP) (&lt;140 mmHg) in both higher and lower CV risk patients. 10. Liberal approach to initial monotherapy, without any all-ranking purpose. 11. Revised schema for priorital two-drug combinations. 12. New therapeutic algorithms for achieving target BP. 13. Extended section on therapeutic strategies in special conditions. 14. Revised recommendations on treatment of hypertension in the elderly. 15. Drug treatment of octogenarians. 16. Special attention to resistant hypertension and new treatment approaches. 17. Increased attention to OD-guided therapy. 18. New approaches to chronic management of hypertensive disease.","author":[{"dropping-particle":"","family":"Mancia","given":"Giuseppe","non-dropping-particle":"","parse-names":false,"suffix":""},{"dropping-particle":"","family":"Fagard","given":"Robert","non-dropping-particle":"","parse-names":false,"suffix":""},{"dropping-particle":"","family":"Narkiewicz","given":"Krzysztof","non-dropping-particle":"","parse-names":false,"suffix":""},{"dropping-particle":"","family":"Redon","given":"Josep","non-dropping-particle":"","parse-names":false,"suffix":""},{"dropping-particle":"","family":"Zanchetti","given":"Alberto","non-dropping-particle":"","parse-names":false,"suffix":""},{"dropping-particle":"","family":"Böhm","given":"Michael","non-dropping-particle":"","parse-names":false,"suffix":""},{"dropping-particle":"","family":"Christiaens","given":"Thierry","non-dropping-particle":"","parse-names":false,"suffix":""},{"dropping-particle":"","family":"Cifkova","given":"Renata","non-dropping-particle":"","parse-names":false,"suffix":""},{"dropping-particle":"","family":"Backer","given":"Guy","non-dropping-particle":"De","parse-names":false,"suffix":""},{"dropping-particle":"","family":"Dominiczak","given":"Anna","non-dropping-particle":"","parse-names":false,"suffix":""},{"dropping-particle":"","family":"Galderisi","given":"Maurizio","non-dropping-particle":"","parse-names":false,"suffix":""},{"dropping-particle":"","family":"Grobbee","given":"Diederick E.","non-dropping-particle":"","parse-names":false,"suffix":""},{"dropping-particle":"","family":"Jaarsma","given":"Tiny","non-dropping-particle":"","parse-names":false,"suffix":""},{"dropping-particle":"","family":"Kirchhof","given":"Paulus","non-dropping-particle":"","parse-names":false,"suffix":""},{"dropping-particle":"","family":"Kjeldsen","given":"Sverre E.","non-dropping-particle":"","parse-names":false,"suffix":""},{"dropping-particle":"","family":"Laurent","given":"Stéphane","non-dropping-particle":"","parse-names":false,"suffix":""},{"dropping-particle":"","family":"Manolis","given":"Athanasios J.","non-dropping-particle":"","parse-names":false,"suffix":""},{"dropping-particle":"","family":"Nilsson","given":"Peter M.","non-dropping-particle":"","parse-names":false,"suffix":""},{"dropping-particle":"","family":"Ruilope","given":"Luis Miguel","non-dropping-particle":"","parse-names":false,"suffix":""},{"dropping-particle":"","family":"Schmieder","given":"Roland E.","non-dropping-particle":"","parse-names":false,"suffix":""},{"dropping-particle":"","family":"Sirnes","given":"Per Anton","non-dropping-particle":"","parse-names":false,"suffix":""},{"dropping-particle":"","family":"Sleight","given":"Peter","non-dropping-particle":"","parse-names":false,"suffix":""},{"dropping-particle":"","family":"Viigimaa","given":"Margus","non-dropping-particle":"","parse-names":false,"suffix":""},{"dropping-particle":"","family":"Waeber","given":"Bernard","non-dropping-particle":"","parse-names":false,"suffix":""},{"dropping-particle":"","family":"Zannad","given":"Faiez","non-dropping-particle":"","parse-names":false,"suffix":""},{"dropping-particle":"","family":"Burnier","given":"Michel","non-dropping-particle":"","parse-names":false,"suffix":""},{"dropping-particle":"","family":"Ambrosioni","given":"Ettore","non-dropping-particle":"","parse-names":false,"suffix":""},{"dropping-particle":"","family":"Caufield","given":"Mark","non-dropping-particle":"","parse-names":false,"suffix":""},{"dropping-particle":"","family":"Coca","given":"Antonio","non-dropping-particle":"","parse-names":false,"suffix":""},{"dropping-particle":"","family":"Olsen","given":"Michael Hecht","non-dropping-particle":"","parse-names":false,"suffix":""},{"dropping-particle":"","family":"Tsioufis","given":"Costas","non-dropping-particle":"","parse-names":false,"suffix":""},{"dropping-particle":"","family":"Borne","given":"Philippe","non-dropping-particle":"Van De","parse-names":false,"suffix":""},{"dropping-particle":"","family":"Zamorano","given":"Jose Luis","non-dropping-particle":"","parse-names":false,"suffix":""},{"dropping-particle":"","family":"Achenbach","given":"Stephan","non-dropping-particle":"","parse-names":false,"suffix":""},{"dropping-particle":"","family":"Baumgartner","given":"Helmut","non-dropping-particle":"","parse-names":false,"suffix":""},{"dropping-particle":"","family":"Bax","given":"Jeroen J.","non-dropping-particle":"","parse-names":false,"suffix":""},{"dropping-particle":"","family":"Bueno","given":"Héctor","non-dropping-particle":"","parse-names":false,"suffix":""},{"dropping-particle":"","family":"Dean","given":"Veronica","non-dropping-particle":"","parse-names":false,"suffix":""},{"dropping-particle":"","family":"Deaton","given":"Christi","non-dropping-particle":"","parse-names":false,"suffix":""},{"dropping-particle":"","family":"Erol","given":"Cetin","non-dropping-particle":"","parse-names":false,"suffix":""},{"dropping-particle":"","family":"Ferrari","given":"Roberto","non-dropping-particle":"","parse-names":false,"suffix":""},{"dropping-particle":"","family":"Hasdai","given":"David","non-dropping-particle":"","parse-names":false,"suffix":""},{"dropping-particle":"","family":"Hoes","given":"Arno W.","non-dropping-particle":"","parse-names":false,"suffix":""},{"dropping-particle":"","family":"Knuuti","given":"Juhani","non-dropping-particle":"","parse-names":false,"suffix":""},{"dropping-particle":"","family":"Kolh","given":"Philippe","non-dropping-particle":"","parse-names":false,"suffix":""},{"dropping-particle":"","family":"Lancellotti","given":"Patrizio","non-dropping-particle":"","parse-names":false,"suffix":""},{"dropping-particle":"","family":"Linhart","given":"Ales","non-dropping-particle":"","parse-names":false,"suffix":""},{"dropping-particle":"","family":"Nihoyannopoulos","given":"Petros","non-dropping-particle":"","parse-names":false,"suffix":""},{"dropping-particle":"","family":"Piepoli","given":"Massimo F.","non-dropping-particle":"","parse-names":false,"suffix":""},{"dropping-particle":"","family":"Ponikowski","given":"Piotr","non-dropping-particle":"","parse-names":false,"suffix":""},{"dropping-particle":"","family":"Tamargo","given":"Juan Luis","non-dropping-particle":"","parse-names":false,"suffix":""},{"dropping-particle":"","family":"Tendera","given":"Michal","non-dropping-particle":"","parse-names":false,"suffix":""},{"dropping-particle":"","family":"Torbicki","given":"Adam","non-dropping-particle":"","parse-names":false,"suffix":""},{"dropping-particle":"","family":"Wijns","given":"William","non-dropping-particle":"","parse-names":false,"suffix":""},{"dropping-particle":"","family":"Windecker","given":"Stephan","non-dropping-particle":"","parse-names":false,"suffix":""},{"dropping-particle":"","family":"Clement","given":"Denis L.","non-dropping-particle":"","parse-names":false,"suffix":""},{"dropping-particle":"","family":"Gillebert","given":"Thierry C.","non-dropping-particle":"","parse-names":false,"suffix":""},{"dropping-particle":"","family":"Rosei","given":"Enrico Agabiti","non-dropping-particle":"","parse-names":false,"suffix":""},{"dropping-particle":"","family":"Anker","given":"Stefan D.","non-dropping-particle":"","parse-names":false,"suffix":""},{"dropping-particle":"","family":"Bauersachs","given":"Johann","non-dropping-particle":"","parse-names":false,"suffix":""},{"dropping-particle":"","family":"Hitij","given":"Jana Brguljan","non-dropping-particle":"","parse-names":false,"suffix":""},{"dropping-particle":"","family":"Caulfield","given":"Mark","non-dropping-particle":"","parse-names":false,"suffix":""},{"dropping-particle":"","family":"Buyzere","given":"Marc","non-dropping-particle":"De","parse-names":false,"suffix":""},{"dropping-particle":"","family":"Geest","given":"Sabina","non-dropping-particle":"De","parse-names":false,"suffix":""},{"dropping-particle":"","family":"Derumeaux","given":"Geneviève Anne","non-dropping-particle":"","parse-names":false,"suffix":""},{"dropping-particle":"","family":"Erdine","given":"Serap","non-dropping-particle":"","parse-names":false,"suffix":""},{"dropping-particle":"","family":"Farsang","given":"Csaba","non-dropping-particle":"","parse-names":false,"suffix":""},{"dropping-particle":"","family":"Funck-Brentano","given":"Christian","non-dropping-particle":"","parse-names":false,"suffix":""},{"dropping-particle":"","family":"Gerc","given":"Vjekoslav","non-dropping-particle":"","parse-names":false,"suffix":""},{"dropping-particle":"","family":"Germano","given":"Giuseppe","non-dropping-particle":"","parse-names":false,"suffix":""},{"dropping-particle":"","family":"Gielen","given":"Stephan","non-dropping-particle":"","parse-names":false,"suffix":""},{"dropping-particle":"","family":"Haller","given":"Herman","non-dropping-particle":"","parse-names":false,"suffix":""},{"dropping-particle":"","family":"Jordan","given":"Jens","non-dropping-particle":"","parse-names":false,"suffix":""},{"dropping-particle":"","family":"Kahan","given":"Thomas","non-dropping-particle":"","parse-names":false,"suffix":""},{"dropping-particle":"","family":"Komajda","given":"Michel","non-dropping-particle":"","parse-names":false,"suffix":""},{"dropping-particle":"","family":"Lovic","given":"Dragan","non-dropping-particle":"","parse-names":false,"suffix":""},{"dropping-particle":"","family":"Mahrholdt","given":"Heiko","non-dropping-particle":"","parse-names":false,"suffix":""},{"dropping-particle":"","family":"Ostergren","given":"Jan","non-dropping-particle":"","parse-names":false,"suffix":""},{"dropping-particle":"","family":"Parati","given":"Gianfranco","non-dropping-particle":"","parse-names":false,"suffix":""},{"dropping-particle":"","family":"Perk","given":"Joep","non-dropping-particle":"","parse-names":false,"suffix":""},{"dropping-particle":"","family":"Polonia","given":"Jorge","non-dropping-particle":"","parse-names":false,"suffix":""},{"dropping-particle":"","family":"Popescu","given":"Bogdan A.","non-dropping-particle":"","parse-names":false,"suffix":""},{"dropping-particle":"","family":"Reiner","given":"Željko","non-dropping-particle":"","parse-names":false,"suffix":""},{"dropping-particle":"","family":"Rydén","given":"Lars","non-dropping-particle":"","parse-names":false,"suffix":""},{"dropping-particle":"","family":"Sirenko","given":"Yuriy","non-dropping-particle":"","parse-names":false,"suffix":""},{"dropping-particle":"","family":"Stanton","given":"Alice","non-dropping-particle":"","parse-names":false,"suffix":""},{"dropping-particle":"","family":"Struijker-Boudier","given":"Harry","non-dropping-particle":"","parse-names":false,"suffix":""},{"dropping-particle":"","family":"Vlachopoulos","given":"Charalambos","non-dropping-particle":"","parse-names":false,"suffix":""},{"dropping-particle":"","family":"Volpe","given":"Massimo","non-dropping-particle":"","parse-names":false,"suffix":""},{"dropping-particle":"","family":"Wood","given":"David A.","non-dropping-particle":"","parse-names":false,"suffix":""}],"container-title":"European Heart Journal","id":"ITEM-2","issue":"28","issued":{"date-parts":[["2013"]]},"page":"2159-2219","title":"2013 ESH/ESC guidelines for the management of arterial hypertension: The Task Force for the management of arterial hypertension of the European Society of Hypertension (ESH) and of the European Society of Cardiology (ESC)","type":"article-journal","volume":"34"},"uris":["http://www.mendeley.com/documents/?uuid=6cd248c4-75a3-48a0-a5b4-223624142d4e"]}],"mendeley":{"formattedCitation":"[18,162]","manualFormatting":"[18, р. 241; 162]","plainTextFormattedCitation":"[18,162]","previouslyFormattedCitation":"[18,162]"},"properties":{"noteIndex":0},"schema":"https://github.com/citation-style-language/schema/raw/master/csl-citation.json"}</w:instrText>
      </w:r>
      <w:r w:rsidR="00EA0E64">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[18,</w:t>
      </w:r>
      <w:r w:rsidR="00F87DB7">
        <w:rPr>
          <w:rFonts w:ascii="Times New Roman" w:hAnsi="Times New Roman" w:cs="Times New Roman"/>
          <w:noProof/>
          <w:sz w:val="28"/>
          <w:szCs w:val="28"/>
        </w:rPr>
        <w:t xml:space="preserve"> р. 241; </w:t>
      </w:r>
      <w:r w:rsidR="00F87DB7" w:rsidRPr="00F87DB7">
        <w:rPr>
          <w:rFonts w:ascii="Times New Roman" w:hAnsi="Times New Roman" w:cs="Times New Roman"/>
          <w:noProof/>
          <w:sz w:val="28"/>
          <w:szCs w:val="28"/>
        </w:rPr>
        <w:t>162]</w:t>
      </w:r>
      <w:r w:rsidR="00EA0E64">
        <w:rPr>
          <w:rFonts w:ascii="Times New Roman" w:hAnsi="Times New Roman" w:cs="Times New Roman"/>
          <w:sz w:val="28"/>
          <w:szCs w:val="28"/>
        </w:rPr>
        <w:fldChar w:fldCharType="end"/>
      </w:r>
      <w:r>
        <w:rPr>
          <w:rFonts w:ascii="Times New Roman" w:hAnsi="Times New Roman" w:cs="Times New Roman"/>
          <w:sz w:val="28"/>
          <w:szCs w:val="28"/>
        </w:rPr>
        <w:t>. Связь абдоминальног</w:t>
      </w:r>
      <w:r w:rsidR="00882293">
        <w:rPr>
          <w:rFonts w:ascii="Times New Roman" w:hAnsi="Times New Roman" w:cs="Times New Roman"/>
          <w:sz w:val="28"/>
          <w:szCs w:val="28"/>
        </w:rPr>
        <w:t>о ожирения с уровнем ТГ объясняе</w:t>
      </w:r>
      <w:r>
        <w:rPr>
          <w:rFonts w:ascii="Times New Roman" w:hAnsi="Times New Roman" w:cs="Times New Roman"/>
          <w:sz w:val="28"/>
          <w:szCs w:val="28"/>
        </w:rPr>
        <w:t>тся участием адиноцитов в обмене ТГ.</w:t>
      </w:r>
    </w:p>
    <w:p w:rsidR="00A950D5" w:rsidRDefault="00A950D5" w:rsidP="00A950D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Средние уровни биохимических показателей, кроме уровней ЛПНП и апоА1, отличались между группами ТГ (таблица 14). </w:t>
      </w:r>
    </w:p>
    <w:p w:rsidR="005D3277" w:rsidRDefault="005D3277"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Таблица 14 </w:t>
      </w:r>
      <w:r w:rsidR="00162472">
        <w:rPr>
          <w:rFonts w:ascii="Times New Roman" w:hAnsi="Times New Roman" w:cs="Times New Roman"/>
          <w:sz w:val="28"/>
          <w:szCs w:val="28"/>
          <w:lang w:val="kk-KZ"/>
        </w:rPr>
        <w:t xml:space="preserve">- </w:t>
      </w:r>
      <w:r>
        <w:rPr>
          <w:rFonts w:ascii="Times New Roman" w:hAnsi="Times New Roman" w:cs="Times New Roman"/>
          <w:sz w:val="28"/>
          <w:szCs w:val="28"/>
        </w:rPr>
        <w:t>Распределение средних величин биохими</w:t>
      </w:r>
      <w:r w:rsidR="00AA23CB">
        <w:rPr>
          <w:rFonts w:ascii="Times New Roman" w:hAnsi="Times New Roman" w:cs="Times New Roman"/>
          <w:sz w:val="28"/>
          <w:szCs w:val="28"/>
        </w:rPr>
        <w:t>ческих показателей по группам триглицеридов</w:t>
      </w:r>
    </w:p>
    <w:p w:rsidR="00E83EC5" w:rsidRPr="00E83EC5" w:rsidRDefault="00E83EC5" w:rsidP="00AB12B3">
      <w:pPr>
        <w:spacing w:after="0" w:line="240" w:lineRule="auto"/>
        <w:jc w:val="both"/>
        <w:rPr>
          <w:rFonts w:ascii="Times New Roman" w:hAnsi="Times New Roman" w:cs="Times New Roman"/>
          <w:sz w:val="28"/>
          <w:szCs w:val="28"/>
          <w:lang w:val="kk-KZ"/>
        </w:rPr>
      </w:pPr>
    </w:p>
    <w:tbl>
      <w:tblPr>
        <w:tblStyle w:val="af7"/>
        <w:tblW w:w="9611" w:type="dxa"/>
        <w:tblInd w:w="-5" w:type="dxa"/>
        <w:tblLayout w:type="fixed"/>
        <w:tblLook w:val="04A0" w:firstRow="1" w:lastRow="0" w:firstColumn="1" w:lastColumn="0" w:noHBand="0" w:noVBand="1"/>
      </w:tblPr>
      <w:tblGrid>
        <w:gridCol w:w="2977"/>
        <w:gridCol w:w="2693"/>
        <w:gridCol w:w="2807"/>
        <w:gridCol w:w="1134"/>
      </w:tblGrid>
      <w:tr w:rsidR="00AB12B3" w:rsidTr="00BB0E09">
        <w:trPr>
          <w:trHeight w:val="377"/>
        </w:trPr>
        <w:tc>
          <w:tcPr>
            <w:tcW w:w="297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5500"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ТГ, ммоль/л</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BB0E09">
        <w:trPr>
          <w:trHeight w:val="379"/>
        </w:trPr>
        <w:tc>
          <w:tcPr>
            <w:tcW w:w="297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69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≤1,7</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2807"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&gt;1,7</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BB0E09">
        <w:trPr>
          <w:trHeight w:val="323"/>
        </w:trPr>
        <w:tc>
          <w:tcPr>
            <w:tcW w:w="2977"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ОХС, ммоль/л, n=580</w:t>
            </w:r>
          </w:p>
        </w:tc>
        <w:tc>
          <w:tcPr>
            <w:tcW w:w="2693"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3,59±1,91 (2,62-4,53)</w:t>
            </w:r>
          </w:p>
        </w:tc>
        <w:tc>
          <w:tcPr>
            <w:tcW w:w="280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3,93±2,19 (2,79-4,98)</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0,014</w:t>
            </w:r>
          </w:p>
        </w:tc>
      </w:tr>
      <w:tr w:rsidR="00AB12B3" w:rsidTr="00BB0E09">
        <w:trPr>
          <w:trHeight w:val="323"/>
        </w:trPr>
        <w:tc>
          <w:tcPr>
            <w:tcW w:w="2977"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ЛПНП, ммоль/л, n=580</w:t>
            </w:r>
          </w:p>
        </w:tc>
        <w:tc>
          <w:tcPr>
            <w:tcW w:w="2693"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1,87±1,18 (1,41-2,59)</w:t>
            </w:r>
          </w:p>
        </w:tc>
        <w:tc>
          <w:tcPr>
            <w:tcW w:w="280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1,95±1,15 (1,46-2,61)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0,6</w:t>
            </w:r>
          </w:p>
        </w:tc>
      </w:tr>
      <w:tr w:rsidR="00AB12B3" w:rsidTr="00BB0E09">
        <w:trPr>
          <w:trHeight w:val="323"/>
        </w:trPr>
        <w:tc>
          <w:tcPr>
            <w:tcW w:w="2977"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ЛПВП, ммоль/л, n=580</w:t>
            </w:r>
          </w:p>
        </w:tc>
        <w:tc>
          <w:tcPr>
            <w:tcW w:w="2693"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0,93±0,7 (0,7-1,4)</w:t>
            </w:r>
          </w:p>
        </w:tc>
        <w:tc>
          <w:tcPr>
            <w:tcW w:w="280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1,0±0,99 (0,78-1,77)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0,005</w:t>
            </w:r>
          </w:p>
        </w:tc>
      </w:tr>
      <w:tr w:rsidR="00AB12B3" w:rsidTr="00BB0E09">
        <w:trPr>
          <w:trHeight w:val="323"/>
        </w:trPr>
        <w:tc>
          <w:tcPr>
            <w:tcW w:w="2977"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 г/л, n=507</w:t>
            </w:r>
          </w:p>
        </w:tc>
        <w:tc>
          <w:tcPr>
            <w:tcW w:w="2693"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0,91±0,39 (0,74-1,13)</w:t>
            </w:r>
          </w:p>
        </w:tc>
        <w:tc>
          <w:tcPr>
            <w:tcW w:w="280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1,12±0,34 (0,96-1,3)</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BB0E09">
        <w:trPr>
          <w:trHeight w:val="323"/>
        </w:trPr>
        <w:tc>
          <w:tcPr>
            <w:tcW w:w="2977"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апоА1 г/л, n=507</w:t>
            </w:r>
          </w:p>
        </w:tc>
        <w:tc>
          <w:tcPr>
            <w:tcW w:w="2693"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1,52±0,4 (1</w:t>
            </w:r>
            <w:r w:rsidRPr="00BB0E09">
              <w:rPr>
                <w:rFonts w:ascii="Century" w:hAnsi="Century"/>
                <w:sz w:val="28"/>
                <w:szCs w:val="28"/>
              </w:rPr>
              <w:t>,</w:t>
            </w:r>
            <w:r>
              <w:rPr>
                <w:rFonts w:ascii="Times New Roman" w:hAnsi="Times New Roman"/>
                <w:sz w:val="28"/>
                <w:szCs w:val="28"/>
              </w:rPr>
              <w:t>33-1</w:t>
            </w:r>
            <w:r w:rsidRPr="00BB0E09">
              <w:rPr>
                <w:rFonts w:ascii="Century" w:hAnsi="Century"/>
                <w:sz w:val="28"/>
                <w:szCs w:val="28"/>
              </w:rPr>
              <w:t>,</w:t>
            </w:r>
            <w:r>
              <w:rPr>
                <w:rFonts w:ascii="Times New Roman" w:hAnsi="Times New Roman"/>
                <w:sz w:val="28"/>
                <w:szCs w:val="28"/>
              </w:rPr>
              <w:t>73)</w:t>
            </w:r>
          </w:p>
        </w:tc>
        <w:tc>
          <w:tcPr>
            <w:tcW w:w="280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1,47</w:t>
            </w:r>
            <w:r w:rsidRPr="00BB0E09">
              <w:rPr>
                <w:rFonts w:ascii="Century" w:hAnsi="Century"/>
                <w:sz w:val="28"/>
                <w:szCs w:val="28"/>
              </w:rPr>
              <w:t>±</w:t>
            </w:r>
            <w:r>
              <w:rPr>
                <w:rFonts w:ascii="Times New Roman" w:hAnsi="Times New Roman"/>
                <w:sz w:val="28"/>
                <w:szCs w:val="28"/>
              </w:rPr>
              <w:t>0,39 (1</w:t>
            </w:r>
            <w:r w:rsidRPr="00BB0E09">
              <w:rPr>
                <w:rFonts w:ascii="Century" w:hAnsi="Century"/>
                <w:sz w:val="28"/>
                <w:szCs w:val="28"/>
              </w:rPr>
              <w:t>,</w:t>
            </w:r>
            <w:r>
              <w:rPr>
                <w:rFonts w:ascii="Times New Roman" w:hAnsi="Times New Roman"/>
                <w:sz w:val="28"/>
                <w:szCs w:val="28"/>
              </w:rPr>
              <w:t>28-1</w:t>
            </w:r>
            <w:r w:rsidRPr="00BB0E09">
              <w:rPr>
                <w:rFonts w:ascii="Century" w:hAnsi="Century"/>
                <w:sz w:val="28"/>
                <w:szCs w:val="28"/>
              </w:rPr>
              <w:t>,</w:t>
            </w:r>
            <w:r>
              <w:rPr>
                <w:rFonts w:ascii="Times New Roman" w:hAnsi="Times New Roman"/>
                <w:sz w:val="28"/>
                <w:szCs w:val="28"/>
              </w:rPr>
              <w:t>67)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BB0E09">
              <w:rPr>
                <w:rFonts w:ascii="Century" w:hAnsi="Century"/>
                <w:sz w:val="28"/>
                <w:szCs w:val="28"/>
              </w:rPr>
              <w:t>,</w:t>
            </w:r>
            <w:r>
              <w:rPr>
                <w:rFonts w:ascii="Times New Roman" w:hAnsi="Times New Roman"/>
                <w:sz w:val="28"/>
                <w:szCs w:val="28"/>
              </w:rPr>
              <w:t>12</w:t>
            </w:r>
          </w:p>
        </w:tc>
      </w:tr>
      <w:tr w:rsidR="00AB12B3" w:rsidTr="00BB0E09">
        <w:trPr>
          <w:trHeight w:val="323"/>
        </w:trPr>
        <w:tc>
          <w:tcPr>
            <w:tcW w:w="2977"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w:t>
            </w:r>
            <w:r w:rsidRPr="00BB0E09">
              <w:rPr>
                <w:rFonts w:ascii="Century" w:hAnsi="Century"/>
                <w:sz w:val="28"/>
                <w:szCs w:val="28"/>
              </w:rPr>
              <w:t>/</w:t>
            </w:r>
            <w:r>
              <w:rPr>
                <w:rFonts w:ascii="Times New Roman" w:hAnsi="Times New Roman"/>
                <w:sz w:val="28"/>
                <w:szCs w:val="28"/>
              </w:rPr>
              <w:t>апоА1</w:t>
            </w:r>
            <w:r w:rsidRPr="00BB0E09">
              <w:rPr>
                <w:rFonts w:ascii="Century" w:hAnsi="Century"/>
                <w:sz w:val="28"/>
                <w:szCs w:val="28"/>
              </w:rPr>
              <w:t>,</w:t>
            </w:r>
            <w:r>
              <w:rPr>
                <w:rFonts w:ascii="Times New Roman" w:hAnsi="Times New Roman"/>
                <w:sz w:val="28"/>
                <w:szCs w:val="28"/>
              </w:rPr>
              <w:t xml:space="preserve"> n</w:t>
            </w:r>
            <w:r w:rsidRPr="00BB0E09">
              <w:rPr>
                <w:rFonts w:ascii="Century" w:hAnsi="Century"/>
                <w:sz w:val="28"/>
                <w:szCs w:val="28"/>
              </w:rPr>
              <w:t>=</w:t>
            </w:r>
            <w:r>
              <w:rPr>
                <w:rFonts w:ascii="Times New Roman" w:hAnsi="Times New Roman"/>
                <w:sz w:val="28"/>
                <w:szCs w:val="28"/>
              </w:rPr>
              <w:t>507</w:t>
            </w:r>
          </w:p>
        </w:tc>
        <w:tc>
          <w:tcPr>
            <w:tcW w:w="269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0,61±0,28 (0,48-0,76)</w:t>
            </w:r>
          </w:p>
        </w:tc>
        <w:tc>
          <w:tcPr>
            <w:tcW w:w="280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0,78±0,32 (0,62-0,94)</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BB0E09">
              <w:rPr>
                <w:rFonts w:ascii="Century" w:hAnsi="Century"/>
                <w:sz w:val="28"/>
                <w:szCs w:val="28"/>
              </w:rPr>
              <w:t>,</w:t>
            </w:r>
            <w:r>
              <w:rPr>
                <w:rFonts w:ascii="Times New Roman" w:hAnsi="Times New Roman"/>
                <w:sz w:val="28"/>
                <w:szCs w:val="28"/>
              </w:rPr>
              <w:t>0001</w:t>
            </w:r>
          </w:p>
        </w:tc>
      </w:tr>
      <w:tr w:rsidR="00AB12B3" w:rsidTr="00BB0E09">
        <w:trPr>
          <w:trHeight w:val="323"/>
        </w:trPr>
        <w:tc>
          <w:tcPr>
            <w:tcW w:w="2977"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Инсулин</w:t>
            </w:r>
            <w:r w:rsidRPr="00BB0E09">
              <w:rPr>
                <w:rFonts w:ascii="Century" w:hAnsi="Century"/>
                <w:sz w:val="28"/>
                <w:szCs w:val="28"/>
              </w:rPr>
              <w:t xml:space="preserve">, </w:t>
            </w:r>
            <w:r>
              <w:rPr>
                <w:rFonts w:ascii="Times New Roman" w:hAnsi="Times New Roman"/>
                <w:sz w:val="28"/>
                <w:szCs w:val="28"/>
              </w:rPr>
              <w:t>мкМЕ</w:t>
            </w:r>
            <w:r w:rsidRPr="00BB0E09">
              <w:rPr>
                <w:rFonts w:ascii="Century" w:hAnsi="Century"/>
                <w:sz w:val="28"/>
                <w:szCs w:val="28"/>
              </w:rPr>
              <w:t>/</w:t>
            </w:r>
            <w:r>
              <w:rPr>
                <w:rFonts w:ascii="Times New Roman" w:hAnsi="Times New Roman"/>
                <w:sz w:val="28"/>
                <w:szCs w:val="28"/>
              </w:rPr>
              <w:t>мл, n</w:t>
            </w:r>
            <w:r w:rsidRPr="00BB0E09">
              <w:rPr>
                <w:rFonts w:ascii="Century" w:hAnsi="Century"/>
                <w:sz w:val="28"/>
                <w:szCs w:val="28"/>
              </w:rPr>
              <w:t>=</w:t>
            </w:r>
            <w:r>
              <w:rPr>
                <w:rFonts w:ascii="Times New Roman" w:hAnsi="Times New Roman"/>
                <w:sz w:val="28"/>
                <w:szCs w:val="28"/>
              </w:rPr>
              <w:t>507</w:t>
            </w:r>
          </w:p>
        </w:tc>
        <w:tc>
          <w:tcPr>
            <w:tcW w:w="2693"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8</w:t>
            </w:r>
            <w:r w:rsidRPr="007E591F">
              <w:rPr>
                <w:rFonts w:ascii="Century" w:hAnsi="Century"/>
                <w:sz w:val="28"/>
                <w:szCs w:val="28"/>
              </w:rPr>
              <w:t>,</w:t>
            </w:r>
            <w:r>
              <w:rPr>
                <w:rFonts w:ascii="Times New Roman" w:hAnsi="Times New Roman"/>
                <w:sz w:val="28"/>
                <w:szCs w:val="28"/>
              </w:rPr>
              <w:t>45</w:t>
            </w:r>
            <w:r w:rsidRPr="007E591F">
              <w:rPr>
                <w:rFonts w:ascii="Century" w:hAnsi="Century"/>
                <w:sz w:val="28"/>
                <w:szCs w:val="28"/>
              </w:rPr>
              <w:t>±</w:t>
            </w:r>
            <w:r>
              <w:rPr>
                <w:rFonts w:ascii="Times New Roman" w:hAnsi="Times New Roman"/>
                <w:sz w:val="28"/>
                <w:szCs w:val="28"/>
              </w:rPr>
              <w:t>7</w:t>
            </w:r>
            <w:r w:rsidRPr="007E591F">
              <w:rPr>
                <w:rFonts w:ascii="Century" w:hAnsi="Century"/>
                <w:sz w:val="28"/>
                <w:szCs w:val="28"/>
              </w:rPr>
              <w:t>,</w:t>
            </w:r>
            <w:r>
              <w:rPr>
                <w:rFonts w:ascii="Times New Roman" w:hAnsi="Times New Roman"/>
                <w:sz w:val="28"/>
                <w:szCs w:val="28"/>
              </w:rPr>
              <w:t>8 (5</w:t>
            </w:r>
            <w:r w:rsidRPr="007E591F">
              <w:rPr>
                <w:rFonts w:ascii="Century" w:hAnsi="Century"/>
                <w:sz w:val="28"/>
                <w:szCs w:val="28"/>
              </w:rPr>
              <w:t>,</w:t>
            </w:r>
            <w:r>
              <w:rPr>
                <w:rFonts w:ascii="Times New Roman" w:hAnsi="Times New Roman"/>
                <w:sz w:val="28"/>
                <w:szCs w:val="28"/>
              </w:rPr>
              <w:t>2</w:t>
            </w:r>
            <w:r w:rsidRPr="007E591F">
              <w:rPr>
                <w:rFonts w:ascii="Century" w:hAnsi="Century"/>
                <w:sz w:val="28"/>
                <w:szCs w:val="28"/>
              </w:rPr>
              <w:t>-</w:t>
            </w:r>
            <w:r>
              <w:rPr>
                <w:rFonts w:ascii="Times New Roman" w:hAnsi="Times New Roman"/>
                <w:sz w:val="28"/>
                <w:szCs w:val="28"/>
              </w:rPr>
              <w:t>13)</w:t>
            </w:r>
          </w:p>
        </w:tc>
        <w:tc>
          <w:tcPr>
            <w:tcW w:w="2807" w:type="dxa"/>
            <w:tcBorders>
              <w:top w:val="single" w:sz="4" w:space="0" w:color="auto"/>
              <w:left w:val="single" w:sz="4" w:space="0" w:color="auto"/>
              <w:bottom w:val="single" w:sz="4" w:space="0" w:color="auto"/>
              <w:right w:val="single" w:sz="4" w:space="0" w:color="auto"/>
            </w:tcBorders>
            <w:hideMark/>
          </w:tcPr>
          <w:p w:rsidR="00DC1BB6" w:rsidRDefault="00AB12B3" w:rsidP="00DC1BB6">
            <w:pPr>
              <w:jc w:val="center"/>
              <w:rPr>
                <w:rFonts w:ascii="Times New Roman" w:hAnsi="Times New Roman"/>
                <w:sz w:val="28"/>
                <w:szCs w:val="28"/>
              </w:rPr>
            </w:pPr>
            <w:r>
              <w:rPr>
                <w:rFonts w:ascii="Times New Roman" w:hAnsi="Times New Roman"/>
                <w:sz w:val="28"/>
                <w:szCs w:val="28"/>
              </w:rPr>
              <w:t>12,5</w:t>
            </w:r>
            <w:r w:rsidRPr="00BB0E09">
              <w:rPr>
                <w:rFonts w:ascii="Century" w:hAnsi="Century"/>
                <w:sz w:val="28"/>
                <w:szCs w:val="28"/>
              </w:rPr>
              <w:t>±</w:t>
            </w:r>
            <w:r>
              <w:rPr>
                <w:rFonts w:ascii="Times New Roman" w:hAnsi="Times New Roman"/>
                <w:sz w:val="28"/>
                <w:szCs w:val="28"/>
              </w:rPr>
              <w:t>11,25</w:t>
            </w:r>
          </w:p>
          <w:p w:rsidR="00AB12B3" w:rsidRDefault="00AB12B3" w:rsidP="00DC1BB6">
            <w:pPr>
              <w:jc w:val="center"/>
            </w:pPr>
            <w:r>
              <w:rPr>
                <w:rFonts w:ascii="Times New Roman" w:hAnsi="Times New Roman"/>
                <w:sz w:val="28"/>
                <w:szCs w:val="28"/>
              </w:rPr>
              <w:t>(8</w:t>
            </w:r>
            <w:r w:rsidRPr="00BB0E09">
              <w:rPr>
                <w:rFonts w:ascii="Century" w:hAnsi="Century"/>
                <w:sz w:val="28"/>
                <w:szCs w:val="28"/>
              </w:rPr>
              <w:t>,</w:t>
            </w:r>
            <w:r>
              <w:rPr>
                <w:rFonts w:ascii="Times New Roman" w:hAnsi="Times New Roman"/>
                <w:sz w:val="28"/>
                <w:szCs w:val="28"/>
              </w:rPr>
              <w:t>3</w:t>
            </w:r>
            <w:r w:rsidRPr="007E591F">
              <w:rPr>
                <w:rFonts w:ascii="Century" w:hAnsi="Century"/>
                <w:sz w:val="28"/>
                <w:szCs w:val="28"/>
              </w:rPr>
              <w:t>-</w:t>
            </w:r>
            <w:r>
              <w:rPr>
                <w:rFonts w:ascii="Times New Roman" w:hAnsi="Times New Roman"/>
                <w:sz w:val="28"/>
                <w:szCs w:val="28"/>
              </w:rPr>
              <w:t>19</w:t>
            </w:r>
            <w:r w:rsidRPr="00BB0E09">
              <w:rPr>
                <w:rFonts w:ascii="Century" w:hAnsi="Century"/>
                <w:sz w:val="28"/>
                <w:szCs w:val="28"/>
              </w:rPr>
              <w:t>,</w:t>
            </w:r>
            <w:r>
              <w:rPr>
                <w:rFonts w:ascii="Times New Roman" w:hAnsi="Times New Roman"/>
                <w:sz w:val="28"/>
                <w:szCs w:val="28"/>
              </w:rPr>
              <w:t>55)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BB0E09">
              <w:rPr>
                <w:rFonts w:ascii="Century" w:hAnsi="Century"/>
                <w:sz w:val="28"/>
                <w:szCs w:val="28"/>
              </w:rPr>
              <w:t>,</w:t>
            </w:r>
            <w:r>
              <w:rPr>
                <w:rFonts w:ascii="Times New Roman" w:hAnsi="Times New Roman"/>
                <w:sz w:val="28"/>
                <w:szCs w:val="28"/>
              </w:rPr>
              <w:t>0001</w:t>
            </w:r>
          </w:p>
        </w:tc>
      </w:tr>
      <w:tr w:rsidR="00AB12B3" w:rsidTr="00BB0E09">
        <w:trPr>
          <w:trHeight w:val="323"/>
        </w:trPr>
        <w:tc>
          <w:tcPr>
            <w:tcW w:w="2977"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глюкоза, ммоль/л, n=580</w:t>
            </w:r>
          </w:p>
        </w:tc>
        <w:tc>
          <w:tcPr>
            <w:tcW w:w="2693"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5,4±1,86 (4,41-6,27)</w:t>
            </w:r>
          </w:p>
        </w:tc>
        <w:tc>
          <w:tcPr>
            <w:tcW w:w="280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5,75±1,85 (4,74-6,59)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0,02</w:t>
            </w:r>
          </w:p>
        </w:tc>
      </w:tr>
      <w:tr w:rsidR="00AB12B3" w:rsidTr="00BB0E09">
        <w:trPr>
          <w:trHeight w:val="323"/>
        </w:trPr>
        <w:tc>
          <w:tcPr>
            <w:tcW w:w="2977"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HOMA-IR, n=507</w:t>
            </w:r>
          </w:p>
        </w:tc>
        <w:tc>
          <w:tcPr>
            <w:tcW w:w="2693"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1,94±2,22 (1,11-3,34)</w:t>
            </w:r>
          </w:p>
        </w:tc>
        <w:tc>
          <w:tcPr>
            <w:tcW w:w="280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3,05±3,55 (1,82-5,37)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561261">
        <w:trPr>
          <w:trHeight w:val="442"/>
        </w:trPr>
        <w:tc>
          <w:tcPr>
            <w:tcW w:w="9611" w:type="dxa"/>
            <w:gridSpan w:val="4"/>
            <w:tcBorders>
              <w:top w:val="single" w:sz="4" w:space="0" w:color="auto"/>
              <w:left w:val="single" w:sz="4" w:space="0" w:color="auto"/>
              <w:bottom w:val="single" w:sz="4" w:space="0" w:color="auto"/>
              <w:right w:val="single" w:sz="4" w:space="0" w:color="auto"/>
            </w:tcBorders>
            <w:hideMark/>
          </w:tcPr>
          <w:p w:rsidR="00BF0639" w:rsidRDefault="00AB12B3">
            <w:pPr>
              <w:jc w:val="both"/>
              <w:rPr>
                <w:rFonts w:ascii="Times New Roman" w:hAnsi="Times New Roman"/>
                <w:szCs w:val="20"/>
                <w:lang w:val="kk-KZ"/>
              </w:rPr>
            </w:pPr>
            <w:r>
              <w:rPr>
                <w:rFonts w:ascii="Times New Roman" w:hAnsi="Times New Roman"/>
                <w:szCs w:val="20"/>
              </w:rPr>
              <w:t xml:space="preserve">Примечание *Критерий Манна-Уитни; </w:t>
            </w:r>
          </w:p>
          <w:p w:rsidR="00AB12B3" w:rsidRDefault="00AB12B3">
            <w:pPr>
              <w:jc w:val="both"/>
              <w:rPr>
                <w:rFonts w:ascii="Times New Roman" w:hAnsi="Times New Roman"/>
                <w:sz w:val="20"/>
                <w:szCs w:val="20"/>
              </w:rPr>
            </w:pPr>
            <w:r>
              <w:rPr>
                <w:rFonts w:ascii="Times New Roman" w:hAnsi="Times New Roman"/>
                <w:szCs w:val="20"/>
              </w:rPr>
              <w:t xml:space="preserve">Ме±IQR (Q1 – Q3) </w:t>
            </w:r>
            <w:r w:rsidR="00C16F07">
              <w:rPr>
                <w:rFonts w:ascii="Times New Roman" w:hAnsi="Times New Roman"/>
                <w:szCs w:val="20"/>
              </w:rPr>
              <w:t>–</w:t>
            </w:r>
            <w:r>
              <w:rPr>
                <w:rFonts w:ascii="Times New Roman" w:hAnsi="Times New Roman"/>
                <w:szCs w:val="20"/>
              </w:rPr>
              <w:t xml:space="preserve"> Медиана ± межквартильный диапазон (1 квартиль – 3 квартиль)</w:t>
            </w:r>
          </w:p>
        </w:tc>
      </w:tr>
    </w:tbl>
    <w:p w:rsidR="00AB12B3" w:rsidRDefault="00AB12B3" w:rsidP="00AB12B3">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Гипертриглицеридемия сопров</w:t>
      </w:r>
      <w:r w:rsidR="00504343">
        <w:rPr>
          <w:rFonts w:ascii="Times New Roman" w:hAnsi="Times New Roman" w:cs="Times New Roman"/>
          <w:sz w:val="28"/>
          <w:szCs w:val="28"/>
        </w:rPr>
        <w:t>ождала</w:t>
      </w:r>
      <w:r>
        <w:rPr>
          <w:rFonts w:ascii="Times New Roman" w:hAnsi="Times New Roman" w:cs="Times New Roman"/>
          <w:sz w:val="28"/>
          <w:szCs w:val="28"/>
        </w:rPr>
        <w:t xml:space="preserve">сь гиперхолестеринемией, снижением уровня ЛПВП, гипераполипопротеинемией В, высокими </w:t>
      </w:r>
      <w:r w:rsidR="00B74664">
        <w:rPr>
          <w:rFonts w:ascii="Times New Roman" w:hAnsi="Times New Roman" w:cs="Times New Roman"/>
          <w:sz w:val="28"/>
          <w:szCs w:val="28"/>
          <w:lang w:val="kk-KZ"/>
        </w:rPr>
        <w:t>значениям</w:t>
      </w:r>
      <w:r>
        <w:rPr>
          <w:rFonts w:ascii="Times New Roman" w:hAnsi="Times New Roman" w:cs="Times New Roman"/>
          <w:sz w:val="28"/>
          <w:szCs w:val="28"/>
        </w:rPr>
        <w:t xml:space="preserve">и апоВ/апоА1 и </w:t>
      </w:r>
      <w:r>
        <w:rPr>
          <w:rFonts w:ascii="Times New Roman" w:hAnsi="Times New Roman"/>
          <w:sz w:val="28"/>
          <w:szCs w:val="28"/>
        </w:rPr>
        <w:t>HOMA-IR</w:t>
      </w:r>
      <w:r>
        <w:rPr>
          <w:rFonts w:ascii="Times New Roman" w:hAnsi="Times New Roman" w:cs="Times New Roman"/>
          <w:sz w:val="28"/>
          <w:szCs w:val="28"/>
        </w:rPr>
        <w:t xml:space="preserve">, гиперинсулинемией, гипергликемией. Как видно в таблице 15, шанс развития гипертриглицеридемии при гиперхолестеринемии возрастал на 2,08 раз, а при гипераполипопротеинемии В в 5,93 раз (таблица 15). Также было выявлено что, при высоком </w:t>
      </w:r>
      <w:r w:rsidR="00BC35F5">
        <w:rPr>
          <w:rFonts w:ascii="Times New Roman" w:hAnsi="Times New Roman" w:cs="Times New Roman"/>
          <w:sz w:val="28"/>
          <w:szCs w:val="28"/>
          <w:lang w:val="kk-KZ"/>
        </w:rPr>
        <w:t xml:space="preserve">значении </w:t>
      </w:r>
      <w:r>
        <w:rPr>
          <w:rFonts w:ascii="Times New Roman" w:hAnsi="Times New Roman" w:cs="Times New Roman"/>
          <w:sz w:val="28"/>
          <w:szCs w:val="28"/>
        </w:rPr>
        <w:t>апоВ/апоА1 шанс развития гипертриглицеридемия повыша</w:t>
      </w:r>
      <w:r w:rsidR="003A2096">
        <w:rPr>
          <w:rFonts w:ascii="Times New Roman" w:hAnsi="Times New Roman" w:cs="Times New Roman"/>
          <w:sz w:val="28"/>
          <w:szCs w:val="28"/>
        </w:rPr>
        <w:t>л</w:t>
      </w:r>
      <w:r>
        <w:rPr>
          <w:rFonts w:ascii="Times New Roman" w:hAnsi="Times New Roman" w:cs="Times New Roman"/>
          <w:sz w:val="28"/>
          <w:szCs w:val="28"/>
        </w:rPr>
        <w:t>ся в 3,43 раза по сравнению с нормальными показателями апоВ/апоА1. Концентрация ТГ в плазме отражает концентрацию апоВ – содержащих липопротеинов</w:t>
      </w:r>
      <w:r w:rsidR="003B1723">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Journal","id":"ITEM-1","issue":"1","issued":{"date-parts":[["2020","1","1"]]},"page":"111-188","title":"2019 ESC/EAS Guidelines for the management of dyslipidaemias: lipid modification to reduce cardiovascular risk","type":"article-journal","volume":"41"},"uris":["http://www.mendeley.com/documents/?uuid=596ff8fa-459c-486e-8041-242d096c7b8b"]}],"mendeley":{"formattedCitation":"[2]","manualFormatting":"[2, р. 128]","plainTextFormattedCitation":"[2]","previouslyFormattedCitation":"[2]"},"properties":{"noteIndex":0},"schema":"https://github.com/citation-style-language/schema/raw/master/csl-citation.json"}</w:instrText>
      </w:r>
      <w:r w:rsidR="00EA0E64">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[2</w:t>
      </w:r>
      <w:r w:rsidR="00F87DB7">
        <w:rPr>
          <w:rFonts w:ascii="Times New Roman" w:hAnsi="Times New Roman" w:cs="Times New Roman"/>
          <w:noProof/>
          <w:sz w:val="28"/>
          <w:szCs w:val="28"/>
        </w:rPr>
        <w:t>, р. 128</w:t>
      </w:r>
      <w:r w:rsidR="00F87DB7" w:rsidRPr="00F87DB7">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Это объясняет, связь между уровнями ТГ и апоВ. Схожие данные </w:t>
      </w:r>
      <w:r>
        <w:rPr>
          <w:rFonts w:ascii="Times New Roman" w:hAnsi="Times New Roman" w:cs="Times New Roman"/>
          <w:sz w:val="28"/>
          <w:szCs w:val="28"/>
        </w:rPr>
        <w:lastRenderedPageBreak/>
        <w:t xml:space="preserve">получены и в других исследованиях, например, </w:t>
      </w:r>
      <w:r>
        <w:rPr>
          <w:rFonts w:ascii="Times New Roman" w:hAnsi="Times New Roman" w:cs="Times New Roman"/>
          <w:sz w:val="28"/>
          <w:szCs w:val="24"/>
        </w:rPr>
        <w:t>Ference B. и соавторы утверждают, что эффект ТГ на риск развития АССЗ связан не с самим ТГ, а с концентрацией апоВ – содержащих липопротеинов</w:t>
      </w:r>
      <w:r w:rsidR="003B1723">
        <w:rPr>
          <w:rFonts w:ascii="Times New Roman" w:hAnsi="Times New Roman" w:cs="Times New Roman"/>
          <w:sz w:val="28"/>
          <w:szCs w:val="24"/>
        </w:rPr>
        <w:t xml:space="preserve"> </w:t>
      </w:r>
      <w:r w:rsidR="00EA0E64">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{"citationItems":[{"id":"ITEM-1","itemData":{"DOI":"10.1001/jama.2018.20045","ISSN":"0098-7484","abstract":"Importance: Triglycerides and cholesterol are both carried in plasma by apolipoprotein B (ApoB)-containing lipoprotein particles. It is unknown whether lowering plasma triglyceride levels reduces the risk of cardiovascular events to the same extent as lowering low-density lipoprotein cholesterol (LDL-C) levels. Objective: To compare the association of triglyceride-lowering variants in the lipoprotein lipase (LPL) gene and LDL-C-lowering variants in the LDL receptor gene (LDLR) with the risk of cardiovascular disease per unit change in ApoB. Design, Setting, and Participants: Mendelian randomization analyses evaluating the associations of genetic scores composed of triglyceride-lowering variants in the LPL gene and LDL-C-lowering variants in the LDLR gene, respectively, with the risk of cardiovascular events among participants enrolled in 63 cohort or case-control studies conducted in North America or Europe between 1948 and 2017. Exposures: Differences in plasma triglyceride, LDL-C, and ApoB levels associated with the LPL and LDLR genetic scores. Main Outcomes and Measures: Odds ratio (OR) for coronary heart disease (CHD) - defined as coronary death, myocardial infarction, or coronary revascularization - per 10-mg/dL lower concentration of ApoB-containing lipoproteins. Results: A total of 654783 participants, including 91129 cases of CHD, were included (mean age, 62.7 years; 51.4% women). For each 10-mg/dL lower level of ApoB-containing lipoproteins, the LPL score was associated with 69.9-mg/dL (95% CI, 68.1-71.6; P = 7.1 × 10 -1363 ) lower triglyceride levels and 0.7-mg/dL (95% CI, 0.03-1.4; P =.04) higher LDL-C levels; while the LDLR score was associated with 14.2-mg/dL (95% CI, 13.6-14.8; P = 1.4 × 10 -465 ) lower LDL-C and 1.9-mg/dL (95% CI, 0.1-3.9; P =.04) lower triglyceride levels. Despite these differences in associated lipid levels, the LPL and LDLR scores were associated with similar lower risk of CHD per 10-mg/dL lower level of ApoB-containing lipoproteins (OR, 0.771 [95% CI, 0.741-0.802], P = 3.9 × 10 -38 and OR, 0.773 [95% CI, 0.747-0.801], P = 1.1 × 10 -46 , respectively). In multivariable mendelian randomization analyses, the associations between triglyceride and LDL-C levels with the risk of CHD became null after adjusting for differences in ApoB (triglycerides: OR, 1.014 [95% CI, 0.965-1.065], P =.19; LDL-C: OR, 1.010 [95% CI, 0.967-1.055], P =.19; ApoB: OR, 0.761 [95% CI, 0.723-0.798], P = 7.51 × 10 -20 ). Conclusions and Relevance: Tr…","author":[{"dropping-particle":"","family":"Ference","given":"Brian A.","non-dropping-particle":"","parse-names":false,"suffix":""},{"dropping-particle":"","family":"Kastelein","given":"John J. P.","non-dropping-particle":"","parse-names":false,"suffix":""},{"dropping-particle":"","family":"Ray","given":"Kausik K.","non-dropping-particle":"","parse-names":false,"suffix":""},{"dropping-particle":"","family":"Ginsberg","given":"Henry N.","non-dropping-particle":"","parse-names":false,"suffix":""},{"dropping-particle":"","family":"Chapman","given":"M. John","non-dropping-particle":"","parse-names":false,"suffix":""},{"dropping-particle":"","family":"Packard","given":"Chris J.","non-dropping-particle":"","parse-names":false,"suffix":""},{"dropping-particle":"","family":"Laufs","given":"Ulrich","non-dropping-particle":"","parse-names":false,"suffix":""},{"dropping-particle":"","family":"Oliver-Williams","given":"Clare","non-dropping-particle":"","parse-names":false,"suffix":""},{"dropping-particle":"","family":"Wood","given":"Angela M.","non-dropping-particle":"","parse-names":false,"suffix":""},{"dropping-particle":"","family":"Butterworth","given":"Adam S.","non-dropping-particle":"","parse-names":false,"suffix":""},{"dropping-particle":"","family":"Angelantonio","given":"Emanuele","non-dropping-particle":"Di","parse-names":false,"suffix":""},{"dropping-particle":"","family":"Danesh","given":"John","non-dropping-particle":"","parse-names":false,"suffix":""},{"dropping-particle":"","family":"Nicholls","given":"Stephen J.","non-dropping-particle":"","parse-names":false,"suffix":""},{"dropping-particle":"","family":"Bhatt","given":"Deepak L.","non-dropping-particle":"","parse-names":false,"suffix":""},{"dropping-particle":"","family":"Sabatine","given":"Marc S.","non-dropping-particle":"","parse-names":false,"suffix":""},{"dropping-particle":"","family":"Catapano","given":"Alberico L.","non-dropping-particle":"","parse-names":false,"suffix":""}],"container-title":"JAMA","id":"ITEM-1","issue":"4","issued":{"date-parts":[["2019","1","29"]]},"page":"364","title":"Association of Triglyceride-Lowering LPL Variants and LDL-C–Lowering LDLR Variants With Risk of Coronary Heart Disease","type":"article-journal","volume":"321"},"uris":["http://www.mendeley.com/documents/?uuid=d8264bef-634c-4268-94a1-ee1b8c059bff"]}],"mendeley":{"formattedCitation":"[163]","plainTextFormattedCitation":"[163]","previouslyFormattedCitation":"[163]"},"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[163]</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Также мы установили, что у </w:t>
      </w:r>
      <w:r w:rsidR="00082F3C">
        <w:rPr>
          <w:rFonts w:ascii="Times New Roman" w:hAnsi="Times New Roman" w:cs="Times New Roman"/>
          <w:sz w:val="28"/>
          <w:szCs w:val="28"/>
        </w:rPr>
        <w:t>участников</w:t>
      </w:r>
      <w:r>
        <w:rPr>
          <w:rFonts w:ascii="Times New Roman" w:hAnsi="Times New Roman" w:cs="Times New Roman"/>
          <w:sz w:val="28"/>
          <w:szCs w:val="28"/>
        </w:rPr>
        <w:t xml:space="preserve"> с ни</w:t>
      </w:r>
      <w:r w:rsidR="0013454D">
        <w:rPr>
          <w:rFonts w:ascii="Times New Roman" w:hAnsi="Times New Roman" w:cs="Times New Roman"/>
          <w:sz w:val="28"/>
          <w:szCs w:val="28"/>
        </w:rPr>
        <w:t>зким уровнем ЛПВП реже встречала</w:t>
      </w:r>
      <w:r>
        <w:rPr>
          <w:rFonts w:ascii="Times New Roman" w:hAnsi="Times New Roman" w:cs="Times New Roman"/>
          <w:sz w:val="28"/>
          <w:szCs w:val="28"/>
        </w:rPr>
        <w:t xml:space="preserve">сь гипертриглицеридемия (таблица 15), </w:t>
      </w:r>
      <w:r w:rsidR="0013454D">
        <w:rPr>
          <w:rFonts w:ascii="Times New Roman" w:hAnsi="Times New Roman" w:cs="Times New Roman"/>
          <w:sz w:val="28"/>
          <w:szCs w:val="28"/>
        </w:rPr>
        <w:t>полученные</w:t>
      </w:r>
      <w:r>
        <w:rPr>
          <w:rFonts w:ascii="Times New Roman" w:hAnsi="Times New Roman" w:cs="Times New Roman"/>
          <w:sz w:val="28"/>
          <w:szCs w:val="28"/>
        </w:rPr>
        <w:t xml:space="preserve"> результаты отличаются от результатов других исследований. Некоторые авторы утверждают, что </w:t>
      </w:r>
      <w:r w:rsidR="00082F3C">
        <w:rPr>
          <w:rFonts w:ascii="Times New Roman" w:hAnsi="Times New Roman" w:cs="Times New Roman"/>
          <w:sz w:val="28"/>
          <w:szCs w:val="28"/>
        </w:rPr>
        <w:t xml:space="preserve">при </w:t>
      </w:r>
      <w:r>
        <w:rPr>
          <w:rFonts w:ascii="Times New Roman" w:hAnsi="Times New Roman" w:cs="Times New Roman"/>
          <w:sz w:val="28"/>
          <w:szCs w:val="28"/>
        </w:rPr>
        <w:t>повышенн</w:t>
      </w:r>
      <w:r w:rsidR="00082F3C">
        <w:rPr>
          <w:rFonts w:ascii="Times New Roman" w:hAnsi="Times New Roman" w:cs="Times New Roman"/>
          <w:sz w:val="28"/>
          <w:szCs w:val="28"/>
        </w:rPr>
        <w:t>ом</w:t>
      </w:r>
      <w:r>
        <w:rPr>
          <w:rFonts w:ascii="Times New Roman" w:hAnsi="Times New Roman" w:cs="Times New Roman"/>
          <w:sz w:val="28"/>
          <w:szCs w:val="28"/>
        </w:rPr>
        <w:t xml:space="preserve"> липогенез</w:t>
      </w:r>
      <w:r w:rsidR="00082F3C">
        <w:rPr>
          <w:rFonts w:ascii="Times New Roman" w:hAnsi="Times New Roman" w:cs="Times New Roman"/>
          <w:sz w:val="28"/>
          <w:szCs w:val="28"/>
        </w:rPr>
        <w:t>е в печени</w:t>
      </w:r>
      <w:r>
        <w:rPr>
          <w:rFonts w:ascii="Times New Roman" w:hAnsi="Times New Roman" w:cs="Times New Roman"/>
          <w:sz w:val="28"/>
          <w:szCs w:val="28"/>
        </w:rPr>
        <w:t xml:space="preserve"> появляется гипертриглицеридемия, которая снижает уровень ЛПВП</w:t>
      </w:r>
      <w:r w:rsidR="003675E7">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{"citationItems":[{"id":"ITEM-1","itemData":{"DOI":"10.1089/met.2019.0115","ISSN":"1540-4196","abstract":"Current algorithms for assessing risk of atherosclerotic cardiovascular disease (ASCVD) and, in particular, the reliance on low-density lipoprotein (LDL) cholesterol in conditions where this measurement is discordant with apoB and LDL-particle concentrations fail to identify a sizeable part of the population at high risk for adverse cardiovascular events. This results in missed opportunities for ASCVD prevention, most notably in those with metabolic syndrome, prediabetes, and diabetes. There is substantial evidence that accumulation of ectopic fat and associated metabolic traits are markers for and pathogenic components of high-risk atherosclerosis. Conceptually, the subset of advanced lesions in high-risk atherosclerosis that triggers vascular complications is closely related to a set of coordinated high-risk traits clustering around a distinct metabolic phenotype. A key feature of this phenotype is accumulation of ectopic fat, which, coupled with age-related muscle loss, creates a milieu conducive for the development of ASCVD: atherogenic dyslipidemia, nonresolving inflammation, endothelial dysfunction, hyperinsulinemia, and impaired fibrinolysis. Sustained vascular inflammation, a hallmark of high-risk atherosclerosis, impairs plaque stabilization in this phenotype. This review describes how metabolic and inflammatory processes that are promoted in large measure by ectopic adiposity, as opposed to subcutaneous adipose tissue, relate to the pathogenesis of high-risk atherosclerosis. Clinical biomarkers indicative of these processes provide incremental information to standard risk factor algorithms and advanced lipid testing identifies atherogenic lipoprotein patterns that are below the discrimination level of standard lipid testing. This has the potential to enable improved identification of high-risk patients who are candidates for therapeutic interventions aimed at prevention of ASCVD.","author":[{"dropping-particle":"","family":"Lechner","given":"Katharina","non-dropping-particle":"","parse-names":false,"suffix":""},{"dropping-particle":"","family":"McKenzie","given":"Amy L.","non-dropping-particle":"","parse-names":false,"suffix":""},{"dropping-particle":"","family":"Kränkel","given":"Nicolle","non-dropping-particle":"","parse-names":false,"suffix":""},{"dropping-particle":"","family":"Schacky","given":"Clemens","non-dropping-particle":"Von","parse-names":false,"suffix":""},{"dropping-particle":"","family":"Worm","given":"Nicolai","non-dropping-particle":"","parse-names":false,"suffix":""},{"dropping-particle":"","family":"Nixdorff","given":"Uwe","non-dropping-particle":"","parse-names":false,"suffix":""},{"dropping-particle":"","family":"Lechner","given":"Benjamin","non-dropping-particle":"","parse-names":false,"suffix":""},{"dropping-particle":"","family":"Scherr","given":"Johannes","non-dropping-particle":"","parse-names":false,"suffix":""},{"dropping-particle":"","family":"Weingärtner","given":"Oliver","non-dropping-particle":"","parse-names":false,"suffix":""},{"dropping-particle":"","family":"Krauss","given":"Ronald M.","non-dropping-particle":"","parse-names":false,"suffix":""}],"container-title":"Metabolic Syndrome and Related Disorders","id":"ITEM-1","issue":"XX","issued":{"date-parts":[["2020","3","2"]]},"page":"176-185","title":"High-Risk Atherosclerosis and Metabolic Phenotype: The Roles of Ectopic Adiposity, Atherogenic Dyslipidemia, and Inflammation","type":"article-journal","volume":"XX"},"uris":["http://www.mendeley.com/documents/?uuid=b75ad960-2c9d-416a-a8ae-3acd17ba22f8"]}],"mendeley":{"formattedCitation":"[15]","manualFormatting":"[15, р. 182]","plainTextFormattedCitation":"[15]","previouslyFormattedCitation":"[15]"},"properties":{"noteIndex":0},"schema":"https://github.com/citation-style-language/schema/raw/master/csl-citation.json"}</w:instrText>
      </w:r>
      <w:r w:rsidR="00EA0E64">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[15</w:t>
      </w:r>
      <w:r w:rsidR="00F87DB7">
        <w:rPr>
          <w:rFonts w:ascii="Times New Roman" w:hAnsi="Times New Roman" w:cs="Times New Roman"/>
          <w:noProof/>
          <w:sz w:val="28"/>
          <w:szCs w:val="28"/>
        </w:rPr>
        <w:t>, р. 182</w:t>
      </w:r>
      <w:r w:rsidR="00F87DB7" w:rsidRPr="00F87DB7">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5D3277" w:rsidRDefault="005D3277"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Т</w:t>
      </w:r>
      <w:r w:rsidR="00E2261E">
        <w:rPr>
          <w:rFonts w:ascii="Times New Roman" w:hAnsi="Times New Roman" w:cs="Times New Roman"/>
          <w:sz w:val="28"/>
          <w:szCs w:val="28"/>
        </w:rPr>
        <w:t>аблица 15</w:t>
      </w:r>
      <w:r w:rsidR="00162472">
        <w:rPr>
          <w:rFonts w:ascii="Times New Roman" w:hAnsi="Times New Roman" w:cs="Times New Roman"/>
          <w:sz w:val="28"/>
          <w:szCs w:val="28"/>
          <w:lang w:val="kk-KZ"/>
        </w:rPr>
        <w:t xml:space="preserve"> -</w:t>
      </w:r>
      <w:r w:rsidR="00E2261E">
        <w:rPr>
          <w:rFonts w:ascii="Times New Roman" w:hAnsi="Times New Roman" w:cs="Times New Roman"/>
          <w:sz w:val="28"/>
          <w:szCs w:val="28"/>
        </w:rPr>
        <w:t xml:space="preserve"> Распределение биохимических показателей по группам триглицеридов</w:t>
      </w:r>
    </w:p>
    <w:p w:rsidR="00E83EC5" w:rsidRPr="00E83EC5" w:rsidRDefault="00E83EC5" w:rsidP="00AB12B3">
      <w:pPr>
        <w:spacing w:after="0" w:line="240" w:lineRule="auto"/>
        <w:jc w:val="both"/>
        <w:rPr>
          <w:rFonts w:ascii="Times New Roman" w:hAnsi="Times New Roman" w:cs="Times New Roman"/>
          <w:sz w:val="28"/>
          <w:szCs w:val="28"/>
          <w:lang w:val="kk-KZ"/>
        </w:rPr>
      </w:pPr>
    </w:p>
    <w:tbl>
      <w:tblPr>
        <w:tblStyle w:val="af7"/>
        <w:tblW w:w="9495" w:type="dxa"/>
        <w:tblInd w:w="108" w:type="dxa"/>
        <w:tblLayout w:type="fixed"/>
        <w:tblLook w:val="04A0" w:firstRow="1" w:lastRow="0" w:firstColumn="1" w:lastColumn="0" w:noHBand="0" w:noVBand="1"/>
      </w:tblPr>
      <w:tblGrid>
        <w:gridCol w:w="2550"/>
        <w:gridCol w:w="1559"/>
        <w:gridCol w:w="1134"/>
        <w:gridCol w:w="992"/>
        <w:gridCol w:w="2129"/>
        <w:gridCol w:w="1131"/>
      </w:tblGrid>
      <w:tr w:rsidR="00AB12B3" w:rsidTr="00A07CD8">
        <w:trPr>
          <w:trHeight w:val="385"/>
        </w:trPr>
        <w:tc>
          <w:tcPr>
            <w:tcW w:w="410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2126"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ТГ, ммоль/л</w:t>
            </w:r>
          </w:p>
        </w:tc>
        <w:tc>
          <w:tcPr>
            <w:tcW w:w="2129"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ОШ (95% ДИ)</w:t>
            </w:r>
          </w:p>
        </w:tc>
        <w:tc>
          <w:tcPr>
            <w:tcW w:w="1131"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A07CD8">
        <w:trPr>
          <w:trHeight w:val="387"/>
        </w:trPr>
        <w:tc>
          <w:tcPr>
            <w:tcW w:w="4109" w:type="dxa"/>
            <w:gridSpan w:val="2"/>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≤1,7 n</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&gt;1,7 n</w:t>
            </w:r>
          </w:p>
        </w:tc>
        <w:tc>
          <w:tcPr>
            <w:tcW w:w="2129"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07CD8">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ОХС, ммоль/л</w:t>
            </w:r>
          </w:p>
          <w:p w:rsidR="00AB12B3" w:rsidRDefault="00AB12B3">
            <w:pPr>
              <w:jc w:val="center"/>
              <w:rPr>
                <w:rFonts w:ascii="Times New Roman" w:hAnsi="Times New Roman"/>
                <w:sz w:val="28"/>
                <w:szCs w:val="28"/>
              </w:rPr>
            </w:pPr>
            <w:r>
              <w:rPr>
                <w:rFonts w:ascii="Times New Roman" w:hAnsi="Times New Roman"/>
                <w:sz w:val="28"/>
                <w:szCs w:val="28"/>
              </w:rPr>
              <w:t>n=580</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≤4,9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373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115</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0,002</w:t>
            </w:r>
          </w:p>
        </w:tc>
      </w:tr>
      <w:tr w:rsidR="00AB12B3" w:rsidTr="00A07CD8">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&gt;4,9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36</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2,08 (1,31-3,33)</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07CD8">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ЛПНП, ммоль/л n=580</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366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127</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0,72</w:t>
            </w:r>
          </w:p>
        </w:tc>
      </w:tr>
      <w:tr w:rsidR="00AB12B3" w:rsidTr="00A07CD8">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&gt;3,0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63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24</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 (0,66-1,83)</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07CD8">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ЛПВП, ммоль/л n=580</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Муж ≥1,0</w:t>
            </w:r>
          </w:p>
          <w:p w:rsidR="00AB12B3" w:rsidRDefault="00AB12B3">
            <w:pPr>
              <w:jc w:val="center"/>
            </w:pPr>
            <w:r>
              <w:rPr>
                <w:rFonts w:ascii="Times New Roman" w:hAnsi="Times New Roman"/>
                <w:sz w:val="28"/>
                <w:szCs w:val="28"/>
              </w:rPr>
              <w:t>Жен ≥1,2</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160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72</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0,02</w:t>
            </w:r>
          </w:p>
        </w:tc>
      </w:tr>
      <w:tr w:rsidR="00AB12B3" w:rsidTr="00A07CD8">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Муж &lt;1,0</w:t>
            </w:r>
          </w:p>
          <w:p w:rsidR="00AB12B3" w:rsidRDefault="00AB12B3">
            <w:pPr>
              <w:jc w:val="center"/>
              <w:rPr>
                <w:rFonts w:ascii="Times New Roman" w:hAnsi="Times New Roman"/>
                <w:sz w:val="28"/>
                <w:szCs w:val="28"/>
              </w:rPr>
            </w:pPr>
            <w:r>
              <w:rPr>
                <w:rFonts w:ascii="Times New Roman" w:hAnsi="Times New Roman"/>
                <w:sz w:val="28"/>
                <w:szCs w:val="28"/>
              </w:rPr>
              <w:t>Жен &lt;1,2</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269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79</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0,65 (0,45-0,95)</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07CD8">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 г/л</w:t>
            </w:r>
          </w:p>
          <w:p w:rsidR="00AB12B3" w:rsidRDefault="00AB12B3">
            <w:pPr>
              <w:jc w:val="center"/>
              <w:rPr>
                <w:rFonts w:ascii="Times New Roman" w:hAnsi="Times New Roman"/>
                <w:sz w:val="28"/>
                <w:szCs w:val="28"/>
              </w:rPr>
            </w:pPr>
            <w:r>
              <w:rPr>
                <w:rFonts w:ascii="Times New Roman" w:hAnsi="Times New Roman"/>
                <w:sz w:val="28"/>
                <w:szCs w:val="28"/>
              </w:rPr>
              <w:t xml:space="preserve"> n=507</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&lt;0,9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180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18</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A07CD8">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194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115</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5,93 (3,47-10,14)</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07CD8">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апоА1 г/л</w:t>
            </w:r>
          </w:p>
          <w:p w:rsidR="00AB12B3" w:rsidRDefault="00AB12B3">
            <w:pPr>
              <w:jc w:val="center"/>
              <w:rPr>
                <w:rFonts w:ascii="Times New Roman" w:hAnsi="Times New Roman"/>
                <w:sz w:val="28"/>
                <w:szCs w:val="28"/>
              </w:rPr>
            </w:pPr>
            <w:r>
              <w:rPr>
                <w:rFonts w:ascii="Times New Roman" w:hAnsi="Times New Roman"/>
                <w:sz w:val="28"/>
                <w:szCs w:val="28"/>
              </w:rPr>
              <w:t>n=507</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color w:val="000000"/>
                <w:sz w:val="28"/>
                <w:szCs w:val="28"/>
              </w:rPr>
            </w:pPr>
            <w:r>
              <w:rPr>
                <w:rFonts w:ascii="Times New Roman" w:hAnsi="Times New Roman"/>
                <w:color w:val="000000"/>
                <w:sz w:val="28"/>
                <w:szCs w:val="28"/>
              </w:rPr>
              <w:t xml:space="preserve">Муж </w:t>
            </w:r>
            <w:r w:rsidRPr="007E591F">
              <w:rPr>
                <w:rFonts w:ascii="Century" w:hAnsi="Century"/>
                <w:color w:val="000000"/>
                <w:sz w:val="28"/>
                <w:szCs w:val="28"/>
              </w:rPr>
              <w:t>≥</w:t>
            </w:r>
            <w:r>
              <w:rPr>
                <w:rFonts w:ascii="Times New Roman" w:hAnsi="Times New Roman"/>
                <w:color w:val="000000"/>
                <w:sz w:val="28"/>
                <w:szCs w:val="28"/>
              </w:rPr>
              <w:t>1</w:t>
            </w:r>
            <w:r w:rsidRPr="007E591F">
              <w:rPr>
                <w:rFonts w:ascii="Century" w:hAnsi="Century"/>
                <w:color w:val="000000"/>
                <w:sz w:val="28"/>
                <w:szCs w:val="28"/>
              </w:rPr>
              <w:t>,</w:t>
            </w:r>
            <w:r>
              <w:rPr>
                <w:rFonts w:ascii="Times New Roman" w:hAnsi="Times New Roman"/>
                <w:color w:val="000000"/>
                <w:sz w:val="28"/>
                <w:szCs w:val="28"/>
              </w:rPr>
              <w:t>04</w:t>
            </w:r>
          </w:p>
          <w:p w:rsidR="00AB12B3" w:rsidRDefault="00AB12B3">
            <w:pPr>
              <w:jc w:val="center"/>
              <w:rPr>
                <w:rFonts w:ascii="Times New Roman" w:hAnsi="Times New Roman"/>
                <w:sz w:val="28"/>
                <w:szCs w:val="28"/>
              </w:rPr>
            </w:pPr>
            <w:r>
              <w:rPr>
                <w:rFonts w:ascii="Times New Roman" w:hAnsi="Times New Roman"/>
                <w:color w:val="000000"/>
                <w:sz w:val="28"/>
                <w:szCs w:val="28"/>
              </w:rPr>
              <w:t xml:space="preserve">Жен </w:t>
            </w:r>
            <w:r w:rsidRPr="007E591F">
              <w:rPr>
                <w:rFonts w:ascii="Century" w:hAnsi="Century"/>
                <w:color w:val="000000"/>
                <w:sz w:val="28"/>
                <w:szCs w:val="28"/>
              </w:rPr>
              <w:t>≥</w:t>
            </w:r>
            <w:r>
              <w:rPr>
                <w:rFonts w:ascii="Times New Roman" w:hAnsi="Times New Roman"/>
                <w:color w:val="000000"/>
                <w:sz w:val="28"/>
                <w:szCs w:val="28"/>
              </w:rPr>
              <w:t>1</w:t>
            </w:r>
            <w:r w:rsidRPr="007E591F">
              <w:rPr>
                <w:rFonts w:ascii="Century" w:hAnsi="Century"/>
                <w:color w:val="000000"/>
                <w:sz w:val="28"/>
                <w:szCs w:val="28"/>
              </w:rPr>
              <w:t>,</w:t>
            </w:r>
            <w:r>
              <w:rPr>
                <w:rFonts w:ascii="Times New Roman" w:hAnsi="Times New Roman"/>
                <w:color w:val="000000"/>
                <w:sz w:val="28"/>
                <w:szCs w:val="28"/>
              </w:rPr>
              <w:t xml:space="preserve">08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350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126</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C40A98">
              <w:rPr>
                <w:rFonts w:ascii="Century" w:hAnsi="Century"/>
                <w:sz w:val="28"/>
                <w:szCs w:val="28"/>
              </w:rPr>
              <w:t>,</w:t>
            </w:r>
            <w:r>
              <w:rPr>
                <w:rFonts w:ascii="Times New Roman" w:hAnsi="Times New Roman"/>
                <w:sz w:val="28"/>
                <w:szCs w:val="28"/>
              </w:rPr>
              <w:t>57</w:t>
            </w:r>
          </w:p>
        </w:tc>
      </w:tr>
      <w:tr w:rsidR="00AB12B3" w:rsidTr="00A07CD8">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color w:val="000000"/>
                <w:sz w:val="28"/>
                <w:szCs w:val="28"/>
              </w:rPr>
            </w:pPr>
            <w:r>
              <w:rPr>
                <w:rFonts w:ascii="Times New Roman" w:hAnsi="Times New Roman"/>
                <w:color w:val="000000"/>
                <w:sz w:val="28"/>
                <w:szCs w:val="28"/>
              </w:rPr>
              <w:t xml:space="preserve">Муж </w:t>
            </w:r>
            <w:r w:rsidRPr="007E591F">
              <w:rPr>
                <w:rFonts w:ascii="Century" w:hAnsi="Century"/>
                <w:color w:val="000000"/>
                <w:sz w:val="28"/>
                <w:szCs w:val="28"/>
              </w:rPr>
              <w:t>&lt;</w:t>
            </w:r>
            <w:r>
              <w:rPr>
                <w:rFonts w:ascii="Times New Roman" w:hAnsi="Times New Roman"/>
                <w:color w:val="000000"/>
                <w:sz w:val="28"/>
                <w:szCs w:val="28"/>
              </w:rPr>
              <w:t>1</w:t>
            </w:r>
            <w:r w:rsidRPr="007E591F">
              <w:rPr>
                <w:rFonts w:ascii="Century" w:hAnsi="Century"/>
                <w:color w:val="000000"/>
                <w:sz w:val="28"/>
                <w:szCs w:val="28"/>
              </w:rPr>
              <w:t>,</w:t>
            </w:r>
            <w:r>
              <w:rPr>
                <w:rFonts w:ascii="Times New Roman" w:hAnsi="Times New Roman"/>
                <w:color w:val="000000"/>
                <w:sz w:val="28"/>
                <w:szCs w:val="28"/>
              </w:rPr>
              <w:t>04</w:t>
            </w:r>
          </w:p>
          <w:p w:rsidR="00AB12B3" w:rsidRDefault="00AB12B3">
            <w:pPr>
              <w:jc w:val="center"/>
              <w:rPr>
                <w:rFonts w:ascii="Times New Roman" w:hAnsi="Times New Roman"/>
                <w:color w:val="000000"/>
                <w:sz w:val="28"/>
                <w:szCs w:val="28"/>
              </w:rPr>
            </w:pPr>
            <w:r>
              <w:rPr>
                <w:rFonts w:ascii="Times New Roman" w:hAnsi="Times New Roman"/>
                <w:color w:val="000000"/>
                <w:sz w:val="28"/>
                <w:szCs w:val="28"/>
              </w:rPr>
              <w:t xml:space="preserve">Жен </w:t>
            </w:r>
            <w:r w:rsidRPr="007E591F">
              <w:rPr>
                <w:rFonts w:ascii="Century" w:hAnsi="Century"/>
                <w:color w:val="000000"/>
                <w:sz w:val="28"/>
                <w:szCs w:val="28"/>
              </w:rPr>
              <w:t>&lt;</w:t>
            </w:r>
            <w:r>
              <w:rPr>
                <w:rFonts w:ascii="Times New Roman" w:hAnsi="Times New Roman"/>
                <w:color w:val="000000"/>
                <w:sz w:val="28"/>
                <w:szCs w:val="28"/>
              </w:rPr>
              <w:t>1</w:t>
            </w:r>
            <w:r w:rsidRPr="007E591F">
              <w:rPr>
                <w:rFonts w:ascii="Century" w:hAnsi="Century"/>
                <w:color w:val="000000"/>
                <w:sz w:val="28"/>
                <w:szCs w:val="28"/>
              </w:rPr>
              <w:t>,</w:t>
            </w:r>
            <w:r>
              <w:rPr>
                <w:rFonts w:ascii="Times New Roman" w:hAnsi="Times New Roman"/>
                <w:color w:val="000000"/>
                <w:sz w:val="28"/>
                <w:szCs w:val="28"/>
              </w:rPr>
              <w:t>08</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7</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C40A98">
              <w:rPr>
                <w:rFonts w:ascii="Century" w:hAnsi="Century"/>
                <w:sz w:val="28"/>
                <w:szCs w:val="28"/>
              </w:rPr>
              <w:t>,</w:t>
            </w:r>
            <w:r>
              <w:rPr>
                <w:rFonts w:ascii="Times New Roman" w:hAnsi="Times New Roman"/>
                <w:sz w:val="28"/>
                <w:szCs w:val="28"/>
              </w:rPr>
              <w:t>78 (0</w:t>
            </w:r>
            <w:r w:rsidRPr="00C40A98">
              <w:rPr>
                <w:rFonts w:ascii="Century" w:hAnsi="Century"/>
                <w:sz w:val="28"/>
                <w:szCs w:val="28"/>
              </w:rPr>
              <w:t>,</w:t>
            </w:r>
            <w:r>
              <w:rPr>
                <w:rFonts w:ascii="Times New Roman" w:hAnsi="Times New Roman"/>
                <w:sz w:val="28"/>
                <w:szCs w:val="28"/>
              </w:rPr>
              <w:t>33-1</w:t>
            </w:r>
            <w:r w:rsidRPr="00C40A98">
              <w:rPr>
                <w:rFonts w:ascii="Century" w:hAnsi="Century"/>
                <w:sz w:val="28"/>
                <w:szCs w:val="28"/>
              </w:rPr>
              <w:t>,</w:t>
            </w:r>
            <w:r>
              <w:rPr>
                <w:rFonts w:ascii="Times New Roman" w:hAnsi="Times New Roman"/>
                <w:sz w:val="28"/>
                <w:szCs w:val="28"/>
              </w:rPr>
              <w:t>84)</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07CD8">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w:t>
            </w:r>
            <w:r w:rsidRPr="007E591F">
              <w:rPr>
                <w:rFonts w:ascii="Century" w:hAnsi="Century"/>
                <w:sz w:val="28"/>
                <w:szCs w:val="28"/>
              </w:rPr>
              <w:t>/</w:t>
            </w:r>
            <w:r>
              <w:rPr>
                <w:rFonts w:ascii="Times New Roman" w:hAnsi="Times New Roman"/>
                <w:sz w:val="28"/>
                <w:szCs w:val="28"/>
              </w:rPr>
              <w:t>апоА1</w:t>
            </w:r>
          </w:p>
          <w:p w:rsidR="00AB12B3" w:rsidRDefault="00AB12B3">
            <w:pPr>
              <w:jc w:val="center"/>
              <w:rPr>
                <w:rFonts w:ascii="Times New Roman" w:hAnsi="Times New Roman"/>
                <w:sz w:val="28"/>
                <w:szCs w:val="28"/>
              </w:rPr>
            </w:pPr>
            <w:r>
              <w:rPr>
                <w:rFonts w:ascii="Times New Roman" w:hAnsi="Times New Roman"/>
                <w:sz w:val="28"/>
                <w:szCs w:val="28"/>
              </w:rPr>
              <w:t>n</w:t>
            </w:r>
            <w:r w:rsidRPr="007E591F">
              <w:rPr>
                <w:rFonts w:ascii="Century" w:hAnsi="Century"/>
                <w:sz w:val="28"/>
                <w:szCs w:val="28"/>
              </w:rPr>
              <w:t>=</w:t>
            </w:r>
            <w:r>
              <w:rPr>
                <w:rFonts w:ascii="Times New Roman" w:hAnsi="Times New Roman"/>
                <w:sz w:val="28"/>
                <w:szCs w:val="28"/>
              </w:rPr>
              <w:t>507</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9A2D51">
              <w:rPr>
                <w:rFonts w:ascii="Century" w:hAnsi="Century"/>
                <w:sz w:val="28"/>
                <w:szCs w:val="28"/>
              </w:rPr>
              <w:t>≤</w:t>
            </w:r>
            <w:r>
              <w:rPr>
                <w:rFonts w:ascii="Times New Roman" w:hAnsi="Times New Roman"/>
                <w:sz w:val="28"/>
                <w:szCs w:val="28"/>
              </w:rPr>
              <w:t>0,85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315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81</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A07CD8">
              <w:rPr>
                <w:rFonts w:ascii="Century" w:hAnsi="Century"/>
                <w:sz w:val="28"/>
                <w:szCs w:val="28"/>
              </w:rPr>
              <w:t>,</w:t>
            </w:r>
            <w:r>
              <w:rPr>
                <w:rFonts w:ascii="Times New Roman" w:hAnsi="Times New Roman"/>
                <w:sz w:val="28"/>
                <w:szCs w:val="28"/>
              </w:rPr>
              <w:t>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A07CD8">
              <w:rPr>
                <w:rFonts w:ascii="Century" w:hAnsi="Century"/>
                <w:sz w:val="28"/>
                <w:szCs w:val="28"/>
              </w:rPr>
              <w:t>,</w:t>
            </w:r>
            <w:r>
              <w:rPr>
                <w:rFonts w:ascii="Times New Roman" w:hAnsi="Times New Roman"/>
                <w:sz w:val="28"/>
                <w:szCs w:val="28"/>
              </w:rPr>
              <w:t>0001</w:t>
            </w:r>
          </w:p>
        </w:tc>
      </w:tr>
      <w:tr w:rsidR="00AB12B3" w:rsidTr="00A07CD8">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9A2D51">
              <w:rPr>
                <w:rFonts w:ascii="Century" w:hAnsi="Century"/>
                <w:sz w:val="28"/>
                <w:szCs w:val="28"/>
              </w:rPr>
              <w:t>&gt;</w:t>
            </w:r>
            <w:r>
              <w:rPr>
                <w:rFonts w:ascii="Times New Roman" w:hAnsi="Times New Roman"/>
                <w:sz w:val="28"/>
                <w:szCs w:val="28"/>
              </w:rPr>
              <w:t>0,85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52</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w:t>
            </w:r>
            <w:r w:rsidRPr="00A07CD8">
              <w:rPr>
                <w:rFonts w:ascii="Century" w:hAnsi="Century"/>
                <w:sz w:val="28"/>
                <w:szCs w:val="28"/>
              </w:rPr>
              <w:t>,</w:t>
            </w:r>
            <w:r>
              <w:rPr>
                <w:rFonts w:ascii="Times New Roman" w:hAnsi="Times New Roman"/>
                <w:sz w:val="28"/>
                <w:szCs w:val="28"/>
              </w:rPr>
              <w:t>43 (2</w:t>
            </w:r>
            <w:r w:rsidRPr="00A07CD8">
              <w:rPr>
                <w:rFonts w:ascii="Century" w:hAnsi="Century"/>
                <w:sz w:val="28"/>
                <w:szCs w:val="28"/>
              </w:rPr>
              <w:t>,</w:t>
            </w:r>
            <w:r>
              <w:rPr>
                <w:rFonts w:ascii="Times New Roman" w:hAnsi="Times New Roman"/>
                <w:sz w:val="28"/>
                <w:szCs w:val="28"/>
              </w:rPr>
              <w:t>19-5</w:t>
            </w:r>
            <w:r w:rsidRPr="00A07CD8">
              <w:rPr>
                <w:rFonts w:ascii="Century" w:hAnsi="Century"/>
                <w:sz w:val="28"/>
                <w:szCs w:val="28"/>
              </w:rPr>
              <w:t>,</w:t>
            </w:r>
            <w:r>
              <w:rPr>
                <w:rFonts w:ascii="Times New Roman" w:hAnsi="Times New Roman"/>
                <w:sz w:val="28"/>
                <w:szCs w:val="28"/>
              </w:rPr>
              <w:t>35)</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07CD8">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Инсулин</w:t>
            </w:r>
            <w:r w:rsidRPr="007E591F">
              <w:rPr>
                <w:rFonts w:ascii="Century" w:hAnsi="Century"/>
                <w:sz w:val="28"/>
                <w:szCs w:val="28"/>
              </w:rPr>
              <w:t>,</w:t>
            </w:r>
            <w:r>
              <w:rPr>
                <w:rFonts w:ascii="Times New Roman" w:hAnsi="Times New Roman"/>
                <w:sz w:val="28"/>
                <w:szCs w:val="28"/>
              </w:rPr>
              <w:t xml:space="preserve"> мкМЕ</w:t>
            </w:r>
            <w:r w:rsidRPr="007E591F">
              <w:rPr>
                <w:rFonts w:ascii="Century" w:hAnsi="Century"/>
                <w:sz w:val="28"/>
                <w:szCs w:val="28"/>
              </w:rPr>
              <w:t>/</w:t>
            </w:r>
            <w:r>
              <w:rPr>
                <w:rFonts w:ascii="Times New Roman" w:hAnsi="Times New Roman"/>
                <w:sz w:val="28"/>
                <w:szCs w:val="28"/>
              </w:rPr>
              <w:t>мл n</w:t>
            </w:r>
            <w:r w:rsidRPr="007E591F">
              <w:rPr>
                <w:rFonts w:ascii="Century" w:hAnsi="Century"/>
                <w:sz w:val="28"/>
                <w:szCs w:val="28"/>
              </w:rPr>
              <w:t>=</w:t>
            </w:r>
            <w:r>
              <w:rPr>
                <w:rFonts w:ascii="Times New Roman" w:hAnsi="Times New Roman"/>
                <w:sz w:val="28"/>
                <w:szCs w:val="28"/>
              </w:rPr>
              <w:t>507</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9A2D51">
              <w:rPr>
                <w:rFonts w:ascii="Century" w:hAnsi="Century"/>
                <w:sz w:val="28"/>
                <w:szCs w:val="28"/>
              </w:rPr>
              <w:t>≤</w:t>
            </w:r>
            <w:r>
              <w:rPr>
                <w:rFonts w:ascii="Times New Roman" w:hAnsi="Times New Roman"/>
                <w:sz w:val="28"/>
                <w:szCs w:val="28"/>
              </w:rPr>
              <w:t>24</w:t>
            </w:r>
            <w:r w:rsidRPr="009A2D51">
              <w:rPr>
                <w:rFonts w:ascii="Century" w:hAnsi="Century"/>
                <w:sz w:val="28"/>
                <w:szCs w:val="28"/>
              </w:rPr>
              <w:t>,</w:t>
            </w:r>
            <w:r>
              <w:rPr>
                <w:rFonts w:ascii="Times New Roman" w:hAnsi="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353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111</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A07CD8">
              <w:rPr>
                <w:rFonts w:ascii="Century" w:hAnsi="Century"/>
                <w:sz w:val="28"/>
                <w:szCs w:val="28"/>
              </w:rPr>
              <w:t>,</w:t>
            </w:r>
            <w:r>
              <w:rPr>
                <w:rFonts w:ascii="Times New Roman" w:hAnsi="Times New Roman"/>
                <w:sz w:val="28"/>
                <w:szCs w:val="28"/>
              </w:rPr>
              <w:t>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A07CD8">
              <w:rPr>
                <w:rFonts w:ascii="Century" w:hAnsi="Century"/>
                <w:sz w:val="28"/>
                <w:szCs w:val="28"/>
              </w:rPr>
              <w:t>,</w:t>
            </w:r>
            <w:r>
              <w:rPr>
                <w:rFonts w:ascii="Times New Roman" w:hAnsi="Times New Roman"/>
                <w:sz w:val="28"/>
                <w:szCs w:val="28"/>
              </w:rPr>
              <w:t>0001</w:t>
            </w:r>
          </w:p>
        </w:tc>
      </w:tr>
      <w:tr w:rsidR="00AB12B3" w:rsidTr="00A07CD8">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9A2D51">
              <w:rPr>
                <w:rFonts w:ascii="Century" w:hAnsi="Century"/>
                <w:sz w:val="28"/>
                <w:szCs w:val="28"/>
              </w:rPr>
              <w:t>&gt;</w:t>
            </w:r>
            <w:r>
              <w:rPr>
                <w:rFonts w:ascii="Times New Roman" w:hAnsi="Times New Roman"/>
                <w:sz w:val="28"/>
                <w:szCs w:val="28"/>
              </w:rPr>
              <w:t>24</w:t>
            </w:r>
            <w:r w:rsidRPr="009A2D51">
              <w:rPr>
                <w:rFonts w:ascii="Century" w:hAnsi="Century"/>
                <w:sz w:val="28"/>
                <w:szCs w:val="28"/>
              </w:rPr>
              <w:t>,</w:t>
            </w:r>
            <w:r>
              <w:rPr>
                <w:rFonts w:ascii="Times New Roman" w:hAnsi="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22</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w:t>
            </w:r>
            <w:r w:rsidRPr="00A07CD8">
              <w:rPr>
                <w:rFonts w:ascii="Century" w:hAnsi="Century"/>
                <w:sz w:val="28"/>
                <w:szCs w:val="28"/>
              </w:rPr>
              <w:t>,</w:t>
            </w:r>
            <w:r>
              <w:rPr>
                <w:rFonts w:ascii="Times New Roman" w:hAnsi="Times New Roman"/>
                <w:sz w:val="28"/>
                <w:szCs w:val="28"/>
              </w:rPr>
              <w:t>33 (1</w:t>
            </w:r>
            <w:r w:rsidRPr="00A07CD8">
              <w:rPr>
                <w:rFonts w:ascii="Century" w:hAnsi="Century"/>
                <w:sz w:val="28"/>
                <w:szCs w:val="28"/>
              </w:rPr>
              <w:t>,</w:t>
            </w:r>
            <w:r>
              <w:rPr>
                <w:rFonts w:ascii="Times New Roman" w:hAnsi="Times New Roman"/>
                <w:sz w:val="28"/>
                <w:szCs w:val="28"/>
              </w:rPr>
              <w:t>77</w:t>
            </w:r>
            <w:r w:rsidRPr="00A07CD8">
              <w:rPr>
                <w:rFonts w:ascii="Century" w:hAnsi="Century"/>
                <w:sz w:val="28"/>
                <w:szCs w:val="28"/>
              </w:rPr>
              <w:t>-</w:t>
            </w:r>
            <w:r>
              <w:rPr>
                <w:rFonts w:ascii="Times New Roman" w:hAnsi="Times New Roman"/>
                <w:sz w:val="28"/>
                <w:szCs w:val="28"/>
              </w:rPr>
              <w:t>6</w:t>
            </w:r>
            <w:r w:rsidRPr="00A07CD8">
              <w:rPr>
                <w:rFonts w:ascii="Century" w:hAnsi="Century"/>
                <w:sz w:val="28"/>
                <w:szCs w:val="28"/>
              </w:rPr>
              <w:t>,</w:t>
            </w:r>
            <w:r>
              <w:rPr>
                <w:rFonts w:ascii="Times New Roman" w:hAnsi="Times New Roman"/>
                <w:sz w:val="28"/>
                <w:szCs w:val="28"/>
              </w:rPr>
              <w:t>29)</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07CD8">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глюкоза, ммоль/л n=580</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≤5,59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239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67</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0,016</w:t>
            </w:r>
          </w:p>
        </w:tc>
      </w:tr>
      <w:tr w:rsidR="00AB12B3" w:rsidTr="00A07CD8">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&gt;5,59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190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84</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1,58 (1,09-2,29)</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07CD8">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HOMA-IR</w:t>
            </w:r>
          </w:p>
          <w:p w:rsidR="00AB12B3" w:rsidRDefault="00AB12B3">
            <w:pPr>
              <w:jc w:val="center"/>
              <w:rPr>
                <w:rFonts w:ascii="Times New Roman" w:hAnsi="Times New Roman"/>
                <w:sz w:val="28"/>
                <w:szCs w:val="28"/>
              </w:rPr>
            </w:pPr>
            <w:r>
              <w:rPr>
                <w:rFonts w:ascii="Times New Roman" w:hAnsi="Times New Roman"/>
                <w:sz w:val="28"/>
                <w:szCs w:val="28"/>
              </w:rPr>
              <w:t>n=507</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&lt;2,7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252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59</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A07CD8">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122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74</w:t>
            </w:r>
          </w:p>
        </w:tc>
        <w:tc>
          <w:tcPr>
            <w:tcW w:w="212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2,59 (1,73-3,88)</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EF3CBF">
        <w:trPr>
          <w:trHeight w:val="451"/>
        </w:trPr>
        <w:tc>
          <w:tcPr>
            <w:tcW w:w="9495" w:type="dxa"/>
            <w:gridSpan w:val="6"/>
            <w:tcBorders>
              <w:top w:val="single" w:sz="4" w:space="0" w:color="auto"/>
              <w:left w:val="single" w:sz="4" w:space="0" w:color="auto"/>
              <w:bottom w:val="single" w:sz="4" w:space="0" w:color="auto"/>
              <w:right w:val="single" w:sz="4" w:space="0" w:color="auto"/>
            </w:tcBorders>
            <w:hideMark/>
          </w:tcPr>
          <w:p w:rsidR="00BF0639" w:rsidRDefault="00AB12B3">
            <w:pPr>
              <w:jc w:val="both"/>
              <w:rPr>
                <w:rFonts w:ascii="Times New Roman" w:hAnsi="Times New Roman"/>
                <w:szCs w:val="24"/>
                <w:lang w:val="kk-KZ"/>
              </w:rPr>
            </w:pPr>
            <w:r>
              <w:rPr>
                <w:rFonts w:ascii="Times New Roman" w:hAnsi="Times New Roman"/>
                <w:szCs w:val="24"/>
              </w:rPr>
              <w:t>Примечание * - χ</w:t>
            </w:r>
            <w:r>
              <w:rPr>
                <w:rFonts w:ascii="Times New Roman" w:hAnsi="Times New Roman"/>
                <w:szCs w:val="24"/>
                <w:vertAlign w:val="superscript"/>
              </w:rPr>
              <w:t>2</w:t>
            </w:r>
            <w:r>
              <w:rPr>
                <w:rFonts w:ascii="Times New Roman" w:hAnsi="Times New Roman"/>
                <w:szCs w:val="24"/>
              </w:rPr>
              <w:t xml:space="preserve"> – хи квадрат Пирсона; </w:t>
            </w:r>
          </w:p>
          <w:p w:rsidR="00AB12B3" w:rsidRDefault="00AB12B3">
            <w:pPr>
              <w:jc w:val="both"/>
              <w:rPr>
                <w:rFonts w:ascii="Times New Roman" w:hAnsi="Times New Roman"/>
                <w:sz w:val="20"/>
                <w:szCs w:val="20"/>
              </w:rPr>
            </w:pPr>
            <w:r>
              <w:rPr>
                <w:rFonts w:ascii="Times New Roman" w:hAnsi="Times New Roman"/>
                <w:szCs w:val="24"/>
              </w:rPr>
              <w:t>ОШ (ДИ) – Отношение шансов (Доверительный интервал)</w:t>
            </w:r>
          </w:p>
        </w:tc>
      </w:tr>
    </w:tbl>
    <w:p w:rsidR="00AB12B3" w:rsidRDefault="00AB12B3" w:rsidP="00AB12B3">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У </w:t>
      </w:r>
      <w:r w:rsidR="00082F3C">
        <w:rPr>
          <w:rFonts w:ascii="Times New Roman" w:hAnsi="Times New Roman" w:cs="Times New Roman"/>
          <w:sz w:val="28"/>
          <w:szCs w:val="28"/>
        </w:rPr>
        <w:t>участнико</w:t>
      </w:r>
      <w:r>
        <w:rPr>
          <w:rFonts w:ascii="Times New Roman" w:hAnsi="Times New Roman" w:cs="Times New Roman"/>
          <w:sz w:val="28"/>
          <w:szCs w:val="28"/>
        </w:rPr>
        <w:t xml:space="preserve">в с гипергликемией </w:t>
      </w:r>
      <w:r w:rsidR="00082F3C">
        <w:rPr>
          <w:rFonts w:ascii="Times New Roman" w:hAnsi="Times New Roman" w:cs="Times New Roman"/>
          <w:sz w:val="28"/>
          <w:szCs w:val="28"/>
        </w:rPr>
        <w:t xml:space="preserve">в </w:t>
      </w:r>
      <w:r>
        <w:rPr>
          <w:rFonts w:ascii="Times New Roman" w:hAnsi="Times New Roman" w:cs="Times New Roman"/>
          <w:sz w:val="28"/>
          <w:szCs w:val="28"/>
        </w:rPr>
        <w:t xml:space="preserve">1,51 раз чаще </w:t>
      </w:r>
      <w:r w:rsidR="00082F3C">
        <w:rPr>
          <w:rFonts w:ascii="Times New Roman" w:hAnsi="Times New Roman" w:cs="Times New Roman"/>
          <w:sz w:val="28"/>
          <w:szCs w:val="28"/>
        </w:rPr>
        <w:t>детектировалась</w:t>
      </w:r>
      <w:r>
        <w:rPr>
          <w:rFonts w:ascii="Times New Roman" w:hAnsi="Times New Roman" w:cs="Times New Roman"/>
          <w:sz w:val="28"/>
          <w:szCs w:val="28"/>
        </w:rPr>
        <w:t xml:space="preserve"> гипертриглицеридемия (таблица 15). Шанс развития гипертриглицеридемии при гиперинсулинемии и высоком </w:t>
      </w:r>
      <w:r w:rsidR="00B74664">
        <w:rPr>
          <w:rFonts w:ascii="Times New Roman" w:hAnsi="Times New Roman" w:cs="Times New Roman"/>
          <w:sz w:val="28"/>
          <w:szCs w:val="28"/>
          <w:lang w:val="kk-KZ"/>
        </w:rPr>
        <w:t>значении</w:t>
      </w:r>
      <w:r>
        <w:rPr>
          <w:rFonts w:ascii="Times New Roman" w:hAnsi="Times New Roman" w:cs="Times New Roman"/>
          <w:sz w:val="28"/>
          <w:szCs w:val="28"/>
        </w:rPr>
        <w:t xml:space="preserve"> </w:t>
      </w:r>
      <w:r>
        <w:rPr>
          <w:rFonts w:ascii="Times New Roman" w:hAnsi="Times New Roman"/>
          <w:sz w:val="28"/>
          <w:szCs w:val="28"/>
        </w:rPr>
        <w:t>HOMA-IR</w:t>
      </w:r>
      <w:r w:rsidR="00390F34">
        <w:rPr>
          <w:rFonts w:ascii="Times New Roman" w:hAnsi="Times New Roman" w:cs="Times New Roman"/>
          <w:sz w:val="28"/>
          <w:szCs w:val="28"/>
        </w:rPr>
        <w:t xml:space="preserve"> повышался</w:t>
      </w:r>
      <w:r>
        <w:rPr>
          <w:rFonts w:ascii="Times New Roman" w:hAnsi="Times New Roman" w:cs="Times New Roman"/>
          <w:sz w:val="28"/>
          <w:szCs w:val="28"/>
        </w:rPr>
        <w:t xml:space="preserve"> </w:t>
      </w:r>
      <w:r w:rsidR="00082F3C">
        <w:rPr>
          <w:rFonts w:ascii="Times New Roman" w:hAnsi="Times New Roman" w:cs="Times New Roman"/>
          <w:sz w:val="28"/>
          <w:szCs w:val="28"/>
        </w:rPr>
        <w:t xml:space="preserve">в </w:t>
      </w:r>
      <w:r>
        <w:rPr>
          <w:rFonts w:ascii="Times New Roman" w:hAnsi="Times New Roman" w:cs="Times New Roman"/>
          <w:sz w:val="28"/>
          <w:szCs w:val="28"/>
        </w:rPr>
        <w:t xml:space="preserve">3,33 и </w:t>
      </w:r>
      <w:r w:rsidR="00082F3C">
        <w:rPr>
          <w:rFonts w:ascii="Times New Roman" w:hAnsi="Times New Roman" w:cs="Times New Roman"/>
          <w:sz w:val="28"/>
          <w:szCs w:val="28"/>
        </w:rPr>
        <w:t xml:space="preserve">в </w:t>
      </w:r>
      <w:r>
        <w:rPr>
          <w:rFonts w:ascii="Times New Roman" w:hAnsi="Times New Roman" w:cs="Times New Roman"/>
          <w:sz w:val="28"/>
          <w:szCs w:val="28"/>
        </w:rPr>
        <w:lastRenderedPageBreak/>
        <w:t>2,59 раз, соответственно. Что также согласуется с данными других исследователей. Han</w:t>
      </w:r>
      <w:r w:rsidR="00020904">
        <w:rPr>
          <w:rFonts w:ascii="Times New Roman" w:hAnsi="Times New Roman" w:cs="Times New Roman"/>
          <w:sz w:val="28"/>
          <w:szCs w:val="28"/>
        </w:rPr>
        <w:t xml:space="preserve"> </w:t>
      </w:r>
      <w:r w:rsidR="005B0F31">
        <w:rPr>
          <w:rFonts w:ascii="Times New Roman" w:hAnsi="Times New Roman" w:cs="Times New Roman"/>
          <w:sz w:val="28"/>
          <w:szCs w:val="28"/>
        </w:rPr>
        <w:t xml:space="preserve">T. </w:t>
      </w:r>
      <w:r>
        <w:rPr>
          <w:rFonts w:ascii="Times New Roman" w:hAnsi="Times New Roman" w:cs="Times New Roman"/>
          <w:sz w:val="28"/>
          <w:szCs w:val="28"/>
        </w:rPr>
        <w:t>и соавторы (2016) обнаружили, что уровни ТГ и ЛПВП связаны с начальными проявлениями ИР</w:t>
      </w:r>
      <w:r w:rsidR="00020904">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{"citationItems":[{"id":"ITEM-1","itemData":{"DOI":"10.1186/s12933-016-0469-3","ISBN":"1293301604","ISSN":"14752840","abstract":"Background: Results of longitudinal researches regarding the temporal relationship between dyslipidemia and insulin resistance (IR) are inconsistent. This study assessed temporal relationships of blood lipids with IR and determined whether there are any mediating effects existed in these temporal relationships. Methods: This study examined a longitudinal cohort of 3325 subjects aged 20-74 years from China with an average of 4.2 years follow-up. Measurements of fasting blood lipids, as well as fasting and 2-h serum glucose and insulin, were obtained at two time points. The Gutt index and HOMA-IR were calculated as indicators of peripheral IR and hepatic IR. A cross-lagged path analysis was performed to examine the temporal relationships between blood lipids and IR. A mediation analysis was used to examine mediating effect. Results: After adjusting for covariates, the cross-lagged path coefficients from baseline TG and HDL-C to follow-up Gutt index were significantly greater than those from baseline Gutt index to follow-up TG and HDL-C (β1 = -0.131 vs β2 = -0.047, P &lt; 0.001 for TG; β1 = 0.134 vs β2 = 0.023, P &lt; 0.001 for HDL-C). The path coefficients from baseline TG and HDL-C to follow-up 2-h insulin were significantly greater than those from baseline 2-h insulin to follow-up TG and HDL-C (β1 = 0.125 vs β2 = 0.040, P &lt; 0.001 for TG; β1 = -0.112 vs β2 = -0.026, P &lt; 0.001 for HDL-C). 2-h insulin partially mediated the effect of TG/HDL-C on Gutt index with a 59.3% mediating effect for TG and 61.0% for HDL-C. Conclusions: These findings provide strong evidence that dyslipidemia probably precede peripheral IR and that 2-h insulin partially mediates this unidirectional temporal relationship.","author":[{"dropping-particle":"","family":"Han","given":"Tianshu","non-dropping-particle":"","parse-names":false,"suffix":""},{"dropping-particle":"","family":"Cheng","given":"Yu","non-dropping-particle":"","parse-names":false,"suffix":""},{"dropping-particle":"","family":"Tian","given":"Shuang","non-dropping-particle":"","parse-names":false,"suffix":""},{"dropping-particle":"","family":"Wang","given":"Li","non-dropping-particle":"","parse-names":false,"suffix":""},{"dropping-particle":"","family":"Liang","given":"Xi","non-dropping-particle":"","parse-names":false,"suffix":""},{"dropping-particle":"","family":"Duan","given":"Wei","non-dropping-particle":"","parse-names":false,"suffix":""},{"dropping-particle":"","family":"Na","given":"Lixin","non-dropping-particle":"","parse-names":false,"suffix":""},{"dropping-particle":"","family":"Sun","given":"Changhao","non-dropping-particle":"","parse-names":false,"suffix":""}],"container-title":"Cardiovascular Diabetology","id":"ITEM-1","issue":"1","issued":{"date-parts":[["2016"]]},"page":"1-11","publisher":"BioMed Central","title":"Changes in triglycerides and high-density lipoprotein cholesterol may precede peripheral insulin resistance, with 2-h insulin partially mediating this unidirectional relationship: A prospective cohort study","type":"article-journal","volume":"15"},"uris":["http://www.mendeley.com/documents/?uuid=f440e296-df26-47ca-99b0-95e7a37625d9"]}],"mendeley":{"formattedCitation":"[164]","plainTextFormattedCitation":"[164]","previouslyFormattedCitation":"[164]"},"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[164]</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Они утверждают, что своевременное лечение дислипидемии может быть профилактикой ИР. </w:t>
      </w:r>
    </w:p>
    <w:p w:rsidR="00AB12B3" w:rsidRDefault="00AB12B3" w:rsidP="00AB12B3">
      <w:pPr>
        <w:spacing w:after="0" w:line="240" w:lineRule="auto"/>
        <w:ind w:firstLine="708"/>
        <w:jc w:val="both"/>
        <w:rPr>
          <w:rFonts w:ascii="Times New Roman" w:hAnsi="Times New Roman" w:cs="Times New Roman"/>
          <w:i/>
          <w:sz w:val="28"/>
          <w:szCs w:val="28"/>
        </w:rPr>
      </w:pPr>
    </w:p>
    <w:p w:rsidR="0013454D" w:rsidRDefault="00AB12B3" w:rsidP="00AB12B3">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Л</w:t>
      </w:r>
      <w:r w:rsidR="0013454D">
        <w:rPr>
          <w:rFonts w:ascii="Times New Roman" w:hAnsi="Times New Roman" w:cs="Times New Roman"/>
          <w:i/>
          <w:sz w:val="28"/>
          <w:szCs w:val="28"/>
        </w:rPr>
        <w:t>ипопротеины низкой плотности</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Средние показатели факторов риска в нашем исследовании не отличались в группах ЛПНП (таблица 16).</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sz w:val="28"/>
          <w:szCs w:val="28"/>
          <w:lang w:val="kk-KZ"/>
        </w:rPr>
      </w:pPr>
      <w:r>
        <w:rPr>
          <w:rFonts w:ascii="Times New Roman" w:hAnsi="Times New Roman" w:cs="Times New Roman"/>
          <w:sz w:val="28"/>
          <w:szCs w:val="28"/>
        </w:rPr>
        <w:t>Таблица 16</w:t>
      </w:r>
      <w:r w:rsidR="00162472">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средних величин факторов рисков по группам ЛПНП </w:t>
      </w:r>
      <w:r w:rsidR="00DA472A">
        <w:rPr>
          <w:rFonts w:ascii="Times New Roman" w:hAnsi="Times New Roman" w:cs="Times New Roman"/>
          <w:sz w:val="28"/>
          <w:szCs w:val="28"/>
        </w:rPr>
        <w:t>(</w:t>
      </w:r>
      <w:r>
        <w:rPr>
          <w:rFonts w:ascii="Times New Roman" w:hAnsi="Times New Roman"/>
          <w:sz w:val="28"/>
          <w:szCs w:val="28"/>
        </w:rPr>
        <w:t>n=580</w:t>
      </w:r>
      <w:r w:rsidR="00DA472A">
        <w:rPr>
          <w:rFonts w:ascii="Times New Roman" w:hAnsi="Times New Roman"/>
          <w:sz w:val="28"/>
          <w:szCs w:val="28"/>
        </w:rPr>
        <w:t>)</w:t>
      </w:r>
    </w:p>
    <w:p w:rsidR="00E83EC5" w:rsidRPr="00E83EC5" w:rsidRDefault="00E83EC5" w:rsidP="00AB12B3">
      <w:pPr>
        <w:spacing w:after="0" w:line="240" w:lineRule="auto"/>
        <w:jc w:val="both"/>
        <w:rPr>
          <w:rFonts w:ascii="Times New Roman" w:hAnsi="Times New Roman" w:cs="Times New Roman"/>
          <w:sz w:val="28"/>
          <w:szCs w:val="28"/>
          <w:lang w:val="kk-KZ"/>
        </w:rPr>
      </w:pPr>
    </w:p>
    <w:tbl>
      <w:tblPr>
        <w:tblStyle w:val="af7"/>
        <w:tblW w:w="9360" w:type="dxa"/>
        <w:tblInd w:w="108" w:type="dxa"/>
        <w:tblLayout w:type="fixed"/>
        <w:tblLook w:val="04A0" w:firstRow="1" w:lastRow="0" w:firstColumn="1" w:lastColumn="0" w:noHBand="0" w:noVBand="1"/>
      </w:tblPr>
      <w:tblGrid>
        <w:gridCol w:w="3121"/>
        <w:gridCol w:w="2694"/>
        <w:gridCol w:w="2553"/>
        <w:gridCol w:w="992"/>
      </w:tblGrid>
      <w:tr w:rsidR="00AB12B3" w:rsidTr="00EF3CBF">
        <w:trPr>
          <w:trHeight w:val="377"/>
        </w:trPr>
        <w:tc>
          <w:tcPr>
            <w:tcW w:w="3121"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5247"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ЛПНП, ммоль/л </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EF3CBF">
        <w:trPr>
          <w:trHeight w:val="379"/>
        </w:trPr>
        <w:tc>
          <w:tcPr>
            <w:tcW w:w="312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69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≤3,0 </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2553"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&gt;3,0</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EF3CBF">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Возраст</w:t>
            </w:r>
            <w:r w:rsidRPr="006179C7">
              <w:rPr>
                <w:rFonts w:ascii="Century" w:hAnsi="Century"/>
                <w:sz w:val="28"/>
                <w:szCs w:val="28"/>
              </w:rPr>
              <w:t>,</w:t>
            </w:r>
            <w:r>
              <w:rPr>
                <w:rFonts w:ascii="Times New Roman" w:hAnsi="Times New Roman"/>
                <w:sz w:val="28"/>
                <w:szCs w:val="28"/>
              </w:rPr>
              <w:t xml:space="preserve"> лет</w:t>
            </w:r>
          </w:p>
        </w:tc>
        <w:tc>
          <w:tcPr>
            <w:tcW w:w="2694"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46</w:t>
            </w:r>
            <w:r w:rsidRPr="006179C7">
              <w:rPr>
                <w:rFonts w:ascii="Century" w:hAnsi="Century"/>
                <w:sz w:val="28"/>
                <w:szCs w:val="28"/>
              </w:rPr>
              <w:t>±</w:t>
            </w:r>
            <w:r>
              <w:rPr>
                <w:rFonts w:ascii="Times New Roman" w:hAnsi="Times New Roman"/>
                <w:sz w:val="28"/>
                <w:szCs w:val="28"/>
              </w:rPr>
              <w:t>17 (38</w:t>
            </w:r>
            <w:r w:rsidRPr="006179C7">
              <w:rPr>
                <w:rFonts w:ascii="Century" w:hAnsi="Century"/>
                <w:sz w:val="28"/>
                <w:szCs w:val="28"/>
              </w:rPr>
              <w:t>-</w:t>
            </w:r>
            <w:r>
              <w:rPr>
                <w:rFonts w:ascii="Times New Roman" w:hAnsi="Times New Roman"/>
                <w:sz w:val="28"/>
                <w:szCs w:val="28"/>
              </w:rPr>
              <w:t>55)</w:t>
            </w:r>
          </w:p>
        </w:tc>
        <w:tc>
          <w:tcPr>
            <w:tcW w:w="2553"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46</w:t>
            </w:r>
            <w:r w:rsidRPr="006179C7">
              <w:rPr>
                <w:rFonts w:ascii="Century" w:hAnsi="Century"/>
                <w:sz w:val="28"/>
                <w:szCs w:val="28"/>
              </w:rPr>
              <w:t>±</w:t>
            </w:r>
            <w:r>
              <w:rPr>
                <w:rFonts w:ascii="Times New Roman" w:hAnsi="Times New Roman"/>
                <w:sz w:val="28"/>
                <w:szCs w:val="28"/>
              </w:rPr>
              <w:t>18 (37</w:t>
            </w:r>
            <w:r w:rsidRPr="006179C7">
              <w:rPr>
                <w:rFonts w:ascii="Century" w:hAnsi="Century"/>
                <w:sz w:val="28"/>
                <w:szCs w:val="28"/>
              </w:rPr>
              <w:t>-</w:t>
            </w:r>
            <w:r>
              <w:rPr>
                <w:rFonts w:ascii="Times New Roman" w:hAnsi="Times New Roman"/>
                <w:sz w:val="28"/>
                <w:szCs w:val="28"/>
              </w:rPr>
              <w:t>55)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6179C7">
              <w:rPr>
                <w:rFonts w:ascii="Century" w:hAnsi="Century"/>
                <w:sz w:val="28"/>
                <w:szCs w:val="28"/>
              </w:rPr>
              <w:t>,</w:t>
            </w:r>
            <w:r>
              <w:rPr>
                <w:rFonts w:ascii="Times New Roman" w:hAnsi="Times New Roman"/>
                <w:sz w:val="28"/>
                <w:szCs w:val="28"/>
              </w:rPr>
              <w:t>73</w:t>
            </w:r>
          </w:p>
        </w:tc>
      </w:tr>
      <w:tr w:rsidR="00486DA3" w:rsidTr="003F0171">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486DA3" w:rsidRDefault="00486DA3" w:rsidP="003F0171">
            <w:pPr>
              <w:jc w:val="center"/>
              <w:rPr>
                <w:rFonts w:ascii="Times New Roman" w:hAnsi="Times New Roman"/>
                <w:sz w:val="28"/>
                <w:szCs w:val="28"/>
              </w:rPr>
            </w:pPr>
            <w:r>
              <w:rPr>
                <w:rFonts w:ascii="Times New Roman" w:hAnsi="Times New Roman"/>
                <w:sz w:val="28"/>
                <w:szCs w:val="28"/>
              </w:rPr>
              <w:t>Окружность талии (см)</w:t>
            </w:r>
          </w:p>
        </w:tc>
        <w:tc>
          <w:tcPr>
            <w:tcW w:w="2694" w:type="dxa"/>
            <w:tcBorders>
              <w:top w:val="nil"/>
              <w:left w:val="single" w:sz="4" w:space="0" w:color="auto"/>
              <w:bottom w:val="single" w:sz="4" w:space="0" w:color="auto"/>
              <w:right w:val="single" w:sz="4" w:space="0" w:color="auto"/>
            </w:tcBorders>
            <w:hideMark/>
          </w:tcPr>
          <w:p w:rsidR="00486DA3" w:rsidRDefault="00486DA3" w:rsidP="003F0171">
            <w:pPr>
              <w:jc w:val="center"/>
            </w:pPr>
            <w:r>
              <w:rPr>
                <w:rFonts w:ascii="Times New Roman" w:hAnsi="Times New Roman"/>
                <w:sz w:val="28"/>
                <w:szCs w:val="28"/>
              </w:rPr>
              <w:t>96</w:t>
            </w:r>
            <w:r w:rsidRPr="006179C7">
              <w:rPr>
                <w:rFonts w:ascii="Century" w:hAnsi="Century"/>
                <w:sz w:val="28"/>
                <w:szCs w:val="28"/>
              </w:rPr>
              <w:t>±</w:t>
            </w:r>
            <w:r>
              <w:rPr>
                <w:rFonts w:ascii="Times New Roman" w:hAnsi="Times New Roman"/>
                <w:sz w:val="28"/>
                <w:szCs w:val="28"/>
              </w:rPr>
              <w:t>15 (90</w:t>
            </w:r>
            <w:r w:rsidRPr="006179C7">
              <w:rPr>
                <w:rFonts w:ascii="Century" w:hAnsi="Century"/>
                <w:sz w:val="28"/>
                <w:szCs w:val="28"/>
              </w:rPr>
              <w:t>-</w:t>
            </w:r>
            <w:r>
              <w:rPr>
                <w:rFonts w:ascii="Times New Roman" w:hAnsi="Times New Roman"/>
                <w:sz w:val="28"/>
                <w:szCs w:val="28"/>
              </w:rPr>
              <w:t>105)</w:t>
            </w:r>
          </w:p>
        </w:tc>
        <w:tc>
          <w:tcPr>
            <w:tcW w:w="2553" w:type="dxa"/>
            <w:tcBorders>
              <w:top w:val="nil"/>
              <w:left w:val="single" w:sz="4" w:space="0" w:color="auto"/>
              <w:bottom w:val="single" w:sz="4" w:space="0" w:color="auto"/>
              <w:right w:val="single" w:sz="4" w:space="0" w:color="auto"/>
            </w:tcBorders>
            <w:hideMark/>
          </w:tcPr>
          <w:p w:rsidR="00486DA3" w:rsidRDefault="00486DA3" w:rsidP="003F0171">
            <w:pPr>
              <w:jc w:val="center"/>
            </w:pPr>
            <w:r>
              <w:rPr>
                <w:rFonts w:ascii="Times New Roman" w:hAnsi="Times New Roman"/>
                <w:sz w:val="28"/>
                <w:szCs w:val="28"/>
              </w:rPr>
              <w:t>96</w:t>
            </w:r>
            <w:r w:rsidRPr="006179C7">
              <w:rPr>
                <w:rFonts w:ascii="Century" w:hAnsi="Century"/>
                <w:sz w:val="28"/>
                <w:szCs w:val="28"/>
              </w:rPr>
              <w:t>±</w:t>
            </w:r>
            <w:r>
              <w:rPr>
                <w:rFonts w:ascii="Times New Roman" w:hAnsi="Times New Roman"/>
                <w:sz w:val="28"/>
                <w:szCs w:val="28"/>
              </w:rPr>
              <w:t>18 (90</w:t>
            </w:r>
            <w:r w:rsidRPr="006179C7">
              <w:rPr>
                <w:rFonts w:ascii="Century" w:hAnsi="Century"/>
                <w:sz w:val="28"/>
                <w:szCs w:val="28"/>
              </w:rPr>
              <w:t>-</w:t>
            </w:r>
            <w:r>
              <w:rPr>
                <w:rFonts w:ascii="Times New Roman" w:hAnsi="Times New Roman"/>
                <w:sz w:val="28"/>
                <w:szCs w:val="28"/>
              </w:rPr>
              <w:t>108)</w:t>
            </w:r>
          </w:p>
        </w:tc>
        <w:tc>
          <w:tcPr>
            <w:tcW w:w="992" w:type="dxa"/>
            <w:tcBorders>
              <w:top w:val="single" w:sz="4" w:space="0" w:color="auto"/>
              <w:left w:val="single" w:sz="4" w:space="0" w:color="auto"/>
              <w:bottom w:val="single" w:sz="4" w:space="0" w:color="auto"/>
              <w:right w:val="single" w:sz="4" w:space="0" w:color="auto"/>
            </w:tcBorders>
            <w:hideMark/>
          </w:tcPr>
          <w:p w:rsidR="00486DA3" w:rsidRDefault="00486DA3" w:rsidP="003F0171">
            <w:pPr>
              <w:jc w:val="center"/>
              <w:rPr>
                <w:rFonts w:ascii="Times New Roman" w:hAnsi="Times New Roman"/>
                <w:sz w:val="28"/>
                <w:szCs w:val="28"/>
              </w:rPr>
            </w:pPr>
            <w:r>
              <w:rPr>
                <w:rFonts w:ascii="Times New Roman" w:hAnsi="Times New Roman"/>
                <w:sz w:val="28"/>
                <w:szCs w:val="28"/>
              </w:rPr>
              <w:t>0</w:t>
            </w:r>
            <w:r w:rsidRPr="006179C7">
              <w:rPr>
                <w:rFonts w:ascii="Century" w:hAnsi="Century"/>
                <w:sz w:val="28"/>
                <w:szCs w:val="28"/>
              </w:rPr>
              <w:t>,</w:t>
            </w:r>
            <w:r>
              <w:rPr>
                <w:rFonts w:ascii="Times New Roman" w:hAnsi="Times New Roman"/>
                <w:sz w:val="28"/>
                <w:szCs w:val="28"/>
              </w:rPr>
              <w:t>54</w:t>
            </w:r>
          </w:p>
        </w:tc>
      </w:tr>
      <w:tr w:rsidR="00AB12B3" w:rsidTr="00EF3CBF">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ИМТ (кг</w:t>
            </w:r>
            <w:r w:rsidRPr="006179C7">
              <w:rPr>
                <w:rFonts w:ascii="Century" w:hAnsi="Century"/>
                <w:sz w:val="28"/>
                <w:szCs w:val="28"/>
              </w:rPr>
              <w:t>/</w:t>
            </w:r>
            <w:r>
              <w:rPr>
                <w:rFonts w:ascii="Times New Roman" w:hAnsi="Times New Roman"/>
                <w:sz w:val="28"/>
                <w:szCs w:val="28"/>
              </w:rPr>
              <w:t>м</w:t>
            </w:r>
            <w:r>
              <w:rPr>
                <w:rFonts w:ascii="Times New Roman" w:hAnsi="Times New Roman"/>
                <w:sz w:val="28"/>
                <w:szCs w:val="28"/>
                <w:vertAlign w:val="superscript"/>
              </w:rPr>
              <w:t>2</w:t>
            </w:r>
            <w:r>
              <w:rPr>
                <w:rFonts w:ascii="Times New Roman" w:hAnsi="Times New Roman"/>
                <w:sz w:val="28"/>
                <w:szCs w:val="28"/>
              </w:rPr>
              <w:t>)</w:t>
            </w:r>
          </w:p>
        </w:tc>
        <w:tc>
          <w:tcPr>
            <w:tcW w:w="2694"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26</w:t>
            </w:r>
            <w:r w:rsidRPr="006179C7">
              <w:rPr>
                <w:rFonts w:ascii="Century" w:hAnsi="Century"/>
                <w:sz w:val="28"/>
                <w:szCs w:val="28"/>
              </w:rPr>
              <w:t>,</w:t>
            </w:r>
            <w:r>
              <w:rPr>
                <w:rFonts w:ascii="Times New Roman" w:hAnsi="Times New Roman"/>
                <w:sz w:val="28"/>
                <w:szCs w:val="28"/>
              </w:rPr>
              <w:t>1</w:t>
            </w:r>
            <w:r w:rsidRPr="006179C7">
              <w:rPr>
                <w:rFonts w:ascii="Century" w:hAnsi="Century"/>
                <w:sz w:val="28"/>
                <w:szCs w:val="28"/>
              </w:rPr>
              <w:t>±</w:t>
            </w:r>
            <w:r>
              <w:rPr>
                <w:rFonts w:ascii="Times New Roman" w:hAnsi="Times New Roman"/>
                <w:sz w:val="28"/>
                <w:szCs w:val="28"/>
              </w:rPr>
              <w:t>5</w:t>
            </w:r>
            <w:r w:rsidRPr="006179C7">
              <w:rPr>
                <w:rFonts w:ascii="Century" w:hAnsi="Century"/>
                <w:sz w:val="28"/>
                <w:szCs w:val="28"/>
              </w:rPr>
              <w:t>,</w:t>
            </w:r>
            <w:r>
              <w:rPr>
                <w:rFonts w:ascii="Times New Roman" w:hAnsi="Times New Roman"/>
                <w:sz w:val="28"/>
                <w:szCs w:val="28"/>
              </w:rPr>
              <w:t xml:space="preserve">87 </w:t>
            </w:r>
          </w:p>
          <w:p w:rsidR="00AB12B3" w:rsidRDefault="00AB12B3">
            <w:pPr>
              <w:jc w:val="center"/>
            </w:pPr>
            <w:r>
              <w:rPr>
                <w:rFonts w:ascii="Times New Roman" w:hAnsi="Times New Roman"/>
                <w:sz w:val="28"/>
                <w:szCs w:val="28"/>
              </w:rPr>
              <w:t>(23</w:t>
            </w:r>
            <w:r w:rsidRPr="006179C7">
              <w:rPr>
                <w:rFonts w:ascii="Century" w:hAnsi="Century"/>
                <w:sz w:val="28"/>
                <w:szCs w:val="28"/>
              </w:rPr>
              <w:t>,</w:t>
            </w:r>
            <w:r>
              <w:rPr>
                <w:rFonts w:ascii="Times New Roman" w:hAnsi="Times New Roman"/>
                <w:sz w:val="28"/>
                <w:szCs w:val="28"/>
              </w:rPr>
              <w:t>14</w:t>
            </w:r>
            <w:r w:rsidRPr="006179C7">
              <w:rPr>
                <w:rFonts w:ascii="Century" w:hAnsi="Century"/>
                <w:sz w:val="28"/>
                <w:szCs w:val="28"/>
              </w:rPr>
              <w:t>-</w:t>
            </w:r>
            <w:r>
              <w:rPr>
                <w:rFonts w:ascii="Times New Roman" w:hAnsi="Times New Roman"/>
                <w:sz w:val="28"/>
                <w:szCs w:val="28"/>
              </w:rPr>
              <w:t>29</w:t>
            </w:r>
            <w:r w:rsidRPr="006179C7">
              <w:rPr>
                <w:rFonts w:ascii="Century" w:hAnsi="Century"/>
                <w:sz w:val="28"/>
                <w:szCs w:val="28"/>
              </w:rPr>
              <w:t>,</w:t>
            </w:r>
            <w:r>
              <w:rPr>
                <w:rFonts w:ascii="Times New Roman" w:hAnsi="Times New Roman"/>
                <w:sz w:val="28"/>
                <w:szCs w:val="28"/>
              </w:rPr>
              <w:t>01)</w:t>
            </w:r>
          </w:p>
        </w:tc>
        <w:tc>
          <w:tcPr>
            <w:tcW w:w="2553"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26</w:t>
            </w:r>
            <w:r w:rsidRPr="006179C7">
              <w:rPr>
                <w:rFonts w:ascii="Century" w:hAnsi="Century"/>
                <w:sz w:val="28"/>
                <w:szCs w:val="28"/>
              </w:rPr>
              <w:t>,</w:t>
            </w:r>
            <w:r>
              <w:rPr>
                <w:rFonts w:ascii="Times New Roman" w:hAnsi="Times New Roman"/>
                <w:sz w:val="28"/>
                <w:szCs w:val="28"/>
              </w:rPr>
              <w:t>14</w:t>
            </w:r>
            <w:r w:rsidRPr="006179C7">
              <w:rPr>
                <w:rFonts w:ascii="Century" w:hAnsi="Century"/>
                <w:sz w:val="28"/>
                <w:szCs w:val="28"/>
              </w:rPr>
              <w:t>±</w:t>
            </w:r>
            <w:r>
              <w:rPr>
                <w:rFonts w:ascii="Times New Roman" w:hAnsi="Times New Roman"/>
                <w:sz w:val="28"/>
                <w:szCs w:val="28"/>
              </w:rPr>
              <w:t>4</w:t>
            </w:r>
            <w:r w:rsidRPr="006179C7">
              <w:rPr>
                <w:rFonts w:ascii="Century" w:hAnsi="Century"/>
                <w:sz w:val="28"/>
                <w:szCs w:val="28"/>
              </w:rPr>
              <w:t>,</w:t>
            </w:r>
            <w:r>
              <w:rPr>
                <w:rFonts w:ascii="Times New Roman" w:hAnsi="Times New Roman"/>
                <w:sz w:val="28"/>
                <w:szCs w:val="28"/>
              </w:rPr>
              <w:t xml:space="preserve">54 </w:t>
            </w:r>
          </w:p>
          <w:p w:rsidR="00AB12B3" w:rsidRDefault="00AB12B3">
            <w:pPr>
              <w:jc w:val="center"/>
            </w:pPr>
            <w:r>
              <w:rPr>
                <w:rFonts w:ascii="Times New Roman" w:hAnsi="Times New Roman"/>
                <w:sz w:val="28"/>
                <w:szCs w:val="28"/>
              </w:rPr>
              <w:t>(24</w:t>
            </w:r>
            <w:r w:rsidRPr="006179C7">
              <w:rPr>
                <w:rFonts w:ascii="Century" w:hAnsi="Century"/>
                <w:sz w:val="28"/>
                <w:szCs w:val="28"/>
              </w:rPr>
              <w:t>,</w:t>
            </w:r>
            <w:r>
              <w:rPr>
                <w:rFonts w:ascii="Times New Roman" w:hAnsi="Times New Roman"/>
                <w:sz w:val="28"/>
                <w:szCs w:val="28"/>
              </w:rPr>
              <w:t>22</w:t>
            </w:r>
            <w:r w:rsidRPr="006179C7">
              <w:rPr>
                <w:rFonts w:ascii="Century" w:hAnsi="Century"/>
                <w:sz w:val="28"/>
                <w:szCs w:val="28"/>
              </w:rPr>
              <w:t>-</w:t>
            </w:r>
            <w:r>
              <w:rPr>
                <w:rFonts w:ascii="Times New Roman" w:hAnsi="Times New Roman"/>
                <w:sz w:val="28"/>
                <w:szCs w:val="28"/>
              </w:rPr>
              <w:t>28</w:t>
            </w:r>
            <w:r w:rsidRPr="006179C7">
              <w:rPr>
                <w:rFonts w:ascii="Century" w:hAnsi="Century"/>
                <w:sz w:val="28"/>
                <w:szCs w:val="28"/>
              </w:rPr>
              <w:t>,</w:t>
            </w:r>
            <w:r>
              <w:rPr>
                <w:rFonts w:ascii="Times New Roman" w:hAnsi="Times New Roman"/>
                <w:sz w:val="28"/>
                <w:szCs w:val="28"/>
              </w:rPr>
              <w:t>76)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6179C7">
              <w:rPr>
                <w:rFonts w:ascii="Century" w:hAnsi="Century"/>
                <w:sz w:val="28"/>
                <w:szCs w:val="28"/>
              </w:rPr>
              <w:t>,</w:t>
            </w:r>
            <w:r>
              <w:rPr>
                <w:rFonts w:ascii="Times New Roman" w:hAnsi="Times New Roman"/>
                <w:sz w:val="28"/>
                <w:szCs w:val="28"/>
              </w:rPr>
              <w:t>47</w:t>
            </w:r>
          </w:p>
        </w:tc>
      </w:tr>
      <w:tr w:rsidR="00AB12B3" w:rsidTr="00EF3CBF">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САД (мм рт</w:t>
            </w:r>
            <w:r w:rsidRPr="006179C7">
              <w:rPr>
                <w:rFonts w:ascii="Century" w:hAnsi="Century"/>
                <w:sz w:val="28"/>
                <w:szCs w:val="28"/>
              </w:rPr>
              <w:t>.</w:t>
            </w:r>
            <w:r>
              <w:rPr>
                <w:rFonts w:ascii="Times New Roman" w:hAnsi="Times New Roman"/>
                <w:sz w:val="28"/>
                <w:szCs w:val="28"/>
              </w:rPr>
              <w:t>ст</w:t>
            </w:r>
            <w:r w:rsidRPr="006179C7">
              <w:rPr>
                <w:rFonts w:ascii="Century" w:hAnsi="Century"/>
                <w:sz w:val="28"/>
                <w:szCs w:val="28"/>
              </w:rPr>
              <w:t>.</w:t>
            </w:r>
            <w:r>
              <w:rPr>
                <w:rFonts w:ascii="Times New Roman" w:hAnsi="Times New Roman"/>
                <w:sz w:val="28"/>
                <w:szCs w:val="28"/>
              </w:rPr>
              <w:t>)</w:t>
            </w:r>
          </w:p>
        </w:tc>
        <w:tc>
          <w:tcPr>
            <w:tcW w:w="269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120</w:t>
            </w:r>
            <w:r w:rsidRPr="00FE0B57">
              <w:rPr>
                <w:rFonts w:ascii="Century" w:hAnsi="Century"/>
                <w:sz w:val="28"/>
                <w:szCs w:val="28"/>
              </w:rPr>
              <w:t>±</w:t>
            </w:r>
            <w:r>
              <w:rPr>
                <w:rFonts w:ascii="Times New Roman" w:hAnsi="Times New Roman"/>
                <w:sz w:val="28"/>
                <w:szCs w:val="28"/>
              </w:rPr>
              <w:t>20 (110-130)</w:t>
            </w:r>
          </w:p>
        </w:tc>
        <w:tc>
          <w:tcPr>
            <w:tcW w:w="2553"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120</w:t>
            </w:r>
            <w:r w:rsidRPr="00FE0B57">
              <w:rPr>
                <w:rFonts w:ascii="Century" w:hAnsi="Century"/>
                <w:sz w:val="28"/>
                <w:szCs w:val="28"/>
              </w:rPr>
              <w:t>±</w:t>
            </w:r>
            <w:r>
              <w:rPr>
                <w:rFonts w:ascii="Times New Roman" w:hAnsi="Times New Roman"/>
                <w:sz w:val="28"/>
                <w:szCs w:val="28"/>
              </w:rPr>
              <w:t>20 (110-130)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0,81</w:t>
            </w:r>
          </w:p>
        </w:tc>
      </w:tr>
      <w:tr w:rsidR="00AB12B3" w:rsidTr="00EF3CBF">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ДАД (мм рт</w:t>
            </w:r>
            <w:r w:rsidRPr="006179C7">
              <w:rPr>
                <w:rFonts w:ascii="Century" w:hAnsi="Century"/>
                <w:sz w:val="28"/>
                <w:szCs w:val="28"/>
              </w:rPr>
              <w:t>.</w:t>
            </w:r>
            <w:r>
              <w:rPr>
                <w:rFonts w:ascii="Times New Roman" w:hAnsi="Times New Roman"/>
                <w:sz w:val="28"/>
                <w:szCs w:val="28"/>
              </w:rPr>
              <w:t>ст</w:t>
            </w:r>
            <w:r w:rsidRPr="006179C7">
              <w:rPr>
                <w:rFonts w:ascii="Century" w:hAnsi="Century"/>
                <w:sz w:val="28"/>
                <w:szCs w:val="28"/>
              </w:rPr>
              <w:t>.</w:t>
            </w:r>
            <w:r>
              <w:rPr>
                <w:rFonts w:ascii="Times New Roman" w:hAnsi="Times New Roman"/>
                <w:sz w:val="28"/>
                <w:szCs w:val="28"/>
              </w:rPr>
              <w:t>)</w:t>
            </w:r>
          </w:p>
        </w:tc>
        <w:tc>
          <w:tcPr>
            <w:tcW w:w="269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80±10 (70-80)</w:t>
            </w:r>
          </w:p>
        </w:tc>
        <w:tc>
          <w:tcPr>
            <w:tcW w:w="2553"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80±20 (70-90)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0,37</w:t>
            </w:r>
          </w:p>
        </w:tc>
      </w:tr>
      <w:tr w:rsidR="00AB12B3" w:rsidTr="00EF3CBF">
        <w:trPr>
          <w:trHeight w:val="442"/>
        </w:trPr>
        <w:tc>
          <w:tcPr>
            <w:tcW w:w="9360" w:type="dxa"/>
            <w:gridSpan w:val="4"/>
            <w:tcBorders>
              <w:top w:val="single" w:sz="4" w:space="0" w:color="auto"/>
              <w:left w:val="single" w:sz="4" w:space="0" w:color="auto"/>
              <w:bottom w:val="single" w:sz="4" w:space="0" w:color="auto"/>
              <w:right w:val="single" w:sz="4" w:space="0" w:color="auto"/>
            </w:tcBorders>
            <w:hideMark/>
          </w:tcPr>
          <w:p w:rsidR="00C708E3" w:rsidRDefault="00C708E3" w:rsidP="00C708E3">
            <w:pPr>
              <w:jc w:val="both"/>
              <w:rPr>
                <w:rFonts w:ascii="Times New Roman" w:hAnsi="Times New Roman"/>
                <w:szCs w:val="24"/>
              </w:rPr>
            </w:pPr>
            <w:r>
              <w:rPr>
                <w:rFonts w:ascii="Times New Roman" w:hAnsi="Times New Roman"/>
                <w:szCs w:val="24"/>
              </w:rPr>
              <w:t xml:space="preserve">Примечание ИМТ – индекс массы тела; САД – систолическое артериальное давление; ДАД – диастолическое артериальное давление; *Критерий Манна-Уитни; </w:t>
            </w:r>
          </w:p>
          <w:p w:rsidR="00AB12B3" w:rsidRDefault="00C708E3" w:rsidP="00C708E3">
            <w:pPr>
              <w:jc w:val="both"/>
              <w:rPr>
                <w:rFonts w:ascii="Times New Roman" w:hAnsi="Times New Roman"/>
                <w:sz w:val="20"/>
                <w:szCs w:val="20"/>
              </w:rPr>
            </w:pPr>
            <w:r>
              <w:rPr>
                <w:rFonts w:ascii="Times New Roman" w:hAnsi="Times New Roman"/>
                <w:szCs w:val="24"/>
              </w:rPr>
              <w:t>Ме±IQR (Q1 – Q3) – Медиана ± межквартильный диапазон (1 квартиль – 3 квартиль);</w:t>
            </w:r>
          </w:p>
        </w:tc>
      </w:tr>
    </w:tbl>
    <w:p w:rsidR="00B324BD" w:rsidRDefault="00B324BD" w:rsidP="00B324BD">
      <w:pPr>
        <w:spacing w:after="0" w:line="240" w:lineRule="auto"/>
        <w:ind w:firstLine="708"/>
        <w:jc w:val="both"/>
        <w:rPr>
          <w:rFonts w:ascii="Times New Roman" w:hAnsi="Times New Roman" w:cs="Times New Roman"/>
          <w:sz w:val="28"/>
          <w:szCs w:val="28"/>
          <w:lang w:val="kk-KZ"/>
        </w:rPr>
      </w:pPr>
    </w:p>
    <w:p w:rsidR="00B324BD" w:rsidRDefault="00B324BD" w:rsidP="00B324B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 изучении ассоциации между группами ЛПНП и факторами риска не было выявлено статистической значимости (таблица 17). Таким образом, в нашем исследовании клинические показатели такие как, возраст, ИМТ, окружность талии, САД и ДАД не влияли на уровень ЛПНП в исследуемой выборке.</w:t>
      </w:r>
    </w:p>
    <w:p w:rsidR="00B324BD" w:rsidRDefault="00B324BD" w:rsidP="00B324B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У участников исследования, которые имели высокие уровни ЛПНП, чаще наблюдалась гиперхолестеринемия по сравнению с лицами, которые имели нормальные показатели ЛПНП (таблица 18). Также высокие уровни апоВ и апоА1 чаще встречались у участников с повышенным уровнем ЛПНП. По остальным биохимическим показателям средние величины по группам ЛПНП были одинаковы (таблица 18).</w:t>
      </w:r>
    </w:p>
    <w:p w:rsidR="00B324BD" w:rsidRDefault="00B324BD" w:rsidP="00B324B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Мы выявили, что при нормальном уровне ЛПНП чаще встречалась гиперинсулинемия, и, наоборот, при высоких показателях ЛПНП – нормальные уровни инсулина (таблица 18). Полученные результаты отличаются от исследования автора Khan S.H. и его соавторов (2018), где изучая связь между уровнем ЛПНП и МС они обнаружили, что уровень ЛПНП ассоциирован с уровнем инсулина и с ИР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{"citationItems":[{"id":"ITEM-1","itemData":{"ISSN":"00309982","abstract":"Objective: To to compare non-high-density lipoprotein and low-density lipoprotein cholesterol among subjects with or without metabolic syndrome, glycation status and nephropathic changes. Methods: The comparative cross-sectional study was carried out from Dec 21, 2015, to Nov 15, 2016, at the department of pathology and medicine PNS HAFEEZ and department of chemical pathology and clinical endocrinology (AFIP), and comprised patients of either gender visiting the out-patient department for routine screening. They were evaluated for anthropometric indices, blood pressure and sampled for lipid profile, fasting plasma glucose, glycated haemoglobin, insulin, and urine albumin-to-creatinine ratio. Subjects were segregated based upon presence (Group1) or absence (Group2) of metabolic syndrome based upon criteria of National Cholesterol Education Programme and the International Diabetes Federation. Differences in high and low density lipoprotein cholesterols were calculated between the groups. Results: Of the 229 subjects, 120(52.4%) were women and 109(47.6%) were men. Overall, there were 107(46.7%) subjects in Group 1, and 122(53.3%) in Group 2. Non-high-density lipoprotein cholesterol was significantly different between subjects with and without metabolic syndrome as per both the study criteria (p&lt;0.05 each). Conclusion: Non-high-density lipoprotein cholesterol levels were higher in subjects with metabolic syndrome.","author":[{"dropping-particle":"","family":"Khan","given":"Sikandar Hayat","non-dropping-particle":"","parse-names":false,"suffix":""},{"dropping-particle":"","family":"Asif","given":"Naveed","non-dropping-particle":"","parse-names":false,"suffix":""},{"dropping-particle":"","family":"Ijaz","given":"Aamir","non-dropping-particle":"","parse-names":false,"suffix":""},{"dropping-particle":"","family":"Manzoor","given":"Syed Mohsin","non-dropping-particle":"","parse-names":false,"suffix":""},{"dropping-particle":"","family":"Niazi","given":"Najumusaquib Khan","non-dropping-particle":"","parse-names":false,"suffix":""},{"dropping-particle":"","family":"Fazal","given":"Nadeem","non-dropping-particle":"","parse-names":false,"suffix":""}],"container-title":"Journal of the Pakistan Medical Association","id":"ITEM-1","issue":"4","issued":{"date-parts":[["2018"]]},"page":"554-558","title":"Status of non-HDL-cholesterol and LDL-cholesterol among subjects with and without metabolic syndrome","type":"article-journal","volume":"68"},"uris":["http://www.mendeley.com/documents/?uuid=dd8a20b5-257f-4dec-a439-d834a7205d8c"]}],"mendeley":{"formattedCitation":"[165]","plainTextFormattedCitation":"[165]","previouslyFormattedCitation":"[165]"},"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[165]</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B324BD" w:rsidRDefault="00B324BD" w:rsidP="00AB12B3">
      <w:pPr>
        <w:spacing w:after="0" w:line="240" w:lineRule="auto"/>
        <w:ind w:firstLine="708"/>
        <w:jc w:val="both"/>
        <w:rPr>
          <w:rFonts w:ascii="Times New Roman" w:hAnsi="Times New Roman" w:cs="Times New Roman"/>
          <w:sz w:val="28"/>
          <w:szCs w:val="28"/>
        </w:rPr>
        <w:sectPr w:rsidR="00B324BD" w:rsidSect="005B1090">
          <w:pgSz w:w="11906" w:h="16838"/>
          <w:pgMar w:top="1134" w:right="850" w:bottom="1134" w:left="1701" w:header="708" w:footer="708" w:gutter="0"/>
          <w:cols w:space="720"/>
        </w:sectPr>
      </w:pPr>
    </w:p>
    <w:p w:rsidR="005D3277" w:rsidRDefault="005D3277" w:rsidP="005D3277">
      <w:pPr>
        <w:spacing w:after="0" w:line="240" w:lineRule="auto"/>
        <w:jc w:val="both"/>
        <w:rPr>
          <w:rFonts w:ascii="Times New Roman" w:hAnsi="Times New Roman"/>
          <w:sz w:val="28"/>
          <w:szCs w:val="28"/>
          <w:lang w:val="kk-KZ"/>
        </w:rPr>
      </w:pPr>
      <w:r>
        <w:rPr>
          <w:rFonts w:ascii="Times New Roman" w:hAnsi="Times New Roman" w:cs="Times New Roman"/>
          <w:sz w:val="28"/>
          <w:szCs w:val="28"/>
        </w:rPr>
        <w:lastRenderedPageBreak/>
        <w:t xml:space="preserve">Таблица 17 </w:t>
      </w:r>
      <w:r w:rsidR="00162472">
        <w:rPr>
          <w:rFonts w:ascii="Times New Roman" w:hAnsi="Times New Roman" w:cs="Times New Roman"/>
          <w:sz w:val="28"/>
          <w:szCs w:val="28"/>
          <w:lang w:val="kk-KZ"/>
        </w:rPr>
        <w:t xml:space="preserve">- </w:t>
      </w:r>
      <w:r>
        <w:rPr>
          <w:rFonts w:ascii="Times New Roman" w:hAnsi="Times New Roman" w:cs="Times New Roman"/>
          <w:sz w:val="28"/>
          <w:szCs w:val="28"/>
        </w:rPr>
        <w:t xml:space="preserve">Распределение факторов рисков по группам ЛПНП </w:t>
      </w:r>
      <w:r w:rsidR="00DA472A">
        <w:rPr>
          <w:rFonts w:ascii="Times New Roman" w:hAnsi="Times New Roman" w:cs="Times New Roman"/>
          <w:sz w:val="28"/>
          <w:szCs w:val="28"/>
        </w:rPr>
        <w:t>(</w:t>
      </w:r>
      <w:r>
        <w:rPr>
          <w:rFonts w:ascii="Times New Roman" w:hAnsi="Times New Roman"/>
          <w:sz w:val="28"/>
          <w:szCs w:val="28"/>
        </w:rPr>
        <w:t>n=580</w:t>
      </w:r>
      <w:r w:rsidR="00DA472A">
        <w:rPr>
          <w:rFonts w:ascii="Times New Roman" w:hAnsi="Times New Roman"/>
          <w:sz w:val="28"/>
          <w:szCs w:val="28"/>
        </w:rPr>
        <w:t>)</w:t>
      </w:r>
    </w:p>
    <w:p w:rsidR="00E83EC5" w:rsidRPr="00E83EC5" w:rsidRDefault="00E83EC5" w:rsidP="005D3277">
      <w:pPr>
        <w:spacing w:after="0" w:line="240" w:lineRule="auto"/>
        <w:jc w:val="both"/>
        <w:rPr>
          <w:rFonts w:ascii="Times New Roman" w:hAnsi="Times New Roman" w:cs="Times New Roman"/>
          <w:sz w:val="28"/>
          <w:szCs w:val="28"/>
          <w:lang w:val="kk-KZ"/>
        </w:rPr>
      </w:pPr>
    </w:p>
    <w:tbl>
      <w:tblPr>
        <w:tblStyle w:val="af7"/>
        <w:tblW w:w="9360" w:type="dxa"/>
        <w:tblInd w:w="108" w:type="dxa"/>
        <w:tblLayout w:type="fixed"/>
        <w:tblLook w:val="04A0" w:firstRow="1" w:lastRow="0" w:firstColumn="1" w:lastColumn="0" w:noHBand="0" w:noVBand="1"/>
      </w:tblPr>
      <w:tblGrid>
        <w:gridCol w:w="1418"/>
        <w:gridCol w:w="1562"/>
        <w:gridCol w:w="1417"/>
        <w:gridCol w:w="1276"/>
        <w:gridCol w:w="2691"/>
        <w:gridCol w:w="996"/>
      </w:tblGrid>
      <w:tr w:rsidR="005D3277" w:rsidTr="003954AB">
        <w:trPr>
          <w:trHeight w:val="377"/>
        </w:trPr>
        <w:tc>
          <w:tcPr>
            <w:tcW w:w="29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Параметры</w:t>
            </w:r>
          </w:p>
        </w:tc>
        <w:tc>
          <w:tcPr>
            <w:tcW w:w="2693" w:type="dxa"/>
            <w:gridSpan w:val="2"/>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 xml:space="preserve">ЛПНП, ммоль/л </w:t>
            </w:r>
          </w:p>
        </w:tc>
        <w:tc>
          <w:tcPr>
            <w:tcW w:w="2691" w:type="dxa"/>
            <w:vMerge w:val="restart"/>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ОШ (95% ДИ)</w:t>
            </w:r>
          </w:p>
        </w:tc>
        <w:tc>
          <w:tcPr>
            <w:tcW w:w="996" w:type="dxa"/>
            <w:vMerge w:val="restart"/>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p*</w:t>
            </w:r>
          </w:p>
        </w:tc>
      </w:tr>
      <w:tr w:rsidR="005D3277" w:rsidTr="003954AB">
        <w:trPr>
          <w:trHeight w:val="379"/>
        </w:trPr>
        <w:tc>
          <w:tcPr>
            <w:tcW w:w="2980" w:type="dxa"/>
            <w:gridSpan w:val="2"/>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c>
          <w:tcPr>
            <w:tcW w:w="1417"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≤3,0 n</w:t>
            </w:r>
          </w:p>
        </w:tc>
        <w:tc>
          <w:tcPr>
            <w:tcW w:w="1276" w:type="dxa"/>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&gt;3,0 n</w:t>
            </w:r>
          </w:p>
        </w:tc>
        <w:tc>
          <w:tcPr>
            <w:tcW w:w="2691"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r>
      <w:tr w:rsidR="005D3277" w:rsidTr="003954AB">
        <w:trPr>
          <w:trHeight w:val="317"/>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Пол</w:t>
            </w:r>
          </w:p>
        </w:tc>
        <w:tc>
          <w:tcPr>
            <w:tcW w:w="1562" w:type="dxa"/>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Жен</w:t>
            </w:r>
          </w:p>
        </w:tc>
        <w:tc>
          <w:tcPr>
            <w:tcW w:w="1417"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257</w:t>
            </w:r>
          </w:p>
        </w:tc>
        <w:tc>
          <w:tcPr>
            <w:tcW w:w="1276"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42</w:t>
            </w:r>
          </w:p>
        </w:tc>
        <w:tc>
          <w:tcPr>
            <w:tcW w:w="2691"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1,0</w:t>
            </w:r>
          </w:p>
        </w:tc>
        <w:tc>
          <w:tcPr>
            <w:tcW w:w="996" w:type="dxa"/>
            <w:vMerge w:val="restart"/>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0,51</w:t>
            </w:r>
          </w:p>
        </w:tc>
      </w:tr>
      <w:tr w:rsidR="005D3277" w:rsidTr="003954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c>
          <w:tcPr>
            <w:tcW w:w="1562" w:type="dxa"/>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Муж</w:t>
            </w:r>
          </w:p>
        </w:tc>
        <w:tc>
          <w:tcPr>
            <w:tcW w:w="1417"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236</w:t>
            </w:r>
          </w:p>
        </w:tc>
        <w:tc>
          <w:tcPr>
            <w:tcW w:w="1276"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45</w:t>
            </w:r>
          </w:p>
        </w:tc>
        <w:tc>
          <w:tcPr>
            <w:tcW w:w="2691"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1,17 (0,74-1,84)</w:t>
            </w: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r>
      <w:tr w:rsidR="005D3277" w:rsidTr="003954AB">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Возраст, лет</w:t>
            </w:r>
          </w:p>
        </w:tc>
        <w:tc>
          <w:tcPr>
            <w:tcW w:w="1562" w:type="dxa"/>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18 – 35</w:t>
            </w:r>
          </w:p>
        </w:tc>
        <w:tc>
          <w:tcPr>
            <w:tcW w:w="1417"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86</w:t>
            </w:r>
          </w:p>
        </w:tc>
        <w:tc>
          <w:tcPr>
            <w:tcW w:w="1276"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17</w:t>
            </w:r>
          </w:p>
        </w:tc>
        <w:tc>
          <w:tcPr>
            <w:tcW w:w="2691"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1,0</w:t>
            </w:r>
          </w:p>
        </w:tc>
        <w:tc>
          <w:tcPr>
            <w:tcW w:w="996" w:type="dxa"/>
            <w:vMerge w:val="restart"/>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0,75</w:t>
            </w:r>
          </w:p>
        </w:tc>
      </w:tr>
      <w:tr w:rsidR="005D3277" w:rsidTr="003954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c>
          <w:tcPr>
            <w:tcW w:w="1562" w:type="dxa"/>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36 – 45</w:t>
            </w:r>
          </w:p>
        </w:tc>
        <w:tc>
          <w:tcPr>
            <w:tcW w:w="1417"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151</w:t>
            </w:r>
          </w:p>
        </w:tc>
        <w:tc>
          <w:tcPr>
            <w:tcW w:w="1276"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23</w:t>
            </w:r>
          </w:p>
        </w:tc>
        <w:tc>
          <w:tcPr>
            <w:tcW w:w="2691"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0,77 (0,39-1,52)</w:t>
            </w: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r>
      <w:tr w:rsidR="005D3277" w:rsidTr="003954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c>
          <w:tcPr>
            <w:tcW w:w="1562" w:type="dxa"/>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46 – 55</w:t>
            </w:r>
          </w:p>
        </w:tc>
        <w:tc>
          <w:tcPr>
            <w:tcW w:w="1417"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138</w:t>
            </w:r>
          </w:p>
        </w:tc>
        <w:tc>
          <w:tcPr>
            <w:tcW w:w="1276"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28</w:t>
            </w:r>
          </w:p>
        </w:tc>
        <w:tc>
          <w:tcPr>
            <w:tcW w:w="2691"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1,03 (0,53-1,97)</w:t>
            </w: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r>
      <w:tr w:rsidR="005D3277" w:rsidTr="003954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c>
          <w:tcPr>
            <w:tcW w:w="1562" w:type="dxa"/>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56 – 65</w:t>
            </w:r>
          </w:p>
        </w:tc>
        <w:tc>
          <w:tcPr>
            <w:tcW w:w="1417"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118</w:t>
            </w:r>
          </w:p>
        </w:tc>
        <w:tc>
          <w:tcPr>
            <w:tcW w:w="1276"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19</w:t>
            </w:r>
          </w:p>
        </w:tc>
        <w:tc>
          <w:tcPr>
            <w:tcW w:w="2691"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0,81 (0,4-1,66)</w:t>
            </w: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r>
      <w:tr w:rsidR="00486DA3" w:rsidTr="003954AB">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486DA3" w:rsidRDefault="00486DA3" w:rsidP="003F0171">
            <w:pPr>
              <w:jc w:val="center"/>
              <w:rPr>
                <w:rFonts w:ascii="Times New Roman" w:hAnsi="Times New Roman"/>
                <w:sz w:val="28"/>
                <w:szCs w:val="28"/>
              </w:rPr>
            </w:pPr>
            <w:r>
              <w:rPr>
                <w:rFonts w:ascii="Times New Roman" w:hAnsi="Times New Roman"/>
                <w:sz w:val="28"/>
                <w:szCs w:val="28"/>
              </w:rPr>
              <w:t>Окружность талии (см)</w:t>
            </w:r>
          </w:p>
        </w:tc>
        <w:tc>
          <w:tcPr>
            <w:tcW w:w="1562" w:type="dxa"/>
            <w:tcBorders>
              <w:top w:val="single" w:sz="4" w:space="0" w:color="auto"/>
              <w:left w:val="single" w:sz="4" w:space="0" w:color="auto"/>
              <w:bottom w:val="single" w:sz="4" w:space="0" w:color="auto"/>
              <w:right w:val="single" w:sz="4" w:space="0" w:color="auto"/>
            </w:tcBorders>
            <w:vAlign w:val="center"/>
            <w:hideMark/>
          </w:tcPr>
          <w:p w:rsidR="00486DA3" w:rsidRDefault="00486DA3" w:rsidP="003F0171">
            <w:pPr>
              <w:jc w:val="center"/>
              <w:rPr>
                <w:rFonts w:ascii="Times New Roman" w:hAnsi="Times New Roman"/>
                <w:sz w:val="28"/>
                <w:szCs w:val="28"/>
              </w:rPr>
            </w:pPr>
            <w:r>
              <w:rPr>
                <w:rFonts w:ascii="Times New Roman" w:hAnsi="Times New Roman"/>
                <w:sz w:val="28"/>
                <w:szCs w:val="28"/>
              </w:rPr>
              <w:t>муж &lt;102</w:t>
            </w:r>
          </w:p>
          <w:p w:rsidR="00486DA3" w:rsidRDefault="00486DA3" w:rsidP="003F0171">
            <w:pPr>
              <w:jc w:val="center"/>
              <w:rPr>
                <w:rFonts w:ascii="Times New Roman" w:hAnsi="Times New Roman"/>
                <w:sz w:val="28"/>
                <w:szCs w:val="28"/>
              </w:rPr>
            </w:pPr>
            <w:r>
              <w:rPr>
                <w:rFonts w:ascii="Times New Roman" w:hAnsi="Times New Roman"/>
                <w:sz w:val="28"/>
                <w:szCs w:val="28"/>
              </w:rPr>
              <w:t xml:space="preserve">жен &lt;88 </w:t>
            </w:r>
          </w:p>
        </w:tc>
        <w:tc>
          <w:tcPr>
            <w:tcW w:w="1417" w:type="dxa"/>
            <w:tcBorders>
              <w:top w:val="nil"/>
              <w:left w:val="single" w:sz="4" w:space="0" w:color="auto"/>
              <w:bottom w:val="single" w:sz="4" w:space="0" w:color="auto"/>
              <w:right w:val="single" w:sz="4" w:space="0" w:color="auto"/>
            </w:tcBorders>
            <w:hideMark/>
          </w:tcPr>
          <w:p w:rsidR="00486DA3" w:rsidRDefault="00486DA3" w:rsidP="003F0171">
            <w:pPr>
              <w:jc w:val="center"/>
              <w:rPr>
                <w:rFonts w:ascii="Times New Roman" w:hAnsi="Times New Roman"/>
                <w:sz w:val="28"/>
                <w:szCs w:val="28"/>
              </w:rPr>
            </w:pPr>
            <w:r>
              <w:rPr>
                <w:rFonts w:ascii="Times New Roman" w:hAnsi="Times New Roman"/>
                <w:sz w:val="28"/>
                <w:szCs w:val="28"/>
              </w:rPr>
              <w:t>186</w:t>
            </w:r>
          </w:p>
        </w:tc>
        <w:tc>
          <w:tcPr>
            <w:tcW w:w="1276" w:type="dxa"/>
            <w:tcBorders>
              <w:top w:val="nil"/>
              <w:left w:val="single" w:sz="4" w:space="0" w:color="auto"/>
              <w:bottom w:val="single" w:sz="4" w:space="0" w:color="auto"/>
              <w:right w:val="single" w:sz="4" w:space="0" w:color="auto"/>
            </w:tcBorders>
            <w:hideMark/>
          </w:tcPr>
          <w:p w:rsidR="00486DA3" w:rsidRDefault="00486DA3" w:rsidP="003F0171">
            <w:pPr>
              <w:jc w:val="center"/>
              <w:rPr>
                <w:rFonts w:ascii="Times New Roman" w:hAnsi="Times New Roman"/>
                <w:sz w:val="28"/>
                <w:szCs w:val="28"/>
              </w:rPr>
            </w:pPr>
            <w:r>
              <w:rPr>
                <w:rFonts w:ascii="Times New Roman" w:hAnsi="Times New Roman"/>
                <w:sz w:val="28"/>
                <w:szCs w:val="28"/>
              </w:rPr>
              <w:t>31</w:t>
            </w:r>
          </w:p>
        </w:tc>
        <w:tc>
          <w:tcPr>
            <w:tcW w:w="2691" w:type="dxa"/>
            <w:tcBorders>
              <w:top w:val="single" w:sz="4" w:space="0" w:color="auto"/>
              <w:left w:val="single" w:sz="4" w:space="0" w:color="auto"/>
              <w:bottom w:val="single" w:sz="4" w:space="0" w:color="auto"/>
              <w:right w:val="single" w:sz="4" w:space="0" w:color="auto"/>
            </w:tcBorders>
            <w:hideMark/>
          </w:tcPr>
          <w:p w:rsidR="00486DA3" w:rsidRDefault="00486DA3" w:rsidP="003F0171">
            <w:pPr>
              <w:jc w:val="center"/>
              <w:rPr>
                <w:rFonts w:ascii="Times New Roman" w:hAnsi="Times New Roman"/>
                <w:sz w:val="28"/>
                <w:szCs w:val="28"/>
              </w:rPr>
            </w:pPr>
            <w:r>
              <w:rPr>
                <w:rFonts w:ascii="Times New Roman" w:hAnsi="Times New Roman"/>
                <w:sz w:val="28"/>
                <w:szCs w:val="28"/>
              </w:rPr>
              <w:t>1,0</w:t>
            </w:r>
          </w:p>
        </w:tc>
        <w:tc>
          <w:tcPr>
            <w:tcW w:w="996" w:type="dxa"/>
            <w:vMerge w:val="restart"/>
            <w:tcBorders>
              <w:top w:val="single" w:sz="4" w:space="0" w:color="auto"/>
              <w:left w:val="single" w:sz="4" w:space="0" w:color="auto"/>
              <w:bottom w:val="single" w:sz="4" w:space="0" w:color="auto"/>
              <w:right w:val="single" w:sz="4" w:space="0" w:color="auto"/>
            </w:tcBorders>
            <w:hideMark/>
          </w:tcPr>
          <w:p w:rsidR="00486DA3" w:rsidRDefault="00486DA3" w:rsidP="003F0171">
            <w:pPr>
              <w:jc w:val="center"/>
              <w:rPr>
                <w:rFonts w:ascii="Times New Roman" w:hAnsi="Times New Roman"/>
                <w:sz w:val="28"/>
                <w:szCs w:val="28"/>
              </w:rPr>
            </w:pPr>
            <w:r>
              <w:rPr>
                <w:rFonts w:ascii="Times New Roman" w:hAnsi="Times New Roman"/>
                <w:sz w:val="28"/>
                <w:szCs w:val="28"/>
              </w:rPr>
              <w:t>0,71</w:t>
            </w:r>
          </w:p>
        </w:tc>
      </w:tr>
      <w:tr w:rsidR="00486DA3" w:rsidTr="003954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rsidP="003F0171">
            <w:pPr>
              <w:rPr>
                <w:rFonts w:ascii="Times New Roman" w:hAnsi="Times New Roman"/>
                <w:sz w:val="28"/>
                <w:szCs w:val="28"/>
              </w:rPr>
            </w:pPr>
          </w:p>
        </w:tc>
        <w:tc>
          <w:tcPr>
            <w:tcW w:w="1562" w:type="dxa"/>
            <w:tcBorders>
              <w:top w:val="single" w:sz="4" w:space="0" w:color="auto"/>
              <w:left w:val="single" w:sz="4" w:space="0" w:color="auto"/>
              <w:bottom w:val="single" w:sz="4" w:space="0" w:color="auto"/>
              <w:right w:val="single" w:sz="4" w:space="0" w:color="auto"/>
            </w:tcBorders>
            <w:vAlign w:val="center"/>
            <w:hideMark/>
          </w:tcPr>
          <w:p w:rsidR="00486DA3" w:rsidRDefault="00486DA3" w:rsidP="003F0171">
            <w:pPr>
              <w:jc w:val="center"/>
              <w:rPr>
                <w:rFonts w:ascii="Times New Roman" w:hAnsi="Times New Roman"/>
                <w:sz w:val="28"/>
                <w:szCs w:val="28"/>
              </w:rPr>
            </w:pPr>
            <w:r>
              <w:rPr>
                <w:rFonts w:ascii="Times New Roman" w:hAnsi="Times New Roman"/>
                <w:sz w:val="28"/>
                <w:szCs w:val="28"/>
              </w:rPr>
              <w:t>муж ≥102</w:t>
            </w:r>
          </w:p>
          <w:p w:rsidR="00486DA3" w:rsidRDefault="00486DA3" w:rsidP="003F0171">
            <w:pPr>
              <w:jc w:val="center"/>
              <w:rPr>
                <w:rFonts w:ascii="Times New Roman" w:hAnsi="Times New Roman"/>
                <w:sz w:val="28"/>
                <w:szCs w:val="28"/>
              </w:rPr>
            </w:pPr>
            <w:r>
              <w:rPr>
                <w:rFonts w:ascii="Times New Roman" w:hAnsi="Times New Roman"/>
                <w:sz w:val="28"/>
                <w:szCs w:val="28"/>
              </w:rPr>
              <w:t xml:space="preserve">жен ≥88 </w:t>
            </w:r>
          </w:p>
        </w:tc>
        <w:tc>
          <w:tcPr>
            <w:tcW w:w="1417" w:type="dxa"/>
            <w:tcBorders>
              <w:top w:val="nil"/>
              <w:left w:val="single" w:sz="4" w:space="0" w:color="auto"/>
              <w:bottom w:val="single" w:sz="4" w:space="0" w:color="auto"/>
              <w:right w:val="single" w:sz="4" w:space="0" w:color="auto"/>
            </w:tcBorders>
            <w:hideMark/>
          </w:tcPr>
          <w:p w:rsidR="00486DA3" w:rsidRDefault="00486DA3" w:rsidP="003F0171">
            <w:pPr>
              <w:jc w:val="center"/>
              <w:rPr>
                <w:rFonts w:ascii="Times New Roman" w:hAnsi="Times New Roman"/>
                <w:sz w:val="28"/>
                <w:szCs w:val="28"/>
              </w:rPr>
            </w:pPr>
            <w:r>
              <w:rPr>
                <w:rFonts w:ascii="Times New Roman" w:hAnsi="Times New Roman"/>
                <w:sz w:val="28"/>
                <w:szCs w:val="28"/>
              </w:rPr>
              <w:t>307</w:t>
            </w:r>
          </w:p>
        </w:tc>
        <w:tc>
          <w:tcPr>
            <w:tcW w:w="1276" w:type="dxa"/>
            <w:tcBorders>
              <w:top w:val="nil"/>
              <w:left w:val="single" w:sz="4" w:space="0" w:color="auto"/>
              <w:bottom w:val="single" w:sz="4" w:space="0" w:color="auto"/>
              <w:right w:val="single" w:sz="4" w:space="0" w:color="auto"/>
            </w:tcBorders>
            <w:hideMark/>
          </w:tcPr>
          <w:p w:rsidR="00486DA3" w:rsidRDefault="00486DA3" w:rsidP="003F0171">
            <w:pPr>
              <w:jc w:val="center"/>
              <w:rPr>
                <w:rFonts w:ascii="Times New Roman" w:hAnsi="Times New Roman"/>
                <w:sz w:val="28"/>
                <w:szCs w:val="28"/>
              </w:rPr>
            </w:pPr>
            <w:r>
              <w:rPr>
                <w:rFonts w:ascii="Times New Roman" w:hAnsi="Times New Roman"/>
                <w:sz w:val="28"/>
                <w:szCs w:val="28"/>
              </w:rPr>
              <w:t>56</w:t>
            </w:r>
          </w:p>
        </w:tc>
        <w:tc>
          <w:tcPr>
            <w:tcW w:w="2691" w:type="dxa"/>
            <w:tcBorders>
              <w:top w:val="single" w:sz="4" w:space="0" w:color="auto"/>
              <w:left w:val="single" w:sz="4" w:space="0" w:color="auto"/>
              <w:bottom w:val="single" w:sz="4" w:space="0" w:color="auto"/>
              <w:right w:val="single" w:sz="4" w:space="0" w:color="auto"/>
            </w:tcBorders>
            <w:hideMark/>
          </w:tcPr>
          <w:p w:rsidR="00486DA3" w:rsidRDefault="00486DA3" w:rsidP="003F0171">
            <w:pPr>
              <w:jc w:val="center"/>
              <w:rPr>
                <w:rFonts w:ascii="Times New Roman" w:hAnsi="Times New Roman"/>
                <w:sz w:val="28"/>
                <w:szCs w:val="28"/>
              </w:rPr>
            </w:pPr>
            <w:r>
              <w:rPr>
                <w:rFonts w:ascii="Times New Roman" w:hAnsi="Times New Roman"/>
                <w:sz w:val="28"/>
                <w:szCs w:val="28"/>
              </w:rPr>
              <w:t>1,09 (0,68-1,76)</w:t>
            </w: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486DA3" w:rsidRDefault="00486DA3" w:rsidP="003F0171">
            <w:pPr>
              <w:rPr>
                <w:rFonts w:ascii="Times New Roman" w:hAnsi="Times New Roman"/>
                <w:sz w:val="28"/>
                <w:szCs w:val="28"/>
              </w:rPr>
            </w:pPr>
          </w:p>
        </w:tc>
      </w:tr>
      <w:tr w:rsidR="005D3277" w:rsidTr="003954AB">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ИМТ (кг/м</w:t>
            </w:r>
            <w:r>
              <w:rPr>
                <w:rFonts w:ascii="Times New Roman" w:hAnsi="Times New Roman"/>
                <w:sz w:val="28"/>
                <w:szCs w:val="28"/>
                <w:vertAlign w:val="superscript"/>
              </w:rPr>
              <w:t>2</w:t>
            </w:r>
            <w:r>
              <w:rPr>
                <w:rFonts w:ascii="Times New Roman" w:hAnsi="Times New Roman"/>
                <w:sz w:val="28"/>
                <w:szCs w:val="28"/>
              </w:rPr>
              <w:t>)</w:t>
            </w:r>
          </w:p>
        </w:tc>
        <w:tc>
          <w:tcPr>
            <w:tcW w:w="1562" w:type="dxa"/>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НВ</w:t>
            </w:r>
          </w:p>
        </w:tc>
        <w:tc>
          <w:tcPr>
            <w:tcW w:w="1417"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202</w:t>
            </w:r>
          </w:p>
        </w:tc>
        <w:tc>
          <w:tcPr>
            <w:tcW w:w="1276"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30</w:t>
            </w:r>
          </w:p>
        </w:tc>
        <w:tc>
          <w:tcPr>
            <w:tcW w:w="2691"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1,0</w:t>
            </w:r>
          </w:p>
        </w:tc>
        <w:tc>
          <w:tcPr>
            <w:tcW w:w="996" w:type="dxa"/>
            <w:vMerge w:val="restart"/>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0,5</w:t>
            </w:r>
          </w:p>
        </w:tc>
      </w:tr>
      <w:tr w:rsidR="005D3277" w:rsidTr="003954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c>
          <w:tcPr>
            <w:tcW w:w="1562" w:type="dxa"/>
            <w:tcBorders>
              <w:top w:val="nil"/>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ИВ</w:t>
            </w:r>
          </w:p>
        </w:tc>
        <w:tc>
          <w:tcPr>
            <w:tcW w:w="1417"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204</w:t>
            </w:r>
          </w:p>
        </w:tc>
        <w:tc>
          <w:tcPr>
            <w:tcW w:w="1276"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41</w:t>
            </w:r>
          </w:p>
        </w:tc>
        <w:tc>
          <w:tcPr>
            <w:tcW w:w="2691"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1,37 (0,81-2,25)</w:t>
            </w: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r>
      <w:tr w:rsidR="005D3277" w:rsidTr="003954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c>
          <w:tcPr>
            <w:tcW w:w="1562" w:type="dxa"/>
            <w:tcBorders>
              <w:top w:val="nil"/>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Ож</w:t>
            </w:r>
          </w:p>
        </w:tc>
        <w:tc>
          <w:tcPr>
            <w:tcW w:w="1417"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87</w:t>
            </w:r>
          </w:p>
        </w:tc>
        <w:tc>
          <w:tcPr>
            <w:tcW w:w="1276"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16</w:t>
            </w:r>
          </w:p>
        </w:tc>
        <w:tc>
          <w:tcPr>
            <w:tcW w:w="2691"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1,29 (0,64-2,39)</w:t>
            </w: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r>
      <w:tr w:rsidR="005D3277" w:rsidTr="003954AB">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Статус курения</w:t>
            </w:r>
          </w:p>
        </w:tc>
        <w:tc>
          <w:tcPr>
            <w:tcW w:w="1562" w:type="dxa"/>
            <w:tcBorders>
              <w:top w:val="nil"/>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Не курит</w:t>
            </w:r>
          </w:p>
        </w:tc>
        <w:tc>
          <w:tcPr>
            <w:tcW w:w="1417"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326</w:t>
            </w:r>
          </w:p>
        </w:tc>
        <w:tc>
          <w:tcPr>
            <w:tcW w:w="1276"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64</w:t>
            </w:r>
          </w:p>
        </w:tc>
        <w:tc>
          <w:tcPr>
            <w:tcW w:w="2691"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1,0</w:t>
            </w:r>
          </w:p>
        </w:tc>
        <w:tc>
          <w:tcPr>
            <w:tcW w:w="996" w:type="dxa"/>
            <w:vMerge w:val="restart"/>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0,15</w:t>
            </w:r>
          </w:p>
        </w:tc>
      </w:tr>
      <w:tr w:rsidR="005D3277" w:rsidTr="003954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c>
          <w:tcPr>
            <w:tcW w:w="1562" w:type="dxa"/>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Курит</w:t>
            </w:r>
          </w:p>
        </w:tc>
        <w:tc>
          <w:tcPr>
            <w:tcW w:w="1417"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144</w:t>
            </w:r>
          </w:p>
        </w:tc>
        <w:tc>
          <w:tcPr>
            <w:tcW w:w="1276"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17</w:t>
            </w:r>
          </w:p>
        </w:tc>
        <w:tc>
          <w:tcPr>
            <w:tcW w:w="2691"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0,6 (0,34-1,06)</w:t>
            </w: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r>
      <w:tr w:rsidR="005D3277" w:rsidTr="003954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c>
          <w:tcPr>
            <w:tcW w:w="1562" w:type="dxa"/>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jc w:val="center"/>
              <w:rPr>
                <w:rFonts w:ascii="Times New Roman" w:hAnsi="Times New Roman"/>
                <w:sz w:val="28"/>
                <w:szCs w:val="28"/>
              </w:rPr>
            </w:pPr>
            <w:r>
              <w:rPr>
                <w:rFonts w:ascii="Times New Roman" w:hAnsi="Times New Roman"/>
                <w:sz w:val="28"/>
                <w:szCs w:val="28"/>
              </w:rPr>
              <w:t>Бросил</w:t>
            </w:r>
          </w:p>
        </w:tc>
        <w:tc>
          <w:tcPr>
            <w:tcW w:w="1417"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23</w:t>
            </w:r>
          </w:p>
        </w:tc>
        <w:tc>
          <w:tcPr>
            <w:tcW w:w="1276" w:type="dxa"/>
            <w:tcBorders>
              <w:top w:val="nil"/>
              <w:left w:val="single" w:sz="4" w:space="0" w:color="auto"/>
              <w:bottom w:val="single" w:sz="4" w:space="0" w:color="auto"/>
              <w:right w:val="single" w:sz="4" w:space="0" w:color="auto"/>
            </w:tcBorders>
            <w:hideMark/>
          </w:tcPr>
          <w:p w:rsidR="005D3277" w:rsidRDefault="005D3277" w:rsidP="00E6013D">
            <w:pPr>
              <w:jc w:val="center"/>
            </w:pPr>
            <w:r>
              <w:rPr>
                <w:rFonts w:ascii="Times New Roman" w:hAnsi="Times New Roman"/>
                <w:sz w:val="28"/>
                <w:szCs w:val="28"/>
              </w:rPr>
              <w:t>6</w:t>
            </w:r>
          </w:p>
        </w:tc>
        <w:tc>
          <w:tcPr>
            <w:tcW w:w="2691" w:type="dxa"/>
            <w:tcBorders>
              <w:top w:val="single" w:sz="4" w:space="0" w:color="auto"/>
              <w:left w:val="single" w:sz="4" w:space="0" w:color="auto"/>
              <w:bottom w:val="single" w:sz="4" w:space="0" w:color="auto"/>
              <w:right w:val="single" w:sz="4" w:space="0" w:color="auto"/>
            </w:tcBorders>
            <w:hideMark/>
          </w:tcPr>
          <w:p w:rsidR="005D3277" w:rsidRDefault="005D3277" w:rsidP="00E6013D">
            <w:pPr>
              <w:jc w:val="center"/>
              <w:rPr>
                <w:rFonts w:ascii="Times New Roman" w:hAnsi="Times New Roman"/>
                <w:sz w:val="28"/>
                <w:szCs w:val="28"/>
              </w:rPr>
            </w:pPr>
            <w:r>
              <w:rPr>
                <w:rFonts w:ascii="Times New Roman" w:hAnsi="Times New Roman"/>
                <w:sz w:val="28"/>
                <w:szCs w:val="28"/>
              </w:rPr>
              <w:t>1,33 (0,52-3,39)</w:t>
            </w: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5D3277" w:rsidRDefault="005D3277" w:rsidP="00E6013D">
            <w:pPr>
              <w:rPr>
                <w:rFonts w:ascii="Times New Roman" w:hAnsi="Times New Roman"/>
                <w:sz w:val="28"/>
                <w:szCs w:val="28"/>
              </w:rPr>
            </w:pPr>
          </w:p>
        </w:tc>
      </w:tr>
      <w:tr w:rsidR="005D3277" w:rsidTr="00E6013D">
        <w:trPr>
          <w:trHeight w:val="442"/>
        </w:trPr>
        <w:tc>
          <w:tcPr>
            <w:tcW w:w="9360" w:type="dxa"/>
            <w:gridSpan w:val="6"/>
            <w:tcBorders>
              <w:top w:val="single" w:sz="4" w:space="0" w:color="auto"/>
              <w:left w:val="single" w:sz="4" w:space="0" w:color="auto"/>
              <w:bottom w:val="single" w:sz="4" w:space="0" w:color="auto"/>
              <w:right w:val="single" w:sz="4" w:space="0" w:color="auto"/>
            </w:tcBorders>
            <w:hideMark/>
          </w:tcPr>
          <w:p w:rsidR="004024CE" w:rsidRDefault="005D3277" w:rsidP="004024CE">
            <w:pPr>
              <w:jc w:val="both"/>
              <w:rPr>
                <w:rFonts w:ascii="Times New Roman" w:hAnsi="Times New Roman"/>
                <w:szCs w:val="24"/>
              </w:rPr>
            </w:pPr>
            <w:r>
              <w:rPr>
                <w:rFonts w:ascii="Times New Roman" w:hAnsi="Times New Roman"/>
                <w:szCs w:val="24"/>
              </w:rPr>
              <w:t xml:space="preserve">Примечание </w:t>
            </w:r>
            <w:r w:rsidR="004024CE">
              <w:rPr>
                <w:rFonts w:ascii="Times New Roman" w:hAnsi="Times New Roman"/>
                <w:szCs w:val="24"/>
              </w:rPr>
              <w:t xml:space="preserve">НВ – нормальный вес; ИВ – избыточный вес; Ож – ожирение; </w:t>
            </w:r>
          </w:p>
          <w:p w:rsidR="005D3277" w:rsidRDefault="005D3277" w:rsidP="00E6013D">
            <w:pPr>
              <w:jc w:val="both"/>
              <w:rPr>
                <w:rFonts w:ascii="Times New Roman" w:hAnsi="Times New Roman"/>
                <w:sz w:val="20"/>
                <w:szCs w:val="20"/>
              </w:rPr>
            </w:pPr>
            <w:r>
              <w:rPr>
                <w:rFonts w:ascii="Times New Roman" w:hAnsi="Times New Roman"/>
                <w:szCs w:val="24"/>
              </w:rPr>
              <w:t>* - χ</w:t>
            </w:r>
            <w:r>
              <w:rPr>
                <w:rFonts w:ascii="Times New Roman" w:hAnsi="Times New Roman"/>
                <w:szCs w:val="24"/>
                <w:vertAlign w:val="superscript"/>
              </w:rPr>
              <w:t>2</w:t>
            </w:r>
            <w:r>
              <w:rPr>
                <w:rFonts w:ascii="Times New Roman" w:hAnsi="Times New Roman"/>
                <w:szCs w:val="24"/>
              </w:rPr>
              <w:t xml:space="preserve"> – хи квадрат Пирсона; ОШ (95% ДИ) – Отношение шансов (95% Доверительный интервал)</w:t>
            </w:r>
          </w:p>
        </w:tc>
      </w:tr>
    </w:tbl>
    <w:p w:rsidR="005D3277" w:rsidRDefault="005D3277" w:rsidP="005D3277">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Таблица 18</w:t>
      </w:r>
      <w:r w:rsidR="00162472">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средних величин биохимических показателей по группам ЛПНП</w:t>
      </w:r>
    </w:p>
    <w:p w:rsidR="00B96E35" w:rsidRPr="00B96E35" w:rsidRDefault="00B96E35" w:rsidP="00AB12B3">
      <w:pPr>
        <w:spacing w:after="0" w:line="240" w:lineRule="auto"/>
        <w:jc w:val="both"/>
        <w:rPr>
          <w:rFonts w:ascii="Times New Roman" w:hAnsi="Times New Roman" w:cs="Times New Roman"/>
          <w:sz w:val="28"/>
          <w:szCs w:val="28"/>
          <w:lang w:val="kk-KZ"/>
        </w:rPr>
      </w:pPr>
    </w:p>
    <w:tbl>
      <w:tblPr>
        <w:tblStyle w:val="af7"/>
        <w:tblW w:w="9360" w:type="dxa"/>
        <w:tblInd w:w="108" w:type="dxa"/>
        <w:tblLayout w:type="fixed"/>
        <w:tblLook w:val="04A0" w:firstRow="1" w:lastRow="0" w:firstColumn="1" w:lastColumn="0" w:noHBand="0" w:noVBand="1"/>
      </w:tblPr>
      <w:tblGrid>
        <w:gridCol w:w="2694"/>
        <w:gridCol w:w="2835"/>
        <w:gridCol w:w="2839"/>
        <w:gridCol w:w="992"/>
      </w:tblGrid>
      <w:tr w:rsidR="00AB12B3" w:rsidTr="000237E7">
        <w:trPr>
          <w:trHeight w:val="377"/>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5674"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ЛПНП, ммоль/л </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0237E7">
        <w:trPr>
          <w:trHeight w:val="379"/>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0237E7">
              <w:rPr>
                <w:rFonts w:ascii="Century" w:hAnsi="Century"/>
                <w:sz w:val="28"/>
                <w:szCs w:val="28"/>
              </w:rPr>
              <w:t>≤</w:t>
            </w:r>
            <w:r>
              <w:rPr>
                <w:rFonts w:ascii="Times New Roman" w:hAnsi="Times New Roman"/>
                <w:sz w:val="28"/>
                <w:szCs w:val="28"/>
              </w:rPr>
              <w:t>3</w:t>
            </w:r>
            <w:r w:rsidRPr="000237E7">
              <w:rPr>
                <w:rFonts w:ascii="Century" w:hAnsi="Century"/>
                <w:sz w:val="28"/>
                <w:szCs w:val="28"/>
              </w:rPr>
              <w:t>,</w:t>
            </w:r>
            <w:r>
              <w:rPr>
                <w:rFonts w:ascii="Times New Roman" w:hAnsi="Times New Roman"/>
                <w:sz w:val="28"/>
                <w:szCs w:val="28"/>
              </w:rPr>
              <w:t>0</w:t>
            </w:r>
          </w:p>
          <w:p w:rsidR="00AB12B3" w:rsidRDefault="00AB12B3">
            <w:pPr>
              <w:jc w:val="center"/>
              <w:rPr>
                <w:rFonts w:ascii="Times New Roman" w:hAnsi="Times New Roman"/>
                <w:sz w:val="28"/>
                <w:szCs w:val="28"/>
              </w:rPr>
            </w:pPr>
            <w:r>
              <w:rPr>
                <w:rFonts w:ascii="Times New Roman" w:hAnsi="Times New Roman"/>
                <w:sz w:val="28"/>
                <w:szCs w:val="28"/>
              </w:rPr>
              <w:t>Ме±IQR (Q1</w:t>
            </w:r>
            <w:r w:rsidRPr="000237E7">
              <w:rPr>
                <w:rFonts w:ascii="Century" w:hAnsi="Century"/>
                <w:sz w:val="28"/>
                <w:szCs w:val="28"/>
              </w:rPr>
              <w:t>–</w:t>
            </w:r>
            <w:r>
              <w:rPr>
                <w:rFonts w:ascii="Times New Roman" w:hAnsi="Times New Roman"/>
                <w:sz w:val="28"/>
                <w:szCs w:val="28"/>
              </w:rPr>
              <w:t>Q3)</w:t>
            </w:r>
          </w:p>
        </w:tc>
        <w:tc>
          <w:tcPr>
            <w:tcW w:w="2839"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sidRPr="000237E7">
              <w:rPr>
                <w:rFonts w:ascii="Century" w:hAnsi="Century"/>
                <w:sz w:val="28"/>
                <w:szCs w:val="28"/>
              </w:rPr>
              <w:t>&gt;</w:t>
            </w:r>
            <w:r>
              <w:rPr>
                <w:rFonts w:ascii="Times New Roman" w:hAnsi="Times New Roman"/>
                <w:sz w:val="28"/>
                <w:szCs w:val="28"/>
              </w:rPr>
              <w:t>3</w:t>
            </w:r>
            <w:r w:rsidRPr="000237E7">
              <w:rPr>
                <w:rFonts w:ascii="Century" w:hAnsi="Century"/>
                <w:sz w:val="28"/>
                <w:szCs w:val="28"/>
              </w:rPr>
              <w:t>,</w:t>
            </w:r>
            <w:r>
              <w:rPr>
                <w:rFonts w:ascii="Times New Roman" w:hAnsi="Times New Roman"/>
                <w:sz w:val="28"/>
                <w:szCs w:val="28"/>
              </w:rPr>
              <w:t>0</w:t>
            </w:r>
          </w:p>
          <w:p w:rsidR="00AB12B3" w:rsidRDefault="00AB12B3">
            <w:pPr>
              <w:jc w:val="center"/>
              <w:rPr>
                <w:rFonts w:ascii="Times New Roman" w:hAnsi="Times New Roman"/>
                <w:sz w:val="28"/>
                <w:szCs w:val="28"/>
              </w:rPr>
            </w:pPr>
            <w:r>
              <w:rPr>
                <w:rFonts w:ascii="Times New Roman" w:hAnsi="Times New Roman"/>
                <w:sz w:val="28"/>
                <w:szCs w:val="28"/>
              </w:rPr>
              <w:t>Ме±IQR (Q1</w:t>
            </w:r>
            <w:r w:rsidRPr="000237E7">
              <w:rPr>
                <w:rFonts w:ascii="Century" w:hAnsi="Century"/>
                <w:sz w:val="28"/>
                <w:szCs w:val="28"/>
              </w:rPr>
              <w:t>–</w:t>
            </w:r>
            <w:r>
              <w:rPr>
                <w:rFonts w:ascii="Times New Roman" w:hAnsi="Times New Roman"/>
                <w:sz w:val="28"/>
                <w:szCs w:val="28"/>
              </w:rPr>
              <w:t>Q3)</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0237E7">
        <w:trPr>
          <w:trHeight w:val="323"/>
        </w:trPr>
        <w:tc>
          <w:tcPr>
            <w:tcW w:w="269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ОХС</w:t>
            </w:r>
            <w:r w:rsidRPr="000237E7">
              <w:rPr>
                <w:rFonts w:ascii="Century" w:hAnsi="Century"/>
                <w:sz w:val="28"/>
                <w:szCs w:val="28"/>
              </w:rPr>
              <w:t>,</w:t>
            </w:r>
            <w:r>
              <w:rPr>
                <w:rFonts w:ascii="Times New Roman" w:hAnsi="Times New Roman"/>
                <w:sz w:val="28"/>
                <w:szCs w:val="28"/>
              </w:rPr>
              <w:t xml:space="preserve"> ммоль</w:t>
            </w:r>
            <w:r w:rsidRPr="000237E7">
              <w:rPr>
                <w:rFonts w:ascii="Century" w:hAnsi="Century"/>
                <w:sz w:val="28"/>
                <w:szCs w:val="28"/>
              </w:rPr>
              <w:t>/</w:t>
            </w:r>
            <w:r>
              <w:rPr>
                <w:rFonts w:ascii="Times New Roman" w:hAnsi="Times New Roman"/>
                <w:sz w:val="28"/>
                <w:szCs w:val="28"/>
              </w:rPr>
              <w:t>л, n</w:t>
            </w:r>
            <w:r w:rsidRPr="000237E7">
              <w:rPr>
                <w:rFonts w:ascii="Century" w:hAnsi="Century"/>
                <w:sz w:val="28"/>
                <w:szCs w:val="28"/>
              </w:rPr>
              <w:t>=</w:t>
            </w:r>
            <w:r>
              <w:rPr>
                <w:rFonts w:ascii="Times New Roman" w:hAnsi="Times New Roman"/>
                <w:sz w:val="28"/>
                <w:szCs w:val="28"/>
              </w:rPr>
              <w:t>580</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w:t>
            </w:r>
            <w:r w:rsidRPr="000237E7">
              <w:rPr>
                <w:rFonts w:ascii="Century" w:hAnsi="Century"/>
                <w:sz w:val="28"/>
                <w:szCs w:val="28"/>
              </w:rPr>
              <w:t>,</w:t>
            </w:r>
            <w:r>
              <w:rPr>
                <w:rFonts w:ascii="Times New Roman" w:hAnsi="Times New Roman"/>
                <w:sz w:val="28"/>
                <w:szCs w:val="28"/>
              </w:rPr>
              <w:t>31</w:t>
            </w:r>
            <w:r w:rsidRPr="000237E7">
              <w:rPr>
                <w:rFonts w:ascii="Century" w:hAnsi="Century"/>
                <w:sz w:val="28"/>
                <w:szCs w:val="28"/>
              </w:rPr>
              <w:t>±</w:t>
            </w:r>
            <w:r>
              <w:rPr>
                <w:rFonts w:ascii="Times New Roman" w:hAnsi="Times New Roman"/>
                <w:sz w:val="28"/>
                <w:szCs w:val="28"/>
              </w:rPr>
              <w:t>1</w:t>
            </w:r>
            <w:r w:rsidRPr="000237E7">
              <w:rPr>
                <w:rFonts w:ascii="Century" w:hAnsi="Century"/>
                <w:sz w:val="28"/>
                <w:szCs w:val="28"/>
              </w:rPr>
              <w:t>,</w:t>
            </w:r>
            <w:r>
              <w:rPr>
                <w:rFonts w:ascii="Times New Roman" w:hAnsi="Times New Roman"/>
                <w:sz w:val="28"/>
                <w:szCs w:val="28"/>
              </w:rPr>
              <w:t>94 (2</w:t>
            </w:r>
            <w:r w:rsidRPr="000237E7">
              <w:rPr>
                <w:rFonts w:ascii="Century" w:hAnsi="Century"/>
                <w:sz w:val="28"/>
                <w:szCs w:val="28"/>
              </w:rPr>
              <w:t>,</w:t>
            </w:r>
            <w:r>
              <w:rPr>
                <w:rFonts w:ascii="Times New Roman" w:hAnsi="Times New Roman"/>
                <w:sz w:val="28"/>
                <w:szCs w:val="28"/>
              </w:rPr>
              <w:t>51-4</w:t>
            </w:r>
            <w:r w:rsidRPr="000237E7">
              <w:rPr>
                <w:rFonts w:ascii="Century" w:hAnsi="Century"/>
                <w:sz w:val="28"/>
                <w:szCs w:val="28"/>
              </w:rPr>
              <w:t>,</w:t>
            </w:r>
            <w:r>
              <w:rPr>
                <w:rFonts w:ascii="Times New Roman" w:hAnsi="Times New Roman"/>
                <w:sz w:val="28"/>
                <w:szCs w:val="28"/>
              </w:rPr>
              <w:t>45)</w:t>
            </w:r>
          </w:p>
        </w:tc>
        <w:tc>
          <w:tcPr>
            <w:tcW w:w="283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4</w:t>
            </w:r>
            <w:r w:rsidRPr="000237E7">
              <w:rPr>
                <w:rFonts w:ascii="Century" w:hAnsi="Century"/>
                <w:sz w:val="28"/>
                <w:szCs w:val="28"/>
              </w:rPr>
              <w:t>,</w:t>
            </w:r>
            <w:r>
              <w:rPr>
                <w:rFonts w:ascii="Times New Roman" w:hAnsi="Times New Roman"/>
                <w:sz w:val="28"/>
                <w:szCs w:val="28"/>
              </w:rPr>
              <w:t>67</w:t>
            </w:r>
            <w:r w:rsidRPr="000237E7">
              <w:rPr>
                <w:rFonts w:ascii="Century" w:hAnsi="Century"/>
                <w:sz w:val="28"/>
                <w:szCs w:val="28"/>
              </w:rPr>
              <w:t>±</w:t>
            </w:r>
            <w:r>
              <w:rPr>
                <w:rFonts w:ascii="Times New Roman" w:hAnsi="Times New Roman"/>
                <w:sz w:val="28"/>
                <w:szCs w:val="28"/>
              </w:rPr>
              <w:t>1</w:t>
            </w:r>
            <w:r w:rsidRPr="000237E7">
              <w:rPr>
                <w:rFonts w:ascii="Century" w:hAnsi="Century"/>
                <w:sz w:val="28"/>
                <w:szCs w:val="28"/>
              </w:rPr>
              <w:t>,</w:t>
            </w:r>
            <w:r>
              <w:rPr>
                <w:rFonts w:ascii="Times New Roman" w:hAnsi="Times New Roman"/>
                <w:sz w:val="28"/>
                <w:szCs w:val="28"/>
              </w:rPr>
              <w:t>19 (4</w:t>
            </w:r>
            <w:r w:rsidRPr="000237E7">
              <w:rPr>
                <w:rFonts w:ascii="Century" w:hAnsi="Century"/>
                <w:sz w:val="28"/>
                <w:szCs w:val="28"/>
              </w:rPr>
              <w:t>,</w:t>
            </w:r>
            <w:r>
              <w:rPr>
                <w:rFonts w:ascii="Times New Roman" w:hAnsi="Times New Roman"/>
                <w:sz w:val="28"/>
                <w:szCs w:val="28"/>
              </w:rPr>
              <w:t>23-5</w:t>
            </w:r>
            <w:r w:rsidRPr="000237E7">
              <w:rPr>
                <w:rFonts w:ascii="Century" w:hAnsi="Century"/>
                <w:sz w:val="28"/>
                <w:szCs w:val="28"/>
              </w:rPr>
              <w:t>,</w:t>
            </w:r>
            <w:r>
              <w:rPr>
                <w:rFonts w:ascii="Times New Roman" w:hAnsi="Times New Roman"/>
                <w:sz w:val="28"/>
                <w:szCs w:val="28"/>
              </w:rPr>
              <w:t>42)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0237E7">
        <w:trPr>
          <w:trHeight w:val="323"/>
        </w:trPr>
        <w:tc>
          <w:tcPr>
            <w:tcW w:w="269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ТГ</w:t>
            </w:r>
            <w:r w:rsidRPr="000237E7">
              <w:rPr>
                <w:rFonts w:ascii="Century" w:hAnsi="Century"/>
                <w:sz w:val="28"/>
                <w:szCs w:val="28"/>
              </w:rPr>
              <w:t xml:space="preserve">, </w:t>
            </w:r>
            <w:r>
              <w:rPr>
                <w:rFonts w:ascii="Times New Roman" w:hAnsi="Times New Roman"/>
                <w:sz w:val="28"/>
                <w:szCs w:val="28"/>
              </w:rPr>
              <w:t>ммоль</w:t>
            </w:r>
            <w:r w:rsidRPr="000237E7">
              <w:rPr>
                <w:rFonts w:ascii="Century" w:hAnsi="Century"/>
                <w:sz w:val="28"/>
                <w:szCs w:val="28"/>
              </w:rPr>
              <w:t>/</w:t>
            </w:r>
            <w:r>
              <w:rPr>
                <w:rFonts w:ascii="Times New Roman" w:hAnsi="Times New Roman"/>
                <w:sz w:val="28"/>
                <w:szCs w:val="28"/>
              </w:rPr>
              <w:t>л, n</w:t>
            </w:r>
            <w:r w:rsidRPr="000237E7">
              <w:rPr>
                <w:rFonts w:ascii="Century" w:hAnsi="Century"/>
                <w:sz w:val="28"/>
                <w:szCs w:val="28"/>
              </w:rPr>
              <w:t>=</w:t>
            </w:r>
            <w:r>
              <w:rPr>
                <w:rFonts w:ascii="Times New Roman" w:hAnsi="Times New Roman"/>
                <w:sz w:val="28"/>
                <w:szCs w:val="28"/>
              </w:rPr>
              <w:t>580</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w:t>
            </w:r>
            <w:r w:rsidRPr="000237E7">
              <w:rPr>
                <w:rFonts w:ascii="Century" w:hAnsi="Century"/>
                <w:sz w:val="28"/>
                <w:szCs w:val="28"/>
              </w:rPr>
              <w:t>,</w:t>
            </w:r>
            <w:r>
              <w:rPr>
                <w:rFonts w:ascii="Times New Roman" w:hAnsi="Times New Roman"/>
                <w:sz w:val="28"/>
                <w:szCs w:val="28"/>
              </w:rPr>
              <w:t>23</w:t>
            </w:r>
            <w:r w:rsidRPr="000237E7">
              <w:rPr>
                <w:rFonts w:ascii="Century" w:hAnsi="Century"/>
                <w:sz w:val="28"/>
                <w:szCs w:val="28"/>
              </w:rPr>
              <w:t>±</w:t>
            </w:r>
            <w:r>
              <w:rPr>
                <w:rFonts w:ascii="Times New Roman" w:hAnsi="Times New Roman"/>
                <w:sz w:val="28"/>
                <w:szCs w:val="28"/>
              </w:rPr>
              <w:t>0</w:t>
            </w:r>
            <w:r w:rsidRPr="000237E7">
              <w:rPr>
                <w:rFonts w:ascii="Century" w:hAnsi="Century"/>
                <w:sz w:val="28"/>
                <w:szCs w:val="28"/>
              </w:rPr>
              <w:t>,</w:t>
            </w:r>
            <w:r>
              <w:rPr>
                <w:rFonts w:ascii="Times New Roman" w:hAnsi="Times New Roman"/>
                <w:sz w:val="28"/>
                <w:szCs w:val="28"/>
              </w:rPr>
              <w:t>86 (0</w:t>
            </w:r>
            <w:r w:rsidRPr="000237E7">
              <w:rPr>
                <w:rFonts w:ascii="Century" w:hAnsi="Century"/>
                <w:sz w:val="28"/>
                <w:szCs w:val="28"/>
              </w:rPr>
              <w:t>,</w:t>
            </w:r>
            <w:r>
              <w:rPr>
                <w:rFonts w:ascii="Times New Roman" w:hAnsi="Times New Roman"/>
                <w:sz w:val="28"/>
                <w:szCs w:val="28"/>
              </w:rPr>
              <w:t>86</w:t>
            </w:r>
            <w:r w:rsidRPr="000237E7">
              <w:rPr>
                <w:rFonts w:ascii="Century" w:hAnsi="Century"/>
                <w:sz w:val="28"/>
                <w:szCs w:val="28"/>
              </w:rPr>
              <w:t>-</w:t>
            </w:r>
            <w:r>
              <w:rPr>
                <w:rFonts w:ascii="Times New Roman" w:hAnsi="Times New Roman"/>
                <w:sz w:val="28"/>
                <w:szCs w:val="28"/>
              </w:rPr>
              <w:t>1</w:t>
            </w:r>
            <w:r w:rsidRPr="000237E7">
              <w:rPr>
                <w:rFonts w:ascii="Century" w:hAnsi="Century"/>
                <w:sz w:val="28"/>
                <w:szCs w:val="28"/>
              </w:rPr>
              <w:t>,</w:t>
            </w:r>
            <w:r>
              <w:rPr>
                <w:rFonts w:ascii="Times New Roman" w:hAnsi="Times New Roman"/>
                <w:sz w:val="28"/>
                <w:szCs w:val="28"/>
              </w:rPr>
              <w:t>73)</w:t>
            </w:r>
          </w:p>
        </w:tc>
        <w:tc>
          <w:tcPr>
            <w:tcW w:w="283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w:t>
            </w:r>
            <w:r w:rsidRPr="000237E7">
              <w:rPr>
                <w:rFonts w:ascii="Century" w:hAnsi="Century"/>
                <w:sz w:val="28"/>
                <w:szCs w:val="28"/>
              </w:rPr>
              <w:t>,</w:t>
            </w:r>
            <w:r>
              <w:rPr>
                <w:rFonts w:ascii="Times New Roman" w:hAnsi="Times New Roman"/>
                <w:sz w:val="28"/>
                <w:szCs w:val="28"/>
              </w:rPr>
              <w:t>16</w:t>
            </w:r>
            <w:r w:rsidRPr="000237E7">
              <w:rPr>
                <w:rFonts w:ascii="Century" w:hAnsi="Century"/>
                <w:sz w:val="28"/>
                <w:szCs w:val="28"/>
              </w:rPr>
              <w:t>±</w:t>
            </w:r>
            <w:r>
              <w:rPr>
                <w:rFonts w:ascii="Times New Roman" w:hAnsi="Times New Roman"/>
                <w:sz w:val="28"/>
                <w:szCs w:val="28"/>
              </w:rPr>
              <w:t>0</w:t>
            </w:r>
            <w:r w:rsidRPr="000237E7">
              <w:rPr>
                <w:rFonts w:ascii="Century" w:hAnsi="Century"/>
                <w:sz w:val="28"/>
                <w:szCs w:val="28"/>
              </w:rPr>
              <w:t>,</w:t>
            </w:r>
            <w:r>
              <w:rPr>
                <w:rFonts w:ascii="Times New Roman" w:hAnsi="Times New Roman"/>
                <w:sz w:val="28"/>
                <w:szCs w:val="28"/>
              </w:rPr>
              <w:t>94 (0</w:t>
            </w:r>
            <w:r w:rsidRPr="000237E7">
              <w:rPr>
                <w:rFonts w:ascii="Century" w:hAnsi="Century"/>
                <w:sz w:val="28"/>
                <w:szCs w:val="28"/>
              </w:rPr>
              <w:t>,</w:t>
            </w:r>
            <w:r>
              <w:rPr>
                <w:rFonts w:ascii="Times New Roman" w:hAnsi="Times New Roman"/>
                <w:sz w:val="28"/>
                <w:szCs w:val="28"/>
              </w:rPr>
              <w:t>85</w:t>
            </w:r>
            <w:r w:rsidRPr="000237E7">
              <w:rPr>
                <w:rFonts w:ascii="Century" w:hAnsi="Century"/>
                <w:sz w:val="28"/>
                <w:szCs w:val="28"/>
              </w:rPr>
              <w:t>-</w:t>
            </w:r>
            <w:r>
              <w:rPr>
                <w:rFonts w:ascii="Times New Roman" w:hAnsi="Times New Roman"/>
                <w:sz w:val="28"/>
                <w:szCs w:val="28"/>
              </w:rPr>
              <w:t>1</w:t>
            </w:r>
            <w:r w:rsidRPr="000237E7">
              <w:rPr>
                <w:rFonts w:ascii="Century" w:hAnsi="Century"/>
                <w:sz w:val="28"/>
                <w:szCs w:val="28"/>
              </w:rPr>
              <w:t>,</w:t>
            </w:r>
            <w:r>
              <w:rPr>
                <w:rFonts w:ascii="Times New Roman" w:hAnsi="Times New Roman"/>
                <w:sz w:val="28"/>
                <w:szCs w:val="28"/>
              </w:rPr>
              <w:t>79)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0237E7">
              <w:rPr>
                <w:rFonts w:ascii="Century" w:hAnsi="Century"/>
                <w:sz w:val="28"/>
                <w:szCs w:val="28"/>
              </w:rPr>
              <w:t>,</w:t>
            </w:r>
            <w:r>
              <w:rPr>
                <w:rFonts w:ascii="Times New Roman" w:hAnsi="Times New Roman"/>
                <w:sz w:val="28"/>
                <w:szCs w:val="28"/>
              </w:rPr>
              <w:t>6</w:t>
            </w:r>
          </w:p>
        </w:tc>
      </w:tr>
      <w:tr w:rsidR="00AB12B3" w:rsidTr="000237E7">
        <w:trPr>
          <w:trHeight w:val="323"/>
        </w:trPr>
        <w:tc>
          <w:tcPr>
            <w:tcW w:w="269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ЛПВП</w:t>
            </w:r>
            <w:r w:rsidRPr="000237E7">
              <w:rPr>
                <w:rFonts w:ascii="Century" w:hAnsi="Century"/>
                <w:sz w:val="28"/>
                <w:szCs w:val="28"/>
              </w:rPr>
              <w:t xml:space="preserve">, </w:t>
            </w:r>
            <w:r>
              <w:rPr>
                <w:rFonts w:ascii="Times New Roman" w:hAnsi="Times New Roman"/>
                <w:sz w:val="28"/>
                <w:szCs w:val="28"/>
              </w:rPr>
              <w:t>ммоль</w:t>
            </w:r>
            <w:r w:rsidRPr="000237E7">
              <w:rPr>
                <w:rFonts w:ascii="Century" w:hAnsi="Century"/>
                <w:sz w:val="28"/>
                <w:szCs w:val="28"/>
              </w:rPr>
              <w:t>/</w:t>
            </w:r>
            <w:r>
              <w:rPr>
                <w:rFonts w:ascii="Times New Roman" w:hAnsi="Times New Roman"/>
                <w:sz w:val="28"/>
                <w:szCs w:val="28"/>
              </w:rPr>
              <w:t>л, n</w:t>
            </w:r>
            <w:r w:rsidRPr="000237E7">
              <w:rPr>
                <w:rFonts w:ascii="Century" w:hAnsi="Century"/>
                <w:sz w:val="28"/>
                <w:szCs w:val="28"/>
              </w:rPr>
              <w:t>=</w:t>
            </w:r>
            <w:r>
              <w:rPr>
                <w:rFonts w:ascii="Times New Roman" w:hAnsi="Times New Roman"/>
                <w:sz w:val="28"/>
                <w:szCs w:val="28"/>
              </w:rPr>
              <w:t>580</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0,94±0,8 (0,7-1,5)</w:t>
            </w:r>
          </w:p>
        </w:tc>
        <w:tc>
          <w:tcPr>
            <w:tcW w:w="283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0,99±0,72 (0,72-1,44)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0,94</w:t>
            </w:r>
          </w:p>
        </w:tc>
      </w:tr>
      <w:tr w:rsidR="00AB12B3" w:rsidTr="000237E7">
        <w:trPr>
          <w:trHeight w:val="323"/>
        </w:trPr>
        <w:tc>
          <w:tcPr>
            <w:tcW w:w="269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 г/л, n=507</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0,96±0,39 (0,77-1,16)</w:t>
            </w:r>
          </w:p>
        </w:tc>
        <w:tc>
          <w:tcPr>
            <w:tcW w:w="283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1,08±0,4 (0,87-1,27)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0,002</w:t>
            </w:r>
          </w:p>
        </w:tc>
      </w:tr>
      <w:tr w:rsidR="00AB12B3" w:rsidTr="000237E7">
        <w:trPr>
          <w:trHeight w:val="323"/>
        </w:trPr>
        <w:tc>
          <w:tcPr>
            <w:tcW w:w="269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апоА1 г/л, n=507</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1,49±0,41 (1</w:t>
            </w:r>
            <w:r w:rsidRPr="000237E7">
              <w:rPr>
                <w:rFonts w:ascii="Century" w:hAnsi="Century"/>
                <w:sz w:val="28"/>
                <w:szCs w:val="28"/>
              </w:rPr>
              <w:t>,</w:t>
            </w:r>
            <w:r>
              <w:rPr>
                <w:rFonts w:ascii="Times New Roman" w:hAnsi="Times New Roman"/>
                <w:sz w:val="28"/>
                <w:szCs w:val="28"/>
              </w:rPr>
              <w:t>3-1</w:t>
            </w:r>
            <w:r w:rsidRPr="000237E7">
              <w:rPr>
                <w:rFonts w:ascii="Century" w:hAnsi="Century"/>
                <w:sz w:val="28"/>
                <w:szCs w:val="28"/>
              </w:rPr>
              <w:t>,</w:t>
            </w:r>
            <w:r>
              <w:rPr>
                <w:rFonts w:ascii="Times New Roman" w:hAnsi="Times New Roman"/>
                <w:sz w:val="28"/>
                <w:szCs w:val="28"/>
              </w:rPr>
              <w:t>71)</w:t>
            </w:r>
          </w:p>
        </w:tc>
        <w:tc>
          <w:tcPr>
            <w:tcW w:w="283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w:t>
            </w:r>
            <w:r w:rsidRPr="000237E7">
              <w:rPr>
                <w:rFonts w:ascii="Century" w:hAnsi="Century"/>
                <w:sz w:val="28"/>
                <w:szCs w:val="28"/>
              </w:rPr>
              <w:t>,</w:t>
            </w:r>
            <w:r>
              <w:rPr>
                <w:rFonts w:ascii="Times New Roman" w:hAnsi="Times New Roman"/>
                <w:sz w:val="28"/>
                <w:szCs w:val="28"/>
              </w:rPr>
              <w:t>56</w:t>
            </w:r>
            <w:r w:rsidRPr="000237E7">
              <w:rPr>
                <w:rFonts w:ascii="Century" w:hAnsi="Century"/>
                <w:sz w:val="28"/>
                <w:szCs w:val="28"/>
              </w:rPr>
              <w:t>±</w:t>
            </w:r>
            <w:r>
              <w:rPr>
                <w:rFonts w:ascii="Times New Roman" w:hAnsi="Times New Roman"/>
                <w:sz w:val="28"/>
                <w:szCs w:val="28"/>
              </w:rPr>
              <w:t>0</w:t>
            </w:r>
            <w:r w:rsidRPr="000237E7">
              <w:rPr>
                <w:rFonts w:ascii="Century" w:hAnsi="Century"/>
                <w:sz w:val="28"/>
                <w:szCs w:val="28"/>
              </w:rPr>
              <w:t>,</w:t>
            </w:r>
            <w:r>
              <w:rPr>
                <w:rFonts w:ascii="Times New Roman" w:hAnsi="Times New Roman"/>
                <w:sz w:val="28"/>
                <w:szCs w:val="28"/>
              </w:rPr>
              <w:t>39 (1</w:t>
            </w:r>
            <w:r w:rsidRPr="000237E7">
              <w:rPr>
                <w:rFonts w:ascii="Century" w:hAnsi="Century"/>
                <w:sz w:val="28"/>
                <w:szCs w:val="28"/>
              </w:rPr>
              <w:t>,</w:t>
            </w:r>
            <w:r>
              <w:rPr>
                <w:rFonts w:ascii="Times New Roman" w:hAnsi="Times New Roman"/>
                <w:sz w:val="28"/>
                <w:szCs w:val="28"/>
              </w:rPr>
              <w:t>39-1</w:t>
            </w:r>
            <w:r w:rsidRPr="000237E7">
              <w:rPr>
                <w:rFonts w:ascii="Century" w:hAnsi="Century"/>
                <w:sz w:val="28"/>
                <w:szCs w:val="28"/>
              </w:rPr>
              <w:t>,</w:t>
            </w:r>
            <w:r>
              <w:rPr>
                <w:rFonts w:ascii="Times New Roman" w:hAnsi="Times New Roman"/>
                <w:sz w:val="28"/>
                <w:szCs w:val="28"/>
              </w:rPr>
              <w:t>78)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0237E7">
              <w:rPr>
                <w:rFonts w:ascii="Century" w:hAnsi="Century"/>
                <w:sz w:val="28"/>
                <w:szCs w:val="28"/>
              </w:rPr>
              <w:t>,</w:t>
            </w:r>
            <w:r>
              <w:rPr>
                <w:rFonts w:ascii="Times New Roman" w:hAnsi="Times New Roman"/>
                <w:sz w:val="28"/>
                <w:szCs w:val="28"/>
              </w:rPr>
              <w:t>04</w:t>
            </w:r>
          </w:p>
        </w:tc>
      </w:tr>
      <w:tr w:rsidR="00AB12B3" w:rsidTr="000237E7">
        <w:trPr>
          <w:trHeight w:val="323"/>
        </w:trPr>
        <w:tc>
          <w:tcPr>
            <w:tcW w:w="269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w:t>
            </w:r>
            <w:r w:rsidRPr="00702835">
              <w:rPr>
                <w:rFonts w:ascii="Century" w:hAnsi="Century"/>
                <w:sz w:val="28"/>
                <w:szCs w:val="28"/>
              </w:rPr>
              <w:t>/</w:t>
            </w:r>
            <w:r>
              <w:rPr>
                <w:rFonts w:ascii="Times New Roman" w:hAnsi="Times New Roman"/>
                <w:sz w:val="28"/>
                <w:szCs w:val="28"/>
              </w:rPr>
              <w:t>апоА1</w:t>
            </w:r>
            <w:r w:rsidRPr="00702835">
              <w:rPr>
                <w:rFonts w:ascii="Century" w:hAnsi="Century"/>
                <w:sz w:val="28"/>
                <w:szCs w:val="28"/>
              </w:rPr>
              <w:t>,</w:t>
            </w:r>
            <w:r>
              <w:rPr>
                <w:rFonts w:ascii="Times New Roman" w:hAnsi="Times New Roman"/>
                <w:sz w:val="28"/>
                <w:szCs w:val="28"/>
              </w:rPr>
              <w:t xml:space="preserve"> n</w:t>
            </w:r>
            <w:r w:rsidRPr="00702835">
              <w:rPr>
                <w:rFonts w:ascii="Century" w:hAnsi="Century"/>
                <w:sz w:val="28"/>
                <w:szCs w:val="28"/>
              </w:rPr>
              <w:t>=</w:t>
            </w:r>
            <w:r>
              <w:rPr>
                <w:rFonts w:ascii="Times New Roman" w:hAnsi="Times New Roman"/>
                <w:sz w:val="28"/>
                <w:szCs w:val="28"/>
              </w:rPr>
              <w:t>507</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702835">
              <w:rPr>
                <w:rFonts w:ascii="Century" w:hAnsi="Century"/>
                <w:sz w:val="28"/>
                <w:szCs w:val="28"/>
              </w:rPr>
              <w:t>,</w:t>
            </w:r>
            <w:r>
              <w:rPr>
                <w:rFonts w:ascii="Times New Roman" w:hAnsi="Times New Roman"/>
                <w:sz w:val="28"/>
                <w:szCs w:val="28"/>
              </w:rPr>
              <w:t>64</w:t>
            </w:r>
            <w:r w:rsidRPr="00702835">
              <w:rPr>
                <w:rFonts w:ascii="Century" w:hAnsi="Century"/>
                <w:sz w:val="28"/>
                <w:szCs w:val="28"/>
              </w:rPr>
              <w:t>±</w:t>
            </w:r>
            <w:r>
              <w:rPr>
                <w:rFonts w:ascii="Times New Roman" w:hAnsi="Times New Roman"/>
                <w:sz w:val="28"/>
                <w:szCs w:val="28"/>
              </w:rPr>
              <w:t>0</w:t>
            </w:r>
            <w:r w:rsidRPr="00702835">
              <w:rPr>
                <w:rFonts w:ascii="Century" w:hAnsi="Century"/>
                <w:sz w:val="28"/>
                <w:szCs w:val="28"/>
              </w:rPr>
              <w:t>,</w:t>
            </w:r>
            <w:r>
              <w:rPr>
                <w:rFonts w:ascii="Times New Roman" w:hAnsi="Times New Roman"/>
                <w:sz w:val="28"/>
                <w:szCs w:val="28"/>
              </w:rPr>
              <w:t>31 (0</w:t>
            </w:r>
            <w:r w:rsidRPr="00702835">
              <w:rPr>
                <w:rFonts w:ascii="Century" w:hAnsi="Century"/>
                <w:sz w:val="28"/>
                <w:szCs w:val="28"/>
              </w:rPr>
              <w:t>,</w:t>
            </w:r>
            <w:r>
              <w:rPr>
                <w:rFonts w:ascii="Times New Roman" w:hAnsi="Times New Roman"/>
                <w:sz w:val="28"/>
                <w:szCs w:val="28"/>
              </w:rPr>
              <w:t>5-0</w:t>
            </w:r>
            <w:r w:rsidRPr="00702835">
              <w:rPr>
                <w:rFonts w:ascii="Century" w:hAnsi="Century"/>
                <w:sz w:val="28"/>
                <w:szCs w:val="28"/>
              </w:rPr>
              <w:t>,</w:t>
            </w:r>
            <w:r>
              <w:rPr>
                <w:rFonts w:ascii="Times New Roman" w:hAnsi="Times New Roman"/>
                <w:sz w:val="28"/>
                <w:szCs w:val="28"/>
              </w:rPr>
              <w:t>81)</w:t>
            </w:r>
          </w:p>
        </w:tc>
        <w:tc>
          <w:tcPr>
            <w:tcW w:w="283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702835">
              <w:rPr>
                <w:rFonts w:ascii="Century" w:hAnsi="Century"/>
                <w:sz w:val="28"/>
                <w:szCs w:val="28"/>
              </w:rPr>
              <w:t>,</w:t>
            </w:r>
            <w:r>
              <w:rPr>
                <w:rFonts w:ascii="Times New Roman" w:hAnsi="Times New Roman"/>
                <w:sz w:val="28"/>
                <w:szCs w:val="28"/>
              </w:rPr>
              <w:t>69</w:t>
            </w:r>
            <w:r w:rsidRPr="00702835">
              <w:rPr>
                <w:rFonts w:ascii="Century" w:hAnsi="Century"/>
                <w:sz w:val="28"/>
                <w:szCs w:val="28"/>
              </w:rPr>
              <w:t>±</w:t>
            </w:r>
            <w:r>
              <w:rPr>
                <w:rFonts w:ascii="Times New Roman" w:hAnsi="Times New Roman"/>
                <w:sz w:val="28"/>
                <w:szCs w:val="28"/>
              </w:rPr>
              <w:t>0</w:t>
            </w:r>
            <w:r w:rsidRPr="00702835">
              <w:rPr>
                <w:rFonts w:ascii="Century" w:hAnsi="Century"/>
                <w:sz w:val="28"/>
                <w:szCs w:val="28"/>
              </w:rPr>
              <w:t>,</w:t>
            </w:r>
            <w:r>
              <w:rPr>
                <w:rFonts w:ascii="Times New Roman" w:hAnsi="Times New Roman"/>
                <w:sz w:val="28"/>
                <w:szCs w:val="28"/>
              </w:rPr>
              <w:t>33 (0</w:t>
            </w:r>
            <w:r w:rsidRPr="00702835">
              <w:rPr>
                <w:rFonts w:ascii="Century" w:hAnsi="Century"/>
                <w:sz w:val="28"/>
                <w:szCs w:val="28"/>
              </w:rPr>
              <w:t>,</w:t>
            </w:r>
            <w:r>
              <w:rPr>
                <w:rFonts w:ascii="Times New Roman" w:hAnsi="Times New Roman"/>
                <w:sz w:val="28"/>
                <w:szCs w:val="28"/>
              </w:rPr>
              <w:t>53-0</w:t>
            </w:r>
            <w:r w:rsidRPr="00702835">
              <w:rPr>
                <w:rFonts w:ascii="Century" w:hAnsi="Century"/>
                <w:sz w:val="28"/>
                <w:szCs w:val="28"/>
              </w:rPr>
              <w:t>,</w:t>
            </w:r>
            <w:r>
              <w:rPr>
                <w:rFonts w:ascii="Times New Roman" w:hAnsi="Times New Roman"/>
                <w:sz w:val="28"/>
                <w:szCs w:val="28"/>
              </w:rPr>
              <w:t>87)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702835">
              <w:rPr>
                <w:rFonts w:ascii="Century" w:hAnsi="Century"/>
                <w:sz w:val="28"/>
                <w:szCs w:val="28"/>
              </w:rPr>
              <w:t>,</w:t>
            </w:r>
            <w:r>
              <w:rPr>
                <w:rFonts w:ascii="Times New Roman" w:hAnsi="Times New Roman"/>
                <w:sz w:val="28"/>
                <w:szCs w:val="28"/>
              </w:rPr>
              <w:t>15</w:t>
            </w:r>
          </w:p>
        </w:tc>
      </w:tr>
      <w:tr w:rsidR="00AB12B3" w:rsidTr="000237E7">
        <w:trPr>
          <w:trHeight w:val="323"/>
        </w:trPr>
        <w:tc>
          <w:tcPr>
            <w:tcW w:w="269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Инсулин</w:t>
            </w:r>
            <w:r w:rsidRPr="00702835">
              <w:rPr>
                <w:rFonts w:ascii="Century" w:hAnsi="Century"/>
                <w:sz w:val="28"/>
                <w:szCs w:val="28"/>
              </w:rPr>
              <w:t>,</w:t>
            </w:r>
            <w:r>
              <w:rPr>
                <w:rFonts w:ascii="Times New Roman" w:hAnsi="Times New Roman"/>
                <w:sz w:val="28"/>
                <w:szCs w:val="28"/>
              </w:rPr>
              <w:t xml:space="preserve"> мкМЕ</w:t>
            </w:r>
            <w:r w:rsidRPr="00702835">
              <w:rPr>
                <w:rFonts w:ascii="Century" w:hAnsi="Century"/>
                <w:sz w:val="28"/>
                <w:szCs w:val="28"/>
              </w:rPr>
              <w:t>/</w:t>
            </w:r>
            <w:r>
              <w:rPr>
                <w:rFonts w:ascii="Times New Roman" w:hAnsi="Times New Roman"/>
                <w:sz w:val="28"/>
                <w:szCs w:val="28"/>
              </w:rPr>
              <w:t>мл,</w:t>
            </w:r>
          </w:p>
          <w:p w:rsidR="00AB12B3" w:rsidRDefault="00AB12B3">
            <w:pPr>
              <w:jc w:val="center"/>
              <w:rPr>
                <w:rFonts w:ascii="Times New Roman" w:hAnsi="Times New Roman"/>
                <w:sz w:val="28"/>
                <w:szCs w:val="28"/>
              </w:rPr>
            </w:pPr>
            <w:r>
              <w:rPr>
                <w:rFonts w:ascii="Times New Roman" w:hAnsi="Times New Roman"/>
                <w:sz w:val="28"/>
                <w:szCs w:val="28"/>
              </w:rPr>
              <w:t>n</w:t>
            </w:r>
            <w:r w:rsidRPr="00702835">
              <w:rPr>
                <w:rFonts w:ascii="Century" w:hAnsi="Century"/>
                <w:sz w:val="28"/>
                <w:szCs w:val="28"/>
              </w:rPr>
              <w:t>=</w:t>
            </w:r>
            <w:r>
              <w:rPr>
                <w:rFonts w:ascii="Times New Roman" w:hAnsi="Times New Roman"/>
                <w:sz w:val="28"/>
                <w:szCs w:val="28"/>
              </w:rPr>
              <w:t>507</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9</w:t>
            </w:r>
            <w:r w:rsidRPr="00702835">
              <w:rPr>
                <w:rFonts w:ascii="Century" w:hAnsi="Century"/>
                <w:sz w:val="28"/>
                <w:szCs w:val="28"/>
              </w:rPr>
              <w:t>,</w:t>
            </w:r>
            <w:r>
              <w:rPr>
                <w:rFonts w:ascii="Times New Roman" w:hAnsi="Times New Roman"/>
                <w:sz w:val="28"/>
                <w:szCs w:val="28"/>
              </w:rPr>
              <w:t>4</w:t>
            </w:r>
            <w:r w:rsidRPr="00702835">
              <w:rPr>
                <w:rFonts w:ascii="Century" w:hAnsi="Century"/>
                <w:sz w:val="28"/>
                <w:szCs w:val="28"/>
              </w:rPr>
              <w:t>±</w:t>
            </w:r>
            <w:r>
              <w:rPr>
                <w:rFonts w:ascii="Times New Roman" w:hAnsi="Times New Roman"/>
                <w:sz w:val="28"/>
                <w:szCs w:val="28"/>
              </w:rPr>
              <w:t>9</w:t>
            </w:r>
            <w:r w:rsidRPr="00702835">
              <w:rPr>
                <w:rFonts w:ascii="Century" w:hAnsi="Century"/>
                <w:sz w:val="28"/>
                <w:szCs w:val="28"/>
              </w:rPr>
              <w:t>,</w:t>
            </w:r>
            <w:r>
              <w:rPr>
                <w:rFonts w:ascii="Times New Roman" w:hAnsi="Times New Roman"/>
                <w:sz w:val="28"/>
                <w:szCs w:val="28"/>
              </w:rPr>
              <w:t>17 (6</w:t>
            </w:r>
            <w:r w:rsidRPr="00702835">
              <w:rPr>
                <w:rFonts w:ascii="Century" w:hAnsi="Century"/>
                <w:sz w:val="28"/>
                <w:szCs w:val="28"/>
              </w:rPr>
              <w:t>,</w:t>
            </w:r>
            <w:r>
              <w:rPr>
                <w:rFonts w:ascii="Times New Roman" w:hAnsi="Times New Roman"/>
                <w:sz w:val="28"/>
                <w:szCs w:val="28"/>
              </w:rPr>
              <w:t>02</w:t>
            </w:r>
            <w:r w:rsidRPr="00702835">
              <w:rPr>
                <w:rFonts w:ascii="Century" w:hAnsi="Century"/>
                <w:sz w:val="28"/>
                <w:szCs w:val="28"/>
              </w:rPr>
              <w:t>-</w:t>
            </w:r>
            <w:r>
              <w:rPr>
                <w:rFonts w:ascii="Times New Roman" w:hAnsi="Times New Roman"/>
                <w:sz w:val="28"/>
                <w:szCs w:val="28"/>
              </w:rPr>
              <w:t>15</w:t>
            </w:r>
            <w:r w:rsidRPr="00702835">
              <w:rPr>
                <w:rFonts w:ascii="Century" w:hAnsi="Century"/>
                <w:sz w:val="28"/>
                <w:szCs w:val="28"/>
              </w:rPr>
              <w:t>,</w:t>
            </w:r>
            <w:r>
              <w:rPr>
                <w:rFonts w:ascii="Times New Roman" w:hAnsi="Times New Roman"/>
                <w:sz w:val="28"/>
                <w:szCs w:val="28"/>
              </w:rPr>
              <w:t>2)</w:t>
            </w:r>
          </w:p>
        </w:tc>
        <w:tc>
          <w:tcPr>
            <w:tcW w:w="283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7</w:t>
            </w:r>
            <w:r w:rsidRPr="00702835">
              <w:rPr>
                <w:rFonts w:ascii="Century" w:hAnsi="Century"/>
                <w:sz w:val="28"/>
                <w:szCs w:val="28"/>
              </w:rPr>
              <w:t>,</w:t>
            </w:r>
            <w:r>
              <w:rPr>
                <w:rFonts w:ascii="Times New Roman" w:hAnsi="Times New Roman"/>
                <w:sz w:val="28"/>
                <w:szCs w:val="28"/>
              </w:rPr>
              <w:t>8</w:t>
            </w:r>
            <w:r w:rsidRPr="00702835">
              <w:rPr>
                <w:rFonts w:ascii="Century" w:hAnsi="Century"/>
                <w:sz w:val="28"/>
                <w:szCs w:val="28"/>
              </w:rPr>
              <w:t>±</w:t>
            </w:r>
            <w:r>
              <w:rPr>
                <w:rFonts w:ascii="Times New Roman" w:hAnsi="Times New Roman"/>
                <w:sz w:val="28"/>
                <w:szCs w:val="28"/>
              </w:rPr>
              <w:t>6</w:t>
            </w:r>
            <w:r w:rsidRPr="00702835">
              <w:rPr>
                <w:rFonts w:ascii="Century" w:hAnsi="Century"/>
                <w:sz w:val="28"/>
                <w:szCs w:val="28"/>
              </w:rPr>
              <w:t>,</w:t>
            </w:r>
            <w:r>
              <w:rPr>
                <w:rFonts w:ascii="Times New Roman" w:hAnsi="Times New Roman"/>
                <w:sz w:val="28"/>
                <w:szCs w:val="28"/>
              </w:rPr>
              <w:t>2 (5</w:t>
            </w:r>
            <w:r w:rsidRPr="00702835">
              <w:rPr>
                <w:rFonts w:ascii="Century" w:hAnsi="Century"/>
                <w:sz w:val="28"/>
                <w:szCs w:val="28"/>
              </w:rPr>
              <w:t>,</w:t>
            </w:r>
            <w:r>
              <w:rPr>
                <w:rFonts w:ascii="Times New Roman" w:hAnsi="Times New Roman"/>
                <w:sz w:val="28"/>
                <w:szCs w:val="28"/>
              </w:rPr>
              <w:t>1</w:t>
            </w:r>
            <w:r w:rsidRPr="00702835">
              <w:rPr>
                <w:rFonts w:ascii="Century" w:hAnsi="Century"/>
                <w:sz w:val="28"/>
                <w:szCs w:val="28"/>
              </w:rPr>
              <w:t>-</w:t>
            </w:r>
            <w:r>
              <w:rPr>
                <w:rFonts w:ascii="Times New Roman" w:hAnsi="Times New Roman"/>
                <w:sz w:val="28"/>
                <w:szCs w:val="28"/>
              </w:rPr>
              <w:t>11</w:t>
            </w:r>
            <w:r w:rsidRPr="00702835">
              <w:rPr>
                <w:rFonts w:ascii="Century" w:hAnsi="Century"/>
                <w:sz w:val="28"/>
                <w:szCs w:val="28"/>
              </w:rPr>
              <w:t>,</w:t>
            </w:r>
            <w:r>
              <w:rPr>
                <w:rFonts w:ascii="Times New Roman" w:hAnsi="Times New Roman"/>
                <w:sz w:val="28"/>
                <w:szCs w:val="28"/>
              </w:rPr>
              <w:t>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702835">
              <w:rPr>
                <w:rFonts w:ascii="Century" w:hAnsi="Century"/>
                <w:sz w:val="28"/>
                <w:szCs w:val="28"/>
              </w:rPr>
              <w:t>,</w:t>
            </w:r>
            <w:r>
              <w:rPr>
                <w:rFonts w:ascii="Times New Roman" w:hAnsi="Times New Roman"/>
                <w:sz w:val="28"/>
                <w:szCs w:val="28"/>
              </w:rPr>
              <w:t>012</w:t>
            </w:r>
          </w:p>
        </w:tc>
      </w:tr>
      <w:tr w:rsidR="00AB12B3" w:rsidTr="000237E7">
        <w:trPr>
          <w:trHeight w:val="323"/>
        </w:trPr>
        <w:tc>
          <w:tcPr>
            <w:tcW w:w="269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глюкоза, ммоль/л, n=580</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5,48±1,86 (4,44-6,3)</w:t>
            </w:r>
          </w:p>
        </w:tc>
        <w:tc>
          <w:tcPr>
            <w:tcW w:w="283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5,67±1,98 (4,62-6,6)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0,16</w:t>
            </w:r>
          </w:p>
        </w:tc>
      </w:tr>
      <w:tr w:rsidR="00AB12B3" w:rsidTr="000237E7">
        <w:trPr>
          <w:trHeight w:val="323"/>
        </w:trPr>
        <w:tc>
          <w:tcPr>
            <w:tcW w:w="269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HOMA-IR, n=507</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2,22±2,44 (1,35-3,79)</w:t>
            </w:r>
          </w:p>
        </w:tc>
        <w:tc>
          <w:tcPr>
            <w:tcW w:w="283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1,76±2,11 (1,18-3,29)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0,078</w:t>
            </w:r>
          </w:p>
        </w:tc>
      </w:tr>
      <w:tr w:rsidR="00AB12B3" w:rsidTr="00A467D3">
        <w:trPr>
          <w:trHeight w:val="442"/>
        </w:trPr>
        <w:tc>
          <w:tcPr>
            <w:tcW w:w="9360" w:type="dxa"/>
            <w:gridSpan w:val="4"/>
            <w:tcBorders>
              <w:top w:val="single" w:sz="4" w:space="0" w:color="auto"/>
              <w:left w:val="single" w:sz="4" w:space="0" w:color="auto"/>
              <w:bottom w:val="single" w:sz="4" w:space="0" w:color="auto"/>
              <w:right w:val="single" w:sz="4" w:space="0" w:color="auto"/>
            </w:tcBorders>
            <w:hideMark/>
          </w:tcPr>
          <w:p w:rsidR="00B324BD" w:rsidRPr="00B96E35" w:rsidRDefault="00AB12B3" w:rsidP="00B324BD">
            <w:pPr>
              <w:jc w:val="both"/>
              <w:rPr>
                <w:rFonts w:ascii="Times New Roman" w:hAnsi="Times New Roman"/>
                <w:sz w:val="20"/>
                <w:szCs w:val="20"/>
                <w:lang w:val="kk-KZ"/>
              </w:rPr>
            </w:pPr>
            <w:r w:rsidRPr="00B96E35">
              <w:rPr>
                <w:rFonts w:ascii="Times New Roman" w:hAnsi="Times New Roman"/>
                <w:sz w:val="20"/>
                <w:szCs w:val="20"/>
              </w:rPr>
              <w:t xml:space="preserve">Примечание *Критерий Манна-Уитни; </w:t>
            </w:r>
          </w:p>
          <w:p w:rsidR="00AB12B3" w:rsidRDefault="00AB12B3" w:rsidP="00B324BD">
            <w:pPr>
              <w:jc w:val="both"/>
              <w:rPr>
                <w:rFonts w:ascii="Times New Roman" w:hAnsi="Times New Roman"/>
                <w:sz w:val="20"/>
                <w:szCs w:val="20"/>
              </w:rPr>
            </w:pPr>
            <w:r w:rsidRPr="00B96E35">
              <w:rPr>
                <w:rFonts w:ascii="Times New Roman" w:hAnsi="Times New Roman"/>
                <w:sz w:val="20"/>
                <w:szCs w:val="20"/>
              </w:rPr>
              <w:t>Ме±IQR (Q1 – Q3) – Медиана ± межквартильный диапазон (1 квартиль – 3 квартиль)</w:t>
            </w:r>
          </w:p>
        </w:tc>
      </w:tr>
    </w:tbl>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При изучении взаимосвязи между группами ЛПНП и биохимически</w:t>
      </w:r>
      <w:r w:rsidR="00AD6D17">
        <w:rPr>
          <w:rFonts w:ascii="Times New Roman" w:hAnsi="Times New Roman" w:cs="Times New Roman"/>
          <w:sz w:val="28"/>
          <w:szCs w:val="28"/>
        </w:rPr>
        <w:t>ми</w:t>
      </w:r>
      <w:r>
        <w:rPr>
          <w:rFonts w:ascii="Times New Roman" w:hAnsi="Times New Roman" w:cs="Times New Roman"/>
          <w:sz w:val="28"/>
          <w:szCs w:val="28"/>
        </w:rPr>
        <w:t xml:space="preserve"> показател</w:t>
      </w:r>
      <w:r w:rsidR="00AD6D17">
        <w:rPr>
          <w:rFonts w:ascii="Times New Roman" w:hAnsi="Times New Roman" w:cs="Times New Roman"/>
          <w:sz w:val="28"/>
          <w:szCs w:val="28"/>
        </w:rPr>
        <w:t>ями</w:t>
      </w:r>
      <w:r>
        <w:rPr>
          <w:rFonts w:ascii="Times New Roman" w:hAnsi="Times New Roman" w:cs="Times New Roman"/>
          <w:sz w:val="28"/>
          <w:szCs w:val="28"/>
        </w:rPr>
        <w:t xml:space="preserve"> связь была выявлена только с уровнем ОХС (таблица 19). При гиперхолестеринемии шанс развития повышенного уровня ЛПНП повышался в 3,9 раз выше. Это можно объяснить, тем что, ЛПНП в основном состоит из ХС </w:t>
      </w:r>
      <w:r w:rsidR="00EA0E64">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10.11909/j.issn.1671-5411.2018.01.011","ISSN":"1671-5411","author":[{"dropping-particle":"","family":"Zhu","given":"Jun-Ren","non-dropping-particle":"","parse-names":false,"suffix":""},{"dropping-particle":"","family":"Gao","given":"Run-Lin","non-dropping-particle":"","parse-names":false,"suffix":""},{"dropping-particle":"","family":"Zhao","given":"Shui-Ping","non-dropping-particle":"","parse-names":false,"suffix":""},{"dropping-particle":"","family":"Lu","given":"Guo-Ping","non-dropping-particle":"","parse-names":false,"suffix":""},{"dropping-particle":"","family":"Zhao","given":"Dong","non-dropping-particle":"","parse-names":false,"suffix":""},{"dropping-particle":"","family":"Li","given":"Jian-Jun","non-dropping-particle":"","parse-names":false,"suffix":""}],"container-title":"Journal of geriatric cardiology","id":"ITEM-1","issue":"1","issued":{"date-parts":[["2018"]]},"page":"1-29","title":"2016 Chinese guidelines for the management of dyslipidemia in adults.","type":"article-journal","volume":"15"},"uris":["http://www.mendeley.com/documents/?uuid=e958d0e8-ef8e-4422-8a1c-ccb76ea9659e"]}],"mendeley":{"formattedCitation":"[20]","manualFormatting":"[20, р. 5]","plainTextFormattedCitation":"[20]","previouslyFormattedCitation":"[20]"},"properties":{"noteIndex":0},"schema":"https://github.com/citation-style-language/schema/raw/master/csl-citation.json"}</w:instrText>
      </w:r>
      <w:r w:rsidR="00EA0E64">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[20</w:t>
      </w:r>
      <w:r w:rsidR="00F87DB7">
        <w:rPr>
          <w:rFonts w:ascii="Times New Roman" w:hAnsi="Times New Roman" w:cs="Times New Roman"/>
          <w:noProof/>
          <w:sz w:val="28"/>
          <w:szCs w:val="28"/>
        </w:rPr>
        <w:t>, р. 5</w:t>
      </w:r>
      <w:r w:rsidR="00F87DB7" w:rsidRPr="00F87DB7">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B324BD" w:rsidRDefault="00B324BD" w:rsidP="00AB12B3">
      <w:pPr>
        <w:spacing w:after="0" w:line="240" w:lineRule="auto"/>
        <w:jc w:val="both"/>
        <w:rPr>
          <w:rFonts w:ascii="Times New Roman" w:hAnsi="Times New Roman" w:cs="Times New Roman"/>
          <w:sz w:val="28"/>
          <w:szCs w:val="28"/>
          <w:lang w:val="kk-KZ"/>
        </w:rPr>
      </w:pPr>
    </w:p>
    <w:p w:rsidR="00AB12B3" w:rsidRDefault="00AB12B3" w:rsidP="00AB12B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Таблица 19 </w:t>
      </w:r>
      <w:r w:rsidR="00162472">
        <w:rPr>
          <w:rFonts w:ascii="Times New Roman" w:hAnsi="Times New Roman" w:cs="Times New Roman"/>
          <w:sz w:val="28"/>
          <w:szCs w:val="28"/>
          <w:lang w:val="kk-KZ"/>
        </w:rPr>
        <w:t xml:space="preserve">- </w:t>
      </w:r>
      <w:r>
        <w:rPr>
          <w:rFonts w:ascii="Times New Roman" w:hAnsi="Times New Roman" w:cs="Times New Roman"/>
          <w:sz w:val="28"/>
          <w:szCs w:val="28"/>
        </w:rPr>
        <w:t>Распределение биохимических показателей по группам ЛПНП</w:t>
      </w:r>
    </w:p>
    <w:p w:rsidR="00E83EC5" w:rsidRPr="00E83EC5" w:rsidRDefault="00E83EC5" w:rsidP="00AB12B3">
      <w:pPr>
        <w:spacing w:after="0" w:line="240" w:lineRule="auto"/>
        <w:jc w:val="both"/>
        <w:rPr>
          <w:rFonts w:ascii="Times New Roman" w:hAnsi="Times New Roman" w:cs="Times New Roman"/>
          <w:sz w:val="28"/>
          <w:szCs w:val="28"/>
          <w:lang w:val="kk-KZ"/>
        </w:rPr>
      </w:pPr>
    </w:p>
    <w:tbl>
      <w:tblPr>
        <w:tblStyle w:val="af7"/>
        <w:tblW w:w="9243" w:type="dxa"/>
        <w:tblInd w:w="108" w:type="dxa"/>
        <w:tblLayout w:type="fixed"/>
        <w:tblLook w:val="04A0" w:firstRow="1" w:lastRow="0" w:firstColumn="1" w:lastColumn="0" w:noHBand="0" w:noVBand="1"/>
      </w:tblPr>
      <w:tblGrid>
        <w:gridCol w:w="2297"/>
        <w:gridCol w:w="1559"/>
        <w:gridCol w:w="1134"/>
        <w:gridCol w:w="1134"/>
        <w:gridCol w:w="2098"/>
        <w:gridCol w:w="1021"/>
      </w:tblGrid>
      <w:tr w:rsidR="00AB12B3" w:rsidTr="00E2359E">
        <w:trPr>
          <w:trHeight w:val="385"/>
        </w:trPr>
        <w:tc>
          <w:tcPr>
            <w:tcW w:w="3856"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2268"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ЛПНП</w:t>
            </w:r>
            <w:r w:rsidRPr="00E2359E">
              <w:rPr>
                <w:rFonts w:ascii="Century" w:hAnsi="Century"/>
                <w:sz w:val="28"/>
                <w:szCs w:val="28"/>
              </w:rPr>
              <w:t>,</w:t>
            </w:r>
            <w:r>
              <w:rPr>
                <w:rFonts w:ascii="Times New Roman" w:hAnsi="Times New Roman"/>
                <w:sz w:val="28"/>
                <w:szCs w:val="28"/>
              </w:rPr>
              <w:t xml:space="preserve"> ммоль</w:t>
            </w:r>
            <w:r w:rsidRPr="00E2359E">
              <w:rPr>
                <w:rFonts w:ascii="Century" w:hAnsi="Century"/>
                <w:sz w:val="28"/>
                <w:szCs w:val="28"/>
              </w:rPr>
              <w:t>/</w:t>
            </w:r>
            <w:r>
              <w:rPr>
                <w:rFonts w:ascii="Times New Roman" w:hAnsi="Times New Roman"/>
                <w:sz w:val="28"/>
                <w:szCs w:val="28"/>
              </w:rPr>
              <w:t xml:space="preserve">л </w:t>
            </w:r>
          </w:p>
        </w:tc>
        <w:tc>
          <w:tcPr>
            <w:tcW w:w="2098"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ОШ (95</w:t>
            </w:r>
            <w:r w:rsidRPr="00E2359E">
              <w:rPr>
                <w:rFonts w:ascii="Century" w:hAnsi="Century"/>
                <w:sz w:val="28"/>
                <w:szCs w:val="28"/>
              </w:rPr>
              <w:t xml:space="preserve">% </w:t>
            </w:r>
            <w:r>
              <w:rPr>
                <w:rFonts w:ascii="Times New Roman" w:hAnsi="Times New Roman"/>
                <w:sz w:val="28"/>
                <w:szCs w:val="28"/>
              </w:rPr>
              <w:t>ДИ)</w:t>
            </w:r>
          </w:p>
        </w:tc>
        <w:tc>
          <w:tcPr>
            <w:tcW w:w="1021"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E2359E">
        <w:trPr>
          <w:trHeight w:val="387"/>
        </w:trPr>
        <w:tc>
          <w:tcPr>
            <w:tcW w:w="3856" w:type="dxa"/>
            <w:gridSpan w:val="2"/>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E2359E">
              <w:rPr>
                <w:rFonts w:ascii="Century" w:hAnsi="Century"/>
                <w:sz w:val="28"/>
                <w:szCs w:val="28"/>
              </w:rPr>
              <w:t>≤</w:t>
            </w:r>
            <w:r>
              <w:rPr>
                <w:rFonts w:ascii="Times New Roman" w:hAnsi="Times New Roman"/>
                <w:sz w:val="28"/>
                <w:szCs w:val="28"/>
              </w:rPr>
              <w:t>3</w:t>
            </w:r>
            <w:r w:rsidRPr="00E2359E">
              <w:rPr>
                <w:rFonts w:ascii="Century" w:hAnsi="Century"/>
                <w:sz w:val="28"/>
                <w:szCs w:val="28"/>
              </w:rPr>
              <w:t>,</w:t>
            </w:r>
            <w:r>
              <w:rPr>
                <w:rFonts w:ascii="Times New Roman" w:hAnsi="Times New Roman"/>
                <w:sz w:val="28"/>
                <w:szCs w:val="28"/>
              </w:rPr>
              <w:t>0 n</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E2359E">
              <w:rPr>
                <w:rFonts w:ascii="Century" w:hAnsi="Century"/>
                <w:sz w:val="28"/>
                <w:szCs w:val="28"/>
              </w:rPr>
              <w:t>&gt;</w:t>
            </w:r>
            <w:r>
              <w:rPr>
                <w:rFonts w:ascii="Times New Roman" w:hAnsi="Times New Roman"/>
                <w:sz w:val="28"/>
                <w:szCs w:val="28"/>
              </w:rPr>
              <w:t>3</w:t>
            </w:r>
            <w:r w:rsidRPr="00E2359E">
              <w:rPr>
                <w:rFonts w:ascii="Century" w:hAnsi="Century"/>
                <w:sz w:val="28"/>
                <w:szCs w:val="28"/>
              </w:rPr>
              <w:t>,</w:t>
            </w:r>
            <w:r>
              <w:rPr>
                <w:rFonts w:ascii="Times New Roman" w:hAnsi="Times New Roman"/>
                <w:sz w:val="28"/>
                <w:szCs w:val="28"/>
              </w:rPr>
              <w:t>0 n</w:t>
            </w:r>
          </w:p>
        </w:tc>
        <w:tc>
          <w:tcPr>
            <w:tcW w:w="209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E2359E">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ОХС</w:t>
            </w:r>
            <w:r w:rsidRPr="00E2359E">
              <w:rPr>
                <w:rFonts w:ascii="Century" w:hAnsi="Century"/>
                <w:sz w:val="28"/>
                <w:szCs w:val="28"/>
              </w:rPr>
              <w:t xml:space="preserve">, </w:t>
            </w:r>
            <w:r>
              <w:rPr>
                <w:rFonts w:ascii="Times New Roman" w:hAnsi="Times New Roman"/>
                <w:sz w:val="28"/>
                <w:szCs w:val="28"/>
              </w:rPr>
              <w:t>ммоль</w:t>
            </w:r>
            <w:r w:rsidRPr="00E2359E">
              <w:rPr>
                <w:rFonts w:ascii="Century" w:hAnsi="Century"/>
                <w:sz w:val="28"/>
                <w:szCs w:val="28"/>
              </w:rPr>
              <w:t>/</w:t>
            </w:r>
            <w:r>
              <w:rPr>
                <w:rFonts w:ascii="Times New Roman" w:hAnsi="Times New Roman"/>
                <w:sz w:val="28"/>
                <w:szCs w:val="28"/>
              </w:rPr>
              <w:t>л</w:t>
            </w:r>
          </w:p>
          <w:p w:rsidR="00AB12B3" w:rsidRDefault="00AB12B3">
            <w:pPr>
              <w:jc w:val="center"/>
              <w:rPr>
                <w:rFonts w:ascii="Times New Roman" w:hAnsi="Times New Roman"/>
                <w:sz w:val="28"/>
                <w:szCs w:val="28"/>
              </w:rPr>
            </w:pPr>
            <w:r>
              <w:rPr>
                <w:rFonts w:ascii="Times New Roman" w:hAnsi="Times New Roman"/>
                <w:sz w:val="28"/>
                <w:szCs w:val="28"/>
              </w:rPr>
              <w:t>n</w:t>
            </w:r>
            <w:r w:rsidRPr="00E2359E">
              <w:rPr>
                <w:rFonts w:ascii="Century" w:hAnsi="Century"/>
                <w:sz w:val="28"/>
                <w:szCs w:val="28"/>
              </w:rPr>
              <w:t>=</w:t>
            </w:r>
            <w:r>
              <w:rPr>
                <w:rFonts w:ascii="Times New Roman" w:hAnsi="Times New Roman"/>
                <w:sz w:val="28"/>
                <w:szCs w:val="28"/>
              </w:rPr>
              <w:t>580</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E2359E">
              <w:rPr>
                <w:rFonts w:ascii="Century" w:hAnsi="Century"/>
                <w:sz w:val="28"/>
                <w:szCs w:val="28"/>
              </w:rPr>
              <w:t>≤</w:t>
            </w:r>
            <w:r>
              <w:rPr>
                <w:rFonts w:ascii="Times New Roman" w:hAnsi="Times New Roman"/>
                <w:sz w:val="28"/>
                <w:szCs w:val="28"/>
              </w:rPr>
              <w:t xml:space="preserve">4,9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432</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56</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E51D8D">
              <w:rPr>
                <w:rFonts w:ascii="Century" w:hAnsi="Century"/>
                <w:sz w:val="28"/>
                <w:szCs w:val="28"/>
              </w:rPr>
              <w:t>,</w:t>
            </w:r>
            <w:r>
              <w:rPr>
                <w:rFonts w:ascii="Times New Roman" w:hAnsi="Times New Roman"/>
                <w:sz w:val="28"/>
                <w:szCs w:val="28"/>
              </w:rPr>
              <w:t>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E2359E">
              <w:rPr>
                <w:rFonts w:ascii="Century" w:hAnsi="Century"/>
                <w:sz w:val="28"/>
                <w:szCs w:val="28"/>
              </w:rPr>
              <w:t>,</w:t>
            </w:r>
            <w:r>
              <w:rPr>
                <w:rFonts w:ascii="Times New Roman" w:hAnsi="Times New Roman"/>
                <w:sz w:val="28"/>
                <w:szCs w:val="28"/>
              </w:rPr>
              <w:t>0001</w:t>
            </w:r>
          </w:p>
        </w:tc>
      </w:tr>
      <w:tr w:rsidR="00AB12B3" w:rsidTr="00E2359E">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E2359E">
              <w:rPr>
                <w:rFonts w:ascii="Century" w:hAnsi="Century"/>
                <w:sz w:val="28"/>
                <w:szCs w:val="28"/>
              </w:rPr>
              <w:t>&gt;</w:t>
            </w:r>
            <w:r>
              <w:rPr>
                <w:rFonts w:ascii="Times New Roman" w:hAnsi="Times New Roman"/>
                <w:sz w:val="28"/>
                <w:szCs w:val="28"/>
              </w:rPr>
              <w:t xml:space="preserve">4,9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61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31</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w:t>
            </w:r>
            <w:r w:rsidRPr="00E51D8D">
              <w:rPr>
                <w:rFonts w:ascii="Century" w:hAnsi="Century"/>
                <w:sz w:val="28"/>
                <w:szCs w:val="28"/>
              </w:rPr>
              <w:t>,</w:t>
            </w:r>
            <w:r>
              <w:rPr>
                <w:rFonts w:ascii="Times New Roman" w:hAnsi="Times New Roman"/>
                <w:sz w:val="28"/>
                <w:szCs w:val="28"/>
              </w:rPr>
              <w:t>9 (2</w:t>
            </w:r>
            <w:r w:rsidRPr="00E51D8D">
              <w:rPr>
                <w:rFonts w:ascii="Century" w:hAnsi="Century"/>
                <w:sz w:val="28"/>
                <w:szCs w:val="28"/>
              </w:rPr>
              <w:t>,</w:t>
            </w:r>
            <w:r>
              <w:rPr>
                <w:rFonts w:ascii="Times New Roman" w:hAnsi="Times New Roman"/>
                <w:sz w:val="28"/>
                <w:szCs w:val="28"/>
              </w:rPr>
              <w:t>34</w:t>
            </w:r>
            <w:r w:rsidRPr="00E51D8D">
              <w:rPr>
                <w:rFonts w:ascii="Century" w:hAnsi="Century"/>
                <w:sz w:val="28"/>
                <w:szCs w:val="28"/>
              </w:rPr>
              <w:t>-</w:t>
            </w:r>
            <w:r>
              <w:rPr>
                <w:rFonts w:ascii="Times New Roman" w:hAnsi="Times New Roman"/>
                <w:sz w:val="28"/>
                <w:szCs w:val="28"/>
              </w:rPr>
              <w:t>6</w:t>
            </w:r>
            <w:r w:rsidRPr="00E51D8D">
              <w:rPr>
                <w:rFonts w:ascii="Century" w:hAnsi="Century"/>
                <w:sz w:val="28"/>
                <w:szCs w:val="28"/>
              </w:rPr>
              <w:t>,</w:t>
            </w:r>
            <w:r>
              <w:rPr>
                <w:rFonts w:ascii="Times New Roman" w:hAnsi="Times New Roman"/>
                <w:sz w:val="28"/>
                <w:szCs w:val="28"/>
              </w:rPr>
              <w:t>56)</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E2359E">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ТГ</w:t>
            </w:r>
            <w:r w:rsidRPr="00E2359E">
              <w:rPr>
                <w:rFonts w:ascii="Century" w:hAnsi="Century"/>
                <w:sz w:val="28"/>
                <w:szCs w:val="28"/>
              </w:rPr>
              <w:t>,</w:t>
            </w:r>
            <w:r>
              <w:rPr>
                <w:rFonts w:ascii="Times New Roman" w:hAnsi="Times New Roman"/>
                <w:sz w:val="28"/>
                <w:szCs w:val="28"/>
              </w:rPr>
              <w:t xml:space="preserve"> ммоль</w:t>
            </w:r>
            <w:r w:rsidRPr="00E2359E">
              <w:rPr>
                <w:rFonts w:ascii="Century" w:hAnsi="Century"/>
                <w:sz w:val="28"/>
                <w:szCs w:val="28"/>
              </w:rPr>
              <w:t>/</w:t>
            </w:r>
            <w:r>
              <w:rPr>
                <w:rFonts w:ascii="Times New Roman" w:hAnsi="Times New Roman"/>
                <w:sz w:val="28"/>
                <w:szCs w:val="28"/>
              </w:rPr>
              <w:t>л</w:t>
            </w:r>
          </w:p>
          <w:p w:rsidR="00AB12B3" w:rsidRDefault="00AB12B3">
            <w:pPr>
              <w:jc w:val="center"/>
              <w:rPr>
                <w:rFonts w:ascii="Times New Roman" w:hAnsi="Times New Roman"/>
                <w:sz w:val="28"/>
                <w:szCs w:val="28"/>
              </w:rPr>
            </w:pPr>
            <w:r>
              <w:rPr>
                <w:rFonts w:ascii="Times New Roman" w:hAnsi="Times New Roman"/>
                <w:sz w:val="28"/>
                <w:szCs w:val="28"/>
              </w:rPr>
              <w:t>n</w:t>
            </w:r>
            <w:r w:rsidRPr="00E2359E">
              <w:rPr>
                <w:rFonts w:ascii="Century" w:hAnsi="Century"/>
                <w:sz w:val="28"/>
                <w:szCs w:val="28"/>
              </w:rPr>
              <w:t>=</w:t>
            </w:r>
            <w:r>
              <w:rPr>
                <w:rFonts w:ascii="Times New Roman" w:hAnsi="Times New Roman"/>
                <w:sz w:val="28"/>
                <w:szCs w:val="28"/>
              </w:rPr>
              <w:t>580</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E2359E">
              <w:rPr>
                <w:rFonts w:ascii="Century" w:hAnsi="Century"/>
                <w:sz w:val="28"/>
                <w:szCs w:val="28"/>
              </w:rPr>
              <w:t>≤</w:t>
            </w:r>
            <w:r>
              <w:rPr>
                <w:rFonts w:ascii="Times New Roman" w:hAnsi="Times New Roman"/>
                <w:sz w:val="28"/>
                <w:szCs w:val="28"/>
              </w:rPr>
              <w:t>1</w:t>
            </w:r>
            <w:r w:rsidRPr="00E2359E">
              <w:rPr>
                <w:rFonts w:ascii="Century" w:hAnsi="Century"/>
                <w:sz w:val="28"/>
                <w:szCs w:val="28"/>
              </w:rPr>
              <w:t>,</w:t>
            </w:r>
            <w:r>
              <w:rPr>
                <w:rFonts w:ascii="Times New Roman" w:hAnsi="Times New Roman"/>
                <w:sz w:val="28"/>
                <w:szCs w:val="28"/>
              </w:rPr>
              <w:t>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366</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63</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E2359E">
              <w:rPr>
                <w:rFonts w:ascii="Century" w:hAnsi="Century"/>
                <w:sz w:val="28"/>
                <w:szCs w:val="28"/>
              </w:rPr>
              <w:t>,</w:t>
            </w:r>
            <w:r>
              <w:rPr>
                <w:rFonts w:ascii="Times New Roman" w:hAnsi="Times New Roman"/>
                <w:sz w:val="28"/>
                <w:szCs w:val="28"/>
              </w:rPr>
              <w:t>72</w:t>
            </w:r>
          </w:p>
        </w:tc>
      </w:tr>
      <w:tr w:rsidR="00AB12B3" w:rsidTr="00E2359E">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sidRPr="00E2359E">
              <w:rPr>
                <w:rFonts w:ascii="Century" w:hAnsi="Century"/>
                <w:sz w:val="28"/>
                <w:szCs w:val="28"/>
              </w:rPr>
              <w:t>&gt;</w:t>
            </w:r>
            <w:r>
              <w:rPr>
                <w:rFonts w:ascii="Times New Roman" w:hAnsi="Times New Roman"/>
                <w:sz w:val="28"/>
                <w:szCs w:val="28"/>
              </w:rPr>
              <w:t>1</w:t>
            </w:r>
            <w:r w:rsidRPr="00E2359E">
              <w:rPr>
                <w:rFonts w:ascii="Century" w:hAnsi="Century"/>
                <w:sz w:val="28"/>
                <w:szCs w:val="28"/>
              </w:rPr>
              <w:t>,</w:t>
            </w:r>
            <w:r>
              <w:rPr>
                <w:rFonts w:ascii="Times New Roman" w:hAnsi="Times New Roman"/>
                <w:sz w:val="28"/>
                <w:szCs w:val="28"/>
              </w:rPr>
              <w:t>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127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24</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E2359E">
              <w:rPr>
                <w:rFonts w:ascii="Century" w:hAnsi="Century"/>
                <w:sz w:val="28"/>
                <w:szCs w:val="28"/>
              </w:rPr>
              <w:t>,</w:t>
            </w:r>
            <w:r>
              <w:rPr>
                <w:rFonts w:ascii="Times New Roman" w:hAnsi="Times New Roman"/>
                <w:sz w:val="28"/>
                <w:szCs w:val="28"/>
              </w:rPr>
              <w:t>1 (0</w:t>
            </w:r>
            <w:r w:rsidRPr="00E2359E">
              <w:rPr>
                <w:rFonts w:ascii="Century" w:hAnsi="Century"/>
                <w:sz w:val="28"/>
                <w:szCs w:val="28"/>
              </w:rPr>
              <w:t>,</w:t>
            </w:r>
            <w:r>
              <w:rPr>
                <w:rFonts w:ascii="Times New Roman" w:hAnsi="Times New Roman"/>
                <w:sz w:val="28"/>
                <w:szCs w:val="28"/>
              </w:rPr>
              <w:t>66</w:t>
            </w:r>
            <w:r w:rsidRPr="00E2359E">
              <w:rPr>
                <w:rFonts w:ascii="Century" w:hAnsi="Century"/>
                <w:sz w:val="28"/>
                <w:szCs w:val="28"/>
              </w:rPr>
              <w:t>-</w:t>
            </w:r>
            <w:r>
              <w:rPr>
                <w:rFonts w:ascii="Times New Roman" w:hAnsi="Times New Roman"/>
                <w:sz w:val="28"/>
                <w:szCs w:val="28"/>
              </w:rPr>
              <w:t>1</w:t>
            </w:r>
            <w:r w:rsidRPr="00E2359E">
              <w:rPr>
                <w:rFonts w:ascii="Century" w:hAnsi="Century"/>
                <w:sz w:val="28"/>
                <w:szCs w:val="28"/>
              </w:rPr>
              <w:t>,</w:t>
            </w:r>
            <w:r>
              <w:rPr>
                <w:rFonts w:ascii="Times New Roman" w:hAnsi="Times New Roman"/>
                <w:sz w:val="28"/>
                <w:szCs w:val="28"/>
              </w:rPr>
              <w:t>83)</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E2359E">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ЛПВП</w:t>
            </w:r>
            <w:r w:rsidRPr="00E2359E">
              <w:rPr>
                <w:rFonts w:ascii="Century" w:hAnsi="Century"/>
                <w:sz w:val="28"/>
                <w:szCs w:val="28"/>
              </w:rPr>
              <w:t>,</w:t>
            </w:r>
            <w:r>
              <w:rPr>
                <w:rFonts w:ascii="Times New Roman" w:hAnsi="Times New Roman"/>
                <w:sz w:val="28"/>
                <w:szCs w:val="28"/>
              </w:rPr>
              <w:t xml:space="preserve"> ммоль</w:t>
            </w:r>
            <w:r w:rsidRPr="00E2359E">
              <w:rPr>
                <w:rFonts w:ascii="Century" w:hAnsi="Century"/>
                <w:sz w:val="28"/>
                <w:szCs w:val="28"/>
              </w:rPr>
              <w:t>/</w:t>
            </w:r>
            <w:r>
              <w:rPr>
                <w:rFonts w:ascii="Times New Roman" w:hAnsi="Times New Roman"/>
                <w:sz w:val="28"/>
                <w:szCs w:val="28"/>
              </w:rPr>
              <w:t>л n</w:t>
            </w:r>
            <w:r w:rsidRPr="00E2359E">
              <w:rPr>
                <w:rFonts w:ascii="Century" w:hAnsi="Century"/>
                <w:sz w:val="28"/>
                <w:szCs w:val="28"/>
              </w:rPr>
              <w:t>=</w:t>
            </w:r>
            <w:r>
              <w:rPr>
                <w:rFonts w:ascii="Times New Roman" w:hAnsi="Times New Roman"/>
                <w:sz w:val="28"/>
                <w:szCs w:val="28"/>
              </w:rPr>
              <w:t>580</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Муж</w:t>
            </w:r>
            <w:r w:rsidRPr="00E2359E">
              <w:rPr>
                <w:rFonts w:ascii="Century" w:hAnsi="Century"/>
                <w:sz w:val="28"/>
                <w:szCs w:val="28"/>
              </w:rPr>
              <w:t xml:space="preserve"> ≥</w:t>
            </w:r>
            <w:r>
              <w:rPr>
                <w:rFonts w:ascii="Times New Roman" w:hAnsi="Times New Roman"/>
                <w:sz w:val="28"/>
                <w:szCs w:val="28"/>
              </w:rPr>
              <w:t>1</w:t>
            </w:r>
            <w:r w:rsidRPr="00E2359E">
              <w:rPr>
                <w:rFonts w:ascii="Century" w:hAnsi="Century"/>
                <w:sz w:val="28"/>
                <w:szCs w:val="28"/>
              </w:rPr>
              <w:t>,</w:t>
            </w:r>
            <w:r>
              <w:rPr>
                <w:rFonts w:ascii="Times New Roman" w:hAnsi="Times New Roman"/>
                <w:sz w:val="28"/>
                <w:szCs w:val="28"/>
              </w:rPr>
              <w:t>0</w:t>
            </w:r>
          </w:p>
          <w:p w:rsidR="00AB12B3" w:rsidRDefault="00AB12B3">
            <w:pPr>
              <w:jc w:val="center"/>
            </w:pPr>
            <w:r>
              <w:rPr>
                <w:rFonts w:ascii="Times New Roman" w:hAnsi="Times New Roman"/>
                <w:sz w:val="28"/>
                <w:szCs w:val="28"/>
              </w:rPr>
              <w:t xml:space="preserve">Жен </w:t>
            </w:r>
            <w:r w:rsidRPr="00E2359E">
              <w:rPr>
                <w:rFonts w:ascii="Century" w:hAnsi="Century"/>
                <w:sz w:val="28"/>
                <w:szCs w:val="28"/>
              </w:rPr>
              <w:t>≥</w:t>
            </w:r>
            <w:r>
              <w:rPr>
                <w:rFonts w:ascii="Times New Roman" w:hAnsi="Times New Roman"/>
                <w:sz w:val="28"/>
                <w:szCs w:val="28"/>
              </w:rPr>
              <w:t>1</w:t>
            </w:r>
            <w:r w:rsidRPr="00E2359E">
              <w:rPr>
                <w:rFonts w:ascii="Century" w:hAnsi="Century"/>
                <w:sz w:val="28"/>
                <w:szCs w:val="28"/>
              </w:rPr>
              <w:t>,</w:t>
            </w:r>
            <w:r>
              <w:rPr>
                <w:rFonts w:ascii="Times New Roman" w:hAnsi="Times New Roman"/>
                <w:sz w:val="28"/>
                <w:szCs w:val="28"/>
              </w:rPr>
              <w:t>2</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196</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36</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E2359E">
              <w:rPr>
                <w:rFonts w:ascii="Century" w:hAnsi="Century"/>
                <w:sz w:val="28"/>
                <w:szCs w:val="28"/>
              </w:rPr>
              <w:t>,</w:t>
            </w:r>
            <w:r>
              <w:rPr>
                <w:rFonts w:ascii="Times New Roman" w:hAnsi="Times New Roman"/>
                <w:sz w:val="28"/>
                <w:szCs w:val="28"/>
              </w:rPr>
              <w:t>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E51D8D">
              <w:rPr>
                <w:rFonts w:ascii="Century" w:hAnsi="Century"/>
                <w:sz w:val="28"/>
                <w:szCs w:val="28"/>
              </w:rPr>
              <w:t>,</w:t>
            </w:r>
            <w:r>
              <w:rPr>
                <w:rFonts w:ascii="Times New Roman" w:hAnsi="Times New Roman"/>
                <w:sz w:val="28"/>
                <w:szCs w:val="28"/>
              </w:rPr>
              <w:t>78</w:t>
            </w:r>
          </w:p>
        </w:tc>
      </w:tr>
      <w:tr w:rsidR="00AB12B3" w:rsidTr="00E2359E">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Муж </w:t>
            </w:r>
            <w:r w:rsidRPr="00E51D8D">
              <w:rPr>
                <w:rFonts w:ascii="Century" w:hAnsi="Century"/>
                <w:sz w:val="28"/>
                <w:szCs w:val="28"/>
              </w:rPr>
              <w:t>&lt;</w:t>
            </w:r>
            <w:r>
              <w:rPr>
                <w:rFonts w:ascii="Times New Roman" w:hAnsi="Times New Roman"/>
                <w:sz w:val="28"/>
                <w:szCs w:val="28"/>
              </w:rPr>
              <w:t>1,0</w:t>
            </w:r>
          </w:p>
          <w:p w:rsidR="00AB12B3" w:rsidRDefault="00AB12B3">
            <w:pPr>
              <w:jc w:val="center"/>
              <w:rPr>
                <w:rFonts w:ascii="Times New Roman" w:hAnsi="Times New Roman"/>
                <w:sz w:val="28"/>
                <w:szCs w:val="28"/>
              </w:rPr>
            </w:pPr>
            <w:r>
              <w:rPr>
                <w:rFonts w:ascii="Times New Roman" w:hAnsi="Times New Roman"/>
                <w:sz w:val="28"/>
                <w:szCs w:val="28"/>
              </w:rPr>
              <w:t xml:space="preserve">Жен </w:t>
            </w:r>
            <w:r w:rsidRPr="00E51D8D">
              <w:rPr>
                <w:rFonts w:ascii="Century" w:hAnsi="Century"/>
                <w:sz w:val="28"/>
                <w:szCs w:val="28"/>
              </w:rPr>
              <w:t>&lt;</w:t>
            </w:r>
            <w:r>
              <w:rPr>
                <w:rFonts w:ascii="Times New Roman" w:hAnsi="Times New Roman"/>
                <w:sz w:val="28"/>
                <w:szCs w:val="28"/>
              </w:rPr>
              <w:t>1,2</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297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51</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0,93 (0,59-1,49)</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E2359E">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 г/л</w:t>
            </w:r>
          </w:p>
          <w:p w:rsidR="00AB12B3" w:rsidRDefault="00AB12B3">
            <w:pPr>
              <w:jc w:val="center"/>
              <w:rPr>
                <w:rFonts w:ascii="Times New Roman" w:hAnsi="Times New Roman"/>
                <w:sz w:val="28"/>
                <w:szCs w:val="28"/>
              </w:rPr>
            </w:pPr>
            <w:r>
              <w:rPr>
                <w:rFonts w:ascii="Times New Roman" w:hAnsi="Times New Roman"/>
                <w:sz w:val="28"/>
                <w:szCs w:val="28"/>
              </w:rPr>
              <w:t xml:space="preserve"> n=507</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&lt;0,9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179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19</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0,054</w:t>
            </w:r>
          </w:p>
        </w:tc>
      </w:tr>
      <w:tr w:rsidR="00AB12B3" w:rsidTr="00E2359E">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261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48</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1,73 (0,98-3,05)</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E2359E">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апоА1 г/л</w:t>
            </w:r>
          </w:p>
          <w:p w:rsidR="00AB12B3" w:rsidRDefault="00AB12B3">
            <w:pPr>
              <w:jc w:val="center"/>
              <w:rPr>
                <w:rFonts w:ascii="Times New Roman" w:hAnsi="Times New Roman"/>
                <w:sz w:val="28"/>
                <w:szCs w:val="28"/>
              </w:rPr>
            </w:pPr>
            <w:r>
              <w:rPr>
                <w:rFonts w:ascii="Times New Roman" w:hAnsi="Times New Roman"/>
                <w:sz w:val="28"/>
                <w:szCs w:val="28"/>
              </w:rPr>
              <w:t>n=507</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color w:val="000000"/>
                <w:sz w:val="28"/>
                <w:szCs w:val="28"/>
              </w:rPr>
            </w:pPr>
            <w:r>
              <w:rPr>
                <w:rFonts w:ascii="Times New Roman" w:hAnsi="Times New Roman"/>
                <w:color w:val="000000"/>
                <w:sz w:val="28"/>
                <w:szCs w:val="28"/>
              </w:rPr>
              <w:t>Муж ≥1,04</w:t>
            </w:r>
          </w:p>
          <w:p w:rsidR="00AB12B3" w:rsidRDefault="00AB12B3">
            <w:pPr>
              <w:jc w:val="center"/>
              <w:rPr>
                <w:rFonts w:ascii="Times New Roman" w:hAnsi="Times New Roman"/>
                <w:sz w:val="28"/>
                <w:szCs w:val="28"/>
              </w:rPr>
            </w:pPr>
            <w:r>
              <w:rPr>
                <w:rFonts w:ascii="Times New Roman" w:hAnsi="Times New Roman"/>
                <w:color w:val="000000"/>
                <w:sz w:val="28"/>
                <w:szCs w:val="28"/>
              </w:rPr>
              <w:t xml:space="preserve">Жен ≥1,08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413</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63</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w:t>
            </w:r>
          </w:p>
        </w:tc>
      </w:tr>
      <w:tr w:rsidR="00AB12B3" w:rsidTr="00E2359E">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color w:val="000000"/>
                <w:sz w:val="28"/>
                <w:szCs w:val="28"/>
              </w:rPr>
            </w:pPr>
            <w:r>
              <w:rPr>
                <w:rFonts w:ascii="Times New Roman" w:hAnsi="Times New Roman"/>
                <w:color w:val="000000"/>
                <w:sz w:val="28"/>
                <w:szCs w:val="28"/>
              </w:rPr>
              <w:t xml:space="preserve">Муж </w:t>
            </w:r>
            <w:r w:rsidRPr="00E51D8D">
              <w:rPr>
                <w:rFonts w:ascii="Century" w:hAnsi="Century"/>
                <w:color w:val="000000"/>
                <w:sz w:val="28"/>
                <w:szCs w:val="28"/>
              </w:rPr>
              <w:t>&lt;</w:t>
            </w:r>
            <w:r>
              <w:rPr>
                <w:rFonts w:ascii="Times New Roman" w:hAnsi="Times New Roman"/>
                <w:color w:val="000000"/>
                <w:sz w:val="28"/>
                <w:szCs w:val="28"/>
              </w:rPr>
              <w:t>1</w:t>
            </w:r>
            <w:r w:rsidRPr="009A1A8B">
              <w:rPr>
                <w:rFonts w:ascii="Century" w:hAnsi="Century"/>
                <w:color w:val="000000"/>
                <w:sz w:val="28"/>
                <w:szCs w:val="28"/>
              </w:rPr>
              <w:t>,</w:t>
            </w:r>
            <w:r>
              <w:rPr>
                <w:rFonts w:ascii="Times New Roman" w:hAnsi="Times New Roman"/>
                <w:color w:val="000000"/>
                <w:sz w:val="28"/>
                <w:szCs w:val="28"/>
              </w:rPr>
              <w:t>04</w:t>
            </w:r>
          </w:p>
          <w:p w:rsidR="00AB12B3" w:rsidRDefault="00AB12B3">
            <w:pPr>
              <w:jc w:val="center"/>
              <w:rPr>
                <w:rFonts w:ascii="Times New Roman" w:hAnsi="Times New Roman"/>
                <w:color w:val="000000"/>
                <w:sz w:val="28"/>
                <w:szCs w:val="28"/>
              </w:rPr>
            </w:pPr>
            <w:r>
              <w:rPr>
                <w:rFonts w:ascii="Times New Roman" w:hAnsi="Times New Roman"/>
                <w:color w:val="000000"/>
                <w:sz w:val="28"/>
                <w:szCs w:val="28"/>
              </w:rPr>
              <w:t xml:space="preserve">Жен </w:t>
            </w:r>
            <w:r w:rsidRPr="00E51D8D">
              <w:rPr>
                <w:rFonts w:ascii="Century" w:hAnsi="Century"/>
                <w:color w:val="000000"/>
                <w:sz w:val="28"/>
                <w:szCs w:val="28"/>
              </w:rPr>
              <w:t>&lt;</w:t>
            </w:r>
            <w:r>
              <w:rPr>
                <w:rFonts w:ascii="Times New Roman" w:hAnsi="Times New Roman"/>
                <w:color w:val="000000"/>
                <w:sz w:val="28"/>
                <w:szCs w:val="28"/>
              </w:rPr>
              <w:t>1</w:t>
            </w:r>
            <w:r w:rsidRPr="009A1A8B">
              <w:rPr>
                <w:rFonts w:ascii="Century" w:hAnsi="Century"/>
                <w:color w:val="000000"/>
                <w:sz w:val="28"/>
                <w:szCs w:val="28"/>
              </w:rPr>
              <w:t>,</w:t>
            </w:r>
            <w:r>
              <w:rPr>
                <w:rFonts w:ascii="Times New Roman" w:hAnsi="Times New Roman"/>
                <w:color w:val="000000"/>
                <w:sz w:val="28"/>
                <w:szCs w:val="28"/>
              </w:rPr>
              <w:t>08</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28</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9A1A8B">
              <w:rPr>
                <w:rFonts w:ascii="Century" w:hAnsi="Century"/>
                <w:sz w:val="28"/>
                <w:szCs w:val="28"/>
              </w:rPr>
              <w:t>,</w:t>
            </w:r>
            <w:r>
              <w:rPr>
                <w:rFonts w:ascii="Times New Roman" w:hAnsi="Times New Roman"/>
                <w:sz w:val="28"/>
                <w:szCs w:val="28"/>
              </w:rPr>
              <w:t>94 (0</w:t>
            </w:r>
            <w:r w:rsidRPr="009A1A8B">
              <w:rPr>
                <w:rFonts w:ascii="Century" w:hAnsi="Century"/>
                <w:sz w:val="28"/>
                <w:szCs w:val="28"/>
              </w:rPr>
              <w:t>,</w:t>
            </w:r>
            <w:r>
              <w:rPr>
                <w:rFonts w:ascii="Times New Roman" w:hAnsi="Times New Roman"/>
                <w:sz w:val="28"/>
                <w:szCs w:val="28"/>
              </w:rPr>
              <w:t>32-2</w:t>
            </w:r>
            <w:r w:rsidRPr="009A1A8B">
              <w:rPr>
                <w:rFonts w:ascii="Century" w:hAnsi="Century"/>
                <w:sz w:val="28"/>
                <w:szCs w:val="28"/>
              </w:rPr>
              <w:t>,</w:t>
            </w:r>
            <w:r>
              <w:rPr>
                <w:rFonts w:ascii="Times New Roman" w:hAnsi="Times New Roman"/>
                <w:sz w:val="28"/>
                <w:szCs w:val="28"/>
              </w:rPr>
              <w:t>76)</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E2359E">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w:t>
            </w:r>
            <w:r w:rsidRPr="009A1A8B">
              <w:rPr>
                <w:rFonts w:ascii="Century" w:hAnsi="Century"/>
                <w:sz w:val="28"/>
                <w:szCs w:val="28"/>
              </w:rPr>
              <w:t>/</w:t>
            </w:r>
            <w:r>
              <w:rPr>
                <w:rFonts w:ascii="Times New Roman" w:hAnsi="Times New Roman"/>
                <w:sz w:val="28"/>
                <w:szCs w:val="28"/>
              </w:rPr>
              <w:t>апоА1</w:t>
            </w:r>
          </w:p>
          <w:p w:rsidR="00AB12B3" w:rsidRDefault="00AB12B3">
            <w:pPr>
              <w:jc w:val="center"/>
              <w:rPr>
                <w:rFonts w:ascii="Times New Roman" w:hAnsi="Times New Roman"/>
                <w:sz w:val="28"/>
                <w:szCs w:val="28"/>
              </w:rPr>
            </w:pPr>
            <w:r>
              <w:rPr>
                <w:rFonts w:ascii="Times New Roman" w:hAnsi="Times New Roman"/>
                <w:sz w:val="28"/>
                <w:szCs w:val="28"/>
              </w:rPr>
              <w:t>n</w:t>
            </w:r>
            <w:r w:rsidRPr="009A1A8B">
              <w:rPr>
                <w:rFonts w:ascii="Century" w:hAnsi="Century"/>
                <w:sz w:val="28"/>
                <w:szCs w:val="28"/>
              </w:rPr>
              <w:t>=</w:t>
            </w:r>
            <w:r>
              <w:rPr>
                <w:rFonts w:ascii="Times New Roman" w:hAnsi="Times New Roman"/>
                <w:sz w:val="28"/>
                <w:szCs w:val="28"/>
              </w:rPr>
              <w:t>507</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9A1A8B">
              <w:rPr>
                <w:rFonts w:ascii="Century" w:hAnsi="Century"/>
                <w:sz w:val="28"/>
                <w:szCs w:val="28"/>
              </w:rPr>
              <w:t>≤</w:t>
            </w:r>
            <w:r>
              <w:rPr>
                <w:rFonts w:ascii="Times New Roman" w:hAnsi="Times New Roman"/>
                <w:sz w:val="28"/>
                <w:szCs w:val="28"/>
              </w:rPr>
              <w:t>0</w:t>
            </w:r>
            <w:r w:rsidRPr="009A1A8B">
              <w:rPr>
                <w:rFonts w:ascii="Century" w:hAnsi="Century"/>
                <w:sz w:val="28"/>
                <w:szCs w:val="28"/>
              </w:rPr>
              <w:t>,</w:t>
            </w:r>
            <w:r>
              <w:rPr>
                <w:rFonts w:ascii="Times New Roman" w:hAnsi="Times New Roman"/>
                <w:sz w:val="28"/>
                <w:szCs w:val="28"/>
              </w:rPr>
              <w:t>85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347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49</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9A1A8B">
              <w:rPr>
                <w:rFonts w:ascii="Century" w:hAnsi="Century"/>
                <w:sz w:val="28"/>
                <w:szCs w:val="28"/>
              </w:rPr>
              <w:t>,</w:t>
            </w:r>
            <w:r>
              <w:rPr>
                <w:rFonts w:ascii="Times New Roman" w:hAnsi="Times New Roman"/>
                <w:sz w:val="28"/>
                <w:szCs w:val="28"/>
              </w:rPr>
              <w:t>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9A1A8B">
              <w:rPr>
                <w:rFonts w:ascii="Century" w:hAnsi="Century"/>
                <w:sz w:val="28"/>
                <w:szCs w:val="28"/>
              </w:rPr>
              <w:t>,</w:t>
            </w:r>
            <w:r>
              <w:rPr>
                <w:rFonts w:ascii="Times New Roman" w:hAnsi="Times New Roman"/>
                <w:sz w:val="28"/>
                <w:szCs w:val="28"/>
              </w:rPr>
              <w:t>29</w:t>
            </w:r>
          </w:p>
        </w:tc>
      </w:tr>
      <w:tr w:rsidR="00AB12B3" w:rsidTr="00E2359E">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9A1A8B">
              <w:rPr>
                <w:rFonts w:ascii="Century" w:hAnsi="Century"/>
                <w:sz w:val="28"/>
                <w:szCs w:val="28"/>
              </w:rPr>
              <w:t>&gt;</w:t>
            </w:r>
            <w:r>
              <w:rPr>
                <w:rFonts w:ascii="Times New Roman" w:hAnsi="Times New Roman"/>
                <w:sz w:val="28"/>
                <w:szCs w:val="28"/>
              </w:rPr>
              <w:t>0</w:t>
            </w:r>
            <w:r w:rsidRPr="009A1A8B">
              <w:rPr>
                <w:rFonts w:ascii="Century" w:hAnsi="Century"/>
                <w:sz w:val="28"/>
                <w:szCs w:val="28"/>
              </w:rPr>
              <w:t>,</w:t>
            </w:r>
            <w:r>
              <w:rPr>
                <w:rFonts w:ascii="Times New Roman" w:hAnsi="Times New Roman"/>
                <w:sz w:val="28"/>
                <w:szCs w:val="28"/>
              </w:rPr>
              <w:t>85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93</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18</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9A1A8B">
              <w:rPr>
                <w:rFonts w:ascii="Century" w:hAnsi="Century"/>
                <w:sz w:val="28"/>
                <w:szCs w:val="28"/>
              </w:rPr>
              <w:t>,</w:t>
            </w:r>
            <w:r>
              <w:rPr>
                <w:rFonts w:ascii="Times New Roman" w:hAnsi="Times New Roman"/>
                <w:sz w:val="28"/>
                <w:szCs w:val="28"/>
              </w:rPr>
              <w:t>37 (0</w:t>
            </w:r>
            <w:r w:rsidRPr="009A1A8B">
              <w:rPr>
                <w:rFonts w:ascii="Century" w:hAnsi="Century"/>
                <w:sz w:val="28"/>
                <w:szCs w:val="28"/>
              </w:rPr>
              <w:t>,</w:t>
            </w:r>
            <w:r>
              <w:rPr>
                <w:rFonts w:ascii="Times New Roman" w:hAnsi="Times New Roman"/>
                <w:sz w:val="28"/>
                <w:szCs w:val="28"/>
              </w:rPr>
              <w:t>76-2</w:t>
            </w:r>
            <w:r w:rsidRPr="009A1A8B">
              <w:rPr>
                <w:rFonts w:ascii="Century" w:hAnsi="Century"/>
                <w:sz w:val="28"/>
                <w:szCs w:val="28"/>
              </w:rPr>
              <w:t>,</w:t>
            </w:r>
            <w:r>
              <w:rPr>
                <w:rFonts w:ascii="Times New Roman" w:hAnsi="Times New Roman"/>
                <w:sz w:val="28"/>
                <w:szCs w:val="28"/>
              </w:rPr>
              <w:t>46)</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E2359E">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Инсулин</w:t>
            </w:r>
            <w:r w:rsidRPr="009A1A8B">
              <w:rPr>
                <w:rFonts w:ascii="Century" w:hAnsi="Century"/>
                <w:sz w:val="28"/>
                <w:szCs w:val="28"/>
              </w:rPr>
              <w:t xml:space="preserve">, </w:t>
            </w:r>
            <w:r>
              <w:rPr>
                <w:rFonts w:ascii="Times New Roman" w:hAnsi="Times New Roman"/>
                <w:sz w:val="28"/>
                <w:szCs w:val="28"/>
              </w:rPr>
              <w:t>мкМЕ</w:t>
            </w:r>
            <w:r w:rsidRPr="009A1A8B">
              <w:rPr>
                <w:rFonts w:ascii="Century" w:hAnsi="Century"/>
                <w:sz w:val="28"/>
                <w:szCs w:val="28"/>
              </w:rPr>
              <w:t>/</w:t>
            </w:r>
            <w:r>
              <w:rPr>
                <w:rFonts w:ascii="Times New Roman" w:hAnsi="Times New Roman"/>
                <w:sz w:val="28"/>
                <w:szCs w:val="28"/>
              </w:rPr>
              <w:t>мл n</w:t>
            </w:r>
            <w:r w:rsidRPr="009A1A8B">
              <w:rPr>
                <w:rFonts w:ascii="Century" w:hAnsi="Century"/>
                <w:sz w:val="28"/>
                <w:szCs w:val="28"/>
              </w:rPr>
              <w:t>=</w:t>
            </w:r>
            <w:r>
              <w:rPr>
                <w:rFonts w:ascii="Times New Roman" w:hAnsi="Times New Roman"/>
                <w:sz w:val="28"/>
                <w:szCs w:val="28"/>
              </w:rPr>
              <w:t>507</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≤24</w:t>
            </w:r>
            <w:r w:rsidRPr="009A1A8B">
              <w:rPr>
                <w:rFonts w:ascii="Century" w:hAnsi="Century"/>
                <w:sz w:val="28"/>
                <w:szCs w:val="28"/>
              </w:rPr>
              <w:t>,</w:t>
            </w:r>
            <w:r>
              <w:rPr>
                <w:rFonts w:ascii="Times New Roman" w:hAnsi="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399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65</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9A1A8B">
              <w:rPr>
                <w:rFonts w:ascii="Century" w:hAnsi="Century"/>
                <w:sz w:val="28"/>
                <w:szCs w:val="28"/>
              </w:rPr>
              <w:t>,</w:t>
            </w:r>
            <w:r>
              <w:rPr>
                <w:rFonts w:ascii="Times New Roman" w:hAnsi="Times New Roman"/>
                <w:sz w:val="28"/>
                <w:szCs w:val="28"/>
              </w:rPr>
              <w:t>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9A1A8B">
              <w:rPr>
                <w:rFonts w:ascii="Century" w:hAnsi="Century"/>
                <w:sz w:val="28"/>
                <w:szCs w:val="28"/>
              </w:rPr>
              <w:t>,</w:t>
            </w:r>
            <w:r>
              <w:rPr>
                <w:rFonts w:ascii="Times New Roman" w:hAnsi="Times New Roman"/>
                <w:sz w:val="28"/>
                <w:szCs w:val="28"/>
              </w:rPr>
              <w:t>08</w:t>
            </w:r>
          </w:p>
        </w:tc>
      </w:tr>
      <w:tr w:rsidR="00AB12B3" w:rsidTr="00E2359E">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9A1A8B">
              <w:rPr>
                <w:rFonts w:ascii="Century" w:hAnsi="Century"/>
                <w:sz w:val="28"/>
                <w:szCs w:val="28"/>
              </w:rPr>
              <w:t>&gt;</w:t>
            </w:r>
            <w:r>
              <w:rPr>
                <w:rFonts w:ascii="Times New Roman" w:hAnsi="Times New Roman"/>
                <w:sz w:val="28"/>
                <w:szCs w:val="28"/>
              </w:rPr>
              <w:t>24</w:t>
            </w:r>
            <w:r w:rsidRPr="009A1A8B">
              <w:rPr>
                <w:rFonts w:ascii="Century" w:hAnsi="Century"/>
                <w:sz w:val="28"/>
                <w:szCs w:val="28"/>
              </w:rPr>
              <w:t>,</w:t>
            </w:r>
            <w:r>
              <w:rPr>
                <w:rFonts w:ascii="Times New Roman" w:hAnsi="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9A1A8B">
              <w:rPr>
                <w:rFonts w:ascii="Century" w:hAnsi="Century"/>
                <w:sz w:val="28"/>
                <w:szCs w:val="28"/>
              </w:rPr>
              <w:t>,</w:t>
            </w:r>
            <w:r>
              <w:rPr>
                <w:rFonts w:ascii="Times New Roman" w:hAnsi="Times New Roman"/>
                <w:sz w:val="28"/>
                <w:szCs w:val="28"/>
              </w:rPr>
              <w:t>3 (0</w:t>
            </w:r>
            <w:r w:rsidRPr="009A1A8B">
              <w:rPr>
                <w:rFonts w:ascii="Century" w:hAnsi="Century"/>
                <w:sz w:val="28"/>
                <w:szCs w:val="28"/>
              </w:rPr>
              <w:t>,</w:t>
            </w:r>
            <w:r>
              <w:rPr>
                <w:rFonts w:ascii="Times New Roman" w:hAnsi="Times New Roman"/>
                <w:sz w:val="28"/>
                <w:szCs w:val="28"/>
              </w:rPr>
              <w:t>07</w:t>
            </w:r>
            <w:r w:rsidRPr="009A1A8B">
              <w:rPr>
                <w:rFonts w:ascii="Century" w:hAnsi="Century"/>
                <w:sz w:val="28"/>
                <w:szCs w:val="28"/>
              </w:rPr>
              <w:t>-</w:t>
            </w:r>
            <w:r>
              <w:rPr>
                <w:rFonts w:ascii="Times New Roman" w:hAnsi="Times New Roman"/>
                <w:sz w:val="28"/>
                <w:szCs w:val="28"/>
              </w:rPr>
              <w:t>1</w:t>
            </w:r>
            <w:r w:rsidRPr="009A1A8B">
              <w:rPr>
                <w:rFonts w:ascii="Century" w:hAnsi="Century"/>
                <w:sz w:val="28"/>
                <w:szCs w:val="28"/>
              </w:rPr>
              <w:t>,</w:t>
            </w:r>
            <w:r>
              <w:rPr>
                <w:rFonts w:ascii="Times New Roman" w:hAnsi="Times New Roman"/>
                <w:sz w:val="28"/>
                <w:szCs w:val="28"/>
              </w:rPr>
              <w:t>27)</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E2359E">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глюкоза</w:t>
            </w:r>
            <w:r w:rsidRPr="009A1A8B">
              <w:rPr>
                <w:rFonts w:ascii="Century" w:hAnsi="Century"/>
                <w:sz w:val="28"/>
                <w:szCs w:val="28"/>
              </w:rPr>
              <w:t xml:space="preserve">, </w:t>
            </w:r>
            <w:r>
              <w:rPr>
                <w:rFonts w:ascii="Times New Roman" w:hAnsi="Times New Roman"/>
                <w:sz w:val="28"/>
                <w:szCs w:val="28"/>
              </w:rPr>
              <w:t>ммоль</w:t>
            </w:r>
            <w:r w:rsidRPr="009A1A8B">
              <w:rPr>
                <w:rFonts w:ascii="Century" w:hAnsi="Century"/>
                <w:sz w:val="28"/>
                <w:szCs w:val="28"/>
              </w:rPr>
              <w:t>/</w:t>
            </w:r>
            <w:r>
              <w:rPr>
                <w:rFonts w:ascii="Times New Roman" w:hAnsi="Times New Roman"/>
                <w:sz w:val="28"/>
                <w:szCs w:val="28"/>
              </w:rPr>
              <w:t>л n</w:t>
            </w:r>
            <w:r w:rsidRPr="009A1A8B">
              <w:rPr>
                <w:rFonts w:ascii="Century" w:hAnsi="Century"/>
                <w:sz w:val="28"/>
                <w:szCs w:val="28"/>
              </w:rPr>
              <w:t>=</w:t>
            </w:r>
            <w:r>
              <w:rPr>
                <w:rFonts w:ascii="Times New Roman" w:hAnsi="Times New Roman"/>
                <w:sz w:val="28"/>
                <w:szCs w:val="28"/>
              </w:rPr>
              <w:t>580</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9A1A8B">
              <w:rPr>
                <w:rFonts w:ascii="Century" w:hAnsi="Century"/>
                <w:sz w:val="28"/>
                <w:szCs w:val="28"/>
              </w:rPr>
              <w:t>≤</w:t>
            </w:r>
            <w:r>
              <w:rPr>
                <w:rFonts w:ascii="Times New Roman" w:hAnsi="Times New Roman"/>
                <w:sz w:val="28"/>
                <w:szCs w:val="28"/>
              </w:rPr>
              <w:t>5,59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264</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42</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9A1A8B">
              <w:rPr>
                <w:rFonts w:ascii="Century" w:hAnsi="Century"/>
                <w:sz w:val="28"/>
                <w:szCs w:val="28"/>
              </w:rPr>
              <w:t>,</w:t>
            </w:r>
            <w:r>
              <w:rPr>
                <w:rFonts w:ascii="Times New Roman" w:hAnsi="Times New Roman"/>
                <w:sz w:val="28"/>
                <w:szCs w:val="28"/>
              </w:rPr>
              <w:t>36</w:t>
            </w:r>
          </w:p>
        </w:tc>
      </w:tr>
      <w:tr w:rsidR="00AB12B3" w:rsidTr="00E2359E">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sidRPr="009A1A8B">
              <w:rPr>
                <w:rFonts w:ascii="Century" w:hAnsi="Century"/>
                <w:sz w:val="28"/>
                <w:szCs w:val="28"/>
              </w:rPr>
              <w:t>&gt;</w:t>
            </w:r>
            <w:r>
              <w:rPr>
                <w:rFonts w:ascii="Times New Roman" w:hAnsi="Times New Roman"/>
                <w:sz w:val="28"/>
                <w:szCs w:val="28"/>
              </w:rPr>
              <w:t>5,59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229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45</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9A1A8B">
              <w:rPr>
                <w:rFonts w:ascii="Century" w:hAnsi="Century"/>
                <w:sz w:val="28"/>
                <w:szCs w:val="28"/>
              </w:rPr>
              <w:t>,</w:t>
            </w:r>
            <w:r>
              <w:rPr>
                <w:rFonts w:ascii="Times New Roman" w:hAnsi="Times New Roman"/>
                <w:sz w:val="28"/>
                <w:szCs w:val="28"/>
              </w:rPr>
              <w:t>23 (0</w:t>
            </w:r>
            <w:r w:rsidRPr="009A1A8B">
              <w:rPr>
                <w:rFonts w:ascii="Century" w:hAnsi="Century"/>
                <w:sz w:val="28"/>
                <w:szCs w:val="28"/>
              </w:rPr>
              <w:t>,</w:t>
            </w:r>
            <w:r>
              <w:rPr>
                <w:rFonts w:ascii="Times New Roman" w:hAnsi="Times New Roman"/>
                <w:sz w:val="28"/>
                <w:szCs w:val="28"/>
              </w:rPr>
              <w:t>78-1</w:t>
            </w:r>
            <w:r w:rsidRPr="009A1A8B">
              <w:rPr>
                <w:rFonts w:ascii="Century" w:hAnsi="Century"/>
                <w:sz w:val="28"/>
                <w:szCs w:val="28"/>
              </w:rPr>
              <w:t>,</w:t>
            </w:r>
            <w:r>
              <w:rPr>
                <w:rFonts w:ascii="Times New Roman" w:hAnsi="Times New Roman"/>
                <w:sz w:val="28"/>
                <w:szCs w:val="28"/>
              </w:rPr>
              <w:t>95)</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E2359E">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HOMA-IR</w:t>
            </w:r>
          </w:p>
          <w:p w:rsidR="00AB12B3" w:rsidRDefault="00AB12B3">
            <w:pPr>
              <w:jc w:val="center"/>
              <w:rPr>
                <w:rFonts w:ascii="Times New Roman" w:hAnsi="Times New Roman"/>
                <w:sz w:val="28"/>
                <w:szCs w:val="28"/>
              </w:rPr>
            </w:pPr>
            <w:r>
              <w:rPr>
                <w:rFonts w:ascii="Times New Roman" w:hAnsi="Times New Roman"/>
                <w:sz w:val="28"/>
                <w:szCs w:val="28"/>
              </w:rPr>
              <w:t>n=507</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&lt;2,7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263</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48</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0,06</w:t>
            </w:r>
          </w:p>
        </w:tc>
      </w:tr>
      <w:tr w:rsidR="00AB12B3" w:rsidTr="00E2359E">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177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19</w:t>
            </w:r>
          </w:p>
        </w:tc>
        <w:tc>
          <w:tcPr>
            <w:tcW w:w="209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0,59 (0,33-1,03)</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DC1BB6">
        <w:trPr>
          <w:trHeight w:val="451"/>
        </w:trPr>
        <w:tc>
          <w:tcPr>
            <w:tcW w:w="9243" w:type="dxa"/>
            <w:gridSpan w:val="6"/>
            <w:tcBorders>
              <w:top w:val="single" w:sz="4" w:space="0" w:color="auto"/>
              <w:left w:val="single" w:sz="4" w:space="0" w:color="auto"/>
              <w:bottom w:val="single" w:sz="4" w:space="0" w:color="auto"/>
              <w:right w:val="single" w:sz="4" w:space="0" w:color="auto"/>
            </w:tcBorders>
            <w:hideMark/>
          </w:tcPr>
          <w:p w:rsidR="002E0206" w:rsidRDefault="00AB12B3">
            <w:pPr>
              <w:jc w:val="both"/>
              <w:rPr>
                <w:rFonts w:ascii="Times New Roman" w:hAnsi="Times New Roman"/>
                <w:szCs w:val="24"/>
                <w:lang w:val="kk-KZ"/>
              </w:rPr>
            </w:pPr>
            <w:r>
              <w:rPr>
                <w:rFonts w:ascii="Times New Roman" w:hAnsi="Times New Roman"/>
                <w:szCs w:val="24"/>
              </w:rPr>
              <w:t>Примечание * - χ</w:t>
            </w:r>
            <w:r>
              <w:rPr>
                <w:rFonts w:ascii="Times New Roman" w:hAnsi="Times New Roman"/>
                <w:szCs w:val="24"/>
                <w:vertAlign w:val="superscript"/>
              </w:rPr>
              <w:t>2</w:t>
            </w:r>
            <w:r>
              <w:rPr>
                <w:rFonts w:ascii="Times New Roman" w:hAnsi="Times New Roman"/>
                <w:szCs w:val="24"/>
              </w:rPr>
              <w:t xml:space="preserve"> – хи квадрат Пирсона; </w:t>
            </w:r>
          </w:p>
          <w:p w:rsidR="00AB12B3" w:rsidRDefault="00AB12B3">
            <w:pPr>
              <w:jc w:val="both"/>
              <w:rPr>
                <w:rFonts w:ascii="Times New Roman" w:hAnsi="Times New Roman"/>
                <w:sz w:val="20"/>
                <w:szCs w:val="20"/>
              </w:rPr>
            </w:pPr>
            <w:r>
              <w:rPr>
                <w:rFonts w:ascii="Times New Roman" w:hAnsi="Times New Roman"/>
                <w:szCs w:val="24"/>
              </w:rPr>
              <w:t>ОШ (95% ДИ) – Отношение шансов (95% Доверительный интервал)</w:t>
            </w:r>
          </w:p>
        </w:tc>
      </w:tr>
    </w:tbl>
    <w:p w:rsidR="00905F06" w:rsidRDefault="00905F06" w:rsidP="00AB12B3">
      <w:pPr>
        <w:spacing w:after="0" w:line="240" w:lineRule="auto"/>
        <w:ind w:firstLine="708"/>
        <w:jc w:val="both"/>
        <w:rPr>
          <w:rFonts w:ascii="Times New Roman" w:hAnsi="Times New Roman" w:cs="Times New Roman"/>
          <w:sz w:val="28"/>
          <w:szCs w:val="28"/>
          <w:lang w:val="kk-KZ"/>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в нашем исследовании уровень ЛПНП был связан с уровнями ОХС, с другими клинико – биохимическими показателями связи не обнаружено. Но в исследовании</w:t>
      </w:r>
      <w:r w:rsidR="005D01BC">
        <w:rPr>
          <w:rFonts w:ascii="Times New Roman" w:hAnsi="Times New Roman" w:cs="Times New Roman"/>
          <w:sz w:val="28"/>
          <w:szCs w:val="28"/>
        </w:rPr>
        <w:t xml:space="preserve"> </w:t>
      </w:r>
      <w:r>
        <w:rPr>
          <w:rFonts w:ascii="Times New Roman" w:hAnsi="Times New Roman" w:cs="Times New Roman"/>
          <w:sz w:val="28"/>
          <w:szCs w:val="24"/>
          <w:lang w:val="en-US"/>
        </w:rPr>
        <w:t>Sathiyakumar</w:t>
      </w:r>
      <w:r w:rsidR="005D01BC">
        <w:rPr>
          <w:rFonts w:ascii="Times New Roman" w:hAnsi="Times New Roman" w:cs="Times New Roman"/>
          <w:sz w:val="28"/>
          <w:szCs w:val="24"/>
        </w:rPr>
        <w:t xml:space="preserve"> </w:t>
      </w:r>
      <w:r>
        <w:rPr>
          <w:rFonts w:ascii="Times New Roman" w:hAnsi="Times New Roman" w:cs="Times New Roman"/>
          <w:sz w:val="28"/>
          <w:szCs w:val="24"/>
          <w:lang w:val="en-US"/>
        </w:rPr>
        <w:t>V</w:t>
      </w:r>
      <w:r>
        <w:rPr>
          <w:rFonts w:ascii="Times New Roman" w:hAnsi="Times New Roman" w:cs="Times New Roman"/>
          <w:sz w:val="28"/>
          <w:szCs w:val="24"/>
        </w:rPr>
        <w:t>. и соавторов (2018)</w:t>
      </w:r>
      <w:r>
        <w:rPr>
          <w:rFonts w:ascii="Times New Roman" w:hAnsi="Times New Roman" w:cs="Times New Roman"/>
          <w:sz w:val="28"/>
          <w:szCs w:val="28"/>
        </w:rPr>
        <w:t xml:space="preserve"> примерно у 20% пациентов наблюдается несоответствие между уровнями ЛПНП и апоВ</w:t>
      </w:r>
      <w:r w:rsidR="005D01BC">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{"citationItems":[{"id":"ITEM-1","itemData":{"DOI":"10.1161/CIRCULATIONAHA.117.030677","ISSN":"0009-7322","abstract":"BACKGROUND: Recent recommendations favoring nonfasting lipid assessment may affect low-density lipoprotein cholesterol (LDL-C) estimation. The novel method of LDL-C estimation (LDL-C N ) uses a flexible approach to derive patientspecific ratios of triglycerides to very low-density lipoprotein cholesterol. This adaptability may confer an accuracy advantage in nonfasting patients over the fixed approach of the classic Friedewald method (LDL-C F ). METHODS: We used a US cross-sectional sample of 1 545 634 patients (959 153 fasting ≥10-12 hours; 586 481 nonfasting) from the second harvest of the Very Large Database of Lipids study to assess for the first time the impact of fasting status on novel LDL-C accuracy. Rapid ultracentrifugation was used to directly measure LDL-C content (LDL-C D ). Accuracy was defined as the percentage of LDLC D falling within an estimated LDL-C (LDL-C N or LDL-C F ) category by clinical cut points. For low estimated LDL-C (&lt;70 mg/dL), we evaluated accuracy by triglyceride levels. The magnitude of absolute and percent differences between LDL-CD and estimated LDL-C (LDL-C N or LDL-C F ) was stratified by LDL-C and triglyceride categories. RESULTS: In both fasting and nonfasting samples, accuracy was higher with the novel method across all clinical LDL-C categories (range, 87%-94%) compared with the Friedewald estimation (range, 71%-93%; P≤0.001). With LDL-C &lt;70 mg/dL, nonfasting LDL-C N accuracy (92%) was superior to LDL-C F accuracy (71%; P&lt;0.001). In this LDL-C range, 19% of fasting and 30% of nonfasting patients had differences ≥10 mg/dL between LDL-CF and LDL-C D , whereas only 2% and 3% of patients, respectively, had similar differences with novel estimation. Accuracy of LDL-C &lt;70 mg/dL further decreased as triglycerides increased, particularly for Friedewald estimation (range, 37%-96%) versus the novel method (range, 82%-94%). With triglycerides of 200 to 399 mg/dL in nonfasting patients, LDLC N &lt;70 mg/dL accuracy (82%) was superior to LDL-C F (37%; P&lt;0.001). In this triglyceride range, 73% of fasting and 81% of nonfasting patients had ≥10 mg/dL differences between LDL-C F and LDL-C D compared with 25% and 20% of patients, respectively, with LDL-C N . CONCLUSIONS: Novel adaptable LDL-C estimation performs better in nonfasting samples than the fixed Friedewald estimation, with a particular accuracy advantage in settings of low LDL-C and high triglycerides. In addition to stimulating further study, these results may have immed…","author":[{"dropping-particle":"","family":"Sathiyakumar","given":"Vasanth","non-dropping-particle":"","parse-names":false,"suffix":""},{"dropping-particle":"","family":"Park","given":"Jihwan","non-dropping-particle":"","parse-names":false,"suffix":""},{"dropping-particle":"","family":"Golozar","given":"Asieh","non-dropping-particle":"","parse-names":false,"suffix":""},{"dropping-particle":"","family":"Lazo","given":"Mariana","non-dropping-particle":"","parse-names":false,"suffix":""},{"dropping-particle":"","family":"Quispe","given":"Renato","non-dropping-particle":"","parse-names":false,"suffix":""},{"dropping-particle":"","family":"Guallar","given":"Eliseo","non-dropping-particle":"","parse-names":false,"suffix":""},{"dropping-particle":"","family":"Blumenthal","given":"Roger S.","non-dropping-particle":"","parse-names":false,"suffix":""},{"dropping-particle":"","family":"Jones","given":"Steven R.","non-dropping-particle":"","parse-names":false,"suffix":""},{"dropping-particle":"","family":"Martin","given":"Seth S.","non-dropping-particle":"","parse-names":false,"suffix":""}],"container-title":"Circulation","id":"ITEM-1","issue":"1","issued":{"date-parts":[["2018","1","2"]]},"page":"10-19","title":"Fasting Versus Nonfasting and Low-Density Lipoprotein Cholesterol Accuracy","type":"article-journal","volume":"137"},"uris":["http://www.mendeley.com/documents/?uuid=922464c2-11c2-483b-8d37-505b6af28d63"]}],"mendeley":{"formattedCitation":"[166]","plainTextFormattedCitation":"[166]","previouslyFormattedCitation":"[166]"},"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[166]</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Поэтому они рекомендуют, у пациентов с СД или с повышенным уровнем ТГ, или с пониженным уровнем ЛПНП для оценки дислипидемии и риска атеросклеротических ССЗ определять уровни апоВ и не-ЛПВП </w:t>
      </w:r>
      <w:r w:rsidR="00EA0E64">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Journal","id":"ITEM-1","issue":"1","issued":{"date-parts":[["2020","1","1"]]},"page":"111-188","title":"2019 ESC/EAS Guidelines for the management of dyslipidaemias: lipid modification to reduce cardiovascular risk","type":"article-journal","volume":"41"},"uris":["http://www.mendeley.com/documents/?uuid=596ff8fa-459c-486e-8041-242d096c7b8b"]}],"mendeley":{"formattedCitation":"[2]","manualFormatting":"[2, р. 137]","plainTextFormattedCitation":"[2]","previouslyFormattedCitation":"[2]"},"properties":{"noteIndex":0},"schema":"https://github.com/citation-style-language/schema/raw/master/csl-citation.json"}</w:instrText>
      </w:r>
      <w:r w:rsidR="00EA0E64">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[2</w:t>
      </w:r>
      <w:r w:rsidR="00F87DB7">
        <w:rPr>
          <w:rFonts w:ascii="Times New Roman" w:hAnsi="Times New Roman" w:cs="Times New Roman"/>
          <w:noProof/>
          <w:sz w:val="28"/>
          <w:szCs w:val="28"/>
        </w:rPr>
        <w:t>, р. 137</w:t>
      </w:r>
      <w:r w:rsidR="00F87DB7" w:rsidRPr="00F87DB7">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lastRenderedPageBreak/>
        <w:t>Л</w:t>
      </w:r>
      <w:r w:rsidR="00A467D3">
        <w:rPr>
          <w:rFonts w:ascii="Times New Roman" w:hAnsi="Times New Roman" w:cs="Times New Roman"/>
          <w:i/>
          <w:sz w:val="28"/>
          <w:szCs w:val="28"/>
        </w:rPr>
        <w:t>ипопротеины высокой плотности</w:t>
      </w:r>
    </w:p>
    <w:p w:rsidR="006D18C4" w:rsidRDefault="006D18C4" w:rsidP="006D18C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Распределение средних величин факторов риска по группам ЛПВП представлено в таблице 20, и средние величины факторов риска между группами ЛПВП были одинаковы.</w:t>
      </w:r>
    </w:p>
    <w:p w:rsidR="00AB12B3" w:rsidRDefault="00AB12B3" w:rsidP="00AB12B3">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sz w:val="28"/>
          <w:szCs w:val="28"/>
          <w:lang w:val="kk-KZ"/>
        </w:rPr>
      </w:pPr>
      <w:r>
        <w:rPr>
          <w:rFonts w:ascii="Times New Roman" w:hAnsi="Times New Roman" w:cs="Times New Roman"/>
          <w:sz w:val="28"/>
          <w:szCs w:val="28"/>
        </w:rPr>
        <w:t xml:space="preserve">Таблица 20 </w:t>
      </w:r>
      <w:r w:rsidR="00162472">
        <w:rPr>
          <w:rFonts w:ascii="Times New Roman" w:hAnsi="Times New Roman" w:cs="Times New Roman"/>
          <w:sz w:val="28"/>
          <w:szCs w:val="28"/>
          <w:lang w:val="kk-KZ"/>
        </w:rPr>
        <w:t xml:space="preserve">- </w:t>
      </w:r>
      <w:r>
        <w:rPr>
          <w:rFonts w:ascii="Times New Roman" w:hAnsi="Times New Roman" w:cs="Times New Roman"/>
          <w:sz w:val="28"/>
          <w:szCs w:val="28"/>
        </w:rPr>
        <w:t xml:space="preserve">Распределение средних величин факторов рисков по группам ЛПВП </w:t>
      </w:r>
      <w:r w:rsidR="00DA472A">
        <w:rPr>
          <w:rFonts w:ascii="Times New Roman" w:hAnsi="Times New Roman" w:cs="Times New Roman"/>
          <w:sz w:val="28"/>
          <w:szCs w:val="28"/>
        </w:rPr>
        <w:t>(</w:t>
      </w:r>
      <w:r>
        <w:rPr>
          <w:rFonts w:ascii="Times New Roman" w:hAnsi="Times New Roman"/>
          <w:sz w:val="28"/>
          <w:szCs w:val="28"/>
        </w:rPr>
        <w:t>n=580</w:t>
      </w:r>
      <w:r w:rsidR="00DA472A">
        <w:rPr>
          <w:rFonts w:ascii="Times New Roman" w:hAnsi="Times New Roman"/>
          <w:sz w:val="28"/>
          <w:szCs w:val="28"/>
        </w:rPr>
        <w:t>)</w:t>
      </w:r>
      <w:r>
        <w:rPr>
          <w:rFonts w:ascii="Times New Roman" w:hAnsi="Times New Roman"/>
          <w:sz w:val="28"/>
          <w:szCs w:val="28"/>
        </w:rPr>
        <w:t xml:space="preserve"> </w:t>
      </w:r>
    </w:p>
    <w:p w:rsidR="00E83EC5" w:rsidRPr="00E83EC5" w:rsidRDefault="00E83EC5" w:rsidP="00AB12B3">
      <w:pPr>
        <w:spacing w:after="0" w:line="240" w:lineRule="auto"/>
        <w:jc w:val="both"/>
        <w:rPr>
          <w:rFonts w:ascii="Times New Roman" w:hAnsi="Times New Roman"/>
          <w:sz w:val="28"/>
          <w:szCs w:val="28"/>
          <w:lang w:val="kk-KZ"/>
        </w:rPr>
      </w:pPr>
    </w:p>
    <w:tbl>
      <w:tblPr>
        <w:tblStyle w:val="af7"/>
        <w:tblW w:w="9360" w:type="dxa"/>
        <w:tblInd w:w="108" w:type="dxa"/>
        <w:tblLayout w:type="fixed"/>
        <w:tblLook w:val="04A0" w:firstRow="1" w:lastRow="0" w:firstColumn="1" w:lastColumn="0" w:noHBand="0" w:noVBand="1"/>
      </w:tblPr>
      <w:tblGrid>
        <w:gridCol w:w="3121"/>
        <w:gridCol w:w="2694"/>
        <w:gridCol w:w="2694"/>
        <w:gridCol w:w="851"/>
      </w:tblGrid>
      <w:tr w:rsidR="00AB12B3" w:rsidTr="00A467D3">
        <w:trPr>
          <w:trHeight w:val="377"/>
        </w:trPr>
        <w:tc>
          <w:tcPr>
            <w:tcW w:w="3121"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5388"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ЛПВП, ммоль/л </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A467D3">
        <w:trPr>
          <w:trHeight w:val="379"/>
        </w:trPr>
        <w:tc>
          <w:tcPr>
            <w:tcW w:w="312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69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 Муж ≥1,0/Жен ≥1,2 Ме±IQR (Q1–Q3)</w:t>
            </w:r>
          </w:p>
        </w:tc>
        <w:tc>
          <w:tcPr>
            <w:tcW w:w="269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Муж &lt;1,0/Жен &lt;1,2</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467D3">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Возраст, лет</w:t>
            </w:r>
          </w:p>
        </w:tc>
        <w:tc>
          <w:tcPr>
            <w:tcW w:w="2694"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46</w:t>
            </w:r>
            <w:r w:rsidRPr="001225A2">
              <w:rPr>
                <w:rFonts w:ascii="Century" w:hAnsi="Century"/>
                <w:sz w:val="28"/>
                <w:szCs w:val="28"/>
              </w:rPr>
              <w:t>±</w:t>
            </w:r>
            <w:r>
              <w:rPr>
                <w:rFonts w:ascii="Times New Roman" w:hAnsi="Times New Roman"/>
                <w:sz w:val="28"/>
                <w:szCs w:val="28"/>
              </w:rPr>
              <w:t>18 (37</w:t>
            </w:r>
            <w:r w:rsidRPr="001225A2">
              <w:rPr>
                <w:rFonts w:ascii="Century" w:hAnsi="Century"/>
                <w:sz w:val="28"/>
                <w:szCs w:val="28"/>
              </w:rPr>
              <w:t>-</w:t>
            </w:r>
            <w:r>
              <w:rPr>
                <w:rFonts w:ascii="Times New Roman" w:hAnsi="Times New Roman"/>
                <w:sz w:val="28"/>
                <w:szCs w:val="28"/>
              </w:rPr>
              <w:t>54</w:t>
            </w:r>
            <w:r w:rsidRPr="001225A2">
              <w:rPr>
                <w:rFonts w:ascii="Century" w:hAnsi="Century"/>
                <w:sz w:val="28"/>
                <w:szCs w:val="28"/>
              </w:rPr>
              <w:t>,</w:t>
            </w:r>
            <w:r>
              <w:rPr>
                <w:rFonts w:ascii="Times New Roman" w:hAnsi="Times New Roman"/>
                <w:sz w:val="28"/>
                <w:szCs w:val="28"/>
              </w:rPr>
              <w:t>75)</w:t>
            </w:r>
          </w:p>
        </w:tc>
        <w:tc>
          <w:tcPr>
            <w:tcW w:w="2694"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46</w:t>
            </w:r>
            <w:r w:rsidRPr="001225A2">
              <w:rPr>
                <w:rFonts w:ascii="Century" w:hAnsi="Century"/>
                <w:sz w:val="28"/>
                <w:szCs w:val="28"/>
              </w:rPr>
              <w:t>±</w:t>
            </w:r>
            <w:r>
              <w:rPr>
                <w:rFonts w:ascii="Times New Roman" w:hAnsi="Times New Roman"/>
                <w:sz w:val="28"/>
                <w:szCs w:val="28"/>
              </w:rPr>
              <w:t>17 (38</w:t>
            </w:r>
            <w:r w:rsidRPr="001225A2">
              <w:rPr>
                <w:rFonts w:ascii="Century" w:hAnsi="Century"/>
                <w:sz w:val="28"/>
                <w:szCs w:val="28"/>
              </w:rPr>
              <w:t>-</w:t>
            </w:r>
            <w:r>
              <w:rPr>
                <w:rFonts w:ascii="Times New Roman" w:hAnsi="Times New Roman"/>
                <w:sz w:val="28"/>
                <w:szCs w:val="28"/>
              </w:rPr>
              <w:t>55)</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1225A2">
              <w:rPr>
                <w:rFonts w:ascii="Century" w:hAnsi="Century"/>
                <w:sz w:val="28"/>
                <w:szCs w:val="28"/>
              </w:rPr>
              <w:t>,</w:t>
            </w:r>
            <w:r>
              <w:rPr>
                <w:rFonts w:ascii="Times New Roman" w:hAnsi="Times New Roman"/>
                <w:sz w:val="28"/>
                <w:szCs w:val="28"/>
              </w:rPr>
              <w:t>29</w:t>
            </w:r>
          </w:p>
        </w:tc>
      </w:tr>
      <w:tr w:rsidR="005D64C6" w:rsidTr="003F0171">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Окружность талии (см)</w:t>
            </w:r>
          </w:p>
        </w:tc>
        <w:tc>
          <w:tcPr>
            <w:tcW w:w="2694" w:type="dxa"/>
            <w:tcBorders>
              <w:top w:val="nil"/>
              <w:left w:val="single" w:sz="4" w:space="0" w:color="auto"/>
              <w:bottom w:val="single" w:sz="4" w:space="0" w:color="auto"/>
              <w:right w:val="single" w:sz="4" w:space="0" w:color="auto"/>
            </w:tcBorders>
            <w:hideMark/>
          </w:tcPr>
          <w:p w:rsidR="005D64C6" w:rsidRDefault="005D64C6" w:rsidP="003F0171">
            <w:pPr>
              <w:jc w:val="center"/>
            </w:pPr>
            <w:r>
              <w:rPr>
                <w:rFonts w:ascii="Times New Roman" w:hAnsi="Times New Roman"/>
                <w:sz w:val="28"/>
                <w:szCs w:val="28"/>
              </w:rPr>
              <w:t>96</w:t>
            </w:r>
            <w:r w:rsidRPr="001225A2">
              <w:rPr>
                <w:rFonts w:ascii="Century" w:hAnsi="Century"/>
                <w:sz w:val="28"/>
                <w:szCs w:val="28"/>
              </w:rPr>
              <w:t>±</w:t>
            </w:r>
            <w:r>
              <w:rPr>
                <w:rFonts w:ascii="Times New Roman" w:hAnsi="Times New Roman"/>
                <w:sz w:val="28"/>
                <w:szCs w:val="28"/>
              </w:rPr>
              <w:t>18 (90</w:t>
            </w:r>
            <w:r w:rsidRPr="001225A2">
              <w:rPr>
                <w:rFonts w:ascii="Century" w:hAnsi="Century"/>
                <w:sz w:val="28"/>
                <w:szCs w:val="28"/>
              </w:rPr>
              <w:t>-</w:t>
            </w:r>
            <w:r>
              <w:rPr>
                <w:rFonts w:ascii="Times New Roman" w:hAnsi="Times New Roman"/>
                <w:sz w:val="28"/>
                <w:szCs w:val="28"/>
              </w:rPr>
              <w:t>108)</w:t>
            </w:r>
          </w:p>
        </w:tc>
        <w:tc>
          <w:tcPr>
            <w:tcW w:w="2694" w:type="dxa"/>
            <w:tcBorders>
              <w:top w:val="nil"/>
              <w:left w:val="single" w:sz="4" w:space="0" w:color="auto"/>
              <w:bottom w:val="single" w:sz="4" w:space="0" w:color="auto"/>
              <w:right w:val="single" w:sz="4" w:space="0" w:color="auto"/>
            </w:tcBorders>
            <w:hideMark/>
          </w:tcPr>
          <w:p w:rsidR="005D64C6" w:rsidRDefault="005D64C6" w:rsidP="003F0171">
            <w:pPr>
              <w:jc w:val="center"/>
            </w:pPr>
            <w:r>
              <w:rPr>
                <w:rFonts w:ascii="Times New Roman" w:hAnsi="Times New Roman"/>
                <w:sz w:val="28"/>
                <w:szCs w:val="28"/>
              </w:rPr>
              <w:t>96</w:t>
            </w:r>
            <w:r w:rsidRPr="001225A2">
              <w:rPr>
                <w:rFonts w:ascii="Century" w:hAnsi="Century"/>
                <w:sz w:val="28"/>
                <w:szCs w:val="28"/>
              </w:rPr>
              <w:t>±</w:t>
            </w:r>
            <w:r>
              <w:rPr>
                <w:rFonts w:ascii="Times New Roman" w:hAnsi="Times New Roman"/>
                <w:sz w:val="28"/>
                <w:szCs w:val="28"/>
              </w:rPr>
              <w:t>15 (90</w:t>
            </w:r>
            <w:r w:rsidRPr="001225A2">
              <w:rPr>
                <w:rFonts w:ascii="Century" w:hAnsi="Century"/>
                <w:sz w:val="28"/>
                <w:szCs w:val="28"/>
              </w:rPr>
              <w:t>-</w:t>
            </w:r>
            <w:r>
              <w:rPr>
                <w:rFonts w:ascii="Times New Roman" w:hAnsi="Times New Roman"/>
                <w:sz w:val="28"/>
                <w:szCs w:val="28"/>
              </w:rPr>
              <w:t>105)</w:t>
            </w:r>
          </w:p>
        </w:tc>
        <w:tc>
          <w:tcPr>
            <w:tcW w:w="851"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0</w:t>
            </w:r>
            <w:r w:rsidRPr="001225A2">
              <w:rPr>
                <w:rFonts w:ascii="Century" w:hAnsi="Century"/>
                <w:sz w:val="28"/>
                <w:szCs w:val="28"/>
              </w:rPr>
              <w:t>,</w:t>
            </w:r>
            <w:r>
              <w:rPr>
                <w:rFonts w:ascii="Times New Roman" w:hAnsi="Times New Roman"/>
                <w:sz w:val="28"/>
                <w:szCs w:val="28"/>
              </w:rPr>
              <w:t>47</w:t>
            </w:r>
          </w:p>
        </w:tc>
      </w:tr>
      <w:tr w:rsidR="00AB12B3" w:rsidTr="00A467D3">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ИМТ (кг</w:t>
            </w:r>
            <w:r w:rsidRPr="001225A2">
              <w:rPr>
                <w:rFonts w:ascii="Century" w:hAnsi="Century"/>
                <w:sz w:val="28"/>
                <w:szCs w:val="28"/>
              </w:rPr>
              <w:t>/</w:t>
            </w:r>
            <w:r>
              <w:rPr>
                <w:rFonts w:ascii="Times New Roman" w:hAnsi="Times New Roman"/>
                <w:sz w:val="28"/>
                <w:szCs w:val="28"/>
              </w:rPr>
              <w:t>м</w:t>
            </w:r>
            <w:r>
              <w:rPr>
                <w:rFonts w:ascii="Times New Roman" w:hAnsi="Times New Roman"/>
                <w:sz w:val="28"/>
                <w:szCs w:val="28"/>
                <w:vertAlign w:val="superscript"/>
              </w:rPr>
              <w:t>2</w:t>
            </w:r>
            <w:r>
              <w:rPr>
                <w:rFonts w:ascii="Times New Roman" w:hAnsi="Times New Roman"/>
                <w:sz w:val="28"/>
                <w:szCs w:val="28"/>
              </w:rPr>
              <w:t>)</w:t>
            </w:r>
          </w:p>
        </w:tc>
        <w:tc>
          <w:tcPr>
            <w:tcW w:w="2694"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26</w:t>
            </w:r>
            <w:r w:rsidRPr="001225A2">
              <w:rPr>
                <w:rFonts w:ascii="Century" w:hAnsi="Century"/>
                <w:sz w:val="28"/>
                <w:szCs w:val="28"/>
              </w:rPr>
              <w:t>,</w:t>
            </w:r>
            <w:r>
              <w:rPr>
                <w:rFonts w:ascii="Times New Roman" w:hAnsi="Times New Roman"/>
                <w:sz w:val="28"/>
                <w:szCs w:val="28"/>
              </w:rPr>
              <w:t>1</w:t>
            </w:r>
            <w:r w:rsidRPr="001225A2">
              <w:rPr>
                <w:rFonts w:ascii="Century" w:hAnsi="Century"/>
                <w:sz w:val="28"/>
                <w:szCs w:val="28"/>
              </w:rPr>
              <w:t>±</w:t>
            </w:r>
            <w:r>
              <w:rPr>
                <w:rFonts w:ascii="Times New Roman" w:hAnsi="Times New Roman"/>
                <w:sz w:val="28"/>
                <w:szCs w:val="28"/>
              </w:rPr>
              <w:t>5</w:t>
            </w:r>
            <w:r w:rsidRPr="001225A2">
              <w:rPr>
                <w:rFonts w:ascii="Century" w:hAnsi="Century"/>
                <w:sz w:val="28"/>
                <w:szCs w:val="28"/>
              </w:rPr>
              <w:t>,</w:t>
            </w:r>
            <w:r>
              <w:rPr>
                <w:rFonts w:ascii="Times New Roman" w:hAnsi="Times New Roman"/>
                <w:sz w:val="28"/>
                <w:szCs w:val="28"/>
              </w:rPr>
              <w:t xml:space="preserve">38 </w:t>
            </w:r>
          </w:p>
          <w:p w:rsidR="00AB12B3" w:rsidRDefault="00AB12B3">
            <w:pPr>
              <w:jc w:val="center"/>
            </w:pPr>
            <w:r>
              <w:rPr>
                <w:rFonts w:ascii="Times New Roman" w:hAnsi="Times New Roman"/>
                <w:sz w:val="28"/>
                <w:szCs w:val="28"/>
              </w:rPr>
              <w:t>(23</w:t>
            </w:r>
            <w:r w:rsidRPr="001225A2">
              <w:rPr>
                <w:rFonts w:ascii="Century" w:hAnsi="Century"/>
                <w:sz w:val="28"/>
                <w:szCs w:val="28"/>
              </w:rPr>
              <w:t>,</w:t>
            </w:r>
            <w:r>
              <w:rPr>
                <w:rFonts w:ascii="Times New Roman" w:hAnsi="Times New Roman"/>
                <w:sz w:val="28"/>
                <w:szCs w:val="28"/>
              </w:rPr>
              <w:t>25</w:t>
            </w:r>
            <w:r w:rsidRPr="001225A2">
              <w:rPr>
                <w:rFonts w:ascii="Century" w:hAnsi="Century"/>
                <w:sz w:val="28"/>
                <w:szCs w:val="28"/>
              </w:rPr>
              <w:t>-</w:t>
            </w:r>
            <w:r>
              <w:rPr>
                <w:rFonts w:ascii="Times New Roman" w:hAnsi="Times New Roman"/>
                <w:sz w:val="28"/>
                <w:szCs w:val="28"/>
              </w:rPr>
              <w:t>28</w:t>
            </w:r>
            <w:r w:rsidRPr="001225A2">
              <w:rPr>
                <w:rFonts w:ascii="Century" w:hAnsi="Century"/>
                <w:sz w:val="28"/>
                <w:szCs w:val="28"/>
              </w:rPr>
              <w:t>,</w:t>
            </w:r>
            <w:r>
              <w:rPr>
                <w:rFonts w:ascii="Times New Roman" w:hAnsi="Times New Roman"/>
                <w:sz w:val="28"/>
                <w:szCs w:val="28"/>
              </w:rPr>
              <w:t>63)</w:t>
            </w:r>
          </w:p>
        </w:tc>
        <w:tc>
          <w:tcPr>
            <w:tcW w:w="2694"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26</w:t>
            </w:r>
            <w:r w:rsidRPr="001225A2">
              <w:rPr>
                <w:rFonts w:ascii="Century" w:hAnsi="Century"/>
                <w:sz w:val="28"/>
                <w:szCs w:val="28"/>
              </w:rPr>
              <w:t>,</w:t>
            </w:r>
            <w:r>
              <w:rPr>
                <w:rFonts w:ascii="Times New Roman" w:hAnsi="Times New Roman"/>
                <w:sz w:val="28"/>
                <w:szCs w:val="28"/>
              </w:rPr>
              <w:t>18</w:t>
            </w:r>
            <w:r w:rsidRPr="001225A2">
              <w:rPr>
                <w:rFonts w:ascii="Century" w:hAnsi="Century"/>
                <w:sz w:val="28"/>
                <w:szCs w:val="28"/>
              </w:rPr>
              <w:t>±</w:t>
            </w:r>
            <w:r>
              <w:rPr>
                <w:rFonts w:ascii="Times New Roman" w:hAnsi="Times New Roman"/>
                <w:sz w:val="28"/>
                <w:szCs w:val="28"/>
              </w:rPr>
              <w:t>5</w:t>
            </w:r>
            <w:r w:rsidRPr="001225A2">
              <w:rPr>
                <w:rFonts w:ascii="Century" w:hAnsi="Century"/>
                <w:sz w:val="28"/>
                <w:szCs w:val="28"/>
              </w:rPr>
              <w:t>,</w:t>
            </w:r>
            <w:r>
              <w:rPr>
                <w:rFonts w:ascii="Times New Roman" w:hAnsi="Times New Roman"/>
                <w:sz w:val="28"/>
                <w:szCs w:val="28"/>
              </w:rPr>
              <w:t>72</w:t>
            </w:r>
          </w:p>
          <w:p w:rsidR="00AB12B3" w:rsidRDefault="00AB12B3">
            <w:pPr>
              <w:jc w:val="center"/>
            </w:pPr>
            <w:r>
              <w:rPr>
                <w:rFonts w:ascii="Times New Roman" w:hAnsi="Times New Roman"/>
                <w:sz w:val="28"/>
                <w:szCs w:val="28"/>
              </w:rPr>
              <w:t>(23</w:t>
            </w:r>
            <w:r w:rsidRPr="001225A2">
              <w:rPr>
                <w:rFonts w:ascii="Century" w:hAnsi="Century"/>
                <w:sz w:val="28"/>
                <w:szCs w:val="28"/>
              </w:rPr>
              <w:t>,</w:t>
            </w:r>
            <w:r>
              <w:rPr>
                <w:rFonts w:ascii="Times New Roman" w:hAnsi="Times New Roman"/>
                <w:sz w:val="28"/>
                <w:szCs w:val="28"/>
              </w:rPr>
              <w:t>4</w:t>
            </w:r>
            <w:r w:rsidRPr="001225A2">
              <w:rPr>
                <w:rFonts w:ascii="Century" w:hAnsi="Century"/>
                <w:sz w:val="28"/>
                <w:szCs w:val="28"/>
              </w:rPr>
              <w:t>-</w:t>
            </w:r>
            <w:r>
              <w:rPr>
                <w:rFonts w:ascii="Times New Roman" w:hAnsi="Times New Roman"/>
                <w:sz w:val="28"/>
                <w:szCs w:val="28"/>
              </w:rPr>
              <w:t>29</w:t>
            </w:r>
            <w:r w:rsidRPr="001225A2">
              <w:rPr>
                <w:rFonts w:ascii="Century" w:hAnsi="Century"/>
                <w:sz w:val="28"/>
                <w:szCs w:val="28"/>
              </w:rPr>
              <w:t>,</w:t>
            </w:r>
            <w:r>
              <w:rPr>
                <w:rFonts w:ascii="Times New Roman" w:hAnsi="Times New Roman"/>
                <w:sz w:val="28"/>
                <w:szCs w:val="28"/>
              </w:rPr>
              <w:t>12)</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1225A2">
              <w:rPr>
                <w:rFonts w:ascii="Century" w:hAnsi="Century"/>
                <w:sz w:val="28"/>
                <w:szCs w:val="28"/>
              </w:rPr>
              <w:t>,</w:t>
            </w:r>
            <w:r>
              <w:rPr>
                <w:rFonts w:ascii="Times New Roman" w:hAnsi="Times New Roman"/>
                <w:sz w:val="28"/>
                <w:szCs w:val="28"/>
              </w:rPr>
              <w:t>55</w:t>
            </w:r>
          </w:p>
        </w:tc>
      </w:tr>
      <w:tr w:rsidR="00AB12B3" w:rsidTr="00A467D3">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САД (мм рт</w:t>
            </w:r>
            <w:r w:rsidRPr="001225A2">
              <w:rPr>
                <w:rFonts w:ascii="Century" w:hAnsi="Century"/>
                <w:sz w:val="28"/>
                <w:szCs w:val="28"/>
              </w:rPr>
              <w:t>.</w:t>
            </w:r>
            <w:r>
              <w:rPr>
                <w:rFonts w:ascii="Times New Roman" w:hAnsi="Times New Roman"/>
                <w:sz w:val="28"/>
                <w:szCs w:val="28"/>
              </w:rPr>
              <w:t>ст</w:t>
            </w:r>
            <w:r w:rsidRPr="001225A2">
              <w:rPr>
                <w:rFonts w:ascii="Century" w:hAnsi="Century"/>
                <w:sz w:val="28"/>
                <w:szCs w:val="28"/>
              </w:rPr>
              <w:t>.</w:t>
            </w:r>
            <w:r>
              <w:rPr>
                <w:rFonts w:ascii="Times New Roman" w:hAnsi="Times New Roman"/>
                <w:sz w:val="28"/>
                <w:szCs w:val="28"/>
              </w:rPr>
              <w:t>)</w:t>
            </w:r>
          </w:p>
        </w:tc>
        <w:tc>
          <w:tcPr>
            <w:tcW w:w="269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120</w:t>
            </w:r>
            <w:r w:rsidRPr="001225A2">
              <w:rPr>
                <w:rFonts w:ascii="Century" w:hAnsi="Century"/>
                <w:sz w:val="28"/>
                <w:szCs w:val="28"/>
              </w:rPr>
              <w:t>±</w:t>
            </w:r>
            <w:r>
              <w:rPr>
                <w:rFonts w:ascii="Times New Roman" w:hAnsi="Times New Roman"/>
                <w:sz w:val="28"/>
                <w:szCs w:val="28"/>
              </w:rPr>
              <w:t>10 (110-120)</w:t>
            </w:r>
          </w:p>
        </w:tc>
        <w:tc>
          <w:tcPr>
            <w:tcW w:w="269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120</w:t>
            </w:r>
            <w:r w:rsidRPr="001225A2">
              <w:rPr>
                <w:rFonts w:ascii="Century" w:hAnsi="Century"/>
                <w:sz w:val="28"/>
                <w:szCs w:val="28"/>
              </w:rPr>
              <w:t>±</w:t>
            </w:r>
            <w:r>
              <w:rPr>
                <w:rFonts w:ascii="Times New Roman" w:hAnsi="Times New Roman"/>
                <w:sz w:val="28"/>
                <w:szCs w:val="28"/>
              </w:rPr>
              <w:t>20 (110-130)</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1225A2">
              <w:rPr>
                <w:rFonts w:ascii="Century" w:hAnsi="Century"/>
                <w:sz w:val="28"/>
                <w:szCs w:val="28"/>
              </w:rPr>
              <w:t>,</w:t>
            </w:r>
            <w:r>
              <w:rPr>
                <w:rFonts w:ascii="Times New Roman" w:hAnsi="Times New Roman"/>
                <w:sz w:val="28"/>
                <w:szCs w:val="28"/>
              </w:rPr>
              <w:t>07</w:t>
            </w:r>
          </w:p>
        </w:tc>
      </w:tr>
      <w:tr w:rsidR="00AB12B3" w:rsidTr="00A467D3">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ДАД (мм рт</w:t>
            </w:r>
            <w:r w:rsidRPr="001225A2">
              <w:rPr>
                <w:rFonts w:ascii="Century" w:hAnsi="Century"/>
                <w:sz w:val="28"/>
                <w:szCs w:val="28"/>
              </w:rPr>
              <w:t>.</w:t>
            </w:r>
            <w:r>
              <w:rPr>
                <w:rFonts w:ascii="Times New Roman" w:hAnsi="Times New Roman"/>
                <w:sz w:val="28"/>
                <w:szCs w:val="28"/>
              </w:rPr>
              <w:t>ст</w:t>
            </w:r>
            <w:r w:rsidRPr="001225A2">
              <w:rPr>
                <w:rFonts w:ascii="Century" w:hAnsi="Century"/>
                <w:sz w:val="28"/>
                <w:szCs w:val="28"/>
              </w:rPr>
              <w:t>.</w:t>
            </w:r>
            <w:r>
              <w:rPr>
                <w:rFonts w:ascii="Times New Roman" w:hAnsi="Times New Roman"/>
                <w:sz w:val="28"/>
                <w:szCs w:val="28"/>
              </w:rPr>
              <w:t>)</w:t>
            </w:r>
          </w:p>
        </w:tc>
        <w:tc>
          <w:tcPr>
            <w:tcW w:w="269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80</w:t>
            </w:r>
            <w:r w:rsidRPr="001225A2">
              <w:rPr>
                <w:rFonts w:ascii="Century" w:hAnsi="Century"/>
                <w:sz w:val="28"/>
                <w:szCs w:val="28"/>
              </w:rPr>
              <w:t>±</w:t>
            </w:r>
            <w:r>
              <w:rPr>
                <w:rFonts w:ascii="Times New Roman" w:hAnsi="Times New Roman"/>
                <w:sz w:val="28"/>
                <w:szCs w:val="28"/>
              </w:rPr>
              <w:t>10 (70-80)</w:t>
            </w:r>
          </w:p>
        </w:tc>
        <w:tc>
          <w:tcPr>
            <w:tcW w:w="269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80</w:t>
            </w:r>
            <w:r w:rsidRPr="001225A2">
              <w:rPr>
                <w:rFonts w:ascii="Century" w:hAnsi="Century"/>
                <w:sz w:val="28"/>
                <w:szCs w:val="28"/>
              </w:rPr>
              <w:t>±</w:t>
            </w:r>
            <w:r>
              <w:rPr>
                <w:rFonts w:ascii="Times New Roman" w:hAnsi="Times New Roman"/>
                <w:sz w:val="28"/>
                <w:szCs w:val="28"/>
              </w:rPr>
              <w:t>20 (70-90)</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1225A2">
              <w:rPr>
                <w:rFonts w:ascii="Century" w:hAnsi="Century"/>
                <w:sz w:val="28"/>
                <w:szCs w:val="28"/>
              </w:rPr>
              <w:t>,</w:t>
            </w:r>
            <w:r>
              <w:rPr>
                <w:rFonts w:ascii="Times New Roman" w:hAnsi="Times New Roman"/>
                <w:sz w:val="28"/>
                <w:szCs w:val="28"/>
              </w:rPr>
              <w:t>22</w:t>
            </w:r>
          </w:p>
        </w:tc>
      </w:tr>
      <w:tr w:rsidR="00AB12B3" w:rsidTr="00A467D3">
        <w:trPr>
          <w:trHeight w:val="442"/>
        </w:trPr>
        <w:tc>
          <w:tcPr>
            <w:tcW w:w="9360" w:type="dxa"/>
            <w:gridSpan w:val="4"/>
            <w:tcBorders>
              <w:top w:val="single" w:sz="4" w:space="0" w:color="auto"/>
              <w:left w:val="single" w:sz="4" w:space="0" w:color="auto"/>
              <w:bottom w:val="single" w:sz="4" w:space="0" w:color="auto"/>
              <w:right w:val="single" w:sz="4" w:space="0" w:color="auto"/>
            </w:tcBorders>
            <w:hideMark/>
          </w:tcPr>
          <w:p w:rsidR="00C708E3" w:rsidRDefault="00C708E3" w:rsidP="00C708E3">
            <w:pPr>
              <w:jc w:val="both"/>
              <w:rPr>
                <w:rFonts w:ascii="Times New Roman" w:hAnsi="Times New Roman"/>
                <w:szCs w:val="24"/>
              </w:rPr>
            </w:pPr>
            <w:r>
              <w:rPr>
                <w:rFonts w:ascii="Times New Roman" w:hAnsi="Times New Roman"/>
                <w:szCs w:val="24"/>
              </w:rPr>
              <w:t xml:space="preserve">Примечание ИМТ – индекс массы тела; САД – систолическое артериальное давление; ДАД – диастолическое артериальное давление; *Критерий Манна-Уитни; </w:t>
            </w:r>
          </w:p>
          <w:p w:rsidR="00AB12B3" w:rsidRDefault="00C708E3" w:rsidP="00C708E3">
            <w:pPr>
              <w:jc w:val="both"/>
              <w:rPr>
                <w:rFonts w:ascii="Times New Roman" w:hAnsi="Times New Roman"/>
                <w:szCs w:val="20"/>
              </w:rPr>
            </w:pPr>
            <w:r>
              <w:rPr>
                <w:rFonts w:ascii="Times New Roman" w:hAnsi="Times New Roman"/>
                <w:szCs w:val="24"/>
              </w:rPr>
              <w:t>Ме±IQR (Q1 – Q3) – Медиана ± межквартильный диапазон (1 квартиль – 3 квартиль);</w:t>
            </w:r>
          </w:p>
        </w:tc>
      </w:tr>
    </w:tbl>
    <w:p w:rsidR="00201AC5" w:rsidRDefault="00201AC5" w:rsidP="00AB12B3">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 изучении взаимосвязи групп факторов риска с группами ЛПВП был</w:t>
      </w:r>
      <w:r w:rsidR="00A467D3">
        <w:rPr>
          <w:rFonts w:ascii="Times New Roman" w:hAnsi="Times New Roman" w:cs="Times New Roman"/>
          <w:sz w:val="28"/>
          <w:szCs w:val="28"/>
        </w:rPr>
        <w:t>а</w:t>
      </w:r>
      <w:r>
        <w:rPr>
          <w:rFonts w:ascii="Times New Roman" w:hAnsi="Times New Roman" w:cs="Times New Roman"/>
          <w:sz w:val="28"/>
          <w:szCs w:val="28"/>
        </w:rPr>
        <w:t xml:space="preserve"> выявлен</w:t>
      </w:r>
      <w:r w:rsidR="00A467D3">
        <w:rPr>
          <w:rFonts w:ascii="Times New Roman" w:hAnsi="Times New Roman" w:cs="Times New Roman"/>
          <w:sz w:val="28"/>
          <w:szCs w:val="28"/>
        </w:rPr>
        <w:t>а</w:t>
      </w:r>
      <w:r>
        <w:rPr>
          <w:rFonts w:ascii="Times New Roman" w:hAnsi="Times New Roman" w:cs="Times New Roman"/>
          <w:sz w:val="28"/>
          <w:szCs w:val="28"/>
        </w:rPr>
        <w:t xml:space="preserve"> связь с полом и статусом курения. Как видно в таблице 21, в нашем исследовании у женщин чаще встречалось снижение уровня ЛПВП, а у мужчин шанс развития сниженного уровня ЛПВП был на 0,52 раз ниже по сравнению с женщинами</w:t>
      </w:r>
      <w:r w:rsidR="00746F1C">
        <w:rPr>
          <w:rFonts w:ascii="Times New Roman" w:hAnsi="Times New Roman" w:cs="Times New Roman"/>
          <w:sz w:val="28"/>
          <w:szCs w:val="28"/>
        </w:rPr>
        <w:t xml:space="preserve"> исследуемой выборки</w:t>
      </w:r>
      <w:r>
        <w:rPr>
          <w:rFonts w:ascii="Times New Roman" w:hAnsi="Times New Roman" w:cs="Times New Roman"/>
          <w:sz w:val="28"/>
          <w:szCs w:val="28"/>
        </w:rPr>
        <w:t>.</w:t>
      </w:r>
    </w:p>
    <w:p w:rsidR="00B324BD" w:rsidRDefault="00B324BD" w:rsidP="00B324B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Возможно, определение уровня дисфункционального ЛПВП не имеет практического значения, но некоторые авторы считают, что уровень ЛПВП может сыграть роль в будущем для профилактики дислипидемии у пациентов с ожирением, у курильщиков </w:t>
      </w:r>
      <w:r>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disorders.","type":"article-journal","volume":"16"},"uris":["http://www.mendeley.com/documents/?uuid=c34613a0-bf02-4657-92df-ceedf4f3100e"]}],"mendeley":{"formattedCitation":"[18]","manualFormatting":"[18, р. 242]","plainTextFormattedCitation":"[18]","previouslyFormattedCitation":"[18]"},"properties":{"noteIndex":0},"schema":"https://github.com/citation-style-language/schema/raw/master/csl-citation.json"}</w:instrText>
      </w:r>
      <w:r>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[18</w:t>
      </w:r>
      <w:r w:rsidR="00F87DB7">
        <w:rPr>
          <w:rFonts w:ascii="Times New Roman" w:hAnsi="Times New Roman" w:cs="Times New Roman"/>
          <w:noProof/>
          <w:sz w:val="28"/>
          <w:szCs w:val="28"/>
        </w:rPr>
        <w:t>, р. 242</w:t>
      </w:r>
      <w:r w:rsidR="00F87DB7" w:rsidRPr="00F87DB7">
        <w:rPr>
          <w:rFonts w:ascii="Times New Roman" w:hAnsi="Times New Roman" w:cs="Times New Roman"/>
          <w:noProof/>
          <w:sz w:val="28"/>
          <w:szCs w:val="28"/>
        </w:rPr>
        <w:t>]</w:t>
      </w:r>
      <w:r>
        <w:rPr>
          <w:rFonts w:ascii="Times New Roman" w:hAnsi="Times New Roman" w:cs="Times New Roman"/>
          <w:sz w:val="28"/>
          <w:szCs w:val="28"/>
        </w:rPr>
        <w:fldChar w:fldCharType="end"/>
      </w:r>
      <w:r>
        <w:rPr>
          <w:rFonts w:ascii="Times New Roman" w:hAnsi="Times New Roman" w:cs="Times New Roman"/>
          <w:sz w:val="28"/>
          <w:szCs w:val="28"/>
        </w:rPr>
        <w:t xml:space="preserve">. Однако наши данные не согласуются с последними, даже если связь между статусом курения и уровнем ЛПВП была значима, но сниженный уровень ЛПВП чаще встречался у некурящих участников по сравнению с курящими или бросившими курить (таблица 21). </w:t>
      </w:r>
      <w:r w:rsidRPr="00700361">
        <w:rPr>
          <w:rFonts w:ascii="Times New Roman" w:hAnsi="Times New Roman" w:cs="Times New Roman"/>
          <w:sz w:val="28"/>
          <w:szCs w:val="28"/>
        </w:rPr>
        <w:t>Поэтому некоторые авторы считают, что уровень ЛПВП не отражает функциональность ЛПВП, но предлагают прогнозировать с помощью С – реактивного белка, интерлейкина-6, миелопероксидазы, параоксоназы</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{"citationItems":[{"id":"ITEM-1","itemData":{"DOI":"10.5114/aoms.2020.93253","abstract":"The first and the most recent (2020) the Polish Society of Laboratory Diagnostics (PSLD) and the Polish Lipid Association (PoLA) guidelines on laboratory diagnostics of lipid metabolism disorders. We have updated the recent knowledge with the newest data, and, among others, added some new recommendations on Lp(a) and remnants measurements, as well as new definition of extremely high risk patients, which completes the one suggested within ESC/EAS 2019 lipid management guidelines.","author":[{"dropping-particle":"","family":"Solnica","given":"Bogdan","non-dropping-particle":"","parse-names":false,"suffix":""},{"dropping-particle":"","family":"Sygitowicz","given":"Grażyna","non-dropping-particle":"","parse-names":false,"suffix":""},{"dropping-particle":"","family":"Sitkiewicz","given":"Dariusz","non-dropping-particle":"","parse-names":false,"suffix":""},{"dropping-particle":"","family":"Cybulska","given":"Barbara","non-dropping-particle":"","parse-names":false,"suffix":""},{"dropping-particle":"","family":"Jóźwiak","given":"Jacek","non-dropping-particle":"","parse-names":false,"suffix":""},{"dropping-particle":"","family":"Odrowąż-Sypniewska","given":"Grażyna","non-dropping-particle":"","parse-names":false,"suffix":""},{"dropping-particle":"","family":"Banach","given":"Maciej","non-dropping-particle":"","parse-names":false,"suffix":""}],"container-title":"Arch Med Sci","id":"ITEM-1","issue":"2","issued":{"date-parts":[["2020"]]},"page":"237-252","title":"2020 Guidelines of the Polish Society of Laboratory Diagnostics (PSLD) and the Polish Lipid Association (PoLA) on laboratory diagnostics of lipid metabolism disorders.","type":"article-journal","volume":"16"},"uris":["http://www.mendeley.com/documents/?uuid=c34613a0-bf02-4657-92df-ceedf4f3100e"]}],"mendeley":{"formattedCitation":"[18]","manualFormatting":"[18, р. 242]","plainTextFormattedCitation":"[18]","previouslyFormattedCitation":"[18]"},"properties":{"noteIndex":0},"schema":"https://github.com/citation-style-language/schema/raw/master/csl-citation.json"}</w:instrText>
      </w:r>
      <w:r>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[18</w:t>
      </w:r>
      <w:r w:rsidR="00F87DB7">
        <w:rPr>
          <w:rFonts w:ascii="Times New Roman" w:hAnsi="Times New Roman" w:cs="Times New Roman"/>
          <w:noProof/>
          <w:sz w:val="28"/>
          <w:szCs w:val="28"/>
        </w:rPr>
        <w:t>, р. 242</w:t>
      </w:r>
      <w:r w:rsidR="00F87DB7" w:rsidRPr="00F87DB7">
        <w:rPr>
          <w:rFonts w:ascii="Times New Roman" w:hAnsi="Times New Roman" w:cs="Times New Roman"/>
          <w:noProof/>
          <w:sz w:val="28"/>
          <w:szCs w:val="28"/>
        </w:rPr>
        <w:t>]</w:t>
      </w:r>
      <w:r>
        <w:rPr>
          <w:rFonts w:ascii="Times New Roman" w:hAnsi="Times New Roman" w:cs="Times New Roman"/>
          <w:sz w:val="28"/>
          <w:szCs w:val="28"/>
        </w:rPr>
        <w:fldChar w:fldCharType="end"/>
      </w:r>
      <w:r>
        <w:rPr>
          <w:rFonts w:ascii="Times New Roman" w:hAnsi="Times New Roman" w:cs="Times New Roman"/>
          <w:sz w:val="28"/>
          <w:szCs w:val="28"/>
        </w:rPr>
        <w:t>.</w:t>
      </w:r>
    </w:p>
    <w:p w:rsidR="00B324BD" w:rsidRDefault="00B324BD" w:rsidP="00B324B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Есть противоречивые результаты исследовании по обратной связи ЛПВП с риском АССЗ </w:t>
      </w:r>
      <w:r>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{"citationItems":[{"id":"ITEM-1","itemData":{"DOI":"10.1056/NEJMoa1609581","ISSN":"0028-4793","PMID":"28514624","abstract":"BACKGROUND: The cholesteryl ester transfer protein inhibitor evacetrapib substantially raises the high-density lipoprotein (HDL) cholesterol level, reduces the low-density lipoprotein (LDL) cholesterol level, and enhances cellular cholesterol efflux capacity. We sought to determine the effect of evacetrapib on major adverse cardiovascular outcomes in patients with high-risk vascular disease. METHODS: In a multicenter, randomized, double-blind, placebo-controlled phase 3 trial, we enrolled 12,092 patients who had at least one of the following conditions: an acute coronary syndrome within the previous 30 to 365 days, cerebrovascular atherosclerotic disease, peripheral vascular arterial disease, or diabetes mellitus with coronary artery disease. Patients were randomly assigned to receive either evacetrapib at a dose of 130 mg or matching placebo, administered daily, in addition to standard medical therapy. The primary efficacy end point was the first occurrence of any component of the composite of death from cardiovascular causes, myocardial infarction, stroke, coronary revascularization, or hospitalization for unstable angina. RESULTS: At 3 months, a 31.1% decrease in the mean LDL cholesterol level was observed with evacetrapib versus a 6.0% increase with placebo, and a 133.2% increase in the mean HDL cholesterol level was seen with evacetrapib versus a 1.6% increase with placebo. After 1363 of the planned 1670 primary end-point events had occurred, the data and safety monitoring board recommended that the trial be terminated early because of a lack of efficacy. After a median of 26 months of evacetrapib or placebo, a primary end-point event occurred in 12.9% of the patients in the evacetrapib group and in 12.8% of those in the placebo group (hazard ratio, 1.01; 95% confidence interval, 0.91 to 1.11; P = 0.91). CONCLUSIONS: Although the cholesteryl ester transfer protein inhibitor evacetrapib had favorable effects on established lipid biomarkers, treatment with evacetrapib did not result in a lower rate of cardiovascular events than placebo among patients with high-risk vascular disease.","author":[{"dropping-particle":"","family":"Lincoff","given":"A. Michael","non-dropping-particle":"","parse-names":false,"suffix":""},{"dropping-particle":"","family":"Nicholls","given":"Stephen J.","non-dropping-particle":"","parse-names":false,"suffix":""},{"dropping-particle":"","family":"Riesmeyer","given":"Jeffrey S.","non-dropping-particle":"","parse-names":false,"suffix":""},{"dropping-particle":"","family":"Barter","given":"Philip J.","non-dropping-particle":"","parse-names":false,"suffix":""},{"dropping-particle":"","family":"Brewer","given":"H. Bryan","non-dropping-particle":"","parse-names":false,"suffix":""},{"dropping-particle":"","family":"Fox","given":"Keith A.A.","non-dropping-particle":"","parse-names":false,"suffix":""},{"dropping-particle":"","family":"Gibson","given":"C. Michael","non-dropping-particle":"","parse-names":false,"suffix":""},{"dropping-particle":"","family":"Granger","given":"Christopher","non-dropping-particle":"","parse-names":false,"suffix":""},{"dropping-particle":"","family":"Menon","given":"Venu","non-dropping-particle":"","parse-names":false,"suffix":""},{"dropping-particle":"","family":"Montalescot","given":"Gilles","non-dropping-particle":"","parse-names":false,"suffix":""},{"dropping-particle":"","family":"Rader","given":"Daniel","non-dropping-particle":"","parse-names":false,"suffix":""},{"dropping-particle":"","family":"Tall","given":"Alan R.","non-dropping-particle":"","parse-names":false,"suffix":""},{"dropping-particle":"","family":"McErlean","given":"Ellen","non-dropping-particle":"","parse-names":false,"suffix":""},{"dropping-particle":"","family":"Wolski","given":"Kathy","non-dropping-particle":"","parse-names":false,"suffix":""},{"dropping-particle":"","family":"Ruotolo","given":"Giacomo","non-dropping-particle":"","parse-names":false,"suffix":""},{"dropping-particle":"","family":"Vangerow","given":"Burkhard","non-dropping-particle":"","parse-names":false,"suffix":""},{"dropping-particle":"","family":"Weerakkody","given":"Govinda","non-dropping-particle":"","parse-names":false,"suffix":""},{"dropping-particle":"","family":"Goodman","given":"Shaun G.","non-dropping-particle":"","parse-names":false,"suffix":""},{"dropping-particle":"","family":"Conde","given":"Diego","non-dropping-particle":"","parse-names":false,"suffix":""},{"dropping-particle":"","family":"McGuire","given":"Darren K.","non-dropping-particle":"","parse-names":false,"suffix":""},{"dropping-particle":"","family":"Nicolau","given":"Jose C.","non-dropping-particle":"","parse-names":false,"suffix":""},{"dropping-particle":"","family":"Leiva-Pons","given":"Jose L.","non-dropping-particle":"","parse-names":false,"suffix":""},{"dropping-particle":"","family":"Pesant","given":"Yves","non-dropping-particle":"","parse-names":false,"suffix":""},{"dropping-particle":"","family":"Li","given":"Weimin","non-dropping-particle":"","parse-names":false,"suffix":""},{"dropping-particle":"","family":"Kandath","given":"David","non-dropping-particle":"","parse-names":false,"suffix":""},{"dropping-particle":"","family":"Kouz","given":"Simon","non-dropping-particle":"","parse-names":false,"suffix":""},{"dropping-particle":"","family":"Tahirkheli","given":"Naeem","non-dropping-particle":"","parse-names":false,"suffix":""},{"dropping-particle":"","family":"Mason","given":"Denise","non-dropping-particle":"","parse-names":false,"suffix":""},{"dropping-particle":"","family":"Nissen","given":"Steven E.","non-dropping-particle":"","parse-names":false,"suffix":""}],"container-title":"New England Journal of Medicine","id":"ITEM-1","issue":"20","issued":{"date-parts":[["2017","5","18"]]},"page":"1933-1942","title":"Evacetrapib and Cardiovascular Outcomes in High-Risk Vascular Disease","type":"article-journal","volume":"376"},"uris":["http://www.mendeley.com/documents/?uuid=a4b2f937-c2a3-4b09-998e-b44c87d35f99"]},{"id":"ITEM-2","itemData":{"DOI":"10.1093/eurheartj/ehz455","ISSN":"0195-668X","PMID":"31504418","author":[{"dropping-particle":"","family":"Mach","given":"François","non-dropping-particle":"","parse-names":false,"suffix":""},{"dropping-particle":"","family":"Baigent","given":"Colin","non-dropping-particle":"","parse-names":false,"suffix":""},{"dropping-particle":"","family":"Catapano","given":"Alberico L.","non-dropping-particle":"","parse-names":false,"suffix":""},{"dropping-particle":"","family":"Koskinas","given":"Konstantinos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Chapman","given":"M. John","non-dropping-particle":"","parse-names":false,"suffix":""},{"dropping-particle":"","family":"Backer","given":"Guy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Mueller","given":"Christian","non-dropping-particle":"","parse-names":false,"suffix":""},{"dropping-particle":"","family":"Drexel","given":"Heinz","non-dropping-particle":"","parse-names":false,"suffix":""},{"dropping-particle":"","family":"Aboyans","given":"Victor","non-dropping-particle":"","parse-names":false,"suffix":""},{"dropping-particle":"","family":"Corsini","given":"Alberto","non-dropping-particle":"","parse-names":false,"suffix":""},{"dropping-particle":"","family":"Doehner","given":"Wolfram","non-dropping-particle":"","parse-names":false,"suffix":""},{"dropping-particle":"","family":"Farnier","given":"Michel","non-dropping-particle":"","parse-names":false,"suffix":""},{"dropping-particle":"","family":"Gigante","given":"Bruna","non-dropping-particle":"","parse-names":false,"suffix":""},{"dropping-particle":"","family":"Kayikcioglu","given":"Meral","non-dropping-particle":"","parse-names":false,"suffix":""},{"dropping-particle":"","family":"Krstacic","given":"Goran","non-dropping-particle":"","parse-names":false,"suffix":""},{"dropping-particle":"","family":"Lambrinou","given":"Ekaterini","non-dropping-particle":"","parse-names":false,"suffix":""},{"dropping-particle":"","family":"Lewis","given":"Basil S.","non-dropping-particle":"","parse-names":false,"suffix":""},{"dropping-particle":"","family":"Masip","given":"Josep","non-dropping-particle":"","parse-names":false,"suffix":""},{"dropping-particle":"","family":"Moulin","given":"Philippe","non-dropping-particle":"","parse-names":false,"suffix":""},{"dropping-particle":"","family":"Petersen","given":"Steffen","non-dropping-particle":"","parse-names":false,"suffix":""},{"dropping-particle":"","family":"Petronio","given":"Anna Sonia","non-dropping-particle":"","parse-names":false,"suffix":""},{"dropping-particle":"","family":"Piepoli","given":"Massimo Francesco","non-dropping-particle":"","parse-names":false,"suffix":""},{"dropping-particle":"","family":"Pintó","given":"Xavier","non-dropping-particle":"","parse-names":false,"suffix":""},{"dropping-particle":"","family":"Räber","given":"Lorenz","non-dropping-particle":"","parse-names":false,"suffix":""},{"dropping-particle":"","family":"Ray","given":"Kausik K.","non-dropping-particle":"","parse-names":false,"suffix":""},{"dropping-particle":"","family":"Reiner","given":"Željko","non-dropping-particle":"","parse-names":false,"suffix":""},{"dropping-particle":"","family":"Riesen","given":"Walter F.","non-dropping-particle":"","parse-names":false,"suffix":""},{"dropping-particle":"","family":"Roffi","given":"Marco","non-dropping-particle":"","parse-names":false,"suffix":""},{"dropping-particle":"","family":"Schmid","given":"Jean-Paul","non-dropping-particle":"","parse-names":false,"suffix":""},{"dropping-particle":"","family":"Shlyakhto","given":"Evgeny","non-dropping-particle":"","parse-names":false,"suffix":""},{"dropping-particle":"","family":"Simpson","given":"Iain A.","non-dropping-particle":"","parse-names":false,"suffix":""},{"dropping-particle":"","family":"Stroes","given":"Erik","non-dropping-particle":"","parse-names":false,"suffix":""},{"dropping-particle":"","family":"Sudano","given":"Isabella","non-dropping-particle":"","parse-names":false,"suffix":""},{"dropping-particle":"","family":"Tselepis","given":"Alexandros D.","non-dropping-particle":"","parse-names":false,"suffix":""},{"dropping-particle":"","family":"Viigimaa","given":"Margus","non-dropping-particle":"","parse-names":false,"suffix":""},{"dropping-particle":"","family":"Vindis","given":"Cecile","non-dropping-particle":"","parse-names":false,"suffix":""},{"dropping-particle":"","family":"Vonbank","given":"Alexander","non-dropping-particle":"","parse-names":false,"suffix":""},{"dropping-particle":"","family":"Vrablik","given":"Michal","non-dropping-particle":"","parse-names":false,"suffix":""},{"dropping-particle":"","family":"Vrsalovic","given":"Mislav","non-dropping-particle":"","parse-names":false,"suffix":""},{"dropping-particle":"","family":"Zamorano","given":"José Luis","non-dropping-particle":"","parse-names":false,"suffix":""},{"dropping-particle":"","family":"Collet","given":"Jean-Philippe","non-dropping-particle":"","parse-names":false,"suffix":""},{"dropping-particle":"","family":"Koskinas","given":"Konstantinos C.","non-dropping-particle":"","parse-names":false,"suffix":""},{"dropping-particle":"","family":"Casula","given":"Manuela","non-dropping-particle":"","parse-names":false,"suffix":""},{"dropping-particle":"","family":"Badimon","given":"Lina","non-dropping-particle":"","parse-names":false,"suffix":""},{"dropping-particle":"","family":"John Chapman","given":"M","non-dropping-particle":"","parse-names":false,"suffix":""},{"dropping-particle":"","family":"Backer","given":"Guy G.","non-dropping-particle":"De","parse-names":false,"suffix":""},{"dropping-particle":"","family":"Delgado","given":"Victoria","non-dropping-particle":"","parse-names":false,"suffix":""},{"dropping-particle":"","family":"Ference","given":"Brian A.","non-dropping-particle":"","parse-names":false,"suffix":""},{"dropping-particle":"","family":"Graham","given":"Ian M.","non-dropping-particle":"","parse-names":false,"suffix":""},{"dropping-particle":"","family":"Halliday","given":"Alison","non-dropping-particle":"","parse-names":false,"suffix":""},{"dropping-particle":"","family":"Landmesser","given":"Ulf","non-dropping-particle":"","parse-names":false,"suffix":""},{"dropping-particle":"","family":"Mihaylova","given":"Borislava","non-dropping-particle":"","parse-names":false,"suffix":""},{"dropping-particle":"","family":"Pedersen","given":"Terje R.","non-dropping-particle":"","parse-names":false,"suffix":""},{"dropping-particle":"","family":"Riccardi","given":"Gabriele","non-dropping-particle":"","parse-names":false,"suffix":""},{"dropping-particle":"","family":"Richter","given":"Dimitrios J.","non-dropping-particle":"","parse-names":false,"suffix":""},{"dropping-particle":"","family":"Sabatine","given":"Marc S.","non-dropping-particle":"","parse-names":false,"suffix":""},{"dropping-particle":"","family":"Taskinen","given":"Marja-Riitta","non-dropping-particle":"","parse-names":false,"suffix":""},{"dropping-particle":"","family":"Tokgozoglu","given":"Lale","non-dropping-particle":"","parse-names":false,"suffix":""},{"dropping-particle":"","family":"Wiklund","given":"Olov","non-dropping-particle":"","parse-names":false,"suffix":""},{"dropping-particle":"","family":"Windecker","given":"Stephan","non-dropping-particle":"","parse-names":false,"suffix":""},{"dropping-particle":"","family":"Aboyans","given":"Victor","non-dropping-particle":"","parse-names":false,"suffix":""},{"dropping-particle":"","family":"Baigent","given":"Colin","non-dropping-particle":"","parse-names":false,"suffix":""},{"dropping-particle":"","family":"Collet","given":"Jean-Philippe","non-dropping-particle":"","parse-names":false,"suffix":""},{"dropping-particle":"","family":"Dean","given":"Veronica","non-dropping-particle":"","parse-names":false,"suffix":""},{"dropping-particle":"","family":"Delgado","given":"Victoria","non-dropping-particle":"","parse-names":false,"suffix":""},{"dropping-particle":"","family":"Fitzsimons","given":"Donna","non-dropping-particle":"","parse-names":false,"suffix":""},{"dropping-particle":"","family":"Gale","given":"Chris P.","non-dropping-particle":"","parse-names":false,"suffix":""},{"dropping-particle":"","family":"Grobbee","given":"Diederick","non-dropping-particle":"","parse-names":false,"suffix":""},{"dropping-particle":"","family":"Halvorsen","given":"Sigrun","non-dropping-particle":"","parse-names":false,"suffix":""},{"dropping-particle":"","family":"Hindricks","given":"Gerhard","non-dropping-particle":"","parse-names":false,"suffix":""},{"dropping-particle":"","family":"Iung","given":"Bernard","non-dropping-particle":"","parse-names":false,"suffix":""},{"dropping-particle":"","family":"Jüni","given":"Peter","non-dropping-particle":"","parse-names":false,"suffix":""},{"dropping-particle":"","family":"Katus","given":"Hugo A.","non-dropping-particle":"","parse-names":false,"suffix":""},{"dropping-particle":"","family":"Landmesser","given":"Ulf","non-dropping-particle":"","parse-names":false,"suffix":""},{"dropping-particle":"","family":"Leclercq","given":"Christophe","non-dropping-particle":"","parse-names":false,"suffix":""},{"dropping-particle":"","family":"Lettino","given":"Maddalena","non-dropping-particle":"","parse-names":false,"suffix":""},{"dropping-particle":"","family":"Lewis","given":"Basil S.","non-dropping-particle":"","parse-names":false,"suffix":""},{"dropping-particle":"","family":"Merkely","given":"Bela","non-dropping-particle":"","parse-names":false,"suffix":""},{"dropping-particle":"","family":"Mueller","given":"Christian","non-dropping-particle":"","parse-names":false,"suffix":""},{"dropping-particle":"","family":"Petersen","given":"Steffen","non-dropping-particle":"","parse-names":false,"suffix":""},{"dropping-particle":"","family":"Petronio","given":"Anna Sonia","non-dropping-particle":"","parse-names":false,"suffix":""},{"dropping-particle":"","family":"Richter","given":"Dimitrios J.","non-dropping-particle":"","parse-names":false,"suffix":""},{"dropping-particle":"","family":"Roffi","given":"Marco","non-dropping-particle":"","parse-names":false,"suffix":""},{"dropping-particle":"","family":"Shlyakhto","given":"Evgeny","non-dropping-particle":"","parse-names":false,"suffix":""},{"dropping-particle":"","family":"Simpson","given":"Iain A.","non-dropping-particle":"","parse-names":false,"suffix":""},{"dropping-particle":"","family":"Sousa-Uva","given":"Miguel","non-dropping-particle":"","parse-names":false,"suffix":""},{"dropping-particle":"","family":"Touyz","given":"Rhian M.","non-dropping-particle":"","parse-names":false,"suffix":""},{"dropping-particle":"","family":"Nibouche","given":"Djamaleddine","non-dropping-particle":"","parse-names":false,"suffix":""},{"dropping-particle":"","family":"Zelveian","given":"Parounak H.","non-dropping-particle":"","parse-names":false,"suffix":""},{"dropping-particle":"","family":"Siostrzonek","given":"Peter","non-dropping-particle":"","parse-names":false,"suffix":""},{"dropping-particle":"","family":"Najafov","given":"Ruslan","non-dropping-particle":"","parse-names":false,"suffix":""},{"dropping-particle":"","family":"Borne","given":"Philippe","non-dropping-particle":"van de","parse-names":false,"suffix":""},{"dropping-particle":"","family":"Pojskic","given":"Belma","non-dropping-particle":"","parse-names":false,"suffix":""},{"dropping-particle":"","family":"Postadzhiyan","given":"Arman","non-dropping-particle":"","parse-names":false,"suffix":""},{"dropping-particle":"","family":"Kypris","given":"Lambros","non-dropping-particle":"","parse-names":false,"suffix":""},{"dropping-particle":"","family":"Špinar","given":"Jindřich","non-dropping-particle":"","parse-names":false,"suffix":""},{"dropping-particle":"","family":"Larsen","given":"Mogens Lytken","non-dropping-particle":"","parse-names":false,"suffix":""},{"dropping-particle":"","family":"Eldin","given":"Hesham Salah","non-dropping-particle":"","parse-names":false,"suffix":""},{"dropping-particle":"","family":"Viigimaa","given":"Margus","non-dropping-particle":"","parse-names":false,"suffix":""},{"dropping-particle":"","family":"Strandberg","given":"Timo E.","non-dropping-particle":"","parse-names":false,"suffix":""},{"dropping-particle":"","family":"Ferrières","given":"Jean","non-dropping-particle":"","parse-names":false,"suffix":""},{"dropping-particle":"","family":"Agladze","given":"Rusudan","non-dropping-particle":"","parse-names":false,"suffix":""},{"dropping-particle":"","family":"Laufs","given":"Ulrich","non-dropping-particle":"","parse-names":false,"suffix":""},{"dropping-particle":"","family":"Rallidis","given":"Loukianos","non-dropping-particle":"","parse-names":false,"suffix":""},{"dropping-particle":"","family":"Bajnok","given":"László","non-dropping-particle":"","parse-names":false,"suffix":""},{"dropping-particle":"","family":"Gudjónsson","given":"Thorbjörn","non-dropping-particle":"","parse-names":false,"suffix":""},{"dropping-particle":"","family":"Maher","given":"Vincent","non-dropping-particle":"","parse-names":false,"suffix":""},{"dropping-particle":"","family":"Henkin","given":"Yaakov","non-dropping-particle":"","parse-names":false,"suffix":""},{"dropping-particle":"","family":"Gulizia","given":"Michele Massimo","non-dropping-particle":"","parse-names":false,"suffix":""},{"dropping-particle":"","family":"Mussagaliyeva","given":"Aisulu","non-dropping-particle":"","parse-names":false,"suffix":""},{"dropping-particle":"","family":"Bajraktari","given":"Gani","non-dropping-particle":"","parse-names":false,"suffix":""},{"dropping-particle":"","family":"Kerimkulova","given":"Alina","non-dropping-particle":"","parse-names":false,"suffix":""},{"dropping-particle":"","family":"Latkovskis","given":"Gustavs","non-dropping-particle":"","parse-names":false,"suffix":""},{"dropping-particle":"","family":"Hamoui","given":"Omar","non-dropping-particle":"","parse-names":false,"suffix":""},{"dropping-particle":"","family":"Slapikas","given":"Rimvydas","non-dropping-particle":"","parse-names":false,"suffix":""},{"dropping-particle":"","family":"Visser","given":"Laurent","non-dropping-particle":"","parse-names":false,"suffix":""},{"dropping-particle":"","family":"Dingli","given":"Philip","non-dropping-particle":"","parse-names":false,"suffix":""},{"dropping-particle":"","family":"Ivanov","given":"Victoria","non-dropping-particle":"","parse-names":false,"suffix":""},{"dropping-particle":"","family":"Boskovic","given":"Aneta","non-dropping-particle":"","parse-names":false,"suffix":""},{"dropping-particle":"","family":"Nazzi","given":"Mbarek","non-dropping-particle":"","parse-names":false,"suffix":""},{"dropping-particle":"","family":"Visseren","given":"Frank","non-dropping-particle":"","parse-names":false,"suffix":""},{"dropping-particle":"","family":"Mitevska","given":"Irena","non-dropping-particle":"","parse-names":false,"suffix":""},{"dropping-particle":"","family":"Retterstøl","given":"Kjetil","non-dropping-particle":"","parse-names":false,"suffix":""},{"dropping-particle":"","family":"Jankowski","given":"Piotr","non-dropping-particle":"","parse-names":false,"suffix":""},{"dropping-particle":"","family":"Fontes-Carvalho","given":"Ricardo","non-dropping-particle":"","parse-names":false,"suffix":""},{"dropping-particle":"","family":"Gaita","given":"Dan","non-dropping-particle":"","parse-names":false,"suffix":""},{"dropping-particle":"","family":"Ezhov","given":"Marat","non-dropping-particle":"","parse-names":false,"suffix":""},{"dropping-particle":"","family":"Foscoli","given":"Marina","non-dropping-particle":"","parse-names":false,"suffix":""},{"dropping-particle":"","family":"Giga","given":"Vojislav","non-dropping-particle":"","parse-names":false,"suffix":""},{"dropping-particle":"","family":"Pella","given":"Daniel","non-dropping-particle":"","parse-names":false,"suffix":""},{"dropping-particle":"","family":"Fras","given":"Zlatko","non-dropping-particle":"","parse-names":false,"suffix":""},{"dropping-particle":"","family":"Isla","given":"Leopoldo Perez","non-dropping-particle":"de","parse-names":false,"suffix":""},{"dropping-particle":"","family":"Hagström","given":"Emil","non-dropping-particle":"","parse-names":false,"suffix":""},{"dropping-particle":"","family":"Lehmann","given":"Roger","non-dropping-particle":"","parse-names":false,"suffix":""},{"dropping-particle":"","family":"Abid","given":"Leila","non-dropping-particle":"","parse-names":false,"suffix":""},{"dropping-particle":"","family":"Ozdogan","given":"Oner","non-dropping-particle":"","parse-names":false,"suffix":""},{"dropping-particle":"","family":"Mitchenko","given":"Olena","non-dropping-particle":"","parse-names":false,"suffix":""},{"dropping-particle":"","family":"Patel","given":"Riyaz S.","non-dropping-particle":"","parse-names":false,"suffix":""}],"container-title":"European Heart Journal","id":"ITEM-2","issue":"1","issued":{"date-parts":[["2020","1","1"]]},"page":"111-188","title":"2019 ESC/EAS Guidelines for the management of dyslipidaemias: lipid modification to reduce cardiovascular risk","type":"article-journal","volume":"41"},"uris":["http://www.mendeley.com/documents/?uuid=596ff8fa-459c-486e-8041-242d096c7b8b"]}],"mendeley":{"formattedCitation":"[2,167]","manualFormatting":"[2, р. 137; 167]","plainTextFormattedCitation":"[2,167]","previouslyFormattedCitation":"[2,167]"},"properties":{"noteIndex":0},"schema":"https://github.com/citation-style-language/schema/raw/master/csl-citation.json"}</w:instrText>
      </w:r>
      <w:r>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[2,</w:t>
      </w:r>
      <w:r w:rsidR="00F87DB7">
        <w:rPr>
          <w:rFonts w:ascii="Times New Roman" w:hAnsi="Times New Roman" w:cs="Times New Roman"/>
          <w:noProof/>
          <w:sz w:val="28"/>
          <w:szCs w:val="28"/>
        </w:rPr>
        <w:t xml:space="preserve"> р. 137; </w:t>
      </w:r>
      <w:r w:rsidR="00F87DB7" w:rsidRPr="00F87DB7">
        <w:rPr>
          <w:rFonts w:ascii="Times New Roman" w:hAnsi="Times New Roman" w:cs="Times New Roman"/>
          <w:noProof/>
          <w:sz w:val="28"/>
          <w:szCs w:val="28"/>
        </w:rPr>
        <w:t>167]</w:t>
      </w:r>
      <w:r>
        <w:rPr>
          <w:rFonts w:ascii="Times New Roman" w:hAnsi="Times New Roman" w:cs="Times New Roman"/>
          <w:sz w:val="28"/>
          <w:szCs w:val="28"/>
        </w:rPr>
        <w:fldChar w:fldCharType="end"/>
      </w:r>
      <w:r>
        <w:rPr>
          <w:rFonts w:ascii="Times New Roman" w:hAnsi="Times New Roman" w:cs="Times New Roman"/>
          <w:sz w:val="28"/>
          <w:szCs w:val="28"/>
        </w:rPr>
        <w:t xml:space="preserve">. При оценке влияния ЛПВП, ЛПНП, ЛПОНП и апoA1, апоB у пациентов с МС, с атеросклеротическими бляшками в сонной артерии и без ССЗ (2017) было обнаружено, что атеросклеротические бляшки в сонной артерии связан с более низким уровнем ЛПВП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{"citationItems":[{"id":"ITEM-1","itemData":{"DOI":"10.1016/j.dsx.2017.12.017","ISSN":"1878-0334","PMID":"29338972","abstract":"AIM Hypercholesterolemia and hyper LDL-C are associated with the atherosclerosis (AS). The current study was performed to evaluate the implication of the others lipoproteins (HDL, LDL, VLDL) and apolipoproteins (ApoA1, ApoB100) with subclinical atherosclerosis (carotid plaque) in patients with metabolic syndrome (MetS) free from cardiovascular disease (CVD). METHODS Prospective transversal study was conducted in patients with MetS free from cardiovascular disease (CVD). The lipids, lipoproteins and apolipoproteins were measured. The lipoproteins (HDL, LDL, VLDL) were obtained by the precipitation method. The carotid plaque (CP) was evaluated by ultrasonography, method for assessing AS. Logistic regression and analysis tree were used to look for the association and the incrimination of the lipoproteins with the presence of CP. RESULTS The CP incidence was 60% among the participants, 34.29% on the right and the left plaque against 25.71% for only one plaque. The HDL-C was the only lipoprotein associated with the CP after adjustment of the age, the sex and BMI (OR: 0.007 P: 0.046) with the logistic regression analysis, HDL-C (&lt;0.35 g/l), ApoA1 (&lt;1.43 g/l) and VLDL-TG (&gt;0.656 g/l) are implicated in the presence of CP with the analysis tree analysis. CONCLUSION Lower level of HDL-C is associated with CP, HDL-C, ApoA1, and high level VLDL-TG but not total cholesterol, and LDL-Care useful parameters in the assessment of initial atherosclerosis in metabolic syndrome.","author":[{"dropping-particle":"","family":"Abi-Ayad","given":"Meryem","non-dropping-particle":"","parse-names":false,"suffix":""},{"dropping-particle":"","family":"Abbou","given":"Amine","non-dropping-particle":"","parse-names":false,"suffix":""},{"dropping-particle":"","family":"Abi-Ayad","given":"Fatima zahra","non-dropping-particle":"","parse-names":false,"suffix":""},{"dropping-particle":"","family":"Behadada","given":"Omar","non-dropping-particle":"","parse-names":false,"suffix":""},{"dropping-particle":"","family":"Benyoucef","given":"Mohamed","non-dropping-particle":"","parse-names":false,"suffix":""}],"container-title":"Diabetes &amp; metabolic syndrome","id":"ITEM-1","issue":"2","issued":{"date-parts":[["2018","4"]]},"page":"175-179","title":"HDL-C, ApoA1 and VLDL-TG as biomarkers for the carotid plaque presence in patients with metabolic syndrome.","type":"article-journal","volume":"12"},"uris":["http://www.mendeley.com/documents/?uuid=31416d41-de8f-40e4-bbd5-e3ecf66fc679"]}],"mendeley":{"formattedCitation":"[168]","plainTextFormattedCitation":"[168]","previouslyFormattedCitation":"[168]"},"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[168]</w:t>
      </w:r>
      <w:r>
        <w:rPr>
          <w:rFonts w:ascii="Times New Roman" w:hAnsi="Times New Roman" w:cs="Times New Roman"/>
          <w:sz w:val="28"/>
          <w:szCs w:val="28"/>
        </w:rPr>
        <w:fldChar w:fldCharType="end"/>
      </w:r>
      <w:r>
        <w:rPr>
          <w:rFonts w:ascii="Times New Roman" w:hAnsi="Times New Roman" w:cs="Times New Roman"/>
          <w:sz w:val="28"/>
          <w:szCs w:val="28"/>
        </w:rPr>
        <w:t>.</w:t>
      </w:r>
    </w:p>
    <w:p w:rsidR="00B324BD" w:rsidRPr="00B324BD" w:rsidRDefault="00B324BD" w:rsidP="00AB12B3">
      <w:pPr>
        <w:spacing w:after="0" w:line="240" w:lineRule="auto"/>
        <w:jc w:val="both"/>
        <w:rPr>
          <w:rFonts w:ascii="Times New Roman" w:hAnsi="Times New Roman" w:cs="Times New Roman"/>
          <w:sz w:val="28"/>
          <w:szCs w:val="28"/>
          <w:lang w:val="kk-KZ"/>
        </w:rPr>
      </w:pPr>
    </w:p>
    <w:p w:rsidR="00AB12B3" w:rsidRDefault="00AB12B3" w:rsidP="00AB12B3">
      <w:pPr>
        <w:spacing w:after="0" w:line="240" w:lineRule="auto"/>
        <w:jc w:val="both"/>
        <w:rPr>
          <w:rFonts w:ascii="Times New Roman" w:hAnsi="Times New Roman"/>
          <w:sz w:val="28"/>
          <w:szCs w:val="28"/>
          <w:lang w:val="kk-KZ"/>
        </w:rPr>
      </w:pPr>
      <w:r>
        <w:rPr>
          <w:rFonts w:ascii="Times New Roman" w:hAnsi="Times New Roman" w:cs="Times New Roman"/>
          <w:sz w:val="28"/>
          <w:szCs w:val="28"/>
        </w:rPr>
        <w:lastRenderedPageBreak/>
        <w:t xml:space="preserve">Таблица 21 </w:t>
      </w:r>
      <w:r w:rsidR="00162472">
        <w:rPr>
          <w:rFonts w:ascii="Times New Roman" w:hAnsi="Times New Roman" w:cs="Times New Roman"/>
          <w:sz w:val="28"/>
          <w:szCs w:val="28"/>
          <w:lang w:val="kk-KZ"/>
        </w:rPr>
        <w:t xml:space="preserve">- </w:t>
      </w:r>
      <w:r>
        <w:rPr>
          <w:rFonts w:ascii="Times New Roman" w:hAnsi="Times New Roman" w:cs="Times New Roman"/>
          <w:sz w:val="28"/>
          <w:szCs w:val="28"/>
        </w:rPr>
        <w:t xml:space="preserve">Распределение факторов рисков по группам ЛПВП </w:t>
      </w:r>
      <w:r w:rsidR="00DA472A">
        <w:rPr>
          <w:rFonts w:ascii="Times New Roman" w:hAnsi="Times New Roman" w:cs="Times New Roman"/>
          <w:sz w:val="28"/>
          <w:szCs w:val="28"/>
        </w:rPr>
        <w:t>(</w:t>
      </w:r>
      <w:r>
        <w:rPr>
          <w:rFonts w:ascii="Times New Roman" w:hAnsi="Times New Roman"/>
          <w:sz w:val="28"/>
          <w:szCs w:val="28"/>
        </w:rPr>
        <w:t>n=580</w:t>
      </w:r>
      <w:r w:rsidR="00DA472A">
        <w:rPr>
          <w:rFonts w:ascii="Times New Roman" w:hAnsi="Times New Roman"/>
          <w:sz w:val="28"/>
          <w:szCs w:val="28"/>
        </w:rPr>
        <w:t>)</w:t>
      </w:r>
    </w:p>
    <w:p w:rsidR="00E83EC5" w:rsidRPr="00E83EC5" w:rsidRDefault="00E83EC5" w:rsidP="00AB12B3">
      <w:pPr>
        <w:spacing w:after="0" w:line="240" w:lineRule="auto"/>
        <w:jc w:val="both"/>
        <w:rPr>
          <w:rFonts w:ascii="Times New Roman" w:hAnsi="Times New Roman" w:cs="Times New Roman"/>
          <w:sz w:val="28"/>
          <w:szCs w:val="28"/>
          <w:lang w:val="kk-KZ"/>
        </w:rPr>
      </w:pPr>
    </w:p>
    <w:tbl>
      <w:tblPr>
        <w:tblStyle w:val="af7"/>
        <w:tblW w:w="9360" w:type="dxa"/>
        <w:tblInd w:w="108" w:type="dxa"/>
        <w:tblLayout w:type="fixed"/>
        <w:tblLook w:val="04A0" w:firstRow="1" w:lastRow="0" w:firstColumn="1" w:lastColumn="0" w:noHBand="0" w:noVBand="1"/>
      </w:tblPr>
      <w:tblGrid>
        <w:gridCol w:w="1418"/>
        <w:gridCol w:w="1418"/>
        <w:gridCol w:w="1561"/>
        <w:gridCol w:w="1702"/>
        <w:gridCol w:w="2269"/>
        <w:gridCol w:w="992"/>
      </w:tblGrid>
      <w:tr w:rsidR="00AB12B3" w:rsidTr="00A467D3">
        <w:trPr>
          <w:trHeight w:val="377"/>
        </w:trPr>
        <w:tc>
          <w:tcPr>
            <w:tcW w:w="2836"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3263"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ЛПВП, ммоль/л </w:t>
            </w:r>
          </w:p>
        </w:tc>
        <w:tc>
          <w:tcPr>
            <w:tcW w:w="2269"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ОШ (95% ДИ)</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A467D3">
        <w:trPr>
          <w:trHeight w:val="379"/>
        </w:trPr>
        <w:tc>
          <w:tcPr>
            <w:tcW w:w="2836" w:type="dxa"/>
            <w:gridSpan w:val="2"/>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6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 Муж ≥1,0</w:t>
            </w:r>
          </w:p>
          <w:p w:rsidR="00AB12B3" w:rsidRDefault="00AB12B3">
            <w:pPr>
              <w:jc w:val="center"/>
              <w:rPr>
                <w:rFonts w:ascii="Times New Roman" w:hAnsi="Times New Roman"/>
                <w:sz w:val="28"/>
                <w:szCs w:val="28"/>
              </w:rPr>
            </w:pPr>
            <w:r>
              <w:rPr>
                <w:rFonts w:ascii="Times New Roman" w:hAnsi="Times New Roman"/>
                <w:sz w:val="28"/>
                <w:szCs w:val="28"/>
              </w:rPr>
              <w:t>Жен ≥1,2 n</w:t>
            </w:r>
          </w:p>
        </w:tc>
        <w:tc>
          <w:tcPr>
            <w:tcW w:w="170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Муж &lt;1,0</w:t>
            </w:r>
          </w:p>
          <w:p w:rsidR="00AB12B3" w:rsidRDefault="00AB12B3">
            <w:pPr>
              <w:jc w:val="center"/>
              <w:rPr>
                <w:rFonts w:ascii="Times New Roman" w:hAnsi="Times New Roman"/>
                <w:sz w:val="28"/>
                <w:szCs w:val="28"/>
              </w:rPr>
            </w:pPr>
            <w:r>
              <w:rPr>
                <w:rFonts w:ascii="Times New Roman" w:hAnsi="Times New Roman"/>
                <w:sz w:val="28"/>
                <w:szCs w:val="28"/>
              </w:rPr>
              <w:t>Жен &lt;1,2 n</w:t>
            </w: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467D3">
        <w:trPr>
          <w:trHeight w:val="317"/>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AB12B3" w:rsidRPr="002A39B0" w:rsidRDefault="00AB12B3" w:rsidP="005D64C6">
            <w:pPr>
              <w:jc w:val="center"/>
              <w:rPr>
                <w:rFonts w:ascii="Times New Roman" w:hAnsi="Times New Roman"/>
                <w:sz w:val="28"/>
                <w:szCs w:val="28"/>
              </w:rPr>
            </w:pPr>
            <w:r w:rsidRPr="002A39B0">
              <w:rPr>
                <w:rFonts w:ascii="Times New Roman" w:hAnsi="Times New Roman"/>
                <w:sz w:val="28"/>
                <w:szCs w:val="28"/>
              </w:rPr>
              <w:t>Пол</w:t>
            </w:r>
          </w:p>
        </w:tc>
        <w:tc>
          <w:tcPr>
            <w:tcW w:w="141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Жен</w:t>
            </w:r>
          </w:p>
        </w:tc>
        <w:tc>
          <w:tcPr>
            <w:tcW w:w="1561"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97</w:t>
            </w:r>
          </w:p>
        </w:tc>
        <w:tc>
          <w:tcPr>
            <w:tcW w:w="1702"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202</w:t>
            </w:r>
          </w:p>
        </w:tc>
        <w:tc>
          <w:tcPr>
            <w:tcW w:w="226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A467D3">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Pr="002A39B0" w:rsidRDefault="00AB12B3" w:rsidP="005D64C6">
            <w:pPr>
              <w:jc w:val="center"/>
              <w:rPr>
                <w:rFonts w:ascii="Times New Roman" w:hAnsi="Times New Roman"/>
                <w:sz w:val="28"/>
                <w:szCs w:val="28"/>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Муж</w:t>
            </w:r>
          </w:p>
        </w:tc>
        <w:tc>
          <w:tcPr>
            <w:tcW w:w="1561"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135</w:t>
            </w:r>
          </w:p>
        </w:tc>
        <w:tc>
          <w:tcPr>
            <w:tcW w:w="1702"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146</w:t>
            </w:r>
          </w:p>
        </w:tc>
        <w:tc>
          <w:tcPr>
            <w:tcW w:w="226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0,52 (0,37-0,73)</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467D3">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AB12B3" w:rsidRPr="002A39B0" w:rsidRDefault="00AB12B3" w:rsidP="005D64C6">
            <w:pPr>
              <w:jc w:val="center"/>
              <w:rPr>
                <w:rFonts w:ascii="Times New Roman" w:hAnsi="Times New Roman"/>
                <w:sz w:val="28"/>
                <w:szCs w:val="28"/>
              </w:rPr>
            </w:pPr>
            <w:r w:rsidRPr="002A39B0">
              <w:rPr>
                <w:rFonts w:ascii="Times New Roman" w:hAnsi="Times New Roman"/>
                <w:sz w:val="28"/>
                <w:szCs w:val="28"/>
              </w:rPr>
              <w:t>Возраст, лет</w:t>
            </w:r>
          </w:p>
        </w:tc>
        <w:tc>
          <w:tcPr>
            <w:tcW w:w="141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18 – 35</w:t>
            </w:r>
          </w:p>
        </w:tc>
        <w:tc>
          <w:tcPr>
            <w:tcW w:w="1561"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47</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56</w:t>
            </w:r>
          </w:p>
        </w:tc>
        <w:tc>
          <w:tcPr>
            <w:tcW w:w="226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0,63</w:t>
            </w:r>
          </w:p>
        </w:tc>
      </w:tr>
      <w:tr w:rsidR="00AB12B3" w:rsidTr="00A467D3">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Pr="002A39B0" w:rsidRDefault="00AB12B3" w:rsidP="005D64C6">
            <w:pPr>
              <w:jc w:val="center"/>
              <w:rPr>
                <w:rFonts w:ascii="Times New Roman" w:hAnsi="Times New Roman"/>
                <w:sz w:val="28"/>
                <w:szCs w:val="28"/>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36 – 45</w:t>
            </w:r>
          </w:p>
        </w:tc>
        <w:tc>
          <w:tcPr>
            <w:tcW w:w="1561"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68</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106</w:t>
            </w:r>
          </w:p>
        </w:tc>
        <w:tc>
          <w:tcPr>
            <w:tcW w:w="226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1,31 (0,8-2,14)</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467D3">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Pr="002A39B0" w:rsidRDefault="00AB12B3" w:rsidP="005D64C6">
            <w:pPr>
              <w:jc w:val="center"/>
              <w:rPr>
                <w:rFonts w:ascii="Times New Roman" w:hAnsi="Times New Roman"/>
                <w:sz w:val="28"/>
                <w:szCs w:val="28"/>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46 – 55</w:t>
            </w:r>
          </w:p>
        </w:tc>
        <w:tc>
          <w:tcPr>
            <w:tcW w:w="1561"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63</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103</w:t>
            </w:r>
          </w:p>
        </w:tc>
        <w:tc>
          <w:tcPr>
            <w:tcW w:w="226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1,37 (0,83-2,26)</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467D3">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Pr="002A39B0" w:rsidRDefault="00AB12B3" w:rsidP="005D64C6">
            <w:pPr>
              <w:jc w:val="center"/>
              <w:rPr>
                <w:rFonts w:ascii="Times New Roman" w:hAnsi="Times New Roman"/>
                <w:sz w:val="28"/>
                <w:szCs w:val="28"/>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56 – 65</w:t>
            </w:r>
          </w:p>
        </w:tc>
        <w:tc>
          <w:tcPr>
            <w:tcW w:w="1561"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54</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83</w:t>
            </w:r>
          </w:p>
        </w:tc>
        <w:tc>
          <w:tcPr>
            <w:tcW w:w="226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1,29 (0,77-2,16)</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5D64C6" w:rsidTr="003F0171">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5D64C6" w:rsidRPr="002A39B0" w:rsidRDefault="005D64C6" w:rsidP="005D64C6">
            <w:pPr>
              <w:jc w:val="center"/>
              <w:rPr>
                <w:rFonts w:ascii="Times New Roman" w:hAnsi="Times New Roman"/>
                <w:sz w:val="28"/>
                <w:szCs w:val="28"/>
              </w:rPr>
            </w:pPr>
            <w:r w:rsidRPr="002A39B0">
              <w:rPr>
                <w:rFonts w:ascii="Times New Roman" w:hAnsi="Times New Roman"/>
                <w:sz w:val="28"/>
                <w:szCs w:val="28"/>
              </w:rPr>
              <w:t>Окружность талии (см)</w:t>
            </w:r>
          </w:p>
        </w:tc>
        <w:tc>
          <w:tcPr>
            <w:tcW w:w="1418"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муж &lt;102</w:t>
            </w:r>
          </w:p>
          <w:p w:rsidR="005D64C6" w:rsidRDefault="005D64C6" w:rsidP="003F0171">
            <w:pPr>
              <w:jc w:val="center"/>
              <w:rPr>
                <w:rFonts w:ascii="Times New Roman" w:hAnsi="Times New Roman"/>
                <w:sz w:val="28"/>
                <w:szCs w:val="28"/>
              </w:rPr>
            </w:pPr>
            <w:r>
              <w:rPr>
                <w:rFonts w:ascii="Times New Roman" w:hAnsi="Times New Roman"/>
                <w:sz w:val="28"/>
                <w:szCs w:val="28"/>
              </w:rPr>
              <w:t xml:space="preserve">жен &lt;88 </w:t>
            </w:r>
          </w:p>
        </w:tc>
        <w:tc>
          <w:tcPr>
            <w:tcW w:w="1561"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88</w:t>
            </w:r>
          </w:p>
        </w:tc>
        <w:tc>
          <w:tcPr>
            <w:tcW w:w="1702"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129</w:t>
            </w:r>
          </w:p>
        </w:tc>
        <w:tc>
          <w:tcPr>
            <w:tcW w:w="2269"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1,0</w:t>
            </w:r>
          </w:p>
        </w:tc>
        <w:tc>
          <w:tcPr>
            <w:tcW w:w="992" w:type="dxa"/>
            <w:vMerge w:val="restart"/>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0,83</w:t>
            </w:r>
          </w:p>
        </w:tc>
      </w:tr>
      <w:tr w:rsidR="005D64C6" w:rsidTr="003F0171">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5D64C6" w:rsidRPr="002A39B0" w:rsidRDefault="005D64C6" w:rsidP="005D64C6">
            <w:pPr>
              <w:jc w:val="center"/>
              <w:rPr>
                <w:rFonts w:ascii="Times New Roman" w:hAnsi="Times New Roman"/>
                <w:sz w:val="28"/>
                <w:szCs w:val="28"/>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муж ≥102</w:t>
            </w:r>
          </w:p>
          <w:p w:rsidR="005D64C6" w:rsidRDefault="005D64C6" w:rsidP="003F0171">
            <w:pPr>
              <w:jc w:val="center"/>
              <w:rPr>
                <w:rFonts w:ascii="Times New Roman" w:hAnsi="Times New Roman"/>
                <w:sz w:val="28"/>
                <w:szCs w:val="28"/>
              </w:rPr>
            </w:pPr>
            <w:r>
              <w:rPr>
                <w:rFonts w:ascii="Times New Roman" w:hAnsi="Times New Roman"/>
                <w:sz w:val="28"/>
                <w:szCs w:val="28"/>
              </w:rPr>
              <w:t xml:space="preserve">жен ≥88 </w:t>
            </w:r>
          </w:p>
        </w:tc>
        <w:tc>
          <w:tcPr>
            <w:tcW w:w="1561"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144</w:t>
            </w:r>
          </w:p>
        </w:tc>
        <w:tc>
          <w:tcPr>
            <w:tcW w:w="1702"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219</w:t>
            </w:r>
          </w:p>
        </w:tc>
        <w:tc>
          <w:tcPr>
            <w:tcW w:w="2269"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1,04 (0,74-1,46)</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rPr>
                <w:rFonts w:ascii="Times New Roman" w:hAnsi="Times New Roman"/>
                <w:sz w:val="28"/>
                <w:szCs w:val="28"/>
              </w:rPr>
            </w:pPr>
          </w:p>
        </w:tc>
      </w:tr>
      <w:tr w:rsidR="00AB12B3" w:rsidTr="00A467D3">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AB12B3" w:rsidRPr="002A39B0" w:rsidRDefault="00AB12B3" w:rsidP="005D64C6">
            <w:pPr>
              <w:jc w:val="center"/>
              <w:rPr>
                <w:rFonts w:ascii="Times New Roman" w:hAnsi="Times New Roman"/>
                <w:sz w:val="28"/>
                <w:szCs w:val="28"/>
              </w:rPr>
            </w:pPr>
            <w:r w:rsidRPr="002A39B0">
              <w:rPr>
                <w:rFonts w:ascii="Times New Roman" w:hAnsi="Times New Roman"/>
                <w:sz w:val="28"/>
                <w:szCs w:val="28"/>
              </w:rPr>
              <w:t>ИМТ (кг/м2)</w:t>
            </w:r>
          </w:p>
        </w:tc>
        <w:tc>
          <w:tcPr>
            <w:tcW w:w="141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НВ</w:t>
            </w:r>
          </w:p>
        </w:tc>
        <w:tc>
          <w:tcPr>
            <w:tcW w:w="1561" w:type="dxa"/>
            <w:tcBorders>
              <w:top w:val="nil"/>
              <w:left w:val="single" w:sz="4" w:space="0" w:color="auto"/>
              <w:bottom w:val="single" w:sz="4" w:space="0" w:color="auto"/>
              <w:right w:val="single" w:sz="4" w:space="0" w:color="auto"/>
            </w:tcBorders>
            <w:hideMark/>
          </w:tcPr>
          <w:p w:rsidR="00AB12B3" w:rsidRDefault="00AB12B3">
            <w:pPr>
              <w:tabs>
                <w:tab w:val="left" w:pos="988"/>
                <w:tab w:val="center" w:pos="1238"/>
              </w:tabs>
              <w:jc w:val="center"/>
            </w:pPr>
            <w:r>
              <w:rPr>
                <w:rFonts w:ascii="Times New Roman" w:hAnsi="Times New Roman"/>
                <w:sz w:val="28"/>
                <w:szCs w:val="28"/>
              </w:rPr>
              <w:t>91</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141</w:t>
            </w:r>
          </w:p>
        </w:tc>
        <w:tc>
          <w:tcPr>
            <w:tcW w:w="226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0,26</w:t>
            </w:r>
          </w:p>
        </w:tc>
      </w:tr>
      <w:tr w:rsidR="00AB12B3" w:rsidTr="00A467D3">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Pr="002A39B0" w:rsidRDefault="00AB12B3" w:rsidP="005D64C6">
            <w:pPr>
              <w:jc w:val="center"/>
              <w:rPr>
                <w:rFonts w:ascii="Times New Roman" w:hAnsi="Times New Roman"/>
                <w:sz w:val="28"/>
                <w:szCs w:val="28"/>
              </w:rPr>
            </w:pPr>
          </w:p>
        </w:tc>
        <w:tc>
          <w:tcPr>
            <w:tcW w:w="1418"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 xml:space="preserve">ИВ </w:t>
            </w:r>
          </w:p>
        </w:tc>
        <w:tc>
          <w:tcPr>
            <w:tcW w:w="1561"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106</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139</w:t>
            </w:r>
          </w:p>
        </w:tc>
        <w:tc>
          <w:tcPr>
            <w:tcW w:w="226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0,85 (0,59-1,22)</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467D3">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Pr="002A39B0" w:rsidRDefault="00AB12B3" w:rsidP="005D64C6">
            <w:pPr>
              <w:jc w:val="center"/>
              <w:rPr>
                <w:rFonts w:ascii="Times New Roman" w:hAnsi="Times New Roman"/>
                <w:sz w:val="28"/>
                <w:szCs w:val="28"/>
              </w:rPr>
            </w:pPr>
          </w:p>
        </w:tc>
        <w:tc>
          <w:tcPr>
            <w:tcW w:w="1418"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Ож</w:t>
            </w:r>
          </w:p>
        </w:tc>
        <w:tc>
          <w:tcPr>
            <w:tcW w:w="1561"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35</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68</w:t>
            </w:r>
          </w:p>
        </w:tc>
        <w:tc>
          <w:tcPr>
            <w:tcW w:w="226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1,25 (0,77-2,04)</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467D3">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AB12B3" w:rsidRPr="002A39B0" w:rsidRDefault="00AB12B3" w:rsidP="005D64C6">
            <w:pPr>
              <w:jc w:val="center"/>
              <w:rPr>
                <w:rFonts w:ascii="Times New Roman" w:hAnsi="Times New Roman"/>
                <w:sz w:val="28"/>
                <w:szCs w:val="28"/>
              </w:rPr>
            </w:pPr>
            <w:r w:rsidRPr="002A39B0">
              <w:rPr>
                <w:rFonts w:ascii="Times New Roman" w:hAnsi="Times New Roman"/>
                <w:sz w:val="28"/>
                <w:szCs w:val="28"/>
              </w:rPr>
              <w:t>Статус курения</w:t>
            </w:r>
          </w:p>
        </w:tc>
        <w:tc>
          <w:tcPr>
            <w:tcW w:w="1418"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Не курит</w:t>
            </w:r>
          </w:p>
        </w:tc>
        <w:tc>
          <w:tcPr>
            <w:tcW w:w="1561"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132</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258</w:t>
            </w:r>
          </w:p>
        </w:tc>
        <w:tc>
          <w:tcPr>
            <w:tcW w:w="226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A467D3">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Курит</w:t>
            </w:r>
          </w:p>
        </w:tc>
        <w:tc>
          <w:tcPr>
            <w:tcW w:w="1561"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85</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76</w:t>
            </w:r>
          </w:p>
        </w:tc>
        <w:tc>
          <w:tcPr>
            <w:tcW w:w="226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0,46 (0,31-0,66)</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467D3">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Бросил</w:t>
            </w:r>
          </w:p>
        </w:tc>
        <w:tc>
          <w:tcPr>
            <w:tcW w:w="1561"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15</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14</w:t>
            </w:r>
          </w:p>
        </w:tc>
        <w:tc>
          <w:tcPr>
            <w:tcW w:w="226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0,48 (0,22-1,02)</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467D3">
        <w:trPr>
          <w:trHeight w:val="442"/>
        </w:trPr>
        <w:tc>
          <w:tcPr>
            <w:tcW w:w="9360" w:type="dxa"/>
            <w:gridSpan w:val="6"/>
            <w:tcBorders>
              <w:top w:val="single" w:sz="4" w:space="0" w:color="auto"/>
              <w:left w:val="single" w:sz="4" w:space="0" w:color="auto"/>
              <w:bottom w:val="single" w:sz="4" w:space="0" w:color="auto"/>
              <w:right w:val="single" w:sz="4" w:space="0" w:color="auto"/>
            </w:tcBorders>
            <w:hideMark/>
          </w:tcPr>
          <w:p w:rsidR="004024CE" w:rsidRDefault="00AB12B3" w:rsidP="004024CE">
            <w:pPr>
              <w:jc w:val="both"/>
              <w:rPr>
                <w:rFonts w:ascii="Times New Roman" w:hAnsi="Times New Roman"/>
                <w:szCs w:val="24"/>
              </w:rPr>
            </w:pPr>
            <w:r>
              <w:rPr>
                <w:rFonts w:ascii="Times New Roman" w:hAnsi="Times New Roman"/>
                <w:szCs w:val="24"/>
              </w:rPr>
              <w:t xml:space="preserve">Примечание </w:t>
            </w:r>
            <w:r w:rsidR="004024CE">
              <w:rPr>
                <w:rFonts w:ascii="Times New Roman" w:hAnsi="Times New Roman"/>
                <w:szCs w:val="24"/>
              </w:rPr>
              <w:t xml:space="preserve">НВ – нормальный вес; ИВ – избыточный вес; Ож – ожирение; </w:t>
            </w:r>
          </w:p>
          <w:p w:rsidR="00AB12B3" w:rsidRDefault="00AB12B3">
            <w:pPr>
              <w:jc w:val="both"/>
              <w:rPr>
                <w:rFonts w:ascii="Times New Roman" w:hAnsi="Times New Roman"/>
                <w:sz w:val="20"/>
                <w:szCs w:val="20"/>
              </w:rPr>
            </w:pPr>
            <w:r>
              <w:rPr>
                <w:rFonts w:ascii="Times New Roman" w:hAnsi="Times New Roman"/>
                <w:szCs w:val="24"/>
              </w:rPr>
              <w:t>* - χ</w:t>
            </w:r>
            <w:r>
              <w:rPr>
                <w:rFonts w:ascii="Times New Roman" w:hAnsi="Times New Roman"/>
                <w:szCs w:val="24"/>
                <w:vertAlign w:val="superscript"/>
              </w:rPr>
              <w:t>2</w:t>
            </w:r>
            <w:r>
              <w:rPr>
                <w:rFonts w:ascii="Times New Roman" w:hAnsi="Times New Roman"/>
                <w:szCs w:val="24"/>
              </w:rPr>
              <w:t xml:space="preserve"> – хи квадрат Пирсона; ОШ (95% ДИ) – Отношение шансов (95% Доверительный интервал)</w:t>
            </w:r>
          </w:p>
        </w:tc>
      </w:tr>
    </w:tbl>
    <w:p w:rsidR="00AB12B3" w:rsidRDefault="00AB12B3" w:rsidP="00AB12B3">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 рассмотрении разницы средних величин биохимических</w:t>
      </w:r>
      <w:r w:rsidR="003B7AD0">
        <w:rPr>
          <w:rFonts w:ascii="Times New Roman" w:hAnsi="Times New Roman" w:cs="Times New Roman"/>
          <w:sz w:val="28"/>
          <w:szCs w:val="28"/>
        </w:rPr>
        <w:t xml:space="preserve"> показателей в группах ЛПВП было</w:t>
      </w:r>
      <w:r>
        <w:rPr>
          <w:rFonts w:ascii="Times New Roman" w:hAnsi="Times New Roman" w:cs="Times New Roman"/>
          <w:sz w:val="28"/>
          <w:szCs w:val="28"/>
        </w:rPr>
        <w:t xml:space="preserve"> в</w:t>
      </w:r>
      <w:r w:rsidR="003B7AD0">
        <w:rPr>
          <w:rFonts w:ascii="Times New Roman" w:hAnsi="Times New Roman" w:cs="Times New Roman"/>
          <w:sz w:val="28"/>
          <w:szCs w:val="28"/>
        </w:rPr>
        <w:t>ыявлено</w:t>
      </w:r>
      <w:r>
        <w:rPr>
          <w:rFonts w:ascii="Times New Roman" w:hAnsi="Times New Roman" w:cs="Times New Roman"/>
          <w:sz w:val="28"/>
          <w:szCs w:val="28"/>
        </w:rPr>
        <w:t xml:space="preserve"> отличие в средних показателях ОХС, апоВ, апоА1 и апоВ/апоА1 (таблица 22). А средние величины ТГ, ЛПНП, инсулина, глюкозы и </w:t>
      </w:r>
      <w:r>
        <w:rPr>
          <w:rFonts w:ascii="Times New Roman" w:hAnsi="Times New Roman"/>
          <w:sz w:val="28"/>
          <w:szCs w:val="28"/>
        </w:rPr>
        <w:t>HOMA-IR</w:t>
      </w:r>
      <w:r>
        <w:rPr>
          <w:rFonts w:ascii="Times New Roman" w:hAnsi="Times New Roman" w:cs="Times New Roman"/>
          <w:sz w:val="28"/>
          <w:szCs w:val="28"/>
        </w:rPr>
        <w:t xml:space="preserve"> по группам ЛПВП были </w:t>
      </w:r>
      <w:r w:rsidR="003B7AD0">
        <w:rPr>
          <w:rFonts w:ascii="Times New Roman" w:hAnsi="Times New Roman" w:cs="Times New Roman"/>
          <w:sz w:val="28"/>
          <w:szCs w:val="28"/>
        </w:rPr>
        <w:t>приблизительно равны</w:t>
      </w:r>
      <w:r>
        <w:rPr>
          <w:rFonts w:ascii="Times New Roman" w:hAnsi="Times New Roman" w:cs="Times New Roman"/>
          <w:sz w:val="28"/>
          <w:szCs w:val="28"/>
        </w:rPr>
        <w:t xml:space="preserve"> (таблица 22)</w:t>
      </w:r>
    </w:p>
    <w:p w:rsidR="00B324BD" w:rsidRDefault="00B324BD" w:rsidP="00B324B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рассмотрении взаимосвязи между группами ЛПВП и другими биохимическими показателями были выявлены значимые ассоциации между уровнями ОХС, ТГ, апоА1, </w:t>
      </w:r>
      <w:r>
        <w:rPr>
          <w:rFonts w:ascii="Times New Roman" w:hAnsi="Times New Roman" w:cs="Times New Roman"/>
          <w:sz w:val="28"/>
          <w:szCs w:val="28"/>
          <w:lang w:val="kk-KZ"/>
        </w:rPr>
        <w:t xml:space="preserve">значением </w:t>
      </w:r>
      <w:r>
        <w:rPr>
          <w:rFonts w:ascii="Times New Roman" w:hAnsi="Times New Roman" w:cs="Times New Roman"/>
          <w:sz w:val="28"/>
          <w:szCs w:val="28"/>
        </w:rPr>
        <w:t xml:space="preserve">апоВ/апоА1 (таблица 23). При этом шанс снижения уровня ЛПВП был на 0,17 раз ниже в группе с гиперхолестеринемией по сравнению с нормальными показателями ОХС. Такая тенденция была обнаружена и в группах ТГ, то есть, участники с гипертриглицеридемией имели шанс низкого уровня ЛПВП на 0,65 раза ниже по сравнению с группой участников, которые имели нормальные уровни ТГ (таблица 23). </w:t>
      </w:r>
    </w:p>
    <w:p w:rsidR="00B324BD" w:rsidRDefault="00B324BD" w:rsidP="00AB12B3">
      <w:pPr>
        <w:spacing w:after="0" w:line="240" w:lineRule="auto"/>
        <w:jc w:val="both"/>
        <w:rPr>
          <w:rFonts w:ascii="Times New Roman" w:hAnsi="Times New Roman" w:cs="Times New Roman"/>
          <w:sz w:val="28"/>
          <w:szCs w:val="28"/>
        </w:rPr>
        <w:sectPr w:rsidR="00B324BD" w:rsidSect="005B1090">
          <w:pgSz w:w="11906" w:h="16838"/>
          <w:pgMar w:top="1134" w:right="850" w:bottom="1134" w:left="1701" w:header="708" w:footer="708" w:gutter="0"/>
          <w:cols w:space="720"/>
        </w:sectPr>
      </w:pPr>
    </w:p>
    <w:p w:rsidR="00AB12B3" w:rsidRDefault="00AB12B3" w:rsidP="00AB12B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lastRenderedPageBreak/>
        <w:t xml:space="preserve">Таблица 22 </w:t>
      </w:r>
      <w:r w:rsidR="00162472">
        <w:rPr>
          <w:rFonts w:ascii="Times New Roman" w:hAnsi="Times New Roman" w:cs="Times New Roman"/>
          <w:sz w:val="28"/>
          <w:szCs w:val="28"/>
          <w:lang w:val="kk-KZ"/>
        </w:rPr>
        <w:t xml:space="preserve">- </w:t>
      </w:r>
      <w:r>
        <w:rPr>
          <w:rFonts w:ascii="Times New Roman" w:hAnsi="Times New Roman" w:cs="Times New Roman"/>
          <w:sz w:val="28"/>
          <w:szCs w:val="28"/>
        </w:rPr>
        <w:t>Распределение средних величин биохимических показателей по группам ЛПВП</w:t>
      </w:r>
    </w:p>
    <w:p w:rsidR="00E83EC5" w:rsidRPr="00E83EC5" w:rsidRDefault="00E83EC5" w:rsidP="00AB12B3">
      <w:pPr>
        <w:spacing w:after="0" w:line="240" w:lineRule="auto"/>
        <w:jc w:val="both"/>
        <w:rPr>
          <w:rFonts w:ascii="Times New Roman" w:hAnsi="Times New Roman"/>
          <w:sz w:val="28"/>
          <w:szCs w:val="28"/>
          <w:lang w:val="kk-KZ"/>
        </w:rPr>
      </w:pPr>
    </w:p>
    <w:tbl>
      <w:tblPr>
        <w:tblStyle w:val="af7"/>
        <w:tblW w:w="9360" w:type="dxa"/>
        <w:tblInd w:w="108" w:type="dxa"/>
        <w:tblLayout w:type="fixed"/>
        <w:tblLook w:val="04A0" w:firstRow="1" w:lastRow="0" w:firstColumn="1" w:lastColumn="0" w:noHBand="0" w:noVBand="1"/>
      </w:tblPr>
      <w:tblGrid>
        <w:gridCol w:w="2552"/>
        <w:gridCol w:w="2835"/>
        <w:gridCol w:w="2835"/>
        <w:gridCol w:w="1138"/>
      </w:tblGrid>
      <w:tr w:rsidR="00AB12B3" w:rsidTr="00DB2A91">
        <w:trPr>
          <w:trHeight w:val="377"/>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5670"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ЛПВП</w:t>
            </w:r>
            <w:r w:rsidRPr="0012074C">
              <w:rPr>
                <w:rFonts w:ascii="Century" w:hAnsi="Century"/>
                <w:sz w:val="28"/>
                <w:szCs w:val="28"/>
              </w:rPr>
              <w:t xml:space="preserve">, </w:t>
            </w:r>
            <w:r>
              <w:rPr>
                <w:rFonts w:ascii="Times New Roman" w:hAnsi="Times New Roman"/>
                <w:sz w:val="28"/>
                <w:szCs w:val="28"/>
              </w:rPr>
              <w:t>ммоль</w:t>
            </w:r>
            <w:r w:rsidRPr="0012074C">
              <w:rPr>
                <w:rFonts w:ascii="Century" w:hAnsi="Century"/>
                <w:sz w:val="28"/>
                <w:szCs w:val="28"/>
              </w:rPr>
              <w:t>/</w:t>
            </w:r>
            <w:r>
              <w:rPr>
                <w:rFonts w:ascii="Times New Roman" w:hAnsi="Times New Roman"/>
                <w:sz w:val="28"/>
                <w:szCs w:val="28"/>
              </w:rPr>
              <w:t xml:space="preserve">л </w:t>
            </w:r>
          </w:p>
        </w:tc>
        <w:tc>
          <w:tcPr>
            <w:tcW w:w="1138"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DB2A91">
        <w:trPr>
          <w:trHeight w:val="379"/>
        </w:trPr>
        <w:tc>
          <w:tcPr>
            <w:tcW w:w="255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 Муж </w:t>
            </w:r>
            <w:r w:rsidRPr="007E6F6B">
              <w:rPr>
                <w:rFonts w:ascii="Century" w:hAnsi="Century"/>
                <w:sz w:val="28"/>
                <w:szCs w:val="28"/>
              </w:rPr>
              <w:t>≥</w:t>
            </w:r>
            <w:r>
              <w:rPr>
                <w:rFonts w:ascii="Times New Roman" w:hAnsi="Times New Roman"/>
                <w:sz w:val="28"/>
                <w:szCs w:val="28"/>
              </w:rPr>
              <w:t>1</w:t>
            </w:r>
            <w:r w:rsidRPr="007E6F6B">
              <w:rPr>
                <w:rFonts w:ascii="Century" w:hAnsi="Century"/>
                <w:sz w:val="28"/>
                <w:szCs w:val="28"/>
              </w:rPr>
              <w:t>,</w:t>
            </w:r>
            <w:r>
              <w:rPr>
                <w:rFonts w:ascii="Times New Roman" w:hAnsi="Times New Roman"/>
                <w:sz w:val="28"/>
                <w:szCs w:val="28"/>
              </w:rPr>
              <w:t>0</w:t>
            </w:r>
            <w:r w:rsidRPr="007E6F6B">
              <w:rPr>
                <w:rFonts w:ascii="Century" w:hAnsi="Century"/>
                <w:sz w:val="28"/>
                <w:szCs w:val="28"/>
              </w:rPr>
              <w:t>/</w:t>
            </w:r>
            <w:r>
              <w:rPr>
                <w:rFonts w:ascii="Times New Roman" w:hAnsi="Times New Roman"/>
                <w:sz w:val="28"/>
                <w:szCs w:val="28"/>
              </w:rPr>
              <w:t xml:space="preserve">Жен </w:t>
            </w:r>
            <w:r w:rsidRPr="007E6F6B">
              <w:rPr>
                <w:rFonts w:ascii="Century" w:hAnsi="Century"/>
                <w:sz w:val="28"/>
                <w:szCs w:val="28"/>
              </w:rPr>
              <w:t>≥</w:t>
            </w:r>
            <w:r>
              <w:rPr>
                <w:rFonts w:ascii="Times New Roman" w:hAnsi="Times New Roman"/>
                <w:sz w:val="28"/>
                <w:szCs w:val="28"/>
              </w:rPr>
              <w:t>1</w:t>
            </w:r>
            <w:r w:rsidRPr="007E6F6B">
              <w:rPr>
                <w:rFonts w:ascii="Century" w:hAnsi="Century"/>
                <w:sz w:val="28"/>
                <w:szCs w:val="28"/>
              </w:rPr>
              <w:t>,</w:t>
            </w:r>
            <w:r>
              <w:rPr>
                <w:rFonts w:ascii="Times New Roman" w:hAnsi="Times New Roman"/>
                <w:sz w:val="28"/>
                <w:szCs w:val="28"/>
              </w:rPr>
              <w:t>2 Ме</w:t>
            </w:r>
            <w:r w:rsidRPr="007E6F6B">
              <w:rPr>
                <w:rFonts w:ascii="Century" w:hAnsi="Century"/>
                <w:sz w:val="28"/>
                <w:szCs w:val="28"/>
              </w:rPr>
              <w:t>±</w:t>
            </w:r>
            <w:r>
              <w:rPr>
                <w:rFonts w:ascii="Times New Roman" w:hAnsi="Times New Roman"/>
                <w:sz w:val="28"/>
                <w:szCs w:val="28"/>
              </w:rPr>
              <w:t>IQR (Q1–Q3)</w:t>
            </w:r>
          </w:p>
        </w:tc>
        <w:tc>
          <w:tcPr>
            <w:tcW w:w="2835"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 xml:space="preserve">Муж </w:t>
            </w:r>
            <w:r w:rsidRPr="007E6F6B">
              <w:rPr>
                <w:rFonts w:ascii="Century" w:hAnsi="Century"/>
                <w:sz w:val="28"/>
                <w:szCs w:val="28"/>
              </w:rPr>
              <w:t>&lt;</w:t>
            </w:r>
            <w:r>
              <w:rPr>
                <w:rFonts w:ascii="Times New Roman" w:hAnsi="Times New Roman"/>
                <w:sz w:val="28"/>
                <w:szCs w:val="28"/>
              </w:rPr>
              <w:t>1,0</w:t>
            </w:r>
            <w:r w:rsidRPr="007E6F6B">
              <w:rPr>
                <w:rFonts w:ascii="Century" w:hAnsi="Century"/>
                <w:sz w:val="28"/>
                <w:szCs w:val="28"/>
              </w:rPr>
              <w:t>/</w:t>
            </w:r>
            <w:r>
              <w:rPr>
                <w:rFonts w:ascii="Times New Roman" w:hAnsi="Times New Roman"/>
                <w:sz w:val="28"/>
                <w:szCs w:val="28"/>
              </w:rPr>
              <w:t xml:space="preserve">Жен </w:t>
            </w:r>
            <w:r w:rsidRPr="007E6F6B">
              <w:rPr>
                <w:rFonts w:ascii="Century" w:hAnsi="Century"/>
                <w:sz w:val="28"/>
                <w:szCs w:val="28"/>
              </w:rPr>
              <w:t>&lt;</w:t>
            </w:r>
            <w:r>
              <w:rPr>
                <w:rFonts w:ascii="Times New Roman" w:hAnsi="Times New Roman"/>
                <w:sz w:val="28"/>
                <w:szCs w:val="28"/>
              </w:rPr>
              <w:t>1</w:t>
            </w:r>
            <w:r w:rsidRPr="007E6F6B">
              <w:rPr>
                <w:rFonts w:ascii="Century" w:hAnsi="Century"/>
                <w:sz w:val="28"/>
                <w:szCs w:val="28"/>
              </w:rPr>
              <w:t>,</w:t>
            </w:r>
            <w:r>
              <w:rPr>
                <w:rFonts w:ascii="Times New Roman" w:hAnsi="Times New Roman"/>
                <w:sz w:val="28"/>
                <w:szCs w:val="28"/>
              </w:rPr>
              <w:t>2</w:t>
            </w:r>
          </w:p>
          <w:p w:rsidR="00AB12B3" w:rsidRDefault="00AB12B3">
            <w:pPr>
              <w:jc w:val="center"/>
              <w:rPr>
                <w:rFonts w:ascii="Times New Roman" w:hAnsi="Times New Roman"/>
                <w:sz w:val="28"/>
                <w:szCs w:val="28"/>
              </w:rPr>
            </w:pPr>
            <w:r>
              <w:rPr>
                <w:rFonts w:ascii="Times New Roman" w:hAnsi="Times New Roman"/>
                <w:sz w:val="28"/>
                <w:szCs w:val="28"/>
              </w:rPr>
              <w:t>Ме</w:t>
            </w:r>
            <w:r w:rsidRPr="007E6F6B">
              <w:rPr>
                <w:rFonts w:ascii="Century" w:hAnsi="Century"/>
                <w:sz w:val="28"/>
                <w:szCs w:val="28"/>
              </w:rPr>
              <w:t>±</w:t>
            </w:r>
            <w:r>
              <w:rPr>
                <w:rFonts w:ascii="Times New Roman" w:hAnsi="Times New Roman"/>
                <w:sz w:val="28"/>
                <w:szCs w:val="28"/>
              </w:rPr>
              <w:t>IQR (Q1</w:t>
            </w:r>
            <w:r w:rsidRPr="007E6F6B">
              <w:rPr>
                <w:rFonts w:ascii="Century" w:hAnsi="Century"/>
                <w:sz w:val="28"/>
                <w:szCs w:val="28"/>
              </w:rPr>
              <w:t>–</w:t>
            </w:r>
            <w:r>
              <w:rPr>
                <w:rFonts w:ascii="Times New Roman" w:hAnsi="Times New Roman"/>
                <w:sz w:val="28"/>
                <w:szCs w:val="28"/>
              </w:rPr>
              <w:t>Q3)</w:t>
            </w:r>
          </w:p>
        </w:tc>
        <w:tc>
          <w:tcPr>
            <w:tcW w:w="113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DB2A9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ОХС</w:t>
            </w:r>
            <w:r w:rsidRPr="007E6F6B">
              <w:rPr>
                <w:rFonts w:ascii="Century" w:hAnsi="Century"/>
                <w:sz w:val="28"/>
                <w:szCs w:val="28"/>
              </w:rPr>
              <w:t>,</w:t>
            </w:r>
            <w:r>
              <w:rPr>
                <w:rFonts w:ascii="Times New Roman" w:hAnsi="Times New Roman"/>
                <w:sz w:val="28"/>
                <w:szCs w:val="28"/>
              </w:rPr>
              <w:t xml:space="preserve"> ммоль</w:t>
            </w:r>
            <w:r w:rsidRPr="007E6F6B">
              <w:rPr>
                <w:rFonts w:ascii="Century" w:hAnsi="Century"/>
                <w:sz w:val="28"/>
                <w:szCs w:val="28"/>
              </w:rPr>
              <w:t>/</w:t>
            </w:r>
            <w:r>
              <w:rPr>
                <w:rFonts w:ascii="Times New Roman" w:hAnsi="Times New Roman"/>
                <w:sz w:val="28"/>
                <w:szCs w:val="28"/>
              </w:rPr>
              <w:t>л, n</w:t>
            </w:r>
            <w:r w:rsidRPr="007E6F6B">
              <w:rPr>
                <w:rFonts w:ascii="Century" w:hAnsi="Century"/>
                <w:sz w:val="28"/>
                <w:szCs w:val="28"/>
              </w:rPr>
              <w:t>=</w:t>
            </w:r>
            <w:r>
              <w:rPr>
                <w:rFonts w:ascii="Times New Roman" w:hAnsi="Times New Roman"/>
                <w:sz w:val="28"/>
                <w:szCs w:val="28"/>
              </w:rPr>
              <w:t>580</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4,48±1,74 (3,44-5,18)</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3,15±1,77 (2,32-4,09)</w:t>
            </w:r>
          </w:p>
        </w:tc>
        <w:tc>
          <w:tcPr>
            <w:tcW w:w="113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DB2A9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ТГ</w:t>
            </w:r>
            <w:r w:rsidRPr="007E6F6B">
              <w:rPr>
                <w:rFonts w:ascii="Century" w:hAnsi="Century"/>
                <w:sz w:val="28"/>
                <w:szCs w:val="28"/>
              </w:rPr>
              <w:t xml:space="preserve">, </w:t>
            </w:r>
            <w:r>
              <w:rPr>
                <w:rFonts w:ascii="Times New Roman" w:hAnsi="Times New Roman"/>
                <w:sz w:val="28"/>
                <w:szCs w:val="28"/>
              </w:rPr>
              <w:t>ммоль/л, n=580</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1,3±1,0 (0,89-1,89)</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1,19±0,8 (0,85-1,65)</w:t>
            </w:r>
          </w:p>
        </w:tc>
        <w:tc>
          <w:tcPr>
            <w:tcW w:w="113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0,068</w:t>
            </w:r>
          </w:p>
        </w:tc>
      </w:tr>
      <w:tr w:rsidR="00AB12B3" w:rsidTr="00DB2A9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ЛПНП, ммоль/л, n=580</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1,89±1,13 (1,47-2,61)</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1,88±1,21 (1,38-2,59)</w:t>
            </w:r>
          </w:p>
        </w:tc>
        <w:tc>
          <w:tcPr>
            <w:tcW w:w="113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0,48</w:t>
            </w:r>
          </w:p>
        </w:tc>
      </w:tr>
      <w:tr w:rsidR="00AB12B3" w:rsidTr="00DB2A9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 г/л, n=507</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1,02±0,39 (0,82-1,21)</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0,94±0,36 (0,77-1,13)</w:t>
            </w:r>
          </w:p>
        </w:tc>
        <w:tc>
          <w:tcPr>
            <w:tcW w:w="113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0,018</w:t>
            </w:r>
          </w:p>
        </w:tc>
      </w:tr>
      <w:tr w:rsidR="00AB12B3" w:rsidTr="00DB2A9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апоА1 г/л, n=507</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1,45±0,35 (1</w:t>
            </w:r>
            <w:r w:rsidRPr="00DB2A91">
              <w:rPr>
                <w:rFonts w:ascii="Century" w:hAnsi="Century"/>
                <w:sz w:val="28"/>
                <w:szCs w:val="28"/>
              </w:rPr>
              <w:t>,</w:t>
            </w:r>
            <w:r>
              <w:rPr>
                <w:rFonts w:ascii="Times New Roman" w:hAnsi="Times New Roman"/>
                <w:sz w:val="28"/>
                <w:szCs w:val="28"/>
              </w:rPr>
              <w:t>26-1</w:t>
            </w:r>
            <w:r w:rsidRPr="00DB2A91">
              <w:rPr>
                <w:rFonts w:ascii="Century" w:hAnsi="Century"/>
                <w:sz w:val="28"/>
                <w:szCs w:val="28"/>
              </w:rPr>
              <w:t>,</w:t>
            </w:r>
            <w:r>
              <w:rPr>
                <w:rFonts w:ascii="Times New Roman" w:hAnsi="Times New Roman"/>
                <w:sz w:val="28"/>
                <w:szCs w:val="28"/>
              </w:rPr>
              <w:t>61)</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w:t>
            </w:r>
            <w:r w:rsidRPr="00DB2A91">
              <w:rPr>
                <w:rFonts w:ascii="Century" w:hAnsi="Century"/>
                <w:sz w:val="28"/>
                <w:szCs w:val="28"/>
              </w:rPr>
              <w:t>,</w:t>
            </w:r>
            <w:r>
              <w:rPr>
                <w:rFonts w:ascii="Times New Roman" w:hAnsi="Times New Roman"/>
                <w:sz w:val="28"/>
                <w:szCs w:val="28"/>
              </w:rPr>
              <w:t>52</w:t>
            </w:r>
            <w:r w:rsidRPr="00DB2A91">
              <w:rPr>
                <w:rFonts w:ascii="Century" w:hAnsi="Century"/>
                <w:sz w:val="28"/>
                <w:szCs w:val="28"/>
              </w:rPr>
              <w:t>±</w:t>
            </w:r>
            <w:r>
              <w:rPr>
                <w:rFonts w:ascii="Times New Roman" w:hAnsi="Times New Roman"/>
                <w:sz w:val="28"/>
                <w:szCs w:val="28"/>
              </w:rPr>
              <w:t>0</w:t>
            </w:r>
            <w:r w:rsidRPr="00DB2A91">
              <w:rPr>
                <w:rFonts w:ascii="Century" w:hAnsi="Century"/>
                <w:sz w:val="28"/>
                <w:szCs w:val="28"/>
              </w:rPr>
              <w:t>,</w:t>
            </w:r>
            <w:r>
              <w:rPr>
                <w:rFonts w:ascii="Times New Roman" w:hAnsi="Times New Roman"/>
                <w:sz w:val="28"/>
                <w:szCs w:val="28"/>
              </w:rPr>
              <w:t>39 (1</w:t>
            </w:r>
            <w:r w:rsidRPr="00DB2A91">
              <w:rPr>
                <w:rFonts w:ascii="Century" w:hAnsi="Century"/>
                <w:sz w:val="28"/>
                <w:szCs w:val="28"/>
              </w:rPr>
              <w:t>,</w:t>
            </w:r>
            <w:r>
              <w:rPr>
                <w:rFonts w:ascii="Times New Roman" w:hAnsi="Times New Roman"/>
                <w:sz w:val="28"/>
                <w:szCs w:val="28"/>
              </w:rPr>
              <w:t>35-1</w:t>
            </w:r>
            <w:r w:rsidRPr="00DB2A91">
              <w:rPr>
                <w:rFonts w:ascii="Century" w:hAnsi="Century"/>
                <w:sz w:val="28"/>
                <w:szCs w:val="28"/>
              </w:rPr>
              <w:t>,</w:t>
            </w:r>
            <w:r>
              <w:rPr>
                <w:rFonts w:ascii="Times New Roman" w:hAnsi="Times New Roman"/>
                <w:sz w:val="28"/>
                <w:szCs w:val="28"/>
              </w:rPr>
              <w:t>74)</w:t>
            </w:r>
          </w:p>
        </w:tc>
        <w:tc>
          <w:tcPr>
            <w:tcW w:w="113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DB2A91">
              <w:rPr>
                <w:rFonts w:ascii="Century" w:hAnsi="Century"/>
                <w:sz w:val="28"/>
                <w:szCs w:val="28"/>
              </w:rPr>
              <w:t>,</w:t>
            </w:r>
            <w:r>
              <w:rPr>
                <w:rFonts w:ascii="Times New Roman" w:hAnsi="Times New Roman"/>
                <w:sz w:val="28"/>
                <w:szCs w:val="28"/>
              </w:rPr>
              <w:t>001</w:t>
            </w:r>
          </w:p>
        </w:tc>
      </w:tr>
      <w:tr w:rsidR="00AB12B3" w:rsidTr="00DB2A9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w:t>
            </w:r>
            <w:r w:rsidRPr="00603296">
              <w:rPr>
                <w:rFonts w:ascii="Century" w:hAnsi="Century"/>
                <w:sz w:val="28"/>
                <w:szCs w:val="28"/>
              </w:rPr>
              <w:t>/</w:t>
            </w:r>
            <w:r>
              <w:rPr>
                <w:rFonts w:ascii="Times New Roman" w:hAnsi="Times New Roman"/>
                <w:sz w:val="28"/>
                <w:szCs w:val="28"/>
              </w:rPr>
              <w:t>апоА1</w:t>
            </w:r>
            <w:r w:rsidRPr="00603296">
              <w:rPr>
                <w:rFonts w:ascii="Century" w:hAnsi="Century"/>
                <w:sz w:val="28"/>
                <w:szCs w:val="28"/>
              </w:rPr>
              <w:t>,</w:t>
            </w:r>
            <w:r>
              <w:rPr>
                <w:rFonts w:ascii="Times New Roman" w:hAnsi="Times New Roman"/>
                <w:sz w:val="28"/>
                <w:szCs w:val="28"/>
              </w:rPr>
              <w:t xml:space="preserve"> n</w:t>
            </w:r>
            <w:r w:rsidRPr="00603296">
              <w:rPr>
                <w:rFonts w:ascii="Century" w:hAnsi="Century"/>
                <w:sz w:val="28"/>
                <w:szCs w:val="28"/>
              </w:rPr>
              <w:t>=</w:t>
            </w:r>
            <w:r>
              <w:rPr>
                <w:rFonts w:ascii="Times New Roman" w:hAnsi="Times New Roman"/>
                <w:sz w:val="28"/>
                <w:szCs w:val="28"/>
              </w:rPr>
              <w:t>507</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DB2A91">
              <w:rPr>
                <w:rFonts w:ascii="Century" w:hAnsi="Century"/>
                <w:sz w:val="28"/>
                <w:szCs w:val="28"/>
              </w:rPr>
              <w:t>,</w:t>
            </w:r>
            <w:r>
              <w:rPr>
                <w:rFonts w:ascii="Times New Roman" w:hAnsi="Times New Roman"/>
                <w:sz w:val="28"/>
                <w:szCs w:val="28"/>
              </w:rPr>
              <w:t>69±0</w:t>
            </w:r>
            <w:r w:rsidRPr="00DB2A91">
              <w:rPr>
                <w:rFonts w:ascii="Century" w:hAnsi="Century"/>
                <w:sz w:val="28"/>
                <w:szCs w:val="28"/>
              </w:rPr>
              <w:t>,</w:t>
            </w:r>
            <w:r>
              <w:rPr>
                <w:rFonts w:ascii="Times New Roman" w:hAnsi="Times New Roman"/>
                <w:sz w:val="28"/>
                <w:szCs w:val="28"/>
              </w:rPr>
              <w:t>35 (0,56-0,91)</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CE11C8">
              <w:rPr>
                <w:rFonts w:ascii="Century" w:hAnsi="Century"/>
                <w:sz w:val="28"/>
                <w:szCs w:val="28"/>
              </w:rPr>
              <w:t>,</w:t>
            </w:r>
            <w:r>
              <w:rPr>
                <w:rFonts w:ascii="Times New Roman" w:hAnsi="Times New Roman"/>
                <w:sz w:val="28"/>
                <w:szCs w:val="28"/>
              </w:rPr>
              <w:t>62</w:t>
            </w:r>
            <w:r w:rsidRPr="00CE11C8">
              <w:rPr>
                <w:rFonts w:ascii="Century" w:hAnsi="Century"/>
                <w:sz w:val="28"/>
                <w:szCs w:val="28"/>
              </w:rPr>
              <w:t>±</w:t>
            </w:r>
            <w:r>
              <w:rPr>
                <w:rFonts w:ascii="Times New Roman" w:hAnsi="Times New Roman"/>
                <w:sz w:val="28"/>
                <w:szCs w:val="28"/>
              </w:rPr>
              <w:t>0</w:t>
            </w:r>
            <w:r w:rsidRPr="00CE11C8">
              <w:rPr>
                <w:rFonts w:ascii="Century" w:hAnsi="Century"/>
                <w:sz w:val="28"/>
                <w:szCs w:val="28"/>
              </w:rPr>
              <w:t>,</w:t>
            </w:r>
            <w:r>
              <w:rPr>
                <w:rFonts w:ascii="Times New Roman" w:hAnsi="Times New Roman"/>
                <w:sz w:val="28"/>
                <w:szCs w:val="28"/>
              </w:rPr>
              <w:t>28 (0</w:t>
            </w:r>
            <w:r w:rsidRPr="00CE11C8">
              <w:rPr>
                <w:rFonts w:ascii="Century" w:hAnsi="Century"/>
                <w:sz w:val="28"/>
                <w:szCs w:val="28"/>
              </w:rPr>
              <w:t>,</w:t>
            </w:r>
            <w:r>
              <w:rPr>
                <w:rFonts w:ascii="Times New Roman" w:hAnsi="Times New Roman"/>
                <w:sz w:val="28"/>
                <w:szCs w:val="28"/>
              </w:rPr>
              <w:t>49-0,77)</w:t>
            </w:r>
          </w:p>
        </w:tc>
        <w:tc>
          <w:tcPr>
            <w:tcW w:w="113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DB2A91">
              <w:rPr>
                <w:rFonts w:ascii="Century" w:hAnsi="Century"/>
                <w:sz w:val="28"/>
                <w:szCs w:val="28"/>
              </w:rPr>
              <w:t>,</w:t>
            </w:r>
            <w:r>
              <w:rPr>
                <w:rFonts w:ascii="Times New Roman" w:hAnsi="Times New Roman"/>
                <w:sz w:val="28"/>
                <w:szCs w:val="28"/>
              </w:rPr>
              <w:t>0001</w:t>
            </w:r>
          </w:p>
        </w:tc>
      </w:tr>
      <w:tr w:rsidR="00AB12B3" w:rsidTr="00DB2A9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Инсулин</w:t>
            </w:r>
            <w:r w:rsidRPr="00236895">
              <w:rPr>
                <w:rFonts w:ascii="Century" w:hAnsi="Century"/>
                <w:sz w:val="28"/>
                <w:szCs w:val="28"/>
              </w:rPr>
              <w:t xml:space="preserve">, </w:t>
            </w:r>
            <w:r>
              <w:rPr>
                <w:rFonts w:ascii="Times New Roman" w:hAnsi="Times New Roman"/>
                <w:sz w:val="28"/>
                <w:szCs w:val="28"/>
              </w:rPr>
              <w:t>мкМЕ</w:t>
            </w:r>
            <w:r w:rsidRPr="008D16EB">
              <w:rPr>
                <w:rFonts w:ascii="Century" w:hAnsi="Century"/>
                <w:sz w:val="28"/>
                <w:szCs w:val="28"/>
              </w:rPr>
              <w:t>/</w:t>
            </w:r>
            <w:r>
              <w:rPr>
                <w:rFonts w:ascii="Times New Roman" w:hAnsi="Times New Roman"/>
                <w:sz w:val="28"/>
                <w:szCs w:val="28"/>
              </w:rPr>
              <w:t>мл, n</w:t>
            </w:r>
            <w:r w:rsidRPr="008D16EB">
              <w:rPr>
                <w:rFonts w:ascii="Century" w:hAnsi="Century"/>
                <w:sz w:val="28"/>
                <w:szCs w:val="28"/>
              </w:rPr>
              <w:t>=</w:t>
            </w:r>
            <w:r>
              <w:rPr>
                <w:rFonts w:ascii="Times New Roman" w:hAnsi="Times New Roman"/>
                <w:sz w:val="28"/>
                <w:szCs w:val="28"/>
              </w:rPr>
              <w:t>507</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9</w:t>
            </w:r>
            <w:r w:rsidRPr="00DB2A91">
              <w:rPr>
                <w:rFonts w:ascii="Century" w:hAnsi="Century"/>
                <w:sz w:val="28"/>
                <w:szCs w:val="28"/>
              </w:rPr>
              <w:t>,</w:t>
            </w:r>
            <w:r>
              <w:rPr>
                <w:rFonts w:ascii="Times New Roman" w:hAnsi="Times New Roman"/>
                <w:sz w:val="28"/>
                <w:szCs w:val="28"/>
              </w:rPr>
              <w:t>4</w:t>
            </w:r>
            <w:r w:rsidRPr="00FF2E23">
              <w:rPr>
                <w:rFonts w:ascii="Century" w:hAnsi="Century"/>
                <w:sz w:val="28"/>
                <w:szCs w:val="28"/>
              </w:rPr>
              <w:t>±</w:t>
            </w:r>
            <w:r>
              <w:rPr>
                <w:rFonts w:ascii="Times New Roman" w:hAnsi="Times New Roman"/>
                <w:sz w:val="28"/>
                <w:szCs w:val="28"/>
              </w:rPr>
              <w:t>8</w:t>
            </w:r>
            <w:r w:rsidRPr="00DB2A91">
              <w:rPr>
                <w:rFonts w:ascii="Century" w:hAnsi="Century"/>
                <w:sz w:val="28"/>
                <w:szCs w:val="28"/>
              </w:rPr>
              <w:t>,</w:t>
            </w:r>
            <w:r>
              <w:rPr>
                <w:rFonts w:ascii="Times New Roman" w:hAnsi="Times New Roman"/>
                <w:sz w:val="28"/>
                <w:szCs w:val="28"/>
              </w:rPr>
              <w:t>4 (6</w:t>
            </w:r>
            <w:r w:rsidRPr="00CE11C8">
              <w:rPr>
                <w:rFonts w:ascii="Century" w:hAnsi="Century"/>
                <w:sz w:val="28"/>
                <w:szCs w:val="28"/>
              </w:rPr>
              <w:t>,</w:t>
            </w:r>
            <w:r>
              <w:rPr>
                <w:rFonts w:ascii="Times New Roman" w:hAnsi="Times New Roman"/>
                <w:sz w:val="28"/>
                <w:szCs w:val="28"/>
              </w:rPr>
              <w:t>1-14</w:t>
            </w:r>
            <w:r w:rsidRPr="00CE11C8">
              <w:rPr>
                <w:rFonts w:ascii="Century" w:hAnsi="Century"/>
                <w:sz w:val="28"/>
                <w:szCs w:val="28"/>
              </w:rPr>
              <w:t>,</w:t>
            </w:r>
            <w:r>
              <w:rPr>
                <w:rFonts w:ascii="Times New Roman" w:hAnsi="Times New Roman"/>
                <w:sz w:val="28"/>
                <w:szCs w:val="28"/>
              </w:rPr>
              <w:t>5)</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9</w:t>
            </w:r>
            <w:r w:rsidRPr="00CE11C8">
              <w:rPr>
                <w:rFonts w:ascii="Century" w:hAnsi="Century"/>
                <w:sz w:val="28"/>
                <w:szCs w:val="28"/>
              </w:rPr>
              <w:t>,</w:t>
            </w:r>
            <w:r>
              <w:rPr>
                <w:rFonts w:ascii="Times New Roman" w:hAnsi="Times New Roman"/>
                <w:sz w:val="28"/>
                <w:szCs w:val="28"/>
              </w:rPr>
              <w:t>0</w:t>
            </w:r>
            <w:r w:rsidRPr="00CE11C8">
              <w:rPr>
                <w:rFonts w:ascii="Century" w:hAnsi="Century"/>
                <w:sz w:val="28"/>
                <w:szCs w:val="28"/>
              </w:rPr>
              <w:t>±</w:t>
            </w:r>
            <w:r>
              <w:rPr>
                <w:rFonts w:ascii="Times New Roman" w:hAnsi="Times New Roman"/>
                <w:sz w:val="28"/>
                <w:szCs w:val="28"/>
              </w:rPr>
              <w:t>9</w:t>
            </w:r>
            <w:r w:rsidRPr="00CE11C8">
              <w:rPr>
                <w:rFonts w:ascii="Century" w:hAnsi="Century"/>
                <w:sz w:val="28"/>
                <w:szCs w:val="28"/>
              </w:rPr>
              <w:t>,</w:t>
            </w:r>
            <w:r>
              <w:rPr>
                <w:rFonts w:ascii="Times New Roman" w:hAnsi="Times New Roman"/>
                <w:sz w:val="28"/>
                <w:szCs w:val="28"/>
              </w:rPr>
              <w:t>2 (5</w:t>
            </w:r>
            <w:r w:rsidRPr="00CE11C8">
              <w:rPr>
                <w:rFonts w:ascii="Century" w:hAnsi="Century"/>
                <w:sz w:val="28"/>
                <w:szCs w:val="28"/>
              </w:rPr>
              <w:t>,</w:t>
            </w:r>
            <w:r>
              <w:rPr>
                <w:rFonts w:ascii="Times New Roman" w:hAnsi="Times New Roman"/>
                <w:sz w:val="28"/>
                <w:szCs w:val="28"/>
              </w:rPr>
              <w:t>7-14</w:t>
            </w:r>
            <w:r w:rsidRPr="00CE11C8">
              <w:rPr>
                <w:rFonts w:ascii="Century" w:hAnsi="Century"/>
                <w:sz w:val="28"/>
                <w:szCs w:val="28"/>
              </w:rPr>
              <w:t>,</w:t>
            </w:r>
            <w:r>
              <w:rPr>
                <w:rFonts w:ascii="Times New Roman" w:hAnsi="Times New Roman"/>
                <w:sz w:val="28"/>
                <w:szCs w:val="28"/>
              </w:rPr>
              <w:t>9)</w:t>
            </w:r>
          </w:p>
        </w:tc>
        <w:tc>
          <w:tcPr>
            <w:tcW w:w="113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C62DEE">
              <w:rPr>
                <w:rFonts w:ascii="Century" w:hAnsi="Century"/>
                <w:sz w:val="28"/>
                <w:szCs w:val="28"/>
              </w:rPr>
              <w:t>,</w:t>
            </w:r>
            <w:r>
              <w:rPr>
                <w:rFonts w:ascii="Times New Roman" w:hAnsi="Times New Roman"/>
                <w:sz w:val="28"/>
                <w:szCs w:val="28"/>
              </w:rPr>
              <w:t>69</w:t>
            </w:r>
          </w:p>
        </w:tc>
      </w:tr>
      <w:tr w:rsidR="00AB12B3" w:rsidTr="00DB2A9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глюкоза, ммоль/л, n=580</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5,55±1,79 (4,57-6,37)</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5,41±1,87 (4,43-6,31)</w:t>
            </w:r>
          </w:p>
        </w:tc>
        <w:tc>
          <w:tcPr>
            <w:tcW w:w="113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0,54</w:t>
            </w:r>
          </w:p>
        </w:tc>
      </w:tr>
      <w:tr w:rsidR="00AB12B3" w:rsidTr="00DB2A9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HOMA-IR, n=507</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2,1±2,46 (1,38-3,84)</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2,21±2,38 (1,26-3,64)</w:t>
            </w:r>
          </w:p>
        </w:tc>
        <w:tc>
          <w:tcPr>
            <w:tcW w:w="113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0,69</w:t>
            </w:r>
          </w:p>
        </w:tc>
      </w:tr>
      <w:tr w:rsidR="00AB12B3" w:rsidTr="00440ED9">
        <w:trPr>
          <w:trHeight w:val="442"/>
        </w:trPr>
        <w:tc>
          <w:tcPr>
            <w:tcW w:w="9360" w:type="dxa"/>
            <w:gridSpan w:val="4"/>
            <w:tcBorders>
              <w:top w:val="single" w:sz="4" w:space="0" w:color="auto"/>
              <w:left w:val="single" w:sz="4" w:space="0" w:color="auto"/>
              <w:bottom w:val="single" w:sz="4" w:space="0" w:color="auto"/>
              <w:right w:val="single" w:sz="4" w:space="0" w:color="auto"/>
            </w:tcBorders>
            <w:hideMark/>
          </w:tcPr>
          <w:p w:rsidR="000F60C5" w:rsidRDefault="00AB12B3">
            <w:pPr>
              <w:jc w:val="both"/>
              <w:rPr>
                <w:rFonts w:ascii="Times New Roman" w:hAnsi="Times New Roman"/>
                <w:szCs w:val="20"/>
                <w:lang w:val="kk-KZ"/>
              </w:rPr>
            </w:pPr>
            <w:r>
              <w:rPr>
                <w:rFonts w:ascii="Times New Roman" w:hAnsi="Times New Roman"/>
                <w:szCs w:val="20"/>
              </w:rPr>
              <w:t xml:space="preserve">Примечание *Критерий Манна-Уитни; </w:t>
            </w:r>
          </w:p>
          <w:p w:rsidR="00AB12B3" w:rsidRDefault="00AB12B3">
            <w:pPr>
              <w:jc w:val="both"/>
              <w:rPr>
                <w:rFonts w:ascii="Times New Roman" w:hAnsi="Times New Roman"/>
                <w:sz w:val="20"/>
                <w:szCs w:val="20"/>
              </w:rPr>
            </w:pPr>
            <w:r>
              <w:rPr>
                <w:rFonts w:ascii="Times New Roman" w:hAnsi="Times New Roman"/>
                <w:szCs w:val="20"/>
              </w:rPr>
              <w:t xml:space="preserve">Ме±IQR (Q1 – Q3) </w:t>
            </w:r>
            <w:r w:rsidR="00C16F07">
              <w:rPr>
                <w:rFonts w:ascii="Times New Roman" w:hAnsi="Times New Roman"/>
                <w:szCs w:val="20"/>
              </w:rPr>
              <w:t>–</w:t>
            </w:r>
            <w:r>
              <w:rPr>
                <w:rFonts w:ascii="Times New Roman" w:hAnsi="Times New Roman"/>
                <w:szCs w:val="20"/>
              </w:rPr>
              <w:t xml:space="preserve"> Медиана ± межквартильный диапазон (1 квартиль – 3 квартиль)</w:t>
            </w:r>
          </w:p>
        </w:tc>
      </w:tr>
    </w:tbl>
    <w:p w:rsidR="00AB12B3" w:rsidRDefault="00AB12B3" w:rsidP="00AB12B3">
      <w:pPr>
        <w:spacing w:after="0" w:line="240" w:lineRule="auto"/>
        <w:ind w:firstLine="708"/>
        <w:jc w:val="both"/>
        <w:rPr>
          <w:rFonts w:ascii="Times New Roman" w:hAnsi="Times New Roman" w:cs="Times New Roman"/>
          <w:sz w:val="28"/>
          <w:szCs w:val="28"/>
        </w:rPr>
      </w:pPr>
    </w:p>
    <w:p w:rsidR="00B324BD" w:rsidRDefault="00B324BD" w:rsidP="00B324B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высоких </w:t>
      </w:r>
      <w:r>
        <w:rPr>
          <w:rFonts w:ascii="Times New Roman" w:hAnsi="Times New Roman" w:cs="Times New Roman"/>
          <w:sz w:val="28"/>
          <w:szCs w:val="28"/>
          <w:lang w:val="kk-KZ"/>
        </w:rPr>
        <w:t>значениях</w:t>
      </w:r>
      <w:r>
        <w:rPr>
          <w:rFonts w:ascii="Times New Roman" w:hAnsi="Times New Roman" w:cs="Times New Roman"/>
          <w:sz w:val="28"/>
          <w:szCs w:val="28"/>
        </w:rPr>
        <w:t xml:space="preserve"> апоВ/апоА1 шанс развития низких уровней ЛПВП был на 0,45 раз ниже, чем при нормальных показа</w:t>
      </w:r>
      <w:r>
        <w:rPr>
          <w:rFonts w:ascii="Times New Roman" w:hAnsi="Times New Roman" w:cs="Times New Roman"/>
          <w:sz w:val="28"/>
          <w:szCs w:val="28"/>
          <w:lang w:val="kk-KZ"/>
        </w:rPr>
        <w:t>телях</w:t>
      </w:r>
      <w:r>
        <w:rPr>
          <w:rFonts w:ascii="Times New Roman" w:hAnsi="Times New Roman" w:cs="Times New Roman"/>
          <w:sz w:val="28"/>
          <w:szCs w:val="28"/>
        </w:rPr>
        <w:t xml:space="preserve"> апоВ/апоА1. При нормальных </w:t>
      </w:r>
      <w:r>
        <w:rPr>
          <w:rFonts w:ascii="Times New Roman" w:hAnsi="Times New Roman" w:cs="Times New Roman"/>
          <w:sz w:val="28"/>
          <w:szCs w:val="28"/>
          <w:lang w:val="kk-KZ"/>
        </w:rPr>
        <w:t>значения</w:t>
      </w:r>
      <w:r>
        <w:rPr>
          <w:rFonts w:ascii="Times New Roman" w:hAnsi="Times New Roman" w:cs="Times New Roman"/>
          <w:sz w:val="28"/>
          <w:szCs w:val="28"/>
        </w:rPr>
        <w:t>х апоВ/апоА1 чаще наблюдались низкие уровни ЛПВП. Так как, апоА1 является основным липопротеином ЛПВП, значимая связь между группами апоА1 и ЛПВП была ожидаемым результатом. С показателями углеводного обмена связь между группами ЛПВП не обнаружена (таблица 23). Возможно, наши результаты исследования обусловлены с особенностями казахской национальной кухни. Национальная кухня казахов в основном состоит из блюд с высоким содержанием мяса, животного жира и мал</w:t>
      </w:r>
      <w:r>
        <w:rPr>
          <w:rFonts w:ascii="Times New Roman" w:hAnsi="Times New Roman" w:cs="Times New Roman"/>
          <w:sz w:val="28"/>
          <w:szCs w:val="28"/>
          <w:lang w:val="kk-KZ"/>
        </w:rPr>
        <w:t>ым содержанием</w:t>
      </w:r>
      <w:r>
        <w:rPr>
          <w:rFonts w:ascii="Times New Roman" w:hAnsi="Times New Roman" w:cs="Times New Roman"/>
          <w:sz w:val="28"/>
          <w:szCs w:val="28"/>
        </w:rPr>
        <w:t xml:space="preserve"> овощей и фруктов. В связи с этим влияние характера питания казахской популяции на уровень липидного и углеводного обменов требует дополнительного изучения.</w:t>
      </w:r>
    </w:p>
    <w:p w:rsidR="00B324BD" w:rsidRDefault="00B324BD" w:rsidP="00B324B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Как указано выше, некоторые клинические рекомендации не советуют ориентироваться на уровень ЛПВП при профилактике и лечения дислипидемии. Поэтому некоторые авторы предлагают определять не только уровень ХС в ЛПВП, но и уровень ТГ в ЛПВП. Так, например, Girona </w:t>
      </w:r>
      <w:r>
        <w:rPr>
          <w:rFonts w:ascii="Times New Roman" w:hAnsi="Times New Roman" w:cs="Times New Roman"/>
          <w:sz w:val="28"/>
          <w:szCs w:val="28"/>
          <w:lang w:val="en-US"/>
        </w:rPr>
        <w:t>J</w:t>
      </w:r>
      <w:r w:rsidRPr="009A4D90">
        <w:rPr>
          <w:rFonts w:ascii="Times New Roman" w:hAnsi="Times New Roman" w:cs="Times New Roman"/>
          <w:sz w:val="28"/>
          <w:szCs w:val="28"/>
        </w:rPr>
        <w:t>.</w:t>
      </w:r>
      <w:r>
        <w:rPr>
          <w:rFonts w:ascii="Times New Roman" w:hAnsi="Times New Roman" w:cs="Times New Roman"/>
          <w:sz w:val="28"/>
          <w:szCs w:val="28"/>
        </w:rPr>
        <w:t xml:space="preserve"> и соавторов (2019) в своем исследовании обнаружили, что ТГ, которые входят в состав ЛПВП имели положительную связь с общим уровнем ТГ, глицерина и отрицательную связь с ЛПВП у пациентов с СД 2 типа и с МС. Авторы также обнаружили, что концентрация ТГ в ЛПВП была выше при МС, и чем больше компонентов МС было, тем выше была концентрации ТГ в ЛПВП </w:t>
      </w:r>
      <w:r>
        <w:rPr>
          <w:rFonts w:ascii="Times New Roman" w:hAnsi="Times New Roman" w:cs="Times New Roman"/>
          <w:sz w:val="28"/>
          <w:szCs w:val="28"/>
        </w:rPr>
        <w:lastRenderedPageBreak/>
        <w:fldChar w:fldCharType="begin" w:fldLock="1"/>
      </w:r>
      <w:r w:rsidR="00624769">
        <w:rPr>
          <w:rFonts w:ascii="Times New Roman" w:hAnsi="Times New Roman" w:cs="Times New Roman"/>
          <w:sz w:val="28"/>
          <w:szCs w:val="28"/>
        </w:rPr>
        <w:instrText>ADDIN CSL_CITATION {"citationItems":[{"id":"ITEM-1","itemData":{"DOI":"10.3390/ijms20133151","ISSN":"1422-0067","abstract":"While cholesterol content in high-density lipoproteins (HDLs) is a well-established inverse marker of cardiovascular risk, the importance of HDL–triglyceride (HDL-TG) concentration is not well known. We aim to examine plasma HDL-TG concentrations, assessed by 1H-NMR, in patients with metabolic diseases and their association with classical biomarkers. In this cross-sectional study, we included 502 patients with type 2 diabetes or metabolic syndrome attending the lipid unit of our University Hospital. The presence of arteriosclerotic plaques was assessed by ultrasonography. A complete lipoprotein profile was performed by 1H-NMR (Liposcale test). HDL-TG was strongly positively correlated with total triglycerides, glycerol, and fatty liver index, while a strong negative correlation was observed with HDL-cholesterol (HDL-C) and HDL-particle number (HDL-P). HDL-TG was associated with all triglyceride-rich lipoprotein parameters and had an opposite association with HDL-C and HDL-P. It was also significantly correlated with circulating cholesterol ester transfer protein (CETP). HDL-TG concentrations were higher as metabolic syndrome components increased. HDL-TG was also higher with worsening glucose metabolism. Patients with carotid plaques also showed higher HDL-TG. In contrast to HDL-C, HDL-TG is directly associated with metabolism and arteriosclerotic vascular alterations. HDL-TG should be considered a biomarker of metabolic and cardiovascular risk and could be a marker of HDL dysfunction.","author":[{"dropping-particle":"","family":"Girona J.","given":"","non-dropping-particle":"","parse-names":false,"suffix":""},{"dropping-particle":"","family":"Amigó","given":"","non-dropping-particle":"","parse-names":false,"suffix":""},{"dropping-particle":"","family":"Ibarretxe","given":"","non-dropping-particle":"","parse-names":false,"suffix":""},{"dropping-particle":"","family":"Plana","given":"","non-dropping-particle":"","parse-names":false,"suffix":""},{"dropping-particle":"","family":"Rodríguez-Borjabad","given":"","non-dropping-particle":"","parse-names":false,"suffix":""},{"dropping-particle":"","family":"Heras","given":"","non-dropping-particle":"","parse-names":false,"suffix":""},{"dropping-particle":"","family":"Ferré","given":"","non-dropping-particle":"","parse-names":false,"suffix":""},{"dropping-particle":"","family":"Gil","given":"","non-dropping-particle":"","parse-names":false,"suffix":""},{"dropping-particle":"","family":"Correig","given":"","non-dropping-particle":"","parse-names":false,"suffix":""},{"dropping-particle":"","family":"Masana","given":"","non-dropping-particle":"","parse-names":false,"suffix":""}],"container-title":"International Journal of Molecular Sciences","id":"ITEM-1","issue":"13","issued":{"date-parts":[["2019","6","27"]]},"page":"3151","title":"HDL Triglycerides: A New Marker of Metabolic and Cardiovascular Risk","type":"article-journal","volume":"20"},"uris":["http://www.mendeley.com/documents/?uuid=febcd4ff-8d2c-4103-863c-058a7e1b4268"]}],"mendeley":{"formattedCitation":"[169]","plainTextFormattedCitation":"[169]","previouslyFormattedCitation":"[169]"},"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[169]</w:t>
      </w:r>
      <w:r>
        <w:rPr>
          <w:rFonts w:ascii="Times New Roman" w:hAnsi="Times New Roman" w:cs="Times New Roman"/>
          <w:sz w:val="28"/>
          <w:szCs w:val="28"/>
        </w:rPr>
        <w:fldChar w:fldCharType="end"/>
      </w:r>
      <w:r>
        <w:rPr>
          <w:rFonts w:ascii="Times New Roman" w:hAnsi="Times New Roman" w:cs="Times New Roman"/>
          <w:sz w:val="28"/>
          <w:szCs w:val="28"/>
        </w:rPr>
        <w:t>. Поэтому рекомендуется, определять уровень ТГ в ЛПВП при оценке риска развития ССЗ и МС.</w:t>
      </w:r>
    </w:p>
    <w:p w:rsidR="00201AC5" w:rsidRDefault="00201AC5"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Таблица 23 </w:t>
      </w:r>
      <w:r w:rsidR="00162472">
        <w:rPr>
          <w:rFonts w:ascii="Times New Roman" w:hAnsi="Times New Roman" w:cs="Times New Roman"/>
          <w:sz w:val="28"/>
          <w:szCs w:val="28"/>
          <w:lang w:val="kk-KZ"/>
        </w:rPr>
        <w:t xml:space="preserve">- </w:t>
      </w:r>
      <w:r>
        <w:rPr>
          <w:rFonts w:ascii="Times New Roman" w:hAnsi="Times New Roman" w:cs="Times New Roman"/>
          <w:sz w:val="28"/>
          <w:szCs w:val="28"/>
        </w:rPr>
        <w:t xml:space="preserve">Распределение биохимических показателей по группам ЛПВП </w:t>
      </w:r>
    </w:p>
    <w:p w:rsidR="00E83EC5" w:rsidRPr="00E83EC5" w:rsidRDefault="00E83EC5" w:rsidP="00AB12B3">
      <w:pPr>
        <w:spacing w:after="0" w:line="240" w:lineRule="auto"/>
        <w:jc w:val="both"/>
        <w:rPr>
          <w:rFonts w:ascii="Times New Roman" w:hAnsi="Times New Roman" w:cs="Times New Roman"/>
          <w:sz w:val="28"/>
          <w:szCs w:val="28"/>
          <w:lang w:val="kk-KZ"/>
        </w:rPr>
      </w:pPr>
    </w:p>
    <w:tbl>
      <w:tblPr>
        <w:tblStyle w:val="af7"/>
        <w:tblW w:w="9385" w:type="dxa"/>
        <w:tblInd w:w="108" w:type="dxa"/>
        <w:tblLayout w:type="fixed"/>
        <w:tblLook w:val="04A0" w:firstRow="1" w:lastRow="0" w:firstColumn="1" w:lastColumn="0" w:noHBand="0" w:noVBand="1"/>
      </w:tblPr>
      <w:tblGrid>
        <w:gridCol w:w="2297"/>
        <w:gridCol w:w="1701"/>
        <w:gridCol w:w="992"/>
        <w:gridCol w:w="1134"/>
        <w:gridCol w:w="2127"/>
        <w:gridCol w:w="1134"/>
      </w:tblGrid>
      <w:tr w:rsidR="00AB12B3" w:rsidTr="00992813">
        <w:trPr>
          <w:trHeight w:val="385"/>
        </w:trPr>
        <w:tc>
          <w:tcPr>
            <w:tcW w:w="3998"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2126"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ЛПВП, ммоль/л </w:t>
            </w:r>
          </w:p>
        </w:tc>
        <w:tc>
          <w:tcPr>
            <w:tcW w:w="2127"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ОШ (95% ДИ)</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992813">
        <w:trPr>
          <w:trHeight w:val="387"/>
        </w:trPr>
        <w:tc>
          <w:tcPr>
            <w:tcW w:w="3998" w:type="dxa"/>
            <w:gridSpan w:val="2"/>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 Муж ≥1,0</w:t>
            </w:r>
          </w:p>
          <w:p w:rsidR="00AB12B3" w:rsidRDefault="00AB12B3">
            <w:pPr>
              <w:jc w:val="center"/>
              <w:rPr>
                <w:rFonts w:ascii="Times New Roman" w:hAnsi="Times New Roman"/>
                <w:sz w:val="28"/>
                <w:szCs w:val="28"/>
              </w:rPr>
            </w:pPr>
            <w:r>
              <w:rPr>
                <w:rFonts w:ascii="Times New Roman" w:hAnsi="Times New Roman"/>
                <w:sz w:val="28"/>
                <w:szCs w:val="28"/>
              </w:rPr>
              <w:t>Жен ≥1,2 n</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 Муж &lt;1,0</w:t>
            </w:r>
          </w:p>
          <w:p w:rsidR="00AB12B3" w:rsidRDefault="00AB12B3">
            <w:pPr>
              <w:jc w:val="center"/>
              <w:rPr>
                <w:rFonts w:ascii="Times New Roman" w:hAnsi="Times New Roman"/>
                <w:sz w:val="28"/>
                <w:szCs w:val="28"/>
              </w:rPr>
            </w:pPr>
            <w:r>
              <w:rPr>
                <w:rFonts w:ascii="Times New Roman" w:hAnsi="Times New Roman"/>
                <w:sz w:val="28"/>
                <w:szCs w:val="28"/>
              </w:rPr>
              <w:t>Жен &lt;1,2 n</w:t>
            </w:r>
          </w:p>
        </w:tc>
        <w:tc>
          <w:tcPr>
            <w:tcW w:w="212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992813">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ОХС, ммоль/л</w:t>
            </w:r>
          </w:p>
          <w:p w:rsidR="00AB12B3" w:rsidRDefault="00AB12B3">
            <w:pPr>
              <w:jc w:val="center"/>
              <w:rPr>
                <w:rFonts w:ascii="Times New Roman" w:hAnsi="Times New Roman"/>
                <w:sz w:val="28"/>
                <w:szCs w:val="28"/>
              </w:rPr>
            </w:pPr>
            <w:r>
              <w:rPr>
                <w:rFonts w:ascii="Times New Roman" w:hAnsi="Times New Roman"/>
                <w:sz w:val="28"/>
                <w:szCs w:val="28"/>
              </w:rPr>
              <w:t>n=580</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≤4,9 </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163</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325</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992813">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&gt;4,9 </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69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23</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0,17 (0,1-0,28)</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992813">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ТГ, ммоль/л</w:t>
            </w:r>
          </w:p>
          <w:p w:rsidR="00AB12B3" w:rsidRDefault="00AB12B3">
            <w:pPr>
              <w:jc w:val="center"/>
              <w:rPr>
                <w:rFonts w:ascii="Times New Roman" w:hAnsi="Times New Roman"/>
                <w:sz w:val="28"/>
                <w:szCs w:val="28"/>
              </w:rPr>
            </w:pPr>
            <w:r>
              <w:rPr>
                <w:rFonts w:ascii="Times New Roman" w:hAnsi="Times New Roman"/>
                <w:sz w:val="28"/>
                <w:szCs w:val="28"/>
              </w:rPr>
              <w:t>n=580</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160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269</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0,02</w:t>
            </w:r>
          </w:p>
        </w:tc>
      </w:tr>
      <w:tr w:rsidR="00AB12B3" w:rsidTr="00992813">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&gt;1,7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72</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79</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0,65 (0,45-0,95)</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992813">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ЛПНП, ммоль/л n=580</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196</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297</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0,78</w:t>
            </w:r>
          </w:p>
        </w:tc>
      </w:tr>
      <w:tr w:rsidR="00AB12B3" w:rsidTr="00992813">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&gt;3,0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36</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51</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0,93 (0,59-1,49)</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992813">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 г/л</w:t>
            </w:r>
          </w:p>
          <w:p w:rsidR="00AB12B3" w:rsidRDefault="00AB12B3">
            <w:pPr>
              <w:jc w:val="center"/>
              <w:rPr>
                <w:rFonts w:ascii="Times New Roman" w:hAnsi="Times New Roman"/>
                <w:sz w:val="28"/>
                <w:szCs w:val="28"/>
              </w:rPr>
            </w:pPr>
            <w:r>
              <w:rPr>
                <w:rFonts w:ascii="Times New Roman" w:hAnsi="Times New Roman"/>
                <w:sz w:val="28"/>
                <w:szCs w:val="28"/>
              </w:rPr>
              <w:t xml:space="preserve"> n=507</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&lt;0,9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64</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134</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0,12</w:t>
            </w:r>
          </w:p>
        </w:tc>
      </w:tr>
      <w:tr w:rsidR="00AB12B3" w:rsidTr="00992813">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121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188</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0,74 (0,51-1,08)</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992813">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апоА1</w:t>
            </w:r>
            <w:r w:rsidR="00CE11C8">
              <w:rPr>
                <w:rFonts w:ascii="Century" w:hAnsi="Century"/>
                <w:sz w:val="28"/>
                <w:szCs w:val="28"/>
              </w:rPr>
              <w:t>,</w:t>
            </w:r>
            <w:r>
              <w:rPr>
                <w:rFonts w:ascii="Times New Roman" w:hAnsi="Times New Roman"/>
                <w:sz w:val="28"/>
                <w:szCs w:val="28"/>
              </w:rPr>
              <w:t xml:space="preserve"> г/л</w:t>
            </w:r>
          </w:p>
          <w:p w:rsidR="00AB12B3" w:rsidRDefault="00AB12B3">
            <w:pPr>
              <w:jc w:val="center"/>
              <w:rPr>
                <w:rFonts w:ascii="Times New Roman" w:hAnsi="Times New Roman"/>
                <w:sz w:val="28"/>
                <w:szCs w:val="28"/>
              </w:rPr>
            </w:pPr>
            <w:r>
              <w:rPr>
                <w:rFonts w:ascii="Times New Roman" w:hAnsi="Times New Roman"/>
                <w:sz w:val="28"/>
                <w:szCs w:val="28"/>
              </w:rPr>
              <w:t>n=507</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color w:val="000000"/>
                <w:sz w:val="28"/>
                <w:szCs w:val="28"/>
              </w:rPr>
            </w:pPr>
            <w:r>
              <w:rPr>
                <w:rFonts w:ascii="Times New Roman" w:hAnsi="Times New Roman"/>
                <w:color w:val="000000"/>
                <w:sz w:val="28"/>
                <w:szCs w:val="28"/>
              </w:rPr>
              <w:t xml:space="preserve">Муж </w:t>
            </w:r>
            <w:r w:rsidRPr="00CE11C8">
              <w:rPr>
                <w:rFonts w:ascii="Century" w:hAnsi="Century"/>
                <w:color w:val="000000"/>
                <w:sz w:val="28"/>
                <w:szCs w:val="28"/>
              </w:rPr>
              <w:t>≥</w:t>
            </w:r>
            <w:r>
              <w:rPr>
                <w:rFonts w:ascii="Times New Roman" w:hAnsi="Times New Roman"/>
                <w:color w:val="000000"/>
                <w:sz w:val="28"/>
                <w:szCs w:val="28"/>
              </w:rPr>
              <w:t>1,04</w:t>
            </w:r>
          </w:p>
          <w:p w:rsidR="00AB12B3" w:rsidRDefault="00AB12B3">
            <w:pPr>
              <w:jc w:val="center"/>
              <w:rPr>
                <w:rFonts w:ascii="Times New Roman" w:hAnsi="Times New Roman"/>
                <w:sz w:val="28"/>
                <w:szCs w:val="28"/>
              </w:rPr>
            </w:pPr>
            <w:r>
              <w:rPr>
                <w:rFonts w:ascii="Times New Roman" w:hAnsi="Times New Roman"/>
                <w:color w:val="000000"/>
                <w:sz w:val="28"/>
                <w:szCs w:val="28"/>
              </w:rPr>
              <w:t xml:space="preserve">Жен </w:t>
            </w:r>
            <w:r w:rsidRPr="00CE11C8">
              <w:rPr>
                <w:rFonts w:ascii="Century" w:hAnsi="Century"/>
                <w:color w:val="000000"/>
                <w:sz w:val="28"/>
                <w:szCs w:val="28"/>
              </w:rPr>
              <w:t>≥</w:t>
            </w:r>
            <w:r>
              <w:rPr>
                <w:rFonts w:ascii="Times New Roman" w:hAnsi="Times New Roman"/>
                <w:color w:val="000000"/>
                <w:sz w:val="28"/>
                <w:szCs w:val="28"/>
              </w:rPr>
              <w:t xml:space="preserve">1,08 </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167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308</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CE11C8">
              <w:rPr>
                <w:rFonts w:ascii="Century" w:hAnsi="Century"/>
                <w:sz w:val="28"/>
                <w:szCs w:val="28"/>
              </w:rPr>
              <w:t>,</w:t>
            </w:r>
            <w:r>
              <w:rPr>
                <w:rFonts w:ascii="Times New Roman" w:hAnsi="Times New Roman"/>
                <w:sz w:val="28"/>
                <w:szCs w:val="28"/>
              </w:rPr>
              <w:t>016</w:t>
            </w:r>
          </w:p>
        </w:tc>
      </w:tr>
      <w:tr w:rsidR="00AB12B3" w:rsidTr="00992813">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color w:val="000000"/>
                <w:sz w:val="28"/>
                <w:szCs w:val="28"/>
              </w:rPr>
            </w:pPr>
            <w:r>
              <w:rPr>
                <w:rFonts w:ascii="Times New Roman" w:hAnsi="Times New Roman"/>
                <w:color w:val="000000"/>
                <w:sz w:val="28"/>
                <w:szCs w:val="28"/>
              </w:rPr>
              <w:t xml:space="preserve">Муж </w:t>
            </w:r>
            <w:r w:rsidRPr="00CE11C8">
              <w:rPr>
                <w:rFonts w:ascii="Century" w:hAnsi="Century"/>
                <w:color w:val="000000"/>
                <w:sz w:val="28"/>
                <w:szCs w:val="28"/>
              </w:rPr>
              <w:t>&lt;</w:t>
            </w:r>
            <w:r>
              <w:rPr>
                <w:rFonts w:ascii="Times New Roman" w:hAnsi="Times New Roman"/>
                <w:color w:val="000000"/>
                <w:sz w:val="28"/>
                <w:szCs w:val="28"/>
              </w:rPr>
              <w:t>1</w:t>
            </w:r>
            <w:r w:rsidRPr="00CE11C8">
              <w:rPr>
                <w:rFonts w:ascii="Century" w:hAnsi="Century"/>
                <w:color w:val="000000"/>
                <w:sz w:val="28"/>
                <w:szCs w:val="28"/>
              </w:rPr>
              <w:t>,</w:t>
            </w:r>
            <w:r>
              <w:rPr>
                <w:rFonts w:ascii="Times New Roman" w:hAnsi="Times New Roman"/>
                <w:color w:val="000000"/>
                <w:sz w:val="28"/>
                <w:szCs w:val="28"/>
              </w:rPr>
              <w:t>04</w:t>
            </w:r>
          </w:p>
          <w:p w:rsidR="00AB12B3" w:rsidRDefault="00AB12B3">
            <w:pPr>
              <w:jc w:val="center"/>
              <w:rPr>
                <w:rFonts w:ascii="Times New Roman" w:hAnsi="Times New Roman"/>
                <w:color w:val="000000"/>
                <w:sz w:val="28"/>
                <w:szCs w:val="28"/>
              </w:rPr>
            </w:pPr>
            <w:r>
              <w:rPr>
                <w:rFonts w:ascii="Times New Roman" w:hAnsi="Times New Roman"/>
                <w:color w:val="000000"/>
                <w:sz w:val="28"/>
                <w:szCs w:val="28"/>
              </w:rPr>
              <w:t xml:space="preserve">Жен </w:t>
            </w:r>
            <w:r w:rsidRPr="00CE11C8">
              <w:rPr>
                <w:rFonts w:ascii="Century" w:hAnsi="Century"/>
                <w:color w:val="000000"/>
                <w:sz w:val="28"/>
                <w:szCs w:val="28"/>
              </w:rPr>
              <w:t>&lt;</w:t>
            </w:r>
            <w:r>
              <w:rPr>
                <w:rFonts w:ascii="Times New Roman" w:hAnsi="Times New Roman"/>
                <w:color w:val="000000"/>
                <w:sz w:val="28"/>
                <w:szCs w:val="28"/>
              </w:rPr>
              <w:t>1</w:t>
            </w:r>
            <w:r w:rsidRPr="00CE11C8">
              <w:rPr>
                <w:rFonts w:ascii="Century" w:hAnsi="Century"/>
                <w:color w:val="000000"/>
                <w:sz w:val="28"/>
                <w:szCs w:val="28"/>
              </w:rPr>
              <w:t>,</w:t>
            </w:r>
            <w:r>
              <w:rPr>
                <w:rFonts w:ascii="Times New Roman" w:hAnsi="Times New Roman"/>
                <w:color w:val="000000"/>
                <w:sz w:val="28"/>
                <w:szCs w:val="28"/>
              </w:rPr>
              <w:t>08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18</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14</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CE11C8">
              <w:rPr>
                <w:rFonts w:ascii="Century" w:hAnsi="Century"/>
                <w:sz w:val="28"/>
                <w:szCs w:val="28"/>
              </w:rPr>
              <w:t>,</w:t>
            </w:r>
            <w:r>
              <w:rPr>
                <w:rFonts w:ascii="Times New Roman" w:hAnsi="Times New Roman"/>
                <w:sz w:val="28"/>
                <w:szCs w:val="28"/>
              </w:rPr>
              <w:t>43 (0</w:t>
            </w:r>
            <w:r w:rsidRPr="00CE11C8">
              <w:rPr>
                <w:rFonts w:ascii="Century" w:hAnsi="Century"/>
                <w:sz w:val="28"/>
                <w:szCs w:val="28"/>
              </w:rPr>
              <w:t>,</w:t>
            </w:r>
            <w:r>
              <w:rPr>
                <w:rFonts w:ascii="Times New Roman" w:hAnsi="Times New Roman"/>
                <w:sz w:val="28"/>
                <w:szCs w:val="28"/>
              </w:rPr>
              <w:t>28-0</w:t>
            </w:r>
            <w:r w:rsidRPr="00CE11C8">
              <w:rPr>
                <w:rFonts w:ascii="Century" w:hAnsi="Century"/>
                <w:sz w:val="28"/>
                <w:szCs w:val="28"/>
              </w:rPr>
              <w:t>,</w:t>
            </w:r>
            <w:r>
              <w:rPr>
                <w:rFonts w:ascii="Times New Roman" w:hAnsi="Times New Roman"/>
                <w:sz w:val="28"/>
                <w:szCs w:val="28"/>
              </w:rPr>
              <w:t>66)</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992813">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Pr="00CE11C8" w:rsidRDefault="00AB12B3">
            <w:pPr>
              <w:jc w:val="center"/>
              <w:rPr>
                <w:rFonts w:ascii="Century" w:hAnsi="Century"/>
                <w:sz w:val="28"/>
                <w:szCs w:val="28"/>
              </w:rPr>
            </w:pPr>
            <w:r>
              <w:rPr>
                <w:rFonts w:ascii="Times New Roman" w:hAnsi="Times New Roman"/>
                <w:sz w:val="28"/>
                <w:szCs w:val="28"/>
              </w:rPr>
              <w:t>апоВ</w:t>
            </w:r>
            <w:r w:rsidRPr="00CE11C8">
              <w:rPr>
                <w:rFonts w:ascii="Century" w:hAnsi="Century"/>
                <w:sz w:val="28"/>
                <w:szCs w:val="28"/>
              </w:rPr>
              <w:t>/</w:t>
            </w:r>
            <w:r>
              <w:rPr>
                <w:rFonts w:ascii="Times New Roman" w:hAnsi="Times New Roman"/>
                <w:sz w:val="28"/>
                <w:szCs w:val="28"/>
              </w:rPr>
              <w:t>апоА1</w:t>
            </w:r>
            <w:r w:rsidR="00CE11C8">
              <w:rPr>
                <w:rFonts w:ascii="Century" w:hAnsi="Century"/>
                <w:sz w:val="28"/>
                <w:szCs w:val="28"/>
              </w:rPr>
              <w:t>,</w:t>
            </w:r>
          </w:p>
          <w:p w:rsidR="00AB12B3" w:rsidRDefault="00AB12B3">
            <w:pPr>
              <w:jc w:val="center"/>
              <w:rPr>
                <w:rFonts w:ascii="Times New Roman" w:hAnsi="Times New Roman"/>
                <w:sz w:val="28"/>
                <w:szCs w:val="28"/>
              </w:rPr>
            </w:pPr>
            <w:r>
              <w:rPr>
                <w:rFonts w:ascii="Times New Roman" w:hAnsi="Times New Roman"/>
                <w:sz w:val="28"/>
                <w:szCs w:val="28"/>
              </w:rPr>
              <w:t>n</w:t>
            </w:r>
            <w:r w:rsidRPr="00CE11C8">
              <w:rPr>
                <w:rFonts w:ascii="Century" w:hAnsi="Century"/>
                <w:sz w:val="28"/>
                <w:szCs w:val="28"/>
              </w:rPr>
              <w:t>=</w:t>
            </w:r>
            <w:r>
              <w:rPr>
                <w:rFonts w:ascii="Times New Roman" w:hAnsi="Times New Roman"/>
                <w:sz w:val="28"/>
                <w:szCs w:val="28"/>
              </w:rPr>
              <w:t>507</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CE11C8">
              <w:rPr>
                <w:rFonts w:ascii="Century" w:hAnsi="Century"/>
                <w:sz w:val="28"/>
                <w:szCs w:val="28"/>
              </w:rPr>
              <w:t>≤</w:t>
            </w:r>
            <w:r>
              <w:rPr>
                <w:rFonts w:ascii="Times New Roman" w:hAnsi="Times New Roman"/>
                <w:sz w:val="28"/>
                <w:szCs w:val="28"/>
              </w:rPr>
              <w:t>0</w:t>
            </w:r>
            <w:r w:rsidRPr="00CE11C8">
              <w:rPr>
                <w:rFonts w:ascii="Century" w:hAnsi="Century"/>
                <w:sz w:val="28"/>
                <w:szCs w:val="28"/>
              </w:rPr>
              <w:t>,</w:t>
            </w:r>
            <w:r>
              <w:rPr>
                <w:rFonts w:ascii="Times New Roman" w:hAnsi="Times New Roman"/>
                <w:sz w:val="28"/>
                <w:szCs w:val="28"/>
              </w:rPr>
              <w:t>85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124</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272</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CE11C8">
              <w:rPr>
                <w:rFonts w:ascii="Century" w:hAnsi="Century"/>
                <w:sz w:val="28"/>
                <w:szCs w:val="28"/>
              </w:rPr>
              <w:t>,</w:t>
            </w:r>
            <w:r>
              <w:rPr>
                <w:rFonts w:ascii="Times New Roman" w:hAnsi="Times New Roman"/>
                <w:sz w:val="28"/>
                <w:szCs w:val="28"/>
              </w:rPr>
              <w:t>0001</w:t>
            </w:r>
          </w:p>
        </w:tc>
      </w:tr>
      <w:tr w:rsidR="00AB12B3" w:rsidTr="00992813">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CE11C8">
              <w:rPr>
                <w:rFonts w:ascii="Century" w:hAnsi="Century"/>
                <w:sz w:val="28"/>
                <w:szCs w:val="28"/>
              </w:rPr>
              <w:t>&gt;</w:t>
            </w:r>
            <w:r>
              <w:rPr>
                <w:rFonts w:ascii="Times New Roman" w:hAnsi="Times New Roman"/>
                <w:sz w:val="28"/>
                <w:szCs w:val="28"/>
              </w:rPr>
              <w:t>0</w:t>
            </w:r>
            <w:r w:rsidRPr="00CE11C8">
              <w:rPr>
                <w:rFonts w:ascii="Century" w:hAnsi="Century"/>
                <w:sz w:val="28"/>
                <w:szCs w:val="28"/>
              </w:rPr>
              <w:t>,</w:t>
            </w:r>
            <w:r>
              <w:rPr>
                <w:rFonts w:ascii="Times New Roman" w:hAnsi="Times New Roman"/>
                <w:sz w:val="28"/>
                <w:szCs w:val="28"/>
              </w:rPr>
              <w:t>85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56</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55</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CE11C8">
              <w:rPr>
                <w:rFonts w:ascii="Century" w:hAnsi="Century"/>
                <w:sz w:val="28"/>
                <w:szCs w:val="28"/>
              </w:rPr>
              <w:t>,</w:t>
            </w:r>
            <w:r>
              <w:rPr>
                <w:rFonts w:ascii="Times New Roman" w:hAnsi="Times New Roman"/>
                <w:sz w:val="28"/>
                <w:szCs w:val="28"/>
              </w:rPr>
              <w:t>45 (0</w:t>
            </w:r>
            <w:r w:rsidRPr="00CE11C8">
              <w:rPr>
                <w:rFonts w:ascii="Century" w:hAnsi="Century"/>
                <w:sz w:val="28"/>
                <w:szCs w:val="28"/>
              </w:rPr>
              <w:t>,</w:t>
            </w:r>
            <w:r>
              <w:rPr>
                <w:rFonts w:ascii="Times New Roman" w:hAnsi="Times New Roman"/>
                <w:sz w:val="28"/>
                <w:szCs w:val="28"/>
              </w:rPr>
              <w:t>29-0</w:t>
            </w:r>
            <w:r w:rsidRPr="00CE11C8">
              <w:rPr>
                <w:rFonts w:ascii="Century" w:hAnsi="Century"/>
                <w:sz w:val="28"/>
                <w:szCs w:val="28"/>
              </w:rPr>
              <w:t>,</w:t>
            </w:r>
            <w:r>
              <w:rPr>
                <w:rFonts w:ascii="Times New Roman" w:hAnsi="Times New Roman"/>
                <w:sz w:val="28"/>
                <w:szCs w:val="28"/>
              </w:rPr>
              <w:t>69)</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992813">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Инсулин, мкМЕ</w:t>
            </w:r>
            <w:r w:rsidRPr="00CE11C8">
              <w:rPr>
                <w:rFonts w:ascii="Century" w:hAnsi="Century"/>
                <w:sz w:val="28"/>
                <w:szCs w:val="28"/>
              </w:rPr>
              <w:t>/</w:t>
            </w:r>
            <w:r>
              <w:rPr>
                <w:rFonts w:ascii="Times New Roman" w:hAnsi="Times New Roman"/>
                <w:sz w:val="28"/>
                <w:szCs w:val="28"/>
              </w:rPr>
              <w:t>мл n</w:t>
            </w:r>
            <w:r w:rsidRPr="00CE11C8">
              <w:rPr>
                <w:rFonts w:ascii="Century" w:hAnsi="Century"/>
                <w:sz w:val="28"/>
                <w:szCs w:val="28"/>
              </w:rPr>
              <w:t>=</w:t>
            </w:r>
            <w:r>
              <w:rPr>
                <w:rFonts w:ascii="Times New Roman" w:hAnsi="Times New Roman"/>
                <w:sz w:val="28"/>
                <w:szCs w:val="28"/>
              </w:rPr>
              <w:t>507</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CE11C8">
              <w:rPr>
                <w:rFonts w:ascii="Century" w:hAnsi="Century"/>
                <w:sz w:val="28"/>
                <w:szCs w:val="28"/>
              </w:rPr>
              <w:t>≤</w:t>
            </w:r>
            <w:r>
              <w:rPr>
                <w:rFonts w:ascii="Times New Roman" w:hAnsi="Times New Roman"/>
                <w:sz w:val="28"/>
                <w:szCs w:val="28"/>
              </w:rPr>
              <w:t>24,9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166</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298</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924108">
              <w:rPr>
                <w:rFonts w:ascii="Century" w:hAnsi="Century"/>
                <w:sz w:val="28"/>
                <w:szCs w:val="28"/>
              </w:rPr>
              <w:t>,</w:t>
            </w:r>
            <w:r>
              <w:rPr>
                <w:rFonts w:ascii="Times New Roman" w:hAnsi="Times New Roman"/>
                <w:sz w:val="28"/>
                <w:szCs w:val="28"/>
              </w:rPr>
              <w:t>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924108">
              <w:rPr>
                <w:rFonts w:ascii="Century" w:hAnsi="Century"/>
                <w:sz w:val="28"/>
                <w:szCs w:val="28"/>
              </w:rPr>
              <w:t>,</w:t>
            </w:r>
            <w:r>
              <w:rPr>
                <w:rFonts w:ascii="Times New Roman" w:hAnsi="Times New Roman"/>
                <w:sz w:val="28"/>
                <w:szCs w:val="28"/>
              </w:rPr>
              <w:t>27</w:t>
            </w:r>
          </w:p>
        </w:tc>
      </w:tr>
      <w:tr w:rsidR="00AB12B3" w:rsidTr="00992813">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CE11C8">
              <w:rPr>
                <w:rFonts w:ascii="Century" w:hAnsi="Century"/>
                <w:sz w:val="28"/>
                <w:szCs w:val="28"/>
              </w:rPr>
              <w:t>&gt;</w:t>
            </w:r>
            <w:r>
              <w:rPr>
                <w:rFonts w:ascii="Times New Roman" w:hAnsi="Times New Roman"/>
                <w:sz w:val="28"/>
                <w:szCs w:val="28"/>
              </w:rPr>
              <w:t>24,9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24</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924108">
              <w:rPr>
                <w:rFonts w:ascii="Century" w:hAnsi="Century"/>
                <w:sz w:val="28"/>
                <w:szCs w:val="28"/>
              </w:rPr>
              <w:t>,</w:t>
            </w:r>
            <w:r>
              <w:rPr>
                <w:rFonts w:ascii="Times New Roman" w:hAnsi="Times New Roman"/>
                <w:sz w:val="28"/>
                <w:szCs w:val="28"/>
              </w:rPr>
              <w:t>7 (0</w:t>
            </w:r>
            <w:r w:rsidRPr="00924108">
              <w:rPr>
                <w:rFonts w:ascii="Century" w:hAnsi="Century"/>
                <w:sz w:val="28"/>
                <w:szCs w:val="28"/>
              </w:rPr>
              <w:t>,</w:t>
            </w:r>
            <w:r>
              <w:rPr>
                <w:rFonts w:ascii="Times New Roman" w:hAnsi="Times New Roman"/>
                <w:sz w:val="28"/>
                <w:szCs w:val="28"/>
              </w:rPr>
              <w:t>37-1</w:t>
            </w:r>
            <w:r w:rsidRPr="00924108">
              <w:rPr>
                <w:rFonts w:ascii="Century" w:hAnsi="Century"/>
                <w:sz w:val="28"/>
                <w:szCs w:val="28"/>
              </w:rPr>
              <w:t>,</w:t>
            </w:r>
            <w:r>
              <w:rPr>
                <w:rFonts w:ascii="Times New Roman" w:hAnsi="Times New Roman"/>
                <w:sz w:val="28"/>
                <w:szCs w:val="28"/>
              </w:rPr>
              <w:t>32)</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992813">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глюкоза, ммоль/л n=580</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CE11C8">
              <w:rPr>
                <w:rFonts w:ascii="Century" w:hAnsi="Century"/>
                <w:sz w:val="28"/>
                <w:szCs w:val="28"/>
              </w:rPr>
              <w:t>≤</w:t>
            </w:r>
            <w:r>
              <w:rPr>
                <w:rFonts w:ascii="Times New Roman" w:hAnsi="Times New Roman"/>
                <w:sz w:val="28"/>
                <w:szCs w:val="28"/>
              </w:rPr>
              <w:t>5,59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187</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924108">
              <w:rPr>
                <w:rFonts w:ascii="Century" w:hAnsi="Century"/>
                <w:sz w:val="28"/>
                <w:szCs w:val="28"/>
              </w:rPr>
              <w:t>,</w:t>
            </w:r>
            <w:r>
              <w:rPr>
                <w:rFonts w:ascii="Times New Roman" w:hAnsi="Times New Roman"/>
                <w:sz w:val="28"/>
                <w:szCs w:val="28"/>
              </w:rPr>
              <w:t>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0,56</w:t>
            </w:r>
          </w:p>
        </w:tc>
      </w:tr>
      <w:tr w:rsidR="00AB12B3" w:rsidTr="00992813">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&gt;5,59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113</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161</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0,91 (0,65-1,26)</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992813">
        <w:trPr>
          <w:trHeight w:val="330"/>
        </w:trPr>
        <w:tc>
          <w:tcPr>
            <w:tcW w:w="229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HOMA-IR</w:t>
            </w:r>
          </w:p>
          <w:p w:rsidR="00AB12B3" w:rsidRDefault="00AB12B3">
            <w:pPr>
              <w:jc w:val="center"/>
              <w:rPr>
                <w:rFonts w:ascii="Times New Roman" w:hAnsi="Times New Roman"/>
                <w:sz w:val="28"/>
                <w:szCs w:val="28"/>
              </w:rPr>
            </w:pPr>
            <w:r>
              <w:rPr>
                <w:rFonts w:ascii="Times New Roman" w:hAnsi="Times New Roman"/>
                <w:sz w:val="28"/>
                <w:szCs w:val="28"/>
              </w:rPr>
              <w:t>n=507</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&lt;2,7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196</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0,77</w:t>
            </w:r>
          </w:p>
        </w:tc>
      </w:tr>
      <w:tr w:rsidR="00AB12B3" w:rsidTr="00992813">
        <w:trPr>
          <w:trHeight w:val="330"/>
        </w:trPr>
        <w:tc>
          <w:tcPr>
            <w:tcW w:w="229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70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126</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1,06 (0,73-1,53)</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992813">
        <w:trPr>
          <w:trHeight w:val="451"/>
        </w:trPr>
        <w:tc>
          <w:tcPr>
            <w:tcW w:w="9385" w:type="dxa"/>
            <w:gridSpan w:val="6"/>
            <w:tcBorders>
              <w:top w:val="single" w:sz="4" w:space="0" w:color="auto"/>
              <w:left w:val="single" w:sz="4" w:space="0" w:color="auto"/>
              <w:bottom w:val="single" w:sz="4" w:space="0" w:color="auto"/>
              <w:right w:val="single" w:sz="4" w:space="0" w:color="auto"/>
            </w:tcBorders>
            <w:hideMark/>
          </w:tcPr>
          <w:p w:rsidR="002D7FFC" w:rsidRDefault="00AB12B3">
            <w:pPr>
              <w:jc w:val="both"/>
              <w:rPr>
                <w:rFonts w:ascii="Times New Roman" w:hAnsi="Times New Roman"/>
                <w:szCs w:val="24"/>
                <w:lang w:val="kk-KZ"/>
              </w:rPr>
            </w:pPr>
            <w:r>
              <w:rPr>
                <w:rFonts w:ascii="Times New Roman" w:hAnsi="Times New Roman"/>
                <w:szCs w:val="24"/>
              </w:rPr>
              <w:t>Примечание * - χ</w:t>
            </w:r>
            <w:r>
              <w:rPr>
                <w:rFonts w:ascii="Times New Roman" w:hAnsi="Times New Roman"/>
                <w:szCs w:val="24"/>
                <w:vertAlign w:val="superscript"/>
              </w:rPr>
              <w:t>2</w:t>
            </w:r>
            <w:r>
              <w:rPr>
                <w:rFonts w:ascii="Times New Roman" w:hAnsi="Times New Roman"/>
                <w:szCs w:val="24"/>
              </w:rPr>
              <w:t xml:space="preserve"> – хи квадрат Пирсона; </w:t>
            </w:r>
          </w:p>
          <w:p w:rsidR="00AB12B3" w:rsidRDefault="00AB12B3">
            <w:pPr>
              <w:jc w:val="both"/>
              <w:rPr>
                <w:rFonts w:ascii="Times New Roman" w:hAnsi="Times New Roman"/>
                <w:szCs w:val="20"/>
              </w:rPr>
            </w:pPr>
            <w:r>
              <w:rPr>
                <w:rFonts w:ascii="Times New Roman" w:hAnsi="Times New Roman"/>
                <w:szCs w:val="24"/>
              </w:rPr>
              <w:t>ОШ (95% ДИ) – Отношение шансов (95% Доверительный интервал)</w:t>
            </w:r>
          </w:p>
        </w:tc>
      </w:tr>
    </w:tbl>
    <w:p w:rsidR="00AB12B3" w:rsidRDefault="00AB12B3" w:rsidP="00AB12B3">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низкий уровень ЛПВП в нашем исследовании был связан с нормальными показателями ОХС, апоВ/апоА1 и, наоборот, у пациентов с гиперхолестеринемией и высокими уровнями апоВ/апоА1 встречалось нормальные уровни ЛПВП. Поэтому мы считаем, что необходимо дальнейшее изучение липидного профиля казахской популяции и взаимосвязи лип</w:t>
      </w:r>
      <w:r w:rsidR="002D7FFC">
        <w:rPr>
          <w:rFonts w:ascii="Times New Roman" w:hAnsi="Times New Roman" w:cs="Times New Roman"/>
          <w:sz w:val="28"/>
          <w:szCs w:val="28"/>
          <w:lang w:val="kk-KZ"/>
        </w:rPr>
        <w:t>и</w:t>
      </w:r>
      <w:r w:rsidR="005244AF">
        <w:rPr>
          <w:rFonts w:ascii="Times New Roman" w:hAnsi="Times New Roman" w:cs="Times New Roman"/>
          <w:sz w:val="28"/>
          <w:szCs w:val="28"/>
          <w:lang w:val="kk-KZ"/>
        </w:rPr>
        <w:t>дного</w:t>
      </w:r>
      <w:r>
        <w:rPr>
          <w:rFonts w:ascii="Times New Roman" w:hAnsi="Times New Roman" w:cs="Times New Roman"/>
          <w:sz w:val="28"/>
          <w:szCs w:val="28"/>
        </w:rPr>
        <w:t xml:space="preserve"> профиля с характером питания.</w:t>
      </w:r>
    </w:p>
    <w:p w:rsidR="00B324BD" w:rsidRDefault="00B324BD" w:rsidP="00AB12B3">
      <w:pPr>
        <w:spacing w:after="0" w:line="240" w:lineRule="auto"/>
        <w:jc w:val="both"/>
        <w:rPr>
          <w:rFonts w:ascii="Times New Roman" w:hAnsi="Times New Roman" w:cs="Times New Roman"/>
          <w:sz w:val="28"/>
          <w:szCs w:val="28"/>
        </w:rPr>
        <w:sectPr w:rsidR="00B324BD" w:rsidSect="005B1090">
          <w:pgSz w:w="11906" w:h="16838"/>
          <w:pgMar w:top="1134" w:right="850" w:bottom="1134" w:left="1701" w:header="708" w:footer="708" w:gutter="0"/>
          <w:cols w:space="720"/>
        </w:sectPr>
      </w:pPr>
    </w:p>
    <w:p w:rsidR="00AB12B3" w:rsidRDefault="00AB12B3" w:rsidP="00AB12B3">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lastRenderedPageBreak/>
        <w:t>Аполипопротеин В</w:t>
      </w:r>
    </w:p>
    <w:p w:rsidR="00AB12B3" w:rsidRDefault="00AB12B3" w:rsidP="00AB12B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Распределение</w:t>
      </w:r>
      <w:r w:rsidR="008C088E">
        <w:rPr>
          <w:rFonts w:ascii="Times New Roman" w:hAnsi="Times New Roman" w:cs="Times New Roman"/>
          <w:sz w:val="28"/>
          <w:szCs w:val="28"/>
          <w:lang w:val="kk-KZ"/>
        </w:rPr>
        <w:t xml:space="preserve"> </w:t>
      </w:r>
      <w:r>
        <w:rPr>
          <w:rFonts w:ascii="Times New Roman" w:hAnsi="Times New Roman" w:cs="Times New Roman"/>
          <w:sz w:val="28"/>
          <w:szCs w:val="28"/>
          <w:lang w:val="kk-KZ"/>
        </w:rPr>
        <w:t>средних</w:t>
      </w:r>
      <w:r w:rsidR="008C088E">
        <w:rPr>
          <w:rFonts w:ascii="Times New Roman" w:hAnsi="Times New Roman" w:cs="Times New Roman"/>
          <w:sz w:val="28"/>
          <w:szCs w:val="28"/>
          <w:lang w:val="kk-KZ"/>
        </w:rPr>
        <w:t xml:space="preserve"> </w:t>
      </w:r>
      <w:r>
        <w:rPr>
          <w:rFonts w:ascii="Times New Roman" w:hAnsi="Times New Roman" w:cs="Times New Roman"/>
          <w:sz w:val="28"/>
          <w:szCs w:val="28"/>
          <w:lang w:val="kk-KZ"/>
        </w:rPr>
        <w:t>величин</w:t>
      </w:r>
      <w:r w:rsidR="008C088E">
        <w:rPr>
          <w:rFonts w:ascii="Times New Roman" w:hAnsi="Times New Roman" w:cs="Times New Roman"/>
          <w:sz w:val="28"/>
          <w:szCs w:val="28"/>
          <w:lang w:val="kk-KZ"/>
        </w:rPr>
        <w:t xml:space="preserve"> </w:t>
      </w:r>
      <w:r>
        <w:rPr>
          <w:rFonts w:ascii="Times New Roman" w:hAnsi="Times New Roman" w:cs="Times New Roman"/>
          <w:sz w:val="28"/>
          <w:szCs w:val="28"/>
          <w:lang w:val="kk-KZ"/>
        </w:rPr>
        <w:t>факторов</w:t>
      </w:r>
      <w:r w:rsidR="008C088E">
        <w:rPr>
          <w:rFonts w:ascii="Times New Roman" w:hAnsi="Times New Roman" w:cs="Times New Roman"/>
          <w:sz w:val="28"/>
          <w:szCs w:val="28"/>
          <w:lang w:val="kk-KZ"/>
        </w:rPr>
        <w:t xml:space="preserve"> </w:t>
      </w:r>
      <w:r>
        <w:rPr>
          <w:rFonts w:ascii="Times New Roman" w:hAnsi="Times New Roman" w:cs="Times New Roman"/>
          <w:sz w:val="28"/>
          <w:szCs w:val="28"/>
          <w:lang w:val="kk-KZ"/>
        </w:rPr>
        <w:t>риска</w:t>
      </w:r>
      <w:r w:rsidR="008C088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представлены в таблице 24. </w:t>
      </w:r>
      <w:r>
        <w:rPr>
          <w:rFonts w:ascii="Times New Roman" w:hAnsi="Times New Roman" w:cs="Times New Roman"/>
          <w:sz w:val="28"/>
          <w:szCs w:val="28"/>
        </w:rPr>
        <w:t>В нашем исследовании распространение гипераполипо</w:t>
      </w:r>
      <w:r w:rsidR="000932A3">
        <w:rPr>
          <w:rFonts w:ascii="Times New Roman" w:hAnsi="Times New Roman" w:cs="Times New Roman"/>
          <w:sz w:val="28"/>
          <w:szCs w:val="28"/>
        </w:rPr>
        <w:t xml:space="preserve">протеинемия В чаще встречался в старшем </w:t>
      </w:r>
      <w:r>
        <w:rPr>
          <w:rFonts w:ascii="Times New Roman" w:hAnsi="Times New Roman" w:cs="Times New Roman"/>
          <w:sz w:val="28"/>
          <w:szCs w:val="28"/>
        </w:rPr>
        <w:t>возраст</w:t>
      </w:r>
      <w:r w:rsidR="000932A3">
        <w:rPr>
          <w:rFonts w:ascii="Times New Roman" w:hAnsi="Times New Roman" w:cs="Times New Roman"/>
          <w:sz w:val="28"/>
          <w:szCs w:val="28"/>
        </w:rPr>
        <w:t>е</w:t>
      </w:r>
      <w:r>
        <w:rPr>
          <w:rFonts w:ascii="Times New Roman" w:hAnsi="Times New Roman" w:cs="Times New Roman"/>
          <w:sz w:val="28"/>
          <w:szCs w:val="28"/>
        </w:rPr>
        <w:t>.</w:t>
      </w:r>
    </w:p>
    <w:p w:rsidR="00201AC5" w:rsidRDefault="00201AC5" w:rsidP="00201AC5">
      <w:pPr>
        <w:spacing w:after="0" w:line="240" w:lineRule="auto"/>
        <w:jc w:val="both"/>
        <w:rPr>
          <w:rFonts w:ascii="Times New Roman" w:hAnsi="Times New Roman" w:cs="Times New Roman"/>
          <w:sz w:val="28"/>
          <w:szCs w:val="28"/>
        </w:rPr>
      </w:pPr>
    </w:p>
    <w:p w:rsidR="00201AC5" w:rsidRDefault="00201AC5" w:rsidP="00201AC5">
      <w:pPr>
        <w:spacing w:after="0" w:line="240" w:lineRule="auto"/>
        <w:jc w:val="both"/>
        <w:rPr>
          <w:rFonts w:ascii="Times New Roman" w:hAnsi="Times New Roman"/>
          <w:sz w:val="28"/>
          <w:szCs w:val="28"/>
          <w:lang w:val="kk-KZ"/>
        </w:rPr>
      </w:pPr>
      <w:r>
        <w:rPr>
          <w:rFonts w:ascii="Times New Roman" w:hAnsi="Times New Roman" w:cs="Times New Roman"/>
          <w:sz w:val="28"/>
          <w:szCs w:val="28"/>
        </w:rPr>
        <w:t xml:space="preserve">Таблица 24 </w:t>
      </w:r>
      <w:r w:rsidR="003422CB">
        <w:rPr>
          <w:rFonts w:ascii="Times New Roman" w:hAnsi="Times New Roman" w:cs="Times New Roman"/>
          <w:sz w:val="28"/>
          <w:szCs w:val="28"/>
          <w:lang w:val="kk-KZ"/>
        </w:rPr>
        <w:t xml:space="preserve">- </w:t>
      </w:r>
      <w:r>
        <w:rPr>
          <w:rFonts w:ascii="Times New Roman" w:hAnsi="Times New Roman" w:cs="Times New Roman"/>
          <w:sz w:val="28"/>
          <w:szCs w:val="28"/>
        </w:rPr>
        <w:t xml:space="preserve">Распределение средних величин факторов рисков по группам аполипопротеина В </w:t>
      </w:r>
      <w:r w:rsidR="00DA472A">
        <w:rPr>
          <w:rFonts w:ascii="Times New Roman" w:hAnsi="Times New Roman" w:cs="Times New Roman"/>
          <w:sz w:val="28"/>
          <w:szCs w:val="28"/>
        </w:rPr>
        <w:t>(</w:t>
      </w:r>
      <w:r>
        <w:rPr>
          <w:rFonts w:ascii="Times New Roman" w:hAnsi="Times New Roman"/>
          <w:sz w:val="28"/>
          <w:szCs w:val="28"/>
        </w:rPr>
        <w:t>n=507</w:t>
      </w:r>
      <w:r w:rsidR="00DA472A">
        <w:rPr>
          <w:rFonts w:ascii="Times New Roman" w:hAnsi="Times New Roman"/>
          <w:sz w:val="28"/>
          <w:szCs w:val="28"/>
        </w:rPr>
        <w:t>)</w:t>
      </w:r>
    </w:p>
    <w:p w:rsidR="00E83EC5" w:rsidRPr="00E83EC5" w:rsidRDefault="00E83EC5" w:rsidP="00201AC5">
      <w:pPr>
        <w:spacing w:after="0" w:line="240" w:lineRule="auto"/>
        <w:jc w:val="both"/>
        <w:rPr>
          <w:rFonts w:ascii="Times New Roman" w:hAnsi="Times New Roman" w:cs="Times New Roman"/>
          <w:sz w:val="28"/>
          <w:szCs w:val="28"/>
          <w:lang w:val="kk-KZ"/>
        </w:rPr>
      </w:pPr>
    </w:p>
    <w:tbl>
      <w:tblPr>
        <w:tblStyle w:val="af7"/>
        <w:tblW w:w="9360" w:type="dxa"/>
        <w:tblInd w:w="108" w:type="dxa"/>
        <w:tblLayout w:type="fixed"/>
        <w:tblLook w:val="04A0" w:firstRow="1" w:lastRow="0" w:firstColumn="1" w:lastColumn="0" w:noHBand="0" w:noVBand="1"/>
      </w:tblPr>
      <w:tblGrid>
        <w:gridCol w:w="3121"/>
        <w:gridCol w:w="2552"/>
        <w:gridCol w:w="2553"/>
        <w:gridCol w:w="1134"/>
      </w:tblGrid>
      <w:tr w:rsidR="00201AC5" w:rsidTr="00E6013D">
        <w:trPr>
          <w:trHeight w:val="377"/>
        </w:trPr>
        <w:tc>
          <w:tcPr>
            <w:tcW w:w="3121" w:type="dxa"/>
            <w:vMerge w:val="restart"/>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Параметры</w:t>
            </w:r>
          </w:p>
        </w:tc>
        <w:tc>
          <w:tcPr>
            <w:tcW w:w="5105" w:type="dxa"/>
            <w:gridSpan w:val="2"/>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апоВ, г/л</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p*</w:t>
            </w:r>
          </w:p>
        </w:tc>
      </w:tr>
      <w:tr w:rsidR="00201AC5" w:rsidTr="00E6013D">
        <w:trPr>
          <w:trHeight w:val="379"/>
        </w:trPr>
        <w:tc>
          <w:tcPr>
            <w:tcW w:w="3121"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&lt;0,9</w:t>
            </w:r>
          </w:p>
          <w:p w:rsidR="00201AC5" w:rsidRDefault="00201AC5" w:rsidP="00E6013D">
            <w:pPr>
              <w:jc w:val="center"/>
              <w:rPr>
                <w:rFonts w:ascii="Times New Roman" w:hAnsi="Times New Roman"/>
                <w:sz w:val="28"/>
                <w:szCs w:val="28"/>
              </w:rPr>
            </w:pPr>
            <w:r>
              <w:rPr>
                <w:rFonts w:ascii="Times New Roman" w:hAnsi="Times New Roman"/>
                <w:sz w:val="28"/>
                <w:szCs w:val="28"/>
              </w:rPr>
              <w:t>Ме±IQR (Q1–Q3)</w:t>
            </w:r>
          </w:p>
        </w:tc>
        <w:tc>
          <w:tcPr>
            <w:tcW w:w="2553"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≥0,9</w:t>
            </w:r>
          </w:p>
          <w:p w:rsidR="00201AC5" w:rsidRDefault="00201AC5" w:rsidP="00E6013D">
            <w:pPr>
              <w:jc w:val="center"/>
              <w:rPr>
                <w:rFonts w:ascii="Times New Roman" w:hAnsi="Times New Roman"/>
                <w:sz w:val="28"/>
                <w:szCs w:val="28"/>
              </w:rPr>
            </w:pPr>
            <w:r>
              <w:rPr>
                <w:rFonts w:ascii="Times New Roman" w:hAnsi="Times New Roman"/>
                <w:sz w:val="28"/>
                <w:szCs w:val="28"/>
              </w:rPr>
              <w:t>Ме±IQR (Q1–Q3)</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r>
      <w:tr w:rsidR="00201AC5" w:rsidTr="00E6013D">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Возраст</w:t>
            </w:r>
            <w:r w:rsidRPr="00924108">
              <w:rPr>
                <w:rFonts w:ascii="Century" w:hAnsi="Century"/>
                <w:sz w:val="28"/>
                <w:szCs w:val="28"/>
              </w:rPr>
              <w:t xml:space="preserve">, </w:t>
            </w:r>
            <w:r>
              <w:rPr>
                <w:rFonts w:ascii="Times New Roman" w:hAnsi="Times New Roman"/>
                <w:sz w:val="28"/>
                <w:szCs w:val="28"/>
              </w:rPr>
              <w:t>лет</w:t>
            </w:r>
          </w:p>
        </w:tc>
        <w:tc>
          <w:tcPr>
            <w:tcW w:w="2552" w:type="dxa"/>
            <w:tcBorders>
              <w:top w:val="nil"/>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44</w:t>
            </w:r>
            <w:r w:rsidRPr="00924108">
              <w:rPr>
                <w:rFonts w:ascii="Century" w:hAnsi="Century"/>
                <w:sz w:val="28"/>
                <w:szCs w:val="28"/>
              </w:rPr>
              <w:t>±</w:t>
            </w:r>
            <w:r>
              <w:rPr>
                <w:rFonts w:ascii="Times New Roman" w:hAnsi="Times New Roman"/>
                <w:sz w:val="28"/>
                <w:szCs w:val="28"/>
              </w:rPr>
              <w:t>16 (37</w:t>
            </w:r>
            <w:r w:rsidRPr="00552C11">
              <w:rPr>
                <w:rFonts w:ascii="Century" w:hAnsi="Century"/>
                <w:sz w:val="28"/>
                <w:szCs w:val="28"/>
              </w:rPr>
              <w:t>-</w:t>
            </w:r>
            <w:r>
              <w:rPr>
                <w:rFonts w:ascii="Times New Roman" w:hAnsi="Times New Roman"/>
                <w:sz w:val="28"/>
                <w:szCs w:val="28"/>
              </w:rPr>
              <w:t>53</w:t>
            </w:r>
            <w:r w:rsidRPr="00924108">
              <w:rPr>
                <w:rFonts w:ascii="Century" w:hAnsi="Century"/>
                <w:sz w:val="28"/>
                <w:szCs w:val="28"/>
              </w:rPr>
              <w:t>,</w:t>
            </w:r>
            <w:r>
              <w:rPr>
                <w:rFonts w:ascii="Times New Roman" w:hAnsi="Times New Roman"/>
                <w:sz w:val="28"/>
                <w:szCs w:val="28"/>
              </w:rPr>
              <w:t>25)</w:t>
            </w:r>
          </w:p>
        </w:tc>
        <w:tc>
          <w:tcPr>
            <w:tcW w:w="2553" w:type="dxa"/>
            <w:tcBorders>
              <w:top w:val="nil"/>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48</w:t>
            </w:r>
            <w:r w:rsidRPr="00924108">
              <w:rPr>
                <w:rFonts w:ascii="Century" w:hAnsi="Century"/>
                <w:sz w:val="28"/>
                <w:szCs w:val="28"/>
              </w:rPr>
              <w:t>±</w:t>
            </w:r>
            <w:r>
              <w:rPr>
                <w:rFonts w:ascii="Times New Roman" w:hAnsi="Times New Roman"/>
                <w:sz w:val="28"/>
                <w:szCs w:val="28"/>
              </w:rPr>
              <w:t>16 (40</w:t>
            </w:r>
            <w:r w:rsidRPr="00924108">
              <w:rPr>
                <w:rFonts w:ascii="Century" w:hAnsi="Century"/>
                <w:sz w:val="28"/>
                <w:szCs w:val="28"/>
              </w:rPr>
              <w:t>-</w:t>
            </w:r>
            <w:r>
              <w:rPr>
                <w:rFonts w:ascii="Times New Roman" w:hAnsi="Times New Roman"/>
                <w:sz w:val="28"/>
                <w:szCs w:val="28"/>
              </w:rPr>
              <w:t>56)</w:t>
            </w:r>
          </w:p>
        </w:tc>
        <w:tc>
          <w:tcPr>
            <w:tcW w:w="113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w:t>
            </w:r>
            <w:r w:rsidRPr="00924108">
              <w:rPr>
                <w:rFonts w:ascii="Century" w:hAnsi="Century"/>
                <w:sz w:val="28"/>
                <w:szCs w:val="28"/>
              </w:rPr>
              <w:t>,</w:t>
            </w:r>
            <w:r>
              <w:rPr>
                <w:rFonts w:ascii="Times New Roman" w:hAnsi="Times New Roman"/>
                <w:sz w:val="28"/>
                <w:szCs w:val="28"/>
              </w:rPr>
              <w:t>001</w:t>
            </w:r>
          </w:p>
        </w:tc>
      </w:tr>
      <w:tr w:rsidR="005D64C6" w:rsidTr="003F0171">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Окружность талии (см)</w:t>
            </w:r>
          </w:p>
        </w:tc>
        <w:tc>
          <w:tcPr>
            <w:tcW w:w="2552" w:type="dxa"/>
            <w:tcBorders>
              <w:top w:val="nil"/>
              <w:left w:val="single" w:sz="4" w:space="0" w:color="auto"/>
              <w:bottom w:val="single" w:sz="4" w:space="0" w:color="auto"/>
              <w:right w:val="single" w:sz="4" w:space="0" w:color="auto"/>
            </w:tcBorders>
            <w:hideMark/>
          </w:tcPr>
          <w:p w:rsidR="005D64C6" w:rsidRDefault="005D64C6" w:rsidP="003F0171">
            <w:pPr>
              <w:jc w:val="center"/>
            </w:pPr>
            <w:r>
              <w:rPr>
                <w:rFonts w:ascii="Times New Roman" w:hAnsi="Times New Roman"/>
                <w:sz w:val="28"/>
                <w:szCs w:val="28"/>
              </w:rPr>
              <w:t>96</w:t>
            </w:r>
            <w:r w:rsidRPr="00552C11">
              <w:rPr>
                <w:rFonts w:ascii="Century" w:hAnsi="Century"/>
                <w:sz w:val="28"/>
                <w:szCs w:val="28"/>
              </w:rPr>
              <w:t>±</w:t>
            </w:r>
            <w:r>
              <w:rPr>
                <w:rFonts w:ascii="Times New Roman" w:hAnsi="Times New Roman"/>
                <w:sz w:val="28"/>
                <w:szCs w:val="28"/>
              </w:rPr>
              <w:t>18 (90</w:t>
            </w:r>
            <w:r w:rsidRPr="00552C11">
              <w:rPr>
                <w:rFonts w:ascii="Century" w:hAnsi="Century"/>
                <w:sz w:val="28"/>
                <w:szCs w:val="28"/>
              </w:rPr>
              <w:t>-</w:t>
            </w:r>
            <w:r>
              <w:rPr>
                <w:rFonts w:ascii="Times New Roman" w:hAnsi="Times New Roman"/>
                <w:sz w:val="28"/>
                <w:szCs w:val="28"/>
              </w:rPr>
              <w:t>108)</w:t>
            </w:r>
          </w:p>
        </w:tc>
        <w:tc>
          <w:tcPr>
            <w:tcW w:w="2553" w:type="dxa"/>
            <w:tcBorders>
              <w:top w:val="nil"/>
              <w:left w:val="single" w:sz="4" w:space="0" w:color="auto"/>
              <w:bottom w:val="single" w:sz="4" w:space="0" w:color="auto"/>
              <w:right w:val="single" w:sz="4" w:space="0" w:color="auto"/>
            </w:tcBorders>
            <w:hideMark/>
          </w:tcPr>
          <w:p w:rsidR="005D64C6" w:rsidRDefault="005D64C6" w:rsidP="003F0171">
            <w:pPr>
              <w:jc w:val="center"/>
            </w:pPr>
            <w:r>
              <w:rPr>
                <w:rFonts w:ascii="Times New Roman" w:hAnsi="Times New Roman"/>
                <w:sz w:val="28"/>
                <w:szCs w:val="28"/>
              </w:rPr>
              <w:t>96</w:t>
            </w:r>
            <w:r w:rsidRPr="00924108">
              <w:rPr>
                <w:rFonts w:ascii="Century" w:hAnsi="Century"/>
                <w:sz w:val="28"/>
                <w:szCs w:val="28"/>
              </w:rPr>
              <w:t>±</w:t>
            </w:r>
            <w:r>
              <w:rPr>
                <w:rFonts w:ascii="Times New Roman" w:hAnsi="Times New Roman"/>
                <w:sz w:val="28"/>
                <w:szCs w:val="28"/>
              </w:rPr>
              <w:t>15 (90</w:t>
            </w:r>
            <w:r w:rsidRPr="00924108">
              <w:rPr>
                <w:rFonts w:ascii="Century" w:hAnsi="Century"/>
                <w:sz w:val="28"/>
                <w:szCs w:val="28"/>
              </w:rPr>
              <w:t>-</w:t>
            </w:r>
            <w:r>
              <w:rPr>
                <w:rFonts w:ascii="Times New Roman" w:hAnsi="Times New Roman"/>
                <w:sz w:val="28"/>
                <w:szCs w:val="28"/>
              </w:rPr>
              <w:t>105)</w:t>
            </w:r>
          </w:p>
        </w:tc>
        <w:tc>
          <w:tcPr>
            <w:tcW w:w="1134"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0</w:t>
            </w:r>
            <w:r w:rsidRPr="00924108">
              <w:rPr>
                <w:rFonts w:ascii="Century" w:hAnsi="Century"/>
                <w:sz w:val="28"/>
                <w:szCs w:val="28"/>
              </w:rPr>
              <w:t>,</w:t>
            </w:r>
            <w:r>
              <w:rPr>
                <w:rFonts w:ascii="Times New Roman" w:hAnsi="Times New Roman"/>
                <w:sz w:val="28"/>
                <w:szCs w:val="28"/>
              </w:rPr>
              <w:t>98</w:t>
            </w:r>
          </w:p>
        </w:tc>
      </w:tr>
      <w:tr w:rsidR="00201AC5" w:rsidTr="00E6013D">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ИМТ (кг</w:t>
            </w:r>
            <w:r w:rsidRPr="00924108">
              <w:rPr>
                <w:rFonts w:ascii="Century" w:hAnsi="Century"/>
                <w:sz w:val="28"/>
                <w:szCs w:val="28"/>
              </w:rPr>
              <w:t>/</w:t>
            </w:r>
            <w:r>
              <w:rPr>
                <w:rFonts w:ascii="Times New Roman" w:hAnsi="Times New Roman"/>
                <w:sz w:val="28"/>
                <w:szCs w:val="28"/>
              </w:rPr>
              <w:t>м</w:t>
            </w:r>
            <w:r>
              <w:rPr>
                <w:rFonts w:ascii="Times New Roman" w:hAnsi="Times New Roman"/>
                <w:sz w:val="28"/>
                <w:szCs w:val="28"/>
                <w:vertAlign w:val="superscript"/>
              </w:rPr>
              <w:t>2</w:t>
            </w:r>
            <w:r>
              <w:rPr>
                <w:rFonts w:ascii="Times New Roman" w:hAnsi="Times New Roman"/>
                <w:sz w:val="28"/>
                <w:szCs w:val="28"/>
              </w:rPr>
              <w:t>)</w:t>
            </w:r>
          </w:p>
        </w:tc>
        <w:tc>
          <w:tcPr>
            <w:tcW w:w="2552" w:type="dxa"/>
            <w:tcBorders>
              <w:top w:val="nil"/>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25</w:t>
            </w:r>
            <w:r w:rsidRPr="00924108">
              <w:rPr>
                <w:rFonts w:ascii="Century" w:hAnsi="Century"/>
                <w:sz w:val="28"/>
                <w:szCs w:val="28"/>
              </w:rPr>
              <w:t>,</w:t>
            </w:r>
            <w:r>
              <w:rPr>
                <w:rFonts w:ascii="Times New Roman" w:hAnsi="Times New Roman"/>
                <w:sz w:val="28"/>
                <w:szCs w:val="28"/>
              </w:rPr>
              <w:t>95</w:t>
            </w:r>
            <w:r w:rsidRPr="00924108">
              <w:rPr>
                <w:rFonts w:ascii="Century" w:hAnsi="Century"/>
                <w:sz w:val="28"/>
                <w:szCs w:val="28"/>
              </w:rPr>
              <w:t>±</w:t>
            </w:r>
            <w:r>
              <w:rPr>
                <w:rFonts w:ascii="Times New Roman" w:hAnsi="Times New Roman"/>
                <w:sz w:val="28"/>
                <w:szCs w:val="28"/>
              </w:rPr>
              <w:t>5</w:t>
            </w:r>
            <w:r w:rsidRPr="00924108">
              <w:rPr>
                <w:rFonts w:ascii="Century" w:hAnsi="Century"/>
                <w:sz w:val="28"/>
                <w:szCs w:val="28"/>
              </w:rPr>
              <w:t>,</w:t>
            </w:r>
            <w:r>
              <w:rPr>
                <w:rFonts w:ascii="Times New Roman" w:hAnsi="Times New Roman"/>
                <w:sz w:val="28"/>
                <w:szCs w:val="28"/>
              </w:rPr>
              <w:t xml:space="preserve">7 </w:t>
            </w:r>
          </w:p>
          <w:p w:rsidR="00201AC5" w:rsidRDefault="00201AC5" w:rsidP="00E6013D">
            <w:pPr>
              <w:jc w:val="center"/>
            </w:pPr>
            <w:r>
              <w:rPr>
                <w:rFonts w:ascii="Times New Roman" w:hAnsi="Times New Roman"/>
                <w:sz w:val="28"/>
                <w:szCs w:val="28"/>
              </w:rPr>
              <w:t>(22</w:t>
            </w:r>
            <w:r w:rsidRPr="00924108">
              <w:rPr>
                <w:rFonts w:ascii="Century" w:hAnsi="Century"/>
                <w:sz w:val="28"/>
                <w:szCs w:val="28"/>
              </w:rPr>
              <w:t>,</w:t>
            </w:r>
            <w:r>
              <w:rPr>
                <w:rFonts w:ascii="Times New Roman" w:hAnsi="Times New Roman"/>
                <w:sz w:val="28"/>
                <w:szCs w:val="28"/>
              </w:rPr>
              <w:t>73-28</w:t>
            </w:r>
            <w:r w:rsidRPr="00924108">
              <w:rPr>
                <w:rFonts w:ascii="Century" w:hAnsi="Century"/>
                <w:sz w:val="28"/>
                <w:szCs w:val="28"/>
              </w:rPr>
              <w:t>,</w:t>
            </w:r>
            <w:r>
              <w:rPr>
                <w:rFonts w:ascii="Times New Roman" w:hAnsi="Times New Roman"/>
                <w:sz w:val="28"/>
                <w:szCs w:val="28"/>
              </w:rPr>
              <w:t>43)</w:t>
            </w:r>
          </w:p>
        </w:tc>
        <w:tc>
          <w:tcPr>
            <w:tcW w:w="2553" w:type="dxa"/>
            <w:tcBorders>
              <w:top w:val="nil"/>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26</w:t>
            </w:r>
            <w:r w:rsidRPr="00924108">
              <w:rPr>
                <w:rFonts w:ascii="Century" w:hAnsi="Century"/>
                <w:sz w:val="28"/>
                <w:szCs w:val="28"/>
              </w:rPr>
              <w:t>,</w:t>
            </w:r>
            <w:r>
              <w:rPr>
                <w:rFonts w:ascii="Times New Roman" w:hAnsi="Times New Roman"/>
                <w:sz w:val="28"/>
                <w:szCs w:val="28"/>
              </w:rPr>
              <w:t>31</w:t>
            </w:r>
            <w:r w:rsidRPr="00924108">
              <w:rPr>
                <w:rFonts w:ascii="Century" w:hAnsi="Century"/>
                <w:sz w:val="28"/>
                <w:szCs w:val="28"/>
              </w:rPr>
              <w:t>±</w:t>
            </w:r>
            <w:r>
              <w:rPr>
                <w:rFonts w:ascii="Times New Roman" w:hAnsi="Times New Roman"/>
                <w:sz w:val="28"/>
                <w:szCs w:val="28"/>
              </w:rPr>
              <w:t>5</w:t>
            </w:r>
            <w:r w:rsidRPr="00924108">
              <w:rPr>
                <w:rFonts w:ascii="Century" w:hAnsi="Century"/>
                <w:sz w:val="28"/>
                <w:szCs w:val="28"/>
              </w:rPr>
              <w:t>,</w:t>
            </w:r>
            <w:r>
              <w:rPr>
                <w:rFonts w:ascii="Times New Roman" w:hAnsi="Times New Roman"/>
                <w:sz w:val="28"/>
                <w:szCs w:val="28"/>
              </w:rPr>
              <w:t xml:space="preserve">75 </w:t>
            </w:r>
          </w:p>
          <w:p w:rsidR="00201AC5" w:rsidRDefault="00201AC5" w:rsidP="00E6013D">
            <w:pPr>
              <w:jc w:val="center"/>
            </w:pPr>
            <w:r>
              <w:rPr>
                <w:rFonts w:ascii="Times New Roman" w:hAnsi="Times New Roman"/>
                <w:sz w:val="28"/>
                <w:szCs w:val="28"/>
              </w:rPr>
              <w:t>(23</w:t>
            </w:r>
            <w:r w:rsidRPr="00924108">
              <w:rPr>
                <w:rFonts w:ascii="Century" w:hAnsi="Century"/>
                <w:sz w:val="28"/>
                <w:szCs w:val="28"/>
              </w:rPr>
              <w:t>,</w:t>
            </w:r>
            <w:r>
              <w:rPr>
                <w:rFonts w:ascii="Times New Roman" w:hAnsi="Times New Roman"/>
                <w:sz w:val="28"/>
                <w:szCs w:val="28"/>
              </w:rPr>
              <w:t>61</w:t>
            </w:r>
            <w:r w:rsidRPr="00924108">
              <w:rPr>
                <w:rFonts w:ascii="Century" w:hAnsi="Century"/>
                <w:sz w:val="28"/>
                <w:szCs w:val="28"/>
              </w:rPr>
              <w:t>-</w:t>
            </w:r>
            <w:r>
              <w:rPr>
                <w:rFonts w:ascii="Times New Roman" w:hAnsi="Times New Roman"/>
                <w:sz w:val="28"/>
                <w:szCs w:val="28"/>
              </w:rPr>
              <w:t>29</w:t>
            </w:r>
            <w:r w:rsidRPr="00924108">
              <w:rPr>
                <w:rFonts w:ascii="Century" w:hAnsi="Century"/>
                <w:sz w:val="28"/>
                <w:szCs w:val="28"/>
              </w:rPr>
              <w:t>,</w:t>
            </w:r>
            <w:r>
              <w:rPr>
                <w:rFonts w:ascii="Times New Roman" w:hAnsi="Times New Roman"/>
                <w:sz w:val="28"/>
                <w:szCs w:val="28"/>
              </w:rPr>
              <w:t>35)</w:t>
            </w:r>
          </w:p>
        </w:tc>
        <w:tc>
          <w:tcPr>
            <w:tcW w:w="113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w:t>
            </w:r>
            <w:r w:rsidRPr="00924108">
              <w:rPr>
                <w:rFonts w:ascii="Century" w:hAnsi="Century"/>
                <w:sz w:val="28"/>
                <w:szCs w:val="28"/>
              </w:rPr>
              <w:t>,</w:t>
            </w:r>
            <w:r>
              <w:rPr>
                <w:rFonts w:ascii="Times New Roman" w:hAnsi="Times New Roman"/>
                <w:sz w:val="28"/>
                <w:szCs w:val="28"/>
              </w:rPr>
              <w:t>1</w:t>
            </w:r>
          </w:p>
        </w:tc>
      </w:tr>
      <w:tr w:rsidR="00201AC5" w:rsidTr="00E6013D">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САД (мм рт.ст.)</w:t>
            </w:r>
          </w:p>
        </w:tc>
        <w:tc>
          <w:tcPr>
            <w:tcW w:w="2552"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120±20 (110-130)</w:t>
            </w:r>
          </w:p>
        </w:tc>
        <w:tc>
          <w:tcPr>
            <w:tcW w:w="2553"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120±20 (110-130)</w:t>
            </w:r>
          </w:p>
        </w:tc>
        <w:tc>
          <w:tcPr>
            <w:tcW w:w="113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0,04</w:t>
            </w:r>
          </w:p>
        </w:tc>
      </w:tr>
      <w:tr w:rsidR="00201AC5" w:rsidTr="00E6013D">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ДАД (мм рт.ст.)</w:t>
            </w:r>
          </w:p>
        </w:tc>
        <w:tc>
          <w:tcPr>
            <w:tcW w:w="2552"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80±20 (70-90)</w:t>
            </w:r>
          </w:p>
        </w:tc>
        <w:tc>
          <w:tcPr>
            <w:tcW w:w="2553"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80±20 (70-90)</w:t>
            </w:r>
          </w:p>
        </w:tc>
        <w:tc>
          <w:tcPr>
            <w:tcW w:w="113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0,24</w:t>
            </w:r>
          </w:p>
        </w:tc>
      </w:tr>
      <w:tr w:rsidR="00201AC5" w:rsidTr="00E6013D">
        <w:trPr>
          <w:trHeight w:val="442"/>
        </w:trPr>
        <w:tc>
          <w:tcPr>
            <w:tcW w:w="9360" w:type="dxa"/>
            <w:gridSpan w:val="4"/>
            <w:tcBorders>
              <w:top w:val="single" w:sz="4" w:space="0" w:color="auto"/>
              <w:left w:val="single" w:sz="4" w:space="0" w:color="auto"/>
              <w:bottom w:val="single" w:sz="4" w:space="0" w:color="auto"/>
              <w:right w:val="single" w:sz="4" w:space="0" w:color="auto"/>
            </w:tcBorders>
            <w:hideMark/>
          </w:tcPr>
          <w:p w:rsidR="00C708E3" w:rsidRDefault="00C708E3" w:rsidP="00C708E3">
            <w:pPr>
              <w:jc w:val="both"/>
              <w:rPr>
                <w:rFonts w:ascii="Times New Roman" w:hAnsi="Times New Roman"/>
                <w:szCs w:val="24"/>
              </w:rPr>
            </w:pPr>
            <w:r>
              <w:rPr>
                <w:rFonts w:ascii="Times New Roman" w:hAnsi="Times New Roman"/>
                <w:szCs w:val="24"/>
              </w:rPr>
              <w:t xml:space="preserve">Примечание ИМТ – индекс массы тела; САД – систолическое артериальное давление; ДАД – диастолическое артериальное давление; *Критерий Манна-Уитни; </w:t>
            </w:r>
          </w:p>
          <w:p w:rsidR="00201AC5" w:rsidRDefault="00C708E3" w:rsidP="000D7436">
            <w:pPr>
              <w:jc w:val="both"/>
              <w:rPr>
                <w:rFonts w:ascii="Times New Roman" w:hAnsi="Times New Roman"/>
                <w:szCs w:val="20"/>
              </w:rPr>
            </w:pPr>
            <w:r>
              <w:rPr>
                <w:rFonts w:ascii="Times New Roman" w:hAnsi="Times New Roman"/>
                <w:szCs w:val="24"/>
              </w:rPr>
              <w:t>Ме±IQR (Q1 – Q3) – Медиана ± межквартильный диапазон (1 квартиль – 3 квартиль);</w:t>
            </w:r>
          </w:p>
        </w:tc>
      </w:tr>
    </w:tbl>
    <w:p w:rsidR="00B324BD" w:rsidRDefault="00B324BD" w:rsidP="00201AC5">
      <w:pPr>
        <w:spacing w:after="0" w:line="240" w:lineRule="auto"/>
        <w:jc w:val="both"/>
        <w:rPr>
          <w:rFonts w:ascii="Times New Roman" w:hAnsi="Times New Roman" w:cs="Times New Roman"/>
          <w:sz w:val="28"/>
          <w:szCs w:val="28"/>
          <w:lang w:val="kk-KZ"/>
        </w:rPr>
      </w:pPr>
    </w:p>
    <w:p w:rsidR="00201AC5" w:rsidRDefault="00201AC5" w:rsidP="00201AC5">
      <w:pPr>
        <w:spacing w:after="0" w:line="240" w:lineRule="auto"/>
        <w:jc w:val="both"/>
        <w:rPr>
          <w:rFonts w:ascii="Times New Roman" w:hAnsi="Times New Roman"/>
          <w:sz w:val="28"/>
          <w:szCs w:val="28"/>
          <w:lang w:val="kk-KZ"/>
        </w:rPr>
      </w:pPr>
      <w:r>
        <w:rPr>
          <w:rFonts w:ascii="Times New Roman" w:hAnsi="Times New Roman" w:cs="Times New Roman"/>
          <w:sz w:val="28"/>
          <w:szCs w:val="28"/>
        </w:rPr>
        <w:t xml:space="preserve">Таблица 25 </w:t>
      </w:r>
      <w:r w:rsidR="003422CB">
        <w:rPr>
          <w:rFonts w:ascii="Times New Roman" w:hAnsi="Times New Roman" w:cs="Times New Roman"/>
          <w:sz w:val="28"/>
          <w:szCs w:val="28"/>
          <w:lang w:val="kk-KZ"/>
        </w:rPr>
        <w:t xml:space="preserve">- </w:t>
      </w:r>
      <w:r>
        <w:rPr>
          <w:rFonts w:ascii="Times New Roman" w:hAnsi="Times New Roman" w:cs="Times New Roman"/>
          <w:sz w:val="28"/>
          <w:szCs w:val="28"/>
        </w:rPr>
        <w:t xml:space="preserve">Распределение факторов рисков по группам аполипопротеина В </w:t>
      </w:r>
      <w:r w:rsidR="00DA472A">
        <w:rPr>
          <w:rFonts w:ascii="Times New Roman" w:hAnsi="Times New Roman" w:cs="Times New Roman"/>
          <w:sz w:val="28"/>
          <w:szCs w:val="28"/>
        </w:rPr>
        <w:t>(</w:t>
      </w:r>
      <w:r>
        <w:rPr>
          <w:rFonts w:ascii="Times New Roman" w:hAnsi="Times New Roman"/>
          <w:sz w:val="28"/>
          <w:szCs w:val="28"/>
        </w:rPr>
        <w:t>n=507</w:t>
      </w:r>
      <w:r w:rsidR="00DA472A">
        <w:rPr>
          <w:rFonts w:ascii="Times New Roman" w:hAnsi="Times New Roman"/>
          <w:sz w:val="28"/>
          <w:szCs w:val="28"/>
        </w:rPr>
        <w:t>)</w:t>
      </w:r>
    </w:p>
    <w:p w:rsidR="00E83EC5" w:rsidRPr="00E83EC5" w:rsidRDefault="00E83EC5" w:rsidP="00201AC5">
      <w:pPr>
        <w:spacing w:after="0" w:line="240" w:lineRule="auto"/>
        <w:jc w:val="both"/>
        <w:rPr>
          <w:rFonts w:ascii="Times New Roman" w:hAnsi="Times New Roman" w:cs="Times New Roman"/>
          <w:sz w:val="28"/>
          <w:szCs w:val="28"/>
          <w:lang w:val="kk-KZ"/>
        </w:rPr>
      </w:pPr>
    </w:p>
    <w:tbl>
      <w:tblPr>
        <w:tblStyle w:val="af7"/>
        <w:tblW w:w="9360" w:type="dxa"/>
        <w:tblInd w:w="108" w:type="dxa"/>
        <w:tblLayout w:type="fixed"/>
        <w:tblLook w:val="04A0" w:firstRow="1" w:lastRow="0" w:firstColumn="1" w:lastColumn="0" w:noHBand="0" w:noVBand="1"/>
      </w:tblPr>
      <w:tblGrid>
        <w:gridCol w:w="1561"/>
        <w:gridCol w:w="1560"/>
        <w:gridCol w:w="1134"/>
        <w:gridCol w:w="1134"/>
        <w:gridCol w:w="2694"/>
        <w:gridCol w:w="1277"/>
      </w:tblGrid>
      <w:tr w:rsidR="00201AC5" w:rsidTr="00E6013D">
        <w:trPr>
          <w:trHeight w:val="377"/>
        </w:trPr>
        <w:tc>
          <w:tcPr>
            <w:tcW w:w="312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Параметры</w:t>
            </w:r>
          </w:p>
        </w:tc>
        <w:tc>
          <w:tcPr>
            <w:tcW w:w="2268" w:type="dxa"/>
            <w:gridSpan w:val="2"/>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апоВ, г/л</w:t>
            </w:r>
          </w:p>
        </w:tc>
        <w:tc>
          <w:tcPr>
            <w:tcW w:w="2694" w:type="dxa"/>
            <w:vMerge w:val="restart"/>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ОШ (95% ДИ)</w:t>
            </w:r>
          </w:p>
        </w:tc>
        <w:tc>
          <w:tcPr>
            <w:tcW w:w="1277" w:type="dxa"/>
            <w:vMerge w:val="restart"/>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p*</w:t>
            </w:r>
          </w:p>
        </w:tc>
      </w:tr>
      <w:tr w:rsidR="00201AC5" w:rsidTr="00E6013D">
        <w:trPr>
          <w:trHeight w:val="379"/>
        </w:trPr>
        <w:tc>
          <w:tcPr>
            <w:tcW w:w="3121" w:type="dxa"/>
            <w:gridSpan w:val="2"/>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≤0,9 n</w:t>
            </w:r>
          </w:p>
        </w:tc>
        <w:tc>
          <w:tcPr>
            <w:tcW w:w="1134"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&gt;0,9 n</w:t>
            </w:r>
          </w:p>
        </w:tc>
        <w:tc>
          <w:tcPr>
            <w:tcW w:w="2694"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c>
          <w:tcPr>
            <w:tcW w:w="1277"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r>
      <w:tr w:rsidR="00201AC5" w:rsidTr="00E6013D">
        <w:trPr>
          <w:trHeight w:val="317"/>
        </w:trPr>
        <w:tc>
          <w:tcPr>
            <w:tcW w:w="1561" w:type="dxa"/>
            <w:vMerge w:val="restart"/>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Пол</w:t>
            </w:r>
          </w:p>
        </w:tc>
        <w:tc>
          <w:tcPr>
            <w:tcW w:w="1560"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Жен</w:t>
            </w:r>
          </w:p>
        </w:tc>
        <w:tc>
          <w:tcPr>
            <w:tcW w:w="113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110</w:t>
            </w:r>
          </w:p>
        </w:tc>
        <w:tc>
          <w:tcPr>
            <w:tcW w:w="113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152</w:t>
            </w:r>
          </w:p>
        </w:tc>
        <w:tc>
          <w:tcPr>
            <w:tcW w:w="269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1,0</w:t>
            </w:r>
          </w:p>
        </w:tc>
        <w:tc>
          <w:tcPr>
            <w:tcW w:w="1277" w:type="dxa"/>
            <w:vMerge w:val="restart"/>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0,72</w:t>
            </w:r>
          </w:p>
        </w:tc>
      </w:tr>
      <w:tr w:rsidR="00201AC5" w:rsidTr="00E6013D">
        <w:trPr>
          <w:trHeight w:val="323"/>
        </w:trPr>
        <w:tc>
          <w:tcPr>
            <w:tcW w:w="1561"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Муж</w:t>
            </w:r>
          </w:p>
        </w:tc>
        <w:tc>
          <w:tcPr>
            <w:tcW w:w="113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99</w:t>
            </w:r>
          </w:p>
        </w:tc>
        <w:tc>
          <w:tcPr>
            <w:tcW w:w="113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146</w:t>
            </w:r>
          </w:p>
        </w:tc>
        <w:tc>
          <w:tcPr>
            <w:tcW w:w="269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1,07 (0,75-1,52)</w:t>
            </w:r>
          </w:p>
        </w:tc>
        <w:tc>
          <w:tcPr>
            <w:tcW w:w="1277"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r>
      <w:tr w:rsidR="00201AC5" w:rsidTr="00E6013D">
        <w:trPr>
          <w:trHeight w:val="323"/>
        </w:trPr>
        <w:tc>
          <w:tcPr>
            <w:tcW w:w="1561" w:type="dxa"/>
            <w:vMerge w:val="restart"/>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Возраст, лет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18 – 35</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43</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43</w:t>
            </w:r>
          </w:p>
        </w:tc>
        <w:tc>
          <w:tcPr>
            <w:tcW w:w="269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1,0</w:t>
            </w:r>
          </w:p>
        </w:tc>
        <w:tc>
          <w:tcPr>
            <w:tcW w:w="1277" w:type="dxa"/>
            <w:vMerge w:val="restart"/>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0,04</w:t>
            </w:r>
          </w:p>
        </w:tc>
      </w:tr>
      <w:tr w:rsidR="00201AC5" w:rsidTr="00E6013D">
        <w:trPr>
          <w:trHeight w:val="323"/>
        </w:trPr>
        <w:tc>
          <w:tcPr>
            <w:tcW w:w="1561"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36 – 45</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73</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74</w:t>
            </w:r>
          </w:p>
        </w:tc>
        <w:tc>
          <w:tcPr>
            <w:tcW w:w="269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1,01 (0,59-1,73)</w:t>
            </w:r>
          </w:p>
        </w:tc>
        <w:tc>
          <w:tcPr>
            <w:tcW w:w="1277"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r>
      <w:tr w:rsidR="00201AC5" w:rsidTr="00E6013D">
        <w:trPr>
          <w:trHeight w:val="323"/>
        </w:trPr>
        <w:tc>
          <w:tcPr>
            <w:tcW w:w="1561"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46 – 55</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48</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96</w:t>
            </w:r>
          </w:p>
        </w:tc>
        <w:tc>
          <w:tcPr>
            <w:tcW w:w="269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2,0 (1,16-3,45)</w:t>
            </w:r>
          </w:p>
        </w:tc>
        <w:tc>
          <w:tcPr>
            <w:tcW w:w="1277"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r>
      <w:tr w:rsidR="00201AC5" w:rsidTr="00E6013D">
        <w:trPr>
          <w:trHeight w:val="323"/>
        </w:trPr>
        <w:tc>
          <w:tcPr>
            <w:tcW w:w="1561"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56 – 65</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45</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85</w:t>
            </w:r>
          </w:p>
        </w:tc>
        <w:tc>
          <w:tcPr>
            <w:tcW w:w="269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1,89 (1,08-3,29)</w:t>
            </w:r>
          </w:p>
        </w:tc>
        <w:tc>
          <w:tcPr>
            <w:tcW w:w="1277"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r>
      <w:tr w:rsidR="005D64C6" w:rsidTr="003F0171">
        <w:trPr>
          <w:trHeight w:val="323"/>
        </w:trPr>
        <w:tc>
          <w:tcPr>
            <w:tcW w:w="1561" w:type="dxa"/>
            <w:vMerge w:val="restart"/>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Окружность талии (см)</w:t>
            </w:r>
          </w:p>
        </w:tc>
        <w:tc>
          <w:tcPr>
            <w:tcW w:w="1560"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муж &lt;102</w:t>
            </w:r>
          </w:p>
          <w:p w:rsidR="005D64C6" w:rsidRDefault="005D64C6" w:rsidP="003F0171">
            <w:pPr>
              <w:jc w:val="center"/>
              <w:rPr>
                <w:rFonts w:ascii="Times New Roman" w:hAnsi="Times New Roman"/>
                <w:sz w:val="28"/>
                <w:szCs w:val="28"/>
              </w:rPr>
            </w:pPr>
            <w:r>
              <w:rPr>
                <w:rFonts w:ascii="Times New Roman" w:hAnsi="Times New Roman"/>
                <w:sz w:val="28"/>
                <w:szCs w:val="28"/>
              </w:rPr>
              <w:t xml:space="preserve">жен &lt;88 </w:t>
            </w:r>
          </w:p>
        </w:tc>
        <w:tc>
          <w:tcPr>
            <w:tcW w:w="1134"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79</w:t>
            </w:r>
          </w:p>
        </w:tc>
        <w:tc>
          <w:tcPr>
            <w:tcW w:w="1134"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130</w:t>
            </w:r>
          </w:p>
        </w:tc>
        <w:tc>
          <w:tcPr>
            <w:tcW w:w="2694"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1,0</w:t>
            </w:r>
          </w:p>
        </w:tc>
        <w:tc>
          <w:tcPr>
            <w:tcW w:w="1277" w:type="dxa"/>
            <w:vMerge w:val="restart"/>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0,96</w:t>
            </w:r>
          </w:p>
        </w:tc>
      </w:tr>
      <w:tr w:rsidR="005D64C6" w:rsidTr="003F0171">
        <w:trPr>
          <w:trHeight w:val="323"/>
        </w:trPr>
        <w:tc>
          <w:tcPr>
            <w:tcW w:w="1561" w:type="dxa"/>
            <w:vMerge/>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муж ≥102</w:t>
            </w:r>
          </w:p>
          <w:p w:rsidR="005D64C6" w:rsidRDefault="005D64C6" w:rsidP="003F0171">
            <w:pPr>
              <w:jc w:val="center"/>
              <w:rPr>
                <w:rFonts w:ascii="Times New Roman" w:hAnsi="Times New Roman"/>
                <w:sz w:val="28"/>
                <w:szCs w:val="28"/>
              </w:rPr>
            </w:pPr>
            <w:r>
              <w:rPr>
                <w:rFonts w:ascii="Times New Roman" w:hAnsi="Times New Roman"/>
                <w:sz w:val="28"/>
                <w:szCs w:val="28"/>
              </w:rPr>
              <w:t xml:space="preserve">жен ≥88 </w:t>
            </w:r>
          </w:p>
        </w:tc>
        <w:tc>
          <w:tcPr>
            <w:tcW w:w="1134"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112</w:t>
            </w:r>
          </w:p>
        </w:tc>
        <w:tc>
          <w:tcPr>
            <w:tcW w:w="1134"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186</w:t>
            </w:r>
          </w:p>
        </w:tc>
        <w:tc>
          <w:tcPr>
            <w:tcW w:w="2694"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1,01 (0,7-1,45)</w:t>
            </w:r>
          </w:p>
        </w:tc>
        <w:tc>
          <w:tcPr>
            <w:tcW w:w="1277" w:type="dxa"/>
            <w:vMerge/>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rPr>
                <w:rFonts w:ascii="Times New Roman" w:hAnsi="Times New Roman"/>
                <w:sz w:val="28"/>
                <w:szCs w:val="28"/>
              </w:rPr>
            </w:pPr>
          </w:p>
        </w:tc>
      </w:tr>
      <w:tr w:rsidR="00201AC5" w:rsidTr="00E6013D">
        <w:trPr>
          <w:trHeight w:val="323"/>
        </w:trPr>
        <w:tc>
          <w:tcPr>
            <w:tcW w:w="1561" w:type="dxa"/>
            <w:vMerge w:val="restart"/>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ИМТ (кг/м</w:t>
            </w:r>
            <w:r>
              <w:rPr>
                <w:rFonts w:ascii="Times New Roman" w:hAnsi="Times New Roman"/>
                <w:sz w:val="28"/>
                <w:szCs w:val="28"/>
                <w:vertAlign w:val="superscript"/>
              </w:rPr>
              <w:t>2</w:t>
            </w:r>
            <w:r>
              <w:rPr>
                <w:rFonts w:ascii="Times New Roman" w:hAnsi="Times New Roman"/>
                <w:sz w:val="28"/>
                <w:szCs w:val="28"/>
              </w:rPr>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НВ</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85</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116</w:t>
            </w:r>
          </w:p>
        </w:tc>
        <w:tc>
          <w:tcPr>
            <w:tcW w:w="269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1,0</w:t>
            </w:r>
          </w:p>
        </w:tc>
        <w:tc>
          <w:tcPr>
            <w:tcW w:w="1277" w:type="dxa"/>
            <w:vMerge w:val="restart"/>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0,88</w:t>
            </w:r>
          </w:p>
        </w:tc>
      </w:tr>
      <w:tr w:rsidR="00201AC5" w:rsidTr="00E6013D">
        <w:trPr>
          <w:trHeight w:val="323"/>
        </w:trPr>
        <w:tc>
          <w:tcPr>
            <w:tcW w:w="1561"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c>
          <w:tcPr>
            <w:tcW w:w="1560" w:type="dxa"/>
            <w:tcBorders>
              <w:top w:val="nil"/>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ИВ</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88</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126</w:t>
            </w:r>
          </w:p>
        </w:tc>
        <w:tc>
          <w:tcPr>
            <w:tcW w:w="269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1,05 (0,71-1,55)</w:t>
            </w:r>
          </w:p>
        </w:tc>
        <w:tc>
          <w:tcPr>
            <w:tcW w:w="1277"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r>
      <w:tr w:rsidR="00201AC5" w:rsidTr="00E6013D">
        <w:trPr>
          <w:trHeight w:val="323"/>
        </w:trPr>
        <w:tc>
          <w:tcPr>
            <w:tcW w:w="1561"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c>
          <w:tcPr>
            <w:tcW w:w="1560" w:type="dxa"/>
            <w:tcBorders>
              <w:top w:val="nil"/>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Ож</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36</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56</w:t>
            </w:r>
          </w:p>
        </w:tc>
        <w:tc>
          <w:tcPr>
            <w:tcW w:w="269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1,14 (0,69-1,89)</w:t>
            </w:r>
          </w:p>
        </w:tc>
        <w:tc>
          <w:tcPr>
            <w:tcW w:w="1277"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r>
      <w:tr w:rsidR="00201AC5" w:rsidTr="00E6013D">
        <w:trPr>
          <w:trHeight w:val="323"/>
        </w:trPr>
        <w:tc>
          <w:tcPr>
            <w:tcW w:w="1561" w:type="dxa"/>
            <w:vMerge w:val="restart"/>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Статус курения</w:t>
            </w:r>
          </w:p>
        </w:tc>
        <w:tc>
          <w:tcPr>
            <w:tcW w:w="1560" w:type="dxa"/>
            <w:tcBorders>
              <w:top w:val="nil"/>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Не курит</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142</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198</w:t>
            </w:r>
          </w:p>
        </w:tc>
        <w:tc>
          <w:tcPr>
            <w:tcW w:w="269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1,0</w:t>
            </w:r>
          </w:p>
        </w:tc>
        <w:tc>
          <w:tcPr>
            <w:tcW w:w="1277" w:type="dxa"/>
            <w:vMerge w:val="restart"/>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0,77</w:t>
            </w:r>
          </w:p>
        </w:tc>
      </w:tr>
      <w:tr w:rsidR="00201AC5" w:rsidTr="00E6013D">
        <w:trPr>
          <w:trHeight w:val="323"/>
        </w:trPr>
        <w:tc>
          <w:tcPr>
            <w:tcW w:w="1561"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Курит</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58</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83</w:t>
            </w:r>
          </w:p>
        </w:tc>
        <w:tc>
          <w:tcPr>
            <w:tcW w:w="269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1,03 (0,69-1,53)</w:t>
            </w:r>
          </w:p>
        </w:tc>
        <w:tc>
          <w:tcPr>
            <w:tcW w:w="1277"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r>
      <w:tr w:rsidR="00201AC5" w:rsidTr="00E6013D">
        <w:trPr>
          <w:trHeight w:val="323"/>
        </w:trPr>
        <w:tc>
          <w:tcPr>
            <w:tcW w:w="1561"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Бросил</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9</w:t>
            </w:r>
          </w:p>
        </w:tc>
        <w:tc>
          <w:tcPr>
            <w:tcW w:w="1134" w:type="dxa"/>
            <w:tcBorders>
              <w:top w:val="nil"/>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17</w:t>
            </w:r>
          </w:p>
        </w:tc>
        <w:tc>
          <w:tcPr>
            <w:tcW w:w="2694"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1,35 (0,59-3,13)</w:t>
            </w:r>
          </w:p>
        </w:tc>
        <w:tc>
          <w:tcPr>
            <w:tcW w:w="1277"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r>
      <w:tr w:rsidR="00201AC5" w:rsidTr="00E6013D">
        <w:trPr>
          <w:trHeight w:val="442"/>
        </w:trPr>
        <w:tc>
          <w:tcPr>
            <w:tcW w:w="9360" w:type="dxa"/>
            <w:gridSpan w:val="6"/>
            <w:tcBorders>
              <w:top w:val="single" w:sz="4" w:space="0" w:color="auto"/>
              <w:left w:val="single" w:sz="4" w:space="0" w:color="auto"/>
              <w:bottom w:val="single" w:sz="4" w:space="0" w:color="auto"/>
              <w:right w:val="single" w:sz="4" w:space="0" w:color="auto"/>
            </w:tcBorders>
            <w:hideMark/>
          </w:tcPr>
          <w:p w:rsidR="00A73D68" w:rsidRDefault="00201AC5" w:rsidP="00A73D68">
            <w:pPr>
              <w:jc w:val="both"/>
              <w:rPr>
                <w:rFonts w:ascii="Times New Roman" w:hAnsi="Times New Roman"/>
                <w:szCs w:val="24"/>
              </w:rPr>
            </w:pPr>
            <w:r>
              <w:rPr>
                <w:rFonts w:ascii="Times New Roman" w:hAnsi="Times New Roman"/>
                <w:szCs w:val="24"/>
              </w:rPr>
              <w:t xml:space="preserve">Примечание </w:t>
            </w:r>
            <w:r w:rsidR="00A73D68">
              <w:rPr>
                <w:rFonts w:ascii="Times New Roman" w:hAnsi="Times New Roman"/>
                <w:szCs w:val="24"/>
              </w:rPr>
              <w:t xml:space="preserve">НВ – нормальный вес; ИВ – избыточный вес; Ож – ожирение; </w:t>
            </w:r>
          </w:p>
          <w:p w:rsidR="00201AC5" w:rsidRDefault="00201AC5" w:rsidP="00E6013D">
            <w:pPr>
              <w:jc w:val="both"/>
              <w:rPr>
                <w:rFonts w:ascii="Times New Roman" w:hAnsi="Times New Roman"/>
                <w:sz w:val="20"/>
                <w:szCs w:val="20"/>
              </w:rPr>
            </w:pPr>
            <w:r>
              <w:rPr>
                <w:rFonts w:ascii="Times New Roman" w:hAnsi="Times New Roman"/>
                <w:szCs w:val="24"/>
              </w:rPr>
              <w:t>* - χ</w:t>
            </w:r>
            <w:r>
              <w:rPr>
                <w:rFonts w:ascii="Times New Roman" w:hAnsi="Times New Roman"/>
                <w:szCs w:val="24"/>
                <w:vertAlign w:val="superscript"/>
              </w:rPr>
              <w:t>2</w:t>
            </w:r>
            <w:r>
              <w:rPr>
                <w:rFonts w:ascii="Times New Roman" w:hAnsi="Times New Roman"/>
                <w:szCs w:val="24"/>
              </w:rPr>
              <w:t xml:space="preserve"> – хи квадрат Пирсона; ОШ (95% ДИ) – Отношение шансов (95% Доверительный интервал)</w:t>
            </w:r>
          </w:p>
        </w:tc>
      </w:tr>
    </w:tbl>
    <w:p w:rsidR="00B324BD" w:rsidRDefault="00B324BD" w:rsidP="00B324B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Гипераполипопротеинемия </w:t>
      </w:r>
      <w:r>
        <w:rPr>
          <w:rFonts w:ascii="Times New Roman" w:hAnsi="Times New Roman" w:cs="Times New Roman"/>
          <w:sz w:val="28"/>
          <w:szCs w:val="28"/>
          <w:lang w:val="kk-KZ"/>
        </w:rPr>
        <w:t xml:space="preserve">В </w:t>
      </w:r>
      <w:r>
        <w:rPr>
          <w:rFonts w:ascii="Times New Roman" w:hAnsi="Times New Roman" w:cs="Times New Roman"/>
          <w:sz w:val="28"/>
          <w:szCs w:val="28"/>
        </w:rPr>
        <w:t xml:space="preserve">чаще наблюдалось у участников с избыточным весом и ожирением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{"citationItems":[{"id":"ITEM-1","itemData":{"author":[{"dropping-particle":"","family":"Шаханова","given":"Айжан Т","non-dropping-particle":"","parse-names":false,"suffix":""},{"dropping-particle":"","family":"Аукенов","given":"Нурлан Е","non-dropping-particle":"","parse-names":false,"suffix":""},{"dropping-particle":"","family":"Нуртазина","given":"Алма У","non-dropping-particle":"","parse-names":false,"suffix":""},{"dropping-particle":"","family":"Кожахметова","given":"Дана К","non-dropping-particle":"","parse-names":false,"suffix":""}],"container-title":"VIII Ежегодная Международная Научно-Практическая Конференция \"Актуальные вопросы медицины\" и \"Спутниковый форум по общественному зоровью и политике здравоохранения\"","id":"ITEM-1","issued":{"date-parts":[["2019"]]},"page":"36-37","publisher":"\"Молодые Врачи Азербайджана\"","publisher-place":"Баку, Азербайджан","title":"Нарушение липидного обмена у казахов с повышенной массой тела (Материалы поперечного исследования в ЦПМСП г.Семей)","type":"paper-conference","volume":"6"},"uris":["http://www.mendeley.com/documents/?uuid=f4065681-c404-4991-aa57-1acd056ca80b"]}],"mendeley":{"formattedCitation":"[170]","plainTextFormattedCitation":"[170]","previouslyFormattedCitation":"[170]"},"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[170]</w:t>
      </w:r>
      <w:r>
        <w:rPr>
          <w:rFonts w:ascii="Times New Roman" w:hAnsi="Times New Roman" w:cs="Times New Roman"/>
          <w:sz w:val="28"/>
          <w:szCs w:val="28"/>
        </w:rPr>
        <w:fldChar w:fldCharType="end"/>
      </w:r>
      <w:r>
        <w:rPr>
          <w:rFonts w:ascii="Times New Roman" w:hAnsi="Times New Roman" w:cs="Times New Roman"/>
          <w:sz w:val="28"/>
          <w:szCs w:val="28"/>
        </w:rPr>
        <w:t>, однако в нашем исследовании связь</w:t>
      </w:r>
      <w:r w:rsidRPr="00B73BAA">
        <w:rPr>
          <w:rFonts w:ascii="Times New Roman" w:hAnsi="Times New Roman" w:cs="Times New Roman"/>
          <w:sz w:val="28"/>
          <w:szCs w:val="28"/>
        </w:rPr>
        <w:t xml:space="preserve"> </w:t>
      </w:r>
      <w:r>
        <w:rPr>
          <w:rFonts w:ascii="Times New Roman" w:hAnsi="Times New Roman" w:cs="Times New Roman"/>
          <w:sz w:val="28"/>
          <w:szCs w:val="28"/>
        </w:rPr>
        <w:t>между ними</w:t>
      </w:r>
      <w:r w:rsidRPr="0033631C">
        <w:rPr>
          <w:rFonts w:ascii="Times New Roman" w:hAnsi="Times New Roman" w:cs="Times New Roman"/>
          <w:sz w:val="28"/>
          <w:szCs w:val="28"/>
        </w:rPr>
        <w:t xml:space="preserve"> </w:t>
      </w:r>
      <w:r>
        <w:rPr>
          <w:rFonts w:ascii="Times New Roman" w:hAnsi="Times New Roman" w:cs="Times New Roman"/>
          <w:sz w:val="28"/>
          <w:szCs w:val="28"/>
        </w:rPr>
        <w:t xml:space="preserve">не выявлено. Взаимосвязь между группами апоВ и факторов риска была обнаружена только у участников от возраста 46 и старше, шанс развития гипераполипопротеинемии В с возрастом увеличивался до 2,0 раз. Таким образом, использование исследования уровня апоВ </w:t>
      </w:r>
      <w:r>
        <w:rPr>
          <w:rFonts w:ascii="Times New Roman" w:hAnsi="Times New Roman" w:cs="Times New Roman"/>
          <w:sz w:val="28"/>
          <w:szCs w:val="28"/>
          <w:lang w:val="kk-KZ"/>
        </w:rPr>
        <w:t xml:space="preserve">может быть </w:t>
      </w:r>
      <w:r>
        <w:rPr>
          <w:rFonts w:ascii="Times New Roman" w:hAnsi="Times New Roman" w:cs="Times New Roman"/>
          <w:sz w:val="28"/>
          <w:szCs w:val="28"/>
        </w:rPr>
        <w:t>рекомендовано для оценки дислипидемии (таблица 25).</w:t>
      </w:r>
    </w:p>
    <w:p w:rsidR="00201AC5" w:rsidRDefault="00201AC5" w:rsidP="00201AC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Гипераполипопротеинемия В сопровождается статистически значимым пов</w:t>
      </w:r>
      <w:r w:rsidR="003855FD">
        <w:rPr>
          <w:rFonts w:ascii="Times New Roman" w:hAnsi="Times New Roman" w:cs="Times New Roman"/>
          <w:sz w:val="28"/>
          <w:szCs w:val="28"/>
        </w:rPr>
        <w:t>ышением ОХС, ТГ, ЛПНП, апоВ/апо</w:t>
      </w:r>
      <w:r>
        <w:rPr>
          <w:rFonts w:ascii="Times New Roman" w:hAnsi="Times New Roman" w:cs="Times New Roman"/>
          <w:sz w:val="28"/>
          <w:szCs w:val="28"/>
        </w:rPr>
        <w:t xml:space="preserve">А1, инсулин, </w:t>
      </w:r>
      <w:r>
        <w:rPr>
          <w:rFonts w:ascii="Times New Roman" w:hAnsi="Times New Roman"/>
          <w:sz w:val="28"/>
          <w:szCs w:val="28"/>
        </w:rPr>
        <w:t xml:space="preserve">HOMA-IR </w:t>
      </w:r>
      <w:r>
        <w:rPr>
          <w:rFonts w:ascii="Times New Roman" w:hAnsi="Times New Roman" w:cs="Times New Roman"/>
          <w:sz w:val="28"/>
          <w:szCs w:val="28"/>
        </w:rPr>
        <w:t>(таблица 26).</w:t>
      </w:r>
      <w:r w:rsidR="005A5834">
        <w:rPr>
          <w:rFonts w:ascii="Times New Roman" w:hAnsi="Times New Roman" w:cs="Times New Roman"/>
          <w:sz w:val="28"/>
          <w:szCs w:val="28"/>
        </w:rPr>
        <w:t xml:space="preserve"> </w:t>
      </w:r>
      <w:r>
        <w:rPr>
          <w:rFonts w:ascii="Times New Roman" w:hAnsi="Times New Roman" w:cs="Times New Roman"/>
          <w:sz w:val="28"/>
          <w:szCs w:val="28"/>
        </w:rPr>
        <w:t xml:space="preserve">Средние уровни ОХС, ТГ, ЛПНП, апоВ/апоА1, инсулина и </w:t>
      </w:r>
      <w:r>
        <w:rPr>
          <w:rFonts w:ascii="Times New Roman" w:hAnsi="Times New Roman"/>
          <w:sz w:val="28"/>
          <w:szCs w:val="28"/>
        </w:rPr>
        <w:t>HOMA-IR</w:t>
      </w:r>
      <w:r>
        <w:rPr>
          <w:rFonts w:ascii="Times New Roman" w:hAnsi="Times New Roman" w:cs="Times New Roman"/>
          <w:sz w:val="28"/>
          <w:szCs w:val="28"/>
        </w:rPr>
        <w:t xml:space="preserve"> отличалось в группе гипераполипопротеинемии В по сравнении с группой, где уровень апоВ был норме. </w:t>
      </w:r>
    </w:p>
    <w:p w:rsidR="00201AC5" w:rsidRDefault="005D61C3" w:rsidP="00201AC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Наши результаты согласую</w:t>
      </w:r>
      <w:r w:rsidR="00201AC5">
        <w:rPr>
          <w:rFonts w:ascii="Times New Roman" w:hAnsi="Times New Roman" w:cs="Times New Roman"/>
          <w:sz w:val="28"/>
          <w:szCs w:val="28"/>
        </w:rPr>
        <w:t xml:space="preserve">тся с результатами других исследований. </w:t>
      </w:r>
      <w:r w:rsidR="00201AC5">
        <w:rPr>
          <w:rFonts w:ascii="Times New Roman" w:hAnsi="Times New Roman" w:cs="Times New Roman"/>
          <w:sz w:val="28"/>
          <w:szCs w:val="28"/>
          <w:lang w:val="kk-KZ"/>
        </w:rPr>
        <w:t>Отдельными</w:t>
      </w:r>
      <w:r w:rsidR="000362E0">
        <w:rPr>
          <w:rFonts w:ascii="Times New Roman" w:hAnsi="Times New Roman" w:cs="Times New Roman"/>
          <w:sz w:val="28"/>
          <w:szCs w:val="28"/>
          <w:lang w:val="kk-KZ"/>
        </w:rPr>
        <w:t xml:space="preserve"> </w:t>
      </w:r>
      <w:r w:rsidR="00201AC5">
        <w:rPr>
          <w:rFonts w:ascii="Times New Roman" w:hAnsi="Times New Roman" w:cs="Times New Roman"/>
          <w:sz w:val="28"/>
          <w:szCs w:val="28"/>
        </w:rPr>
        <w:t>автор</w:t>
      </w:r>
      <w:r w:rsidR="00201AC5">
        <w:rPr>
          <w:rFonts w:ascii="Times New Roman" w:hAnsi="Times New Roman" w:cs="Times New Roman"/>
          <w:sz w:val="28"/>
          <w:szCs w:val="28"/>
          <w:lang w:val="kk-KZ"/>
        </w:rPr>
        <w:t>ами</w:t>
      </w:r>
      <w:r w:rsidR="000362E0">
        <w:rPr>
          <w:rFonts w:ascii="Times New Roman" w:hAnsi="Times New Roman" w:cs="Times New Roman"/>
          <w:sz w:val="28"/>
          <w:szCs w:val="28"/>
          <w:lang w:val="kk-KZ"/>
        </w:rPr>
        <w:t xml:space="preserve"> </w:t>
      </w:r>
      <w:r w:rsidR="00201AC5">
        <w:rPr>
          <w:rFonts w:ascii="Times New Roman" w:hAnsi="Times New Roman" w:cs="Times New Roman"/>
          <w:sz w:val="28"/>
          <w:szCs w:val="28"/>
        </w:rPr>
        <w:t>рекоменду</w:t>
      </w:r>
      <w:r w:rsidR="0024503B">
        <w:rPr>
          <w:rFonts w:ascii="Times New Roman" w:hAnsi="Times New Roman" w:cs="Times New Roman"/>
          <w:sz w:val="28"/>
          <w:szCs w:val="28"/>
        </w:rPr>
        <w:t>ется</w:t>
      </w:r>
      <w:r w:rsidR="00201AC5">
        <w:rPr>
          <w:rFonts w:ascii="Times New Roman" w:hAnsi="Times New Roman" w:cs="Times New Roman"/>
          <w:sz w:val="28"/>
          <w:szCs w:val="28"/>
        </w:rPr>
        <w:t xml:space="preserve"> оценивать терапию дислипидемии по уровням ЛПНП и апоВ в плазме </w:t>
      </w:r>
      <w:r w:rsidR="00EA0E64">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{"citationItems":[{"id":"ITEM-1","itemData":{"DOI":"10.1056/NEJMoa1604304","ISSN":"0028-4793","PMID":"27959767","abstract":"BACKGROUND: Pharmacologic inhibitors of proprotein convertase subtilisin-kexin type 9 (PCSK9) are being evaluated in clinical trials for the treatment of cardiovascular disease. The effect of lowering low-density lipoprotein (LDL) cholesterol levels by inhibiting PCSK9 on the risk of cardiovascular events or diabetes is unknown. METHODS: We used genetic scores consisting of independently inherited variants in the genes encoding PCSK9 and 3-hydroxy-3-methylglutaryl-coenzyme A reductase (HMGCR; the target of statins) as instruments to randomly assign 112,772 participants from 14 studies, with 14,120 cardiovascular events and 10,635 cases of diabetes, to groups according to the number of LDL cholesterol-lowering alleles that they had inherited. We compared the effects of lower LDL cholesterol levels that were mediated by variants in PCSK9, HMGCR, or both on the risk of cardiovascular events and the risk of diabetes. RESULTS: Variants in PCSK9 and HMGCR were associated with nearly identical protective effects on the risk of cardiovascular events per decrease of 10 mg per deciliter (0.26 mmol per liter) in the LDL cholesterol level: odds ratio for cardiovascular events, 0.81 (95% confidence interval [CI], 0.74 to 0.89) for PCSK9 and 0.81 (95% CI, 0.72 to 0.90) for HMGCR. Variants in these two genes were also associated with very similar effects on the risk of diabetes: odds ratio for each 10 mg per deciliter decrease in LDL cholesterol, 1.11 (95% CI, 1.04 to 1.19) for PCSK9 and 1.13 (95% CI, 1.06 to 1.20) for HMGCR. The increased risk of diabetes was limited to persons with impaired fasting glucose levels for both scores and was lower in magnitude than the protective effect against cardiovascular events. When present together, PCSK9 and HMGCR variants had additive effects on the risk of both cardiovascular events and diabetes. CONCLUSIONS: In this study, variants in PCSK9 had approximately the same effect as variants in HMGCR on the risk of cardiovascular events and diabetes per unit decrease in the LDL cholesterol level. The effects of these variants were independent and additive.","author":[{"dropping-particle":"","family":"Ference","given":"Brian A.","non-dropping-particle":"","parse-names":false,"suffix":""},{"dropping-particle":"","family":"Robinson","given":"Jennifer G.","non-dropping-particle":"","parse-names":false,"suffix":""},{"dropping-particle":"","family":"Brook","given":"Robert D.","non-dropping-particle":"","parse-names":false,"suffix":""},{"dropping-particle":"","family":"Catapano","given":"Alberico L.","non-dropping-particle":"","parse-names":false,"suffix":""},{"dropping-particle":"","family":"Chapman","given":"M. John","non-dropping-particle":"","parse-names":false,"suffix":""},{"dropping-particle":"","family":"Neff","given":"David R.","non-dropping-particle":"","parse-names":false,"suffix":""},{"dropping-particle":"","family":"Voros","given":"Szilard","non-dropping-particle":"","parse-names":false,"suffix":""},{"dropping-particle":"","family":"Giugliano","given":"Robert P.","non-dropping-particle":"","parse-names":false,"suffix":""},{"dropping-particle":"","family":"Davey Smith","given":"George","non-dropping-particle":"","parse-names":false,"suffix":""},{"dropping-particle":"","family":"Fazio","given":"Sergio","non-dropping-particle":"","parse-names":false,"suffix":""},{"dropping-particle":"","family":"Sabatine","given":"Marc S.","non-dropping-particle":"","parse-names":false,"suffix":""}],"container-title":"New England Journal of Medicine","id":"ITEM-1","issue":"22","issued":{"date-parts":[["2016","12"]]},"page":"2144-2153","title":"Variation in PCSK9 and HMGCR and Risk of Cardiovascular Disease and Diabetes","type":"article-journal","volume":"375"},"uris":["http://www.mendeley.com/documents/?uuid=9255860c-fe20-46ac-9a93-a164860b89e8"]},{"id":"ITEM-2","itemData":{"DOI":"10.1001/jama.2018.20045","ISSN":"0098-7484","abstract":"Importance: Triglycerides and cholesterol are both carried in plasma by apolipoprotein B (ApoB)-containing lipoprotein particles. It is unknown whether lowering plasma triglyceride levels reduces the risk of cardiovascular events to the same extent as lowering low-density lipoprotein cholesterol (LDL-C) levels. Objective: To compare the association of triglyceride-lowering variants in the lipoprotein lipase (LPL) gene and LDL-C-lowering variants in the LDL receptor gene (LDLR) with the risk of cardiovascular disease per unit change in ApoB. Design, Setting, and Participants: Mendelian randomization analyses evaluating the associations of genetic scores composed of triglyceride-lowering variants in the LPL gene and LDL-C-lowering variants in the LDLR gene, respectively, with the risk of cardiovascular events among participants enrolled in 63 cohort or case-control studies conducted in North America or Europe between 1948 and 2017. Exposures: Differences in plasma triglyceride, LDL-C, and ApoB levels associated with the LPL and LDLR genetic scores. Main Outcomes and Measures: Odds ratio (OR) for coronary heart disease (CHD) - defined as coronary death, myocardial infarction, or coronary revascularization - per 10-mg/dL lower concentration of ApoB-containing lipoproteins. Results: A total of 654783 participants, including 91129 cases of CHD, were included (mean age, 62.7 years; 51.4% women). For each 10-mg/dL lower level of ApoB-containing lipoproteins, the LPL score was associated with 69.9-mg/dL (95% CI, 68.1-71.6; P = 7.1 × 10 -1363 ) lower triglyceride levels and 0.7-mg/dL (95% CI, 0.03-1.4; P =.04) higher LDL-C levels; while the LDLR score was associated with 14.2-mg/dL (95% CI, 13.6-14.8; P = 1.4 × 10 -465 ) lower LDL-C and 1.9-mg/dL (95% CI, 0.1-3.9; P =.04) lower triglyceride levels. Despite these differences in associated lipid levels, the LPL and LDLR scores were associated with similar lower risk of CHD per 10-mg/dL lower level of ApoB-containing lipoproteins (OR, 0.771 [95% CI, 0.741-0.802], P = 3.9 × 10 -38 and OR, 0.773 [95% CI, 0.747-0.801], P = 1.1 × 10 -46 , respectively). In multivariable mendelian randomization analyses, the associations between triglyceride and LDL-C levels with the risk of CHD became null after adjusting for differences in ApoB (triglycerides: OR, 1.014 [95% CI, 0.965-1.065], P =.19; LDL-C: OR, 1.010 [95% CI, 0.967-1.055], P =.19; ApoB: OR, 0.761 [95% CI, 0.723-0.798], P = 7.51 × 10 -20 ). Conclusions and Relevance: Tr…","author":[{"dropping-particle":"","family":"Ference","given":"Brian A.","non-dropping-particle":"","parse-names":false,"suffix":""},{"dropping-particle":"","family":"Kastelein","given":"John J. P.","non-dropping-particle":"","parse-names":false,"suffix":""},{"dropping-particle":"","family":"Ray","given":"Kausik K.","non-dropping-particle":"","parse-names":false,"suffix":""},{"dropping-particle":"","family":"Ginsberg","given":"Henry N.","non-dropping-particle":"","parse-names":false,"suffix":""},{"dropping-particle":"","family":"Chapman","given":"M. John","non-dropping-particle":"","parse-names":false,"suffix":""},{"dropping-particle":"","family":"Packard","given":"Chris J.","non-dropping-particle":"","parse-names":false,"suffix":""},{"dropping-particle":"","family":"Laufs","given":"Ulrich","non-dropping-particle":"","parse-names":false,"suffix":""},{"dropping-particle":"","family":"Oliver-Williams","given":"Clare","non-dropping-particle":"","parse-names":false,"suffix":""},{"dropping-particle":"","family":"Wood","given":"Angela M.","non-dropping-particle":"","parse-names":false,"suffix":""},{"dropping-particle":"","family":"Butterworth","given":"Adam S.","non-dropping-particle":"","parse-names":false,"suffix":""},{"dropping-particle":"","family":"Angelantonio","given":"Emanuele","non-dropping-particle":"Di","parse-names":false,"suffix":""},{"dropping-particle":"","family":"Danesh","given":"John","non-dropping-particle":"","parse-names":false,"suffix":""},{"dropping-particle":"","family":"Nicholls","given":"Stephen J.","non-dropping-particle":"","parse-names":false,"suffix":""},{"dropping-particle":"","family":"Bhatt","given":"Deepak L.","non-dropping-particle":"","parse-names":false,"suffix":""},{"dropping-particle":"","family":"Sabatine","given":"Marc S.","non-dropping-particle":"","parse-names":false,"suffix":""},{"dropping-particle":"","family":"Catapano","given":"Alberico L.","non-dropping-particle":"","parse-names":false,"suffix":""}],"container-title":"JAMA","id":"ITEM-2","issue":"4","issued":{"date-parts":[["2019","1","29"]]},"page":"364","title":"Association of Triglyceride-Lowering LPL Variants and LDL-C–Lowering LDLR Variants With Risk of Coronary Heart Disease","type":"article-journal","volume":"321"},"uris":["http://www.mendeley.com/documents/?uuid=d8264bef-634c-4268-94a1-ee1b8c059bff"]}],"mendeley":{"formattedCitation":"[163,171]","manualFormatting":"[163, р. 366; 171]","plainTextFormattedCitation":"[163,171]","previouslyFormattedCitation":"[163,171]"},"properties":{"noteIndex":0},"schema":"https://github.com/citation-style-language/schema/raw/master/csl-citation.json"}</w:instrText>
      </w:r>
      <w:r w:rsidR="00EA0E64">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[163,</w:t>
      </w:r>
      <w:r w:rsidR="00F87DB7">
        <w:rPr>
          <w:rFonts w:ascii="Times New Roman" w:hAnsi="Times New Roman" w:cs="Times New Roman"/>
          <w:noProof/>
          <w:sz w:val="28"/>
          <w:szCs w:val="28"/>
        </w:rPr>
        <w:t xml:space="preserve"> р. 366; </w:t>
      </w:r>
      <w:r w:rsidR="00F87DB7" w:rsidRPr="00F87DB7">
        <w:rPr>
          <w:rFonts w:ascii="Times New Roman" w:hAnsi="Times New Roman" w:cs="Times New Roman"/>
          <w:noProof/>
          <w:sz w:val="28"/>
          <w:szCs w:val="28"/>
        </w:rPr>
        <w:t>171]</w:t>
      </w:r>
      <w:r w:rsidR="00EA0E64">
        <w:rPr>
          <w:rFonts w:ascii="Times New Roman" w:hAnsi="Times New Roman" w:cs="Times New Roman"/>
          <w:sz w:val="28"/>
          <w:szCs w:val="28"/>
        </w:rPr>
        <w:fldChar w:fldCharType="end"/>
      </w:r>
      <w:r>
        <w:rPr>
          <w:rFonts w:ascii="Times New Roman" w:hAnsi="Times New Roman" w:cs="Times New Roman"/>
          <w:sz w:val="28"/>
          <w:szCs w:val="28"/>
        </w:rPr>
        <w:t>. Т</w:t>
      </w:r>
      <w:r w:rsidR="00201AC5">
        <w:rPr>
          <w:rFonts w:ascii="Times New Roman" w:hAnsi="Times New Roman" w:cs="Times New Roman"/>
          <w:sz w:val="28"/>
          <w:szCs w:val="28"/>
        </w:rPr>
        <w:t>ак</w:t>
      </w:r>
      <w:r>
        <w:rPr>
          <w:rFonts w:ascii="Times New Roman" w:hAnsi="Times New Roman" w:cs="Times New Roman"/>
          <w:sz w:val="28"/>
          <w:szCs w:val="28"/>
        </w:rPr>
        <w:t xml:space="preserve"> </w:t>
      </w:r>
      <w:r w:rsidR="00201AC5">
        <w:rPr>
          <w:rFonts w:ascii="Times New Roman" w:hAnsi="Times New Roman" w:cs="Times New Roman"/>
          <w:sz w:val="28"/>
          <w:szCs w:val="28"/>
        </w:rPr>
        <w:t xml:space="preserve">как снижение концентрации апоВ в плазме </w:t>
      </w:r>
      <w:r>
        <w:rPr>
          <w:rFonts w:ascii="Times New Roman" w:hAnsi="Times New Roman" w:cs="Times New Roman"/>
          <w:sz w:val="28"/>
          <w:szCs w:val="28"/>
        </w:rPr>
        <w:t xml:space="preserve">прямо </w:t>
      </w:r>
      <w:r w:rsidR="00201AC5">
        <w:rPr>
          <w:rFonts w:ascii="Times New Roman" w:hAnsi="Times New Roman" w:cs="Times New Roman"/>
          <w:sz w:val="28"/>
          <w:szCs w:val="28"/>
        </w:rPr>
        <w:t xml:space="preserve">пропорционально </w:t>
      </w:r>
      <w:r>
        <w:rPr>
          <w:rFonts w:ascii="Times New Roman" w:hAnsi="Times New Roman" w:cs="Times New Roman"/>
          <w:sz w:val="28"/>
          <w:szCs w:val="28"/>
        </w:rPr>
        <w:t>уровню</w:t>
      </w:r>
      <w:r w:rsidR="00201AC5">
        <w:rPr>
          <w:rFonts w:ascii="Times New Roman" w:hAnsi="Times New Roman" w:cs="Times New Roman"/>
          <w:sz w:val="28"/>
          <w:szCs w:val="28"/>
        </w:rPr>
        <w:t xml:space="preserve"> ЛПНП и тем самым снижают риск АССЗ. В другом исследовании при сравнении уровней апоВ, апоА1 было выявлено, что эти уровни были выше у пациентов с МС</w:t>
      </w:r>
      <w:r w:rsidR="006D7BE7">
        <w:rPr>
          <w:rFonts w:ascii="Times New Roman" w:hAnsi="Times New Roman" w:cs="Times New Roman"/>
          <w:sz w:val="28"/>
          <w:szCs w:val="28"/>
        </w:rPr>
        <w:t>,</w:t>
      </w:r>
      <w:r w:rsidR="00A527C4">
        <w:rPr>
          <w:rFonts w:ascii="Times New Roman" w:hAnsi="Times New Roman" w:cs="Times New Roman"/>
          <w:sz w:val="28"/>
          <w:szCs w:val="28"/>
          <w:lang w:val="kk-KZ"/>
        </w:rPr>
        <w:t xml:space="preserve"> </w:t>
      </w:r>
      <w:r w:rsidR="006D7BE7">
        <w:rPr>
          <w:rFonts w:ascii="Times New Roman" w:hAnsi="Times New Roman" w:cs="Times New Roman"/>
          <w:sz w:val="28"/>
          <w:szCs w:val="28"/>
        </w:rPr>
        <w:t>чем у</w:t>
      </w:r>
      <w:r w:rsidR="00201AC5">
        <w:rPr>
          <w:rFonts w:ascii="Times New Roman" w:hAnsi="Times New Roman" w:cs="Times New Roman"/>
          <w:sz w:val="28"/>
          <w:szCs w:val="28"/>
        </w:rPr>
        <w:t xml:space="preserve"> пациент</w:t>
      </w:r>
      <w:r w:rsidR="006D7BE7">
        <w:rPr>
          <w:rFonts w:ascii="Times New Roman" w:hAnsi="Times New Roman" w:cs="Times New Roman"/>
          <w:sz w:val="28"/>
          <w:szCs w:val="28"/>
        </w:rPr>
        <w:t>ов</w:t>
      </w:r>
      <w:r w:rsidR="00201AC5">
        <w:rPr>
          <w:rFonts w:ascii="Times New Roman" w:hAnsi="Times New Roman" w:cs="Times New Roman"/>
          <w:sz w:val="28"/>
          <w:szCs w:val="28"/>
        </w:rPr>
        <w:t xml:space="preserve"> с СД 2 типа </w:t>
      </w:r>
      <w:r w:rsidR="00EA0E64">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{"citationItems":[{"id":"ITEM-1","itemData":{"DOI":"10.32553/ijmbs.v4i2.933","ISSN":"2589-8698","abstract":"Patients with Type II diabetes mellitus or the metabolic syndrome have unique dyslipidemia characterized by hypertriglyceridemia; elevated blood levels of apolipoprotein B; small, dense low-density lipoprotein (LDL) cholesterol; and low levels of high-density lipoprotein (HDL) cholesterol. Treatment of dyslipidemia associated with these disorders should focus on correcting the abnormal lipoprotein levels as well as LDL and HDL heterogeneity. Statins and fibrates are useful for treating elevated LDL in patients with and without diabetes or the metabolic syndrome. There are few researches on Apolipoprotein A and Apolipoprotein B, Lipoprotein (a) in India, in comparison to foreign countries. So this study is aimed to evaluate Apo lipoproteins (Apo A1 &amp; Apo B) and Lipoprotein (a) levels along with Lipid profile in Type II Diabetes Mellitus and in patients with Metabolic Syndrome which can be correlated with the risk of cardiovascular disease. Conclusion: Apo lipoprotein A1, Apolipoprotein B and Lipoprotein (a) can be important marker for the risk developing of heart disease. Statistical relationships between LDL and HDL and their respective Apo lipoproteins, Apo B and Apo A-1, in diabetic and metabolic syndrome can be established. Keywords: Lipid profile, Type II Diabetes Mellitus, Apo lipoproteins (Apo A &amp; Apo B), Lipoprotein (a) and Metabolic Syndrome.","author":[{"dropping-particle":"","family":"Rohit","given":"Arpita","non-dropping-particle":"","parse-names":false,"suffix":""},{"dropping-particle":"","family":"Haridas","given":"N","non-dropping-particle":"","parse-names":false,"suffix":""}],"container-title":"International Journal of Medical and Biomedical Studies","id":"ITEM-1","issue":"2","issued":{"date-parts":[["2020","2","10"]]},"page":"71-77","title":"Studies on apolipoproteins (Apo A1 &amp; Apo B) and lipoprotein (a) along with lipid profile in the patients of type II Diabetes Mellitus and metabolic syndrome","type":"article-journal","volume":"4"},"uris":["http://www.mendeley.com/documents/?uuid=accc287e-e5e3-4069-877c-5e49f8e4dc9e"]}],"mendeley":{"formattedCitation":"[172]","plainTextFormattedCitation":"[172]","previouslyFormattedCitation":"[172]"},"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[172]</w:t>
      </w:r>
      <w:r w:rsidR="00EA0E64">
        <w:rPr>
          <w:rFonts w:ascii="Times New Roman" w:hAnsi="Times New Roman" w:cs="Times New Roman"/>
          <w:sz w:val="28"/>
          <w:szCs w:val="28"/>
        </w:rPr>
        <w:fldChar w:fldCharType="end"/>
      </w:r>
      <w:r>
        <w:rPr>
          <w:rFonts w:ascii="Times New Roman" w:hAnsi="Times New Roman" w:cs="Times New Roman"/>
          <w:sz w:val="28"/>
          <w:szCs w:val="28"/>
        </w:rPr>
        <w:t>. И авторы этого исследования</w:t>
      </w:r>
      <w:r w:rsidR="00201AC5">
        <w:rPr>
          <w:rFonts w:ascii="Times New Roman" w:hAnsi="Times New Roman" w:cs="Times New Roman"/>
          <w:sz w:val="28"/>
          <w:szCs w:val="28"/>
        </w:rPr>
        <w:t xml:space="preserve"> </w:t>
      </w:r>
      <w:r>
        <w:rPr>
          <w:rFonts w:ascii="Times New Roman" w:hAnsi="Times New Roman" w:cs="Times New Roman"/>
          <w:sz w:val="28"/>
          <w:szCs w:val="28"/>
        </w:rPr>
        <w:t>утверждают, что</w:t>
      </w:r>
      <w:r w:rsidR="00201AC5">
        <w:rPr>
          <w:rFonts w:ascii="Times New Roman" w:hAnsi="Times New Roman" w:cs="Times New Roman"/>
          <w:sz w:val="28"/>
          <w:szCs w:val="28"/>
        </w:rPr>
        <w:t xml:space="preserve"> </w:t>
      </w:r>
      <w:r>
        <w:rPr>
          <w:rFonts w:ascii="Times New Roman" w:hAnsi="Times New Roman" w:cs="Times New Roman"/>
          <w:sz w:val="28"/>
          <w:szCs w:val="28"/>
        </w:rPr>
        <w:t xml:space="preserve">уровни апоВ, апоА1 </w:t>
      </w:r>
      <w:r w:rsidR="00201AC5">
        <w:rPr>
          <w:rFonts w:ascii="Times New Roman" w:hAnsi="Times New Roman" w:cs="Times New Roman"/>
          <w:sz w:val="28"/>
          <w:szCs w:val="28"/>
        </w:rPr>
        <w:t xml:space="preserve">могут быть важными маркерами риска развития ССЗ. В некоторых исследованиях количество частиц апоВ более тесно связано с риском атерогенности чем с массой ХС </w:t>
      </w:r>
      <w:r w:rsidR="00EA0E64">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{"citationItems":[{"id":"ITEM-1","itemData":{"DOI":"10.1097/MED.0000000000000389","ISSN":"1752-296X","abstract":"PURPOSE OF REVIEW: The cholesterol content within atherogenic apolipoprotein-B (apoB) containing lipid particles is the center of consensus guidelines and clinicians' focus whenever evaluating a patient's risk for atherosclerotic cardiovascular disease. The pathobiology of atherosclerosis requires the retention of lipoprotein particles within the vascular intima over time followed by maladaptive inflammation resulting in plaque formation and rupture in some. The cholesterol content is widely variable within each particle creating either cholesterol-deplete or cholesterol-enriched particles. This variance in particle cholesterol content varies within and between individuals. Discordance analysis exploits this difference in cholesterol content of particles to demonstrate the differential significance of LDL-cholesterol (LDL-C) and non-HDL-C from measures of lipoprotein particle number in terms of assessing atherosclerotic cardiovascular disease risks. RECENT FINDINGS: Three studies have added to the growing body of literature of discordance analysis. Despite wide variability of discordance cutoffs, baseline risk of atherosclerotic disease, and populations sampled, the conclusion remains the same: risk of atherosclerotic disease follows apoB lipid particle concentration rather than cholesterol content of lipid particles. SUMMARY: In addition to traditional lipid fractions, assessments of atherogenic particle number should be strongly considered whenever assessing CVD risk in nontreated and treated individuals. There is a need for clinical trials that focus not only on the reduction in LDL-C but apoB, as well.","author":[{"dropping-particle":"","family":"Cantey","given":"Eric P.","non-dropping-particle":"","parse-names":false,"suffix":""},{"dropping-particle":"","family":"Wilkins","given":"John T.","non-dropping-particle":"","parse-names":false,"suffix":""}],"container-title":"Current Opinion in Endocrinology &amp; Diabetes and Obesity","id":"ITEM-1","issue":"2","issued":{"date-parts":[["2018","4"]]},"page":"130-136","title":"Discordance between lipoprotein particle number and cholesterol content","type":"article-journal","volume":"25"},"uris":["http://www.mendeley.com/documents/?uuid=5e00bff5-1067-406b-b0af-ff6664180ed8"]}],"mendeley":{"formattedCitation":"[23]","manualFormatting":"[23, р. 1953]","plainTextFormattedCitation":"[23]","previouslyFormattedCitation":"[23]"},"properties":{"noteIndex":0},"schema":"https://github.com/citation-style-language/schema/raw/master/csl-citation.json"}</w:instrText>
      </w:r>
      <w:r w:rsidR="00EA0E64">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[23</w:t>
      </w:r>
      <w:r w:rsidR="00F87DB7">
        <w:rPr>
          <w:rFonts w:ascii="Times New Roman" w:hAnsi="Times New Roman" w:cs="Times New Roman"/>
          <w:noProof/>
          <w:sz w:val="28"/>
          <w:szCs w:val="28"/>
        </w:rPr>
        <w:t>, р. 1953</w:t>
      </w:r>
      <w:r w:rsidR="00F87DB7" w:rsidRPr="00F87DB7">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00201AC5">
        <w:rPr>
          <w:rFonts w:ascii="Times New Roman" w:hAnsi="Times New Roman" w:cs="Times New Roman"/>
          <w:sz w:val="28"/>
          <w:szCs w:val="28"/>
        </w:rPr>
        <w:t xml:space="preserve">. </w:t>
      </w:r>
    </w:p>
    <w:p w:rsidR="00201AC5" w:rsidRDefault="00201AC5" w:rsidP="00201AC5">
      <w:pPr>
        <w:spacing w:after="0" w:line="240" w:lineRule="auto"/>
        <w:jc w:val="both"/>
        <w:rPr>
          <w:rFonts w:ascii="Times New Roman" w:hAnsi="Times New Roman" w:cs="Times New Roman"/>
          <w:sz w:val="28"/>
          <w:szCs w:val="28"/>
        </w:rPr>
      </w:pPr>
    </w:p>
    <w:p w:rsidR="00201AC5" w:rsidRDefault="00201AC5" w:rsidP="00201AC5">
      <w:pPr>
        <w:spacing w:after="0" w:line="240" w:lineRule="auto"/>
        <w:jc w:val="both"/>
        <w:rPr>
          <w:rFonts w:ascii="Times New Roman" w:hAnsi="Times New Roman"/>
          <w:sz w:val="28"/>
          <w:szCs w:val="28"/>
          <w:lang w:val="kk-KZ"/>
        </w:rPr>
      </w:pPr>
      <w:r>
        <w:rPr>
          <w:rFonts w:ascii="Times New Roman" w:hAnsi="Times New Roman" w:cs="Times New Roman"/>
          <w:sz w:val="28"/>
          <w:szCs w:val="28"/>
        </w:rPr>
        <w:t>Таблица 26</w:t>
      </w:r>
      <w:r w:rsidR="003422CB">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средних величин биохимических показателей по группам аполипопротеина В </w:t>
      </w:r>
      <w:r w:rsidR="00DA472A">
        <w:rPr>
          <w:rFonts w:ascii="Times New Roman" w:hAnsi="Times New Roman" w:cs="Times New Roman"/>
          <w:sz w:val="28"/>
          <w:szCs w:val="28"/>
        </w:rPr>
        <w:t>(</w:t>
      </w:r>
      <w:r>
        <w:rPr>
          <w:rFonts w:ascii="Times New Roman" w:hAnsi="Times New Roman"/>
          <w:sz w:val="28"/>
          <w:szCs w:val="28"/>
        </w:rPr>
        <w:t>n=507</w:t>
      </w:r>
      <w:r w:rsidR="00DA472A">
        <w:rPr>
          <w:rFonts w:ascii="Times New Roman" w:hAnsi="Times New Roman"/>
          <w:sz w:val="28"/>
          <w:szCs w:val="28"/>
        </w:rPr>
        <w:t>)</w:t>
      </w:r>
    </w:p>
    <w:p w:rsidR="00B324BD" w:rsidRPr="00B324BD" w:rsidRDefault="00B324BD" w:rsidP="00201AC5">
      <w:pPr>
        <w:spacing w:after="0" w:line="240" w:lineRule="auto"/>
        <w:jc w:val="both"/>
        <w:rPr>
          <w:rFonts w:ascii="Times New Roman" w:hAnsi="Times New Roman" w:cs="Times New Roman"/>
          <w:sz w:val="28"/>
          <w:szCs w:val="28"/>
          <w:lang w:val="kk-KZ"/>
        </w:rPr>
      </w:pPr>
    </w:p>
    <w:tbl>
      <w:tblPr>
        <w:tblStyle w:val="af7"/>
        <w:tblW w:w="9243" w:type="dxa"/>
        <w:tblInd w:w="108" w:type="dxa"/>
        <w:tblLayout w:type="fixed"/>
        <w:tblLook w:val="04A0" w:firstRow="1" w:lastRow="0" w:firstColumn="1" w:lastColumn="0" w:noHBand="0" w:noVBand="1"/>
      </w:tblPr>
      <w:tblGrid>
        <w:gridCol w:w="2552"/>
        <w:gridCol w:w="2835"/>
        <w:gridCol w:w="2839"/>
        <w:gridCol w:w="1017"/>
      </w:tblGrid>
      <w:tr w:rsidR="00201AC5" w:rsidTr="00552C11">
        <w:trPr>
          <w:trHeight w:val="377"/>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Параметры</w:t>
            </w:r>
          </w:p>
        </w:tc>
        <w:tc>
          <w:tcPr>
            <w:tcW w:w="5674" w:type="dxa"/>
            <w:gridSpan w:val="2"/>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апоВ, г/л</w:t>
            </w:r>
          </w:p>
        </w:tc>
        <w:tc>
          <w:tcPr>
            <w:tcW w:w="1017" w:type="dxa"/>
            <w:vMerge w:val="restart"/>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p*</w:t>
            </w:r>
          </w:p>
        </w:tc>
      </w:tr>
      <w:tr w:rsidR="00201AC5" w:rsidTr="00552C11">
        <w:trPr>
          <w:trHeight w:val="379"/>
        </w:trPr>
        <w:tc>
          <w:tcPr>
            <w:tcW w:w="2552"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c>
          <w:tcPr>
            <w:tcW w:w="2835"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≤0,9</w:t>
            </w:r>
          </w:p>
          <w:p w:rsidR="00201AC5" w:rsidRDefault="00201AC5" w:rsidP="00E6013D">
            <w:pPr>
              <w:jc w:val="center"/>
              <w:rPr>
                <w:rFonts w:ascii="Times New Roman" w:hAnsi="Times New Roman"/>
                <w:sz w:val="28"/>
                <w:szCs w:val="28"/>
              </w:rPr>
            </w:pPr>
            <w:r>
              <w:rPr>
                <w:rFonts w:ascii="Times New Roman" w:hAnsi="Times New Roman"/>
                <w:sz w:val="28"/>
                <w:szCs w:val="28"/>
              </w:rPr>
              <w:t>Ме±IQR (Q1–Q3)</w:t>
            </w:r>
          </w:p>
        </w:tc>
        <w:tc>
          <w:tcPr>
            <w:tcW w:w="2839"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&gt;0,9</w:t>
            </w:r>
          </w:p>
          <w:p w:rsidR="00201AC5" w:rsidRDefault="00201AC5" w:rsidP="00E6013D">
            <w:pPr>
              <w:jc w:val="center"/>
              <w:rPr>
                <w:rFonts w:ascii="Times New Roman" w:hAnsi="Times New Roman"/>
                <w:sz w:val="28"/>
                <w:szCs w:val="28"/>
              </w:rPr>
            </w:pPr>
            <w:r>
              <w:rPr>
                <w:rFonts w:ascii="Times New Roman" w:hAnsi="Times New Roman"/>
                <w:sz w:val="28"/>
                <w:szCs w:val="28"/>
              </w:rPr>
              <w:t>Ме±IQR (Q1–Q3)</w:t>
            </w:r>
          </w:p>
        </w:tc>
        <w:tc>
          <w:tcPr>
            <w:tcW w:w="1017" w:type="dxa"/>
            <w:vMerge/>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rPr>
                <w:rFonts w:ascii="Times New Roman" w:hAnsi="Times New Roman"/>
                <w:sz w:val="28"/>
                <w:szCs w:val="28"/>
              </w:rPr>
            </w:pPr>
          </w:p>
        </w:tc>
      </w:tr>
      <w:tr w:rsidR="00201AC5" w:rsidTr="00552C1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ОХС, ммоль/л</w:t>
            </w:r>
          </w:p>
        </w:tc>
        <w:tc>
          <w:tcPr>
            <w:tcW w:w="2835"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3,19±1,86 (2,35-4,21)</w:t>
            </w:r>
          </w:p>
        </w:tc>
        <w:tc>
          <w:tcPr>
            <w:tcW w:w="2839"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3,64±2,04 (2,66-4,7)</w:t>
            </w:r>
          </w:p>
        </w:tc>
        <w:tc>
          <w:tcPr>
            <w:tcW w:w="1017"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0,001</w:t>
            </w:r>
          </w:p>
        </w:tc>
      </w:tr>
      <w:tr w:rsidR="00201AC5" w:rsidTr="00552C1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ТГ, ммоль/л</w:t>
            </w:r>
          </w:p>
        </w:tc>
        <w:tc>
          <w:tcPr>
            <w:tcW w:w="2835"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0,95±0,55 (0,7-1,25)</w:t>
            </w:r>
          </w:p>
        </w:tc>
        <w:tc>
          <w:tcPr>
            <w:tcW w:w="2839"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1,49±0,96 (1,03-2,0)</w:t>
            </w:r>
          </w:p>
        </w:tc>
        <w:tc>
          <w:tcPr>
            <w:tcW w:w="1017"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0,0001</w:t>
            </w:r>
          </w:p>
        </w:tc>
      </w:tr>
      <w:tr w:rsidR="00201AC5" w:rsidTr="00552C1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ЛПНП, ммоль/л</w:t>
            </w:r>
          </w:p>
        </w:tc>
        <w:tc>
          <w:tcPr>
            <w:tcW w:w="2835"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1,68±1,11 (1,22-2,38)</w:t>
            </w:r>
          </w:p>
        </w:tc>
        <w:tc>
          <w:tcPr>
            <w:tcW w:w="2839"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1,94±1,16 (1,5-2,62)</w:t>
            </w:r>
          </w:p>
        </w:tc>
        <w:tc>
          <w:tcPr>
            <w:tcW w:w="1017"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0,0001</w:t>
            </w:r>
          </w:p>
        </w:tc>
      </w:tr>
      <w:tr w:rsidR="00201AC5" w:rsidTr="00552C1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ЛПВП, ммоль/л</w:t>
            </w:r>
          </w:p>
        </w:tc>
        <w:tc>
          <w:tcPr>
            <w:tcW w:w="2835"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0,9±0,65 (0,66-1,31)</w:t>
            </w:r>
          </w:p>
        </w:tc>
        <w:tc>
          <w:tcPr>
            <w:tcW w:w="2839"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0,94±0,74 (0,7-1,45)</w:t>
            </w:r>
          </w:p>
        </w:tc>
        <w:tc>
          <w:tcPr>
            <w:tcW w:w="1017"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0,066</w:t>
            </w:r>
          </w:p>
        </w:tc>
      </w:tr>
      <w:tr w:rsidR="00201AC5" w:rsidTr="00552C1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апоА1 г/л</w:t>
            </w:r>
          </w:p>
        </w:tc>
        <w:tc>
          <w:tcPr>
            <w:tcW w:w="2835"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1</w:t>
            </w:r>
            <w:r w:rsidRPr="00552C11">
              <w:rPr>
                <w:rFonts w:ascii="Century" w:hAnsi="Century"/>
                <w:sz w:val="28"/>
                <w:szCs w:val="28"/>
              </w:rPr>
              <w:t>,</w:t>
            </w:r>
            <w:r>
              <w:rPr>
                <w:rFonts w:ascii="Times New Roman" w:hAnsi="Times New Roman"/>
                <w:sz w:val="28"/>
                <w:szCs w:val="28"/>
              </w:rPr>
              <w:t>49</w:t>
            </w:r>
            <w:r w:rsidRPr="00552C11">
              <w:rPr>
                <w:rFonts w:ascii="Century" w:hAnsi="Century"/>
                <w:sz w:val="28"/>
                <w:szCs w:val="28"/>
              </w:rPr>
              <w:t>±</w:t>
            </w:r>
            <w:r>
              <w:rPr>
                <w:rFonts w:ascii="Times New Roman" w:hAnsi="Times New Roman"/>
                <w:sz w:val="28"/>
                <w:szCs w:val="28"/>
              </w:rPr>
              <w:t>0</w:t>
            </w:r>
            <w:r w:rsidRPr="00552C11">
              <w:rPr>
                <w:rFonts w:ascii="Century" w:hAnsi="Century"/>
                <w:sz w:val="28"/>
                <w:szCs w:val="28"/>
              </w:rPr>
              <w:t>,</w:t>
            </w:r>
            <w:r>
              <w:rPr>
                <w:rFonts w:ascii="Times New Roman" w:hAnsi="Times New Roman"/>
                <w:sz w:val="28"/>
                <w:szCs w:val="28"/>
              </w:rPr>
              <w:t>16 (1</w:t>
            </w:r>
            <w:r w:rsidRPr="00552C11">
              <w:rPr>
                <w:rFonts w:ascii="Century" w:hAnsi="Century"/>
                <w:sz w:val="28"/>
                <w:szCs w:val="28"/>
              </w:rPr>
              <w:t>,</w:t>
            </w:r>
            <w:r>
              <w:rPr>
                <w:rFonts w:ascii="Times New Roman" w:hAnsi="Times New Roman"/>
                <w:sz w:val="28"/>
                <w:szCs w:val="28"/>
              </w:rPr>
              <w:t>3</w:t>
            </w:r>
            <w:r w:rsidRPr="00552C11">
              <w:rPr>
                <w:rFonts w:ascii="Century" w:hAnsi="Century"/>
                <w:sz w:val="28"/>
                <w:szCs w:val="28"/>
              </w:rPr>
              <w:t>-</w:t>
            </w:r>
            <w:r>
              <w:rPr>
                <w:rFonts w:ascii="Times New Roman" w:hAnsi="Times New Roman"/>
                <w:sz w:val="28"/>
                <w:szCs w:val="28"/>
              </w:rPr>
              <w:t>1</w:t>
            </w:r>
            <w:r w:rsidRPr="00552C11">
              <w:rPr>
                <w:rFonts w:ascii="Century" w:hAnsi="Century"/>
                <w:sz w:val="28"/>
                <w:szCs w:val="28"/>
              </w:rPr>
              <w:t>,</w:t>
            </w:r>
            <w:r>
              <w:rPr>
                <w:rFonts w:ascii="Times New Roman" w:hAnsi="Times New Roman"/>
                <w:sz w:val="28"/>
                <w:szCs w:val="28"/>
              </w:rPr>
              <w:t>71)</w:t>
            </w:r>
          </w:p>
        </w:tc>
        <w:tc>
          <w:tcPr>
            <w:tcW w:w="2839"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1</w:t>
            </w:r>
            <w:r w:rsidRPr="00552C11">
              <w:rPr>
                <w:rFonts w:ascii="Century" w:hAnsi="Century"/>
                <w:sz w:val="28"/>
                <w:szCs w:val="28"/>
              </w:rPr>
              <w:t>,</w:t>
            </w:r>
            <w:r>
              <w:rPr>
                <w:rFonts w:ascii="Times New Roman" w:hAnsi="Times New Roman"/>
                <w:sz w:val="28"/>
                <w:szCs w:val="28"/>
              </w:rPr>
              <w:t>51</w:t>
            </w:r>
            <w:r w:rsidRPr="00552C11">
              <w:rPr>
                <w:rFonts w:ascii="Century" w:hAnsi="Century"/>
                <w:sz w:val="28"/>
                <w:szCs w:val="28"/>
              </w:rPr>
              <w:t>±</w:t>
            </w:r>
            <w:r>
              <w:rPr>
                <w:rFonts w:ascii="Times New Roman" w:hAnsi="Times New Roman"/>
                <w:sz w:val="28"/>
                <w:szCs w:val="28"/>
              </w:rPr>
              <w:t>0</w:t>
            </w:r>
            <w:r w:rsidRPr="00552C11">
              <w:rPr>
                <w:rFonts w:ascii="Century" w:hAnsi="Century"/>
                <w:sz w:val="28"/>
                <w:szCs w:val="28"/>
              </w:rPr>
              <w:t>,</w:t>
            </w:r>
            <w:r>
              <w:rPr>
                <w:rFonts w:ascii="Times New Roman" w:hAnsi="Times New Roman"/>
                <w:sz w:val="28"/>
                <w:szCs w:val="28"/>
              </w:rPr>
              <w:t>27 (1</w:t>
            </w:r>
            <w:r w:rsidRPr="00552C11">
              <w:rPr>
                <w:rFonts w:ascii="Century" w:hAnsi="Century"/>
                <w:sz w:val="28"/>
                <w:szCs w:val="28"/>
              </w:rPr>
              <w:t>,</w:t>
            </w:r>
            <w:r>
              <w:rPr>
                <w:rFonts w:ascii="Times New Roman" w:hAnsi="Times New Roman"/>
                <w:sz w:val="28"/>
                <w:szCs w:val="28"/>
              </w:rPr>
              <w:t>32-1</w:t>
            </w:r>
            <w:r w:rsidRPr="00552C11">
              <w:rPr>
                <w:rFonts w:ascii="Century" w:hAnsi="Century"/>
                <w:sz w:val="28"/>
                <w:szCs w:val="28"/>
              </w:rPr>
              <w:t>,</w:t>
            </w:r>
            <w:r>
              <w:rPr>
                <w:rFonts w:ascii="Times New Roman" w:hAnsi="Times New Roman"/>
                <w:sz w:val="28"/>
                <w:szCs w:val="28"/>
              </w:rPr>
              <w:t>73)</w:t>
            </w:r>
          </w:p>
        </w:tc>
        <w:tc>
          <w:tcPr>
            <w:tcW w:w="1017"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w:t>
            </w:r>
            <w:r w:rsidRPr="00552C11">
              <w:rPr>
                <w:rFonts w:ascii="Century" w:hAnsi="Century"/>
                <w:sz w:val="28"/>
                <w:szCs w:val="28"/>
              </w:rPr>
              <w:t>,</w:t>
            </w:r>
            <w:r>
              <w:rPr>
                <w:rFonts w:ascii="Times New Roman" w:hAnsi="Times New Roman"/>
                <w:sz w:val="28"/>
                <w:szCs w:val="28"/>
              </w:rPr>
              <w:t>26</w:t>
            </w:r>
          </w:p>
        </w:tc>
      </w:tr>
      <w:tr w:rsidR="00201AC5" w:rsidTr="00552C1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апоВ</w:t>
            </w:r>
            <w:r w:rsidRPr="00552C11">
              <w:rPr>
                <w:rFonts w:ascii="Century" w:hAnsi="Century"/>
                <w:sz w:val="28"/>
                <w:szCs w:val="28"/>
              </w:rPr>
              <w:t>/</w:t>
            </w:r>
            <w:r>
              <w:rPr>
                <w:rFonts w:ascii="Times New Roman" w:hAnsi="Times New Roman"/>
                <w:sz w:val="28"/>
                <w:szCs w:val="28"/>
              </w:rPr>
              <w:t>апоА1</w:t>
            </w:r>
          </w:p>
        </w:tc>
        <w:tc>
          <w:tcPr>
            <w:tcW w:w="2835"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w:t>
            </w:r>
            <w:r w:rsidRPr="00552C11">
              <w:rPr>
                <w:rFonts w:ascii="Century" w:hAnsi="Century"/>
                <w:sz w:val="28"/>
                <w:szCs w:val="28"/>
              </w:rPr>
              <w:t>,</w:t>
            </w:r>
            <w:r>
              <w:rPr>
                <w:rFonts w:ascii="Times New Roman" w:hAnsi="Times New Roman"/>
                <w:sz w:val="28"/>
                <w:szCs w:val="28"/>
              </w:rPr>
              <w:t>49</w:t>
            </w:r>
            <w:r w:rsidRPr="00552C11">
              <w:rPr>
                <w:rFonts w:ascii="Century" w:hAnsi="Century"/>
                <w:sz w:val="28"/>
                <w:szCs w:val="28"/>
              </w:rPr>
              <w:t>±</w:t>
            </w:r>
            <w:r>
              <w:rPr>
                <w:rFonts w:ascii="Times New Roman" w:hAnsi="Times New Roman"/>
                <w:sz w:val="28"/>
                <w:szCs w:val="28"/>
              </w:rPr>
              <w:t>0</w:t>
            </w:r>
            <w:r w:rsidRPr="00552C11">
              <w:rPr>
                <w:rFonts w:ascii="Century" w:hAnsi="Century"/>
                <w:sz w:val="28"/>
                <w:szCs w:val="28"/>
              </w:rPr>
              <w:t>,</w:t>
            </w:r>
            <w:r>
              <w:rPr>
                <w:rFonts w:ascii="Times New Roman" w:hAnsi="Times New Roman"/>
                <w:sz w:val="28"/>
                <w:szCs w:val="28"/>
              </w:rPr>
              <w:t>17 (0</w:t>
            </w:r>
            <w:r w:rsidRPr="00552C11">
              <w:rPr>
                <w:rFonts w:ascii="Century" w:hAnsi="Century"/>
                <w:sz w:val="28"/>
                <w:szCs w:val="28"/>
              </w:rPr>
              <w:t>,</w:t>
            </w:r>
            <w:r>
              <w:rPr>
                <w:rFonts w:ascii="Times New Roman" w:hAnsi="Times New Roman"/>
                <w:sz w:val="28"/>
                <w:szCs w:val="28"/>
              </w:rPr>
              <w:t>42-0</w:t>
            </w:r>
            <w:r w:rsidRPr="00552C11">
              <w:rPr>
                <w:rFonts w:ascii="Century" w:hAnsi="Century"/>
                <w:sz w:val="28"/>
                <w:szCs w:val="28"/>
              </w:rPr>
              <w:t>,</w:t>
            </w:r>
            <w:r>
              <w:rPr>
                <w:rFonts w:ascii="Times New Roman" w:hAnsi="Times New Roman"/>
                <w:sz w:val="28"/>
                <w:szCs w:val="28"/>
              </w:rPr>
              <w:t>59)</w:t>
            </w:r>
          </w:p>
        </w:tc>
        <w:tc>
          <w:tcPr>
            <w:tcW w:w="2839"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w:t>
            </w:r>
            <w:r w:rsidRPr="00552C11">
              <w:rPr>
                <w:rFonts w:ascii="Century" w:hAnsi="Century"/>
                <w:sz w:val="28"/>
                <w:szCs w:val="28"/>
              </w:rPr>
              <w:t>,</w:t>
            </w:r>
            <w:r>
              <w:rPr>
                <w:rFonts w:ascii="Times New Roman" w:hAnsi="Times New Roman"/>
                <w:sz w:val="28"/>
                <w:szCs w:val="28"/>
              </w:rPr>
              <w:t>77</w:t>
            </w:r>
            <w:r w:rsidRPr="00552C11">
              <w:rPr>
                <w:rFonts w:ascii="Century" w:hAnsi="Century"/>
                <w:sz w:val="28"/>
                <w:szCs w:val="28"/>
              </w:rPr>
              <w:t>±</w:t>
            </w:r>
            <w:r>
              <w:rPr>
                <w:rFonts w:ascii="Times New Roman" w:hAnsi="Times New Roman"/>
                <w:sz w:val="28"/>
                <w:szCs w:val="28"/>
              </w:rPr>
              <w:t>0</w:t>
            </w:r>
            <w:r w:rsidRPr="00552C11">
              <w:rPr>
                <w:rFonts w:ascii="Century" w:hAnsi="Century"/>
                <w:sz w:val="28"/>
                <w:szCs w:val="28"/>
              </w:rPr>
              <w:t>,</w:t>
            </w:r>
            <w:r>
              <w:rPr>
                <w:rFonts w:ascii="Times New Roman" w:hAnsi="Times New Roman"/>
                <w:sz w:val="28"/>
                <w:szCs w:val="28"/>
              </w:rPr>
              <w:t>28 (0</w:t>
            </w:r>
            <w:r w:rsidRPr="00552C11">
              <w:rPr>
                <w:rFonts w:ascii="Century" w:hAnsi="Century"/>
                <w:sz w:val="28"/>
                <w:szCs w:val="28"/>
              </w:rPr>
              <w:t>,</w:t>
            </w:r>
            <w:r>
              <w:rPr>
                <w:rFonts w:ascii="Times New Roman" w:hAnsi="Times New Roman"/>
                <w:sz w:val="28"/>
                <w:szCs w:val="28"/>
              </w:rPr>
              <w:t>64-0</w:t>
            </w:r>
            <w:r w:rsidRPr="00552C11">
              <w:rPr>
                <w:rFonts w:ascii="Century" w:hAnsi="Century"/>
                <w:sz w:val="28"/>
                <w:szCs w:val="28"/>
              </w:rPr>
              <w:t>,</w:t>
            </w:r>
            <w:r>
              <w:rPr>
                <w:rFonts w:ascii="Times New Roman" w:hAnsi="Times New Roman"/>
                <w:sz w:val="28"/>
                <w:szCs w:val="28"/>
              </w:rPr>
              <w:t>92)</w:t>
            </w:r>
          </w:p>
        </w:tc>
        <w:tc>
          <w:tcPr>
            <w:tcW w:w="1017"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w:t>
            </w:r>
            <w:r w:rsidRPr="00552C11">
              <w:rPr>
                <w:rFonts w:ascii="Century" w:hAnsi="Century"/>
                <w:sz w:val="28"/>
                <w:szCs w:val="28"/>
              </w:rPr>
              <w:t>,</w:t>
            </w:r>
            <w:r>
              <w:rPr>
                <w:rFonts w:ascii="Times New Roman" w:hAnsi="Times New Roman"/>
                <w:sz w:val="28"/>
                <w:szCs w:val="28"/>
              </w:rPr>
              <w:t>0001</w:t>
            </w:r>
          </w:p>
        </w:tc>
      </w:tr>
      <w:tr w:rsidR="00201AC5" w:rsidTr="00552C1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Инсулин</w:t>
            </w:r>
            <w:r w:rsidRPr="00552C11">
              <w:rPr>
                <w:rFonts w:ascii="Century" w:hAnsi="Century"/>
                <w:sz w:val="28"/>
                <w:szCs w:val="28"/>
              </w:rPr>
              <w:t xml:space="preserve">, </w:t>
            </w:r>
            <w:r>
              <w:rPr>
                <w:rFonts w:ascii="Times New Roman" w:hAnsi="Times New Roman"/>
                <w:sz w:val="28"/>
                <w:szCs w:val="28"/>
              </w:rPr>
              <w:t>мкМЕ</w:t>
            </w:r>
            <w:r w:rsidRPr="00552C11">
              <w:rPr>
                <w:rFonts w:ascii="Century" w:hAnsi="Century"/>
                <w:sz w:val="28"/>
                <w:szCs w:val="28"/>
              </w:rPr>
              <w:t>/</w:t>
            </w:r>
            <w:r>
              <w:rPr>
                <w:rFonts w:ascii="Times New Roman" w:hAnsi="Times New Roman"/>
                <w:sz w:val="28"/>
                <w:szCs w:val="28"/>
              </w:rPr>
              <w:t>мл</w:t>
            </w:r>
          </w:p>
        </w:tc>
        <w:tc>
          <w:tcPr>
            <w:tcW w:w="2835"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7</w:t>
            </w:r>
            <w:r w:rsidRPr="00552C11">
              <w:rPr>
                <w:rFonts w:ascii="Century" w:hAnsi="Century"/>
                <w:sz w:val="28"/>
                <w:szCs w:val="28"/>
              </w:rPr>
              <w:t>,</w:t>
            </w:r>
            <w:r>
              <w:rPr>
                <w:rFonts w:ascii="Times New Roman" w:hAnsi="Times New Roman"/>
                <w:sz w:val="28"/>
                <w:szCs w:val="28"/>
              </w:rPr>
              <w:t>75</w:t>
            </w:r>
            <w:r w:rsidRPr="00552C11">
              <w:rPr>
                <w:rFonts w:ascii="Century" w:hAnsi="Century"/>
                <w:sz w:val="28"/>
                <w:szCs w:val="28"/>
              </w:rPr>
              <w:t>±</w:t>
            </w:r>
            <w:r>
              <w:rPr>
                <w:rFonts w:ascii="Times New Roman" w:hAnsi="Times New Roman"/>
                <w:sz w:val="28"/>
                <w:szCs w:val="28"/>
              </w:rPr>
              <w:t>8</w:t>
            </w:r>
            <w:r w:rsidRPr="00552C11">
              <w:rPr>
                <w:rFonts w:ascii="Century" w:hAnsi="Century"/>
                <w:sz w:val="28"/>
                <w:szCs w:val="28"/>
              </w:rPr>
              <w:t>,</w:t>
            </w:r>
            <w:r>
              <w:rPr>
                <w:rFonts w:ascii="Times New Roman" w:hAnsi="Times New Roman"/>
                <w:sz w:val="28"/>
                <w:szCs w:val="28"/>
              </w:rPr>
              <w:t>45 (4</w:t>
            </w:r>
            <w:r w:rsidRPr="00552C11">
              <w:rPr>
                <w:rFonts w:ascii="Century" w:hAnsi="Century"/>
                <w:sz w:val="28"/>
                <w:szCs w:val="28"/>
              </w:rPr>
              <w:t>,</w:t>
            </w:r>
            <w:r>
              <w:rPr>
                <w:rFonts w:ascii="Times New Roman" w:hAnsi="Times New Roman"/>
                <w:sz w:val="28"/>
                <w:szCs w:val="28"/>
              </w:rPr>
              <w:t>9-13</w:t>
            </w:r>
            <w:r w:rsidRPr="00552C11">
              <w:rPr>
                <w:rFonts w:ascii="Century" w:hAnsi="Century"/>
                <w:sz w:val="28"/>
                <w:szCs w:val="28"/>
              </w:rPr>
              <w:t>,</w:t>
            </w:r>
            <w:r>
              <w:rPr>
                <w:rFonts w:ascii="Times New Roman" w:hAnsi="Times New Roman"/>
                <w:sz w:val="28"/>
                <w:szCs w:val="28"/>
              </w:rPr>
              <w:t>35)</w:t>
            </w:r>
          </w:p>
        </w:tc>
        <w:tc>
          <w:tcPr>
            <w:tcW w:w="2839"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9</w:t>
            </w:r>
            <w:r w:rsidRPr="00552C11">
              <w:rPr>
                <w:rFonts w:ascii="Century" w:hAnsi="Century"/>
                <w:sz w:val="28"/>
                <w:szCs w:val="28"/>
              </w:rPr>
              <w:t>,</w:t>
            </w:r>
            <w:r>
              <w:rPr>
                <w:rFonts w:ascii="Times New Roman" w:hAnsi="Times New Roman"/>
                <w:sz w:val="28"/>
                <w:szCs w:val="28"/>
              </w:rPr>
              <w:t>9</w:t>
            </w:r>
            <w:r w:rsidRPr="00552C11">
              <w:rPr>
                <w:rFonts w:ascii="Century" w:hAnsi="Century"/>
                <w:sz w:val="28"/>
                <w:szCs w:val="28"/>
              </w:rPr>
              <w:t>±</w:t>
            </w:r>
            <w:r>
              <w:rPr>
                <w:rFonts w:ascii="Times New Roman" w:hAnsi="Times New Roman"/>
                <w:sz w:val="28"/>
                <w:szCs w:val="28"/>
              </w:rPr>
              <w:t>8</w:t>
            </w:r>
            <w:r w:rsidRPr="00552C11">
              <w:rPr>
                <w:rFonts w:ascii="Century" w:hAnsi="Century"/>
                <w:sz w:val="28"/>
                <w:szCs w:val="28"/>
              </w:rPr>
              <w:t>,</w:t>
            </w:r>
            <w:r>
              <w:rPr>
                <w:rFonts w:ascii="Times New Roman" w:hAnsi="Times New Roman"/>
                <w:sz w:val="28"/>
                <w:szCs w:val="28"/>
              </w:rPr>
              <w:t>45 (6</w:t>
            </w:r>
            <w:r w:rsidRPr="00552C11">
              <w:rPr>
                <w:rFonts w:ascii="Century" w:hAnsi="Century"/>
                <w:sz w:val="28"/>
                <w:szCs w:val="28"/>
              </w:rPr>
              <w:t>,</w:t>
            </w:r>
            <w:r>
              <w:rPr>
                <w:rFonts w:ascii="Times New Roman" w:hAnsi="Times New Roman"/>
                <w:sz w:val="28"/>
                <w:szCs w:val="28"/>
              </w:rPr>
              <w:t>85</w:t>
            </w:r>
            <w:r w:rsidRPr="00552C11">
              <w:rPr>
                <w:rFonts w:ascii="Century" w:hAnsi="Century"/>
                <w:sz w:val="28"/>
                <w:szCs w:val="28"/>
              </w:rPr>
              <w:t>-</w:t>
            </w:r>
            <w:r>
              <w:rPr>
                <w:rFonts w:ascii="Times New Roman" w:hAnsi="Times New Roman"/>
                <w:sz w:val="28"/>
                <w:szCs w:val="28"/>
              </w:rPr>
              <w:t>15</w:t>
            </w:r>
            <w:r w:rsidRPr="00552C11">
              <w:rPr>
                <w:rFonts w:ascii="Century" w:hAnsi="Century"/>
                <w:sz w:val="28"/>
                <w:szCs w:val="28"/>
              </w:rPr>
              <w:t>,</w:t>
            </w:r>
            <w:r>
              <w:rPr>
                <w:rFonts w:ascii="Times New Roman" w:hAnsi="Times New Roman"/>
                <w:sz w:val="28"/>
                <w:szCs w:val="28"/>
              </w:rPr>
              <w:t>3)</w:t>
            </w:r>
          </w:p>
        </w:tc>
        <w:tc>
          <w:tcPr>
            <w:tcW w:w="1017"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w:t>
            </w:r>
            <w:r w:rsidRPr="00552C11">
              <w:rPr>
                <w:rFonts w:ascii="Century" w:hAnsi="Century"/>
                <w:sz w:val="28"/>
                <w:szCs w:val="28"/>
              </w:rPr>
              <w:t>,</w:t>
            </w:r>
            <w:r>
              <w:rPr>
                <w:rFonts w:ascii="Times New Roman" w:hAnsi="Times New Roman"/>
                <w:sz w:val="28"/>
                <w:szCs w:val="28"/>
              </w:rPr>
              <w:t>0001</w:t>
            </w:r>
          </w:p>
        </w:tc>
      </w:tr>
      <w:tr w:rsidR="00201AC5" w:rsidTr="00552C1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глюкоза, ммоль/л</w:t>
            </w:r>
          </w:p>
        </w:tc>
        <w:tc>
          <w:tcPr>
            <w:tcW w:w="2835"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5,49±2,0 (4,3-6,3)</w:t>
            </w:r>
          </w:p>
        </w:tc>
        <w:tc>
          <w:tcPr>
            <w:tcW w:w="2839"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5,56±1,94 (4,49-6,43)</w:t>
            </w:r>
          </w:p>
        </w:tc>
        <w:tc>
          <w:tcPr>
            <w:tcW w:w="1017"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0,39</w:t>
            </w:r>
          </w:p>
        </w:tc>
      </w:tr>
      <w:tr w:rsidR="00201AC5" w:rsidTr="00552C11">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201AC5" w:rsidRDefault="00201AC5" w:rsidP="00E6013D">
            <w:pPr>
              <w:jc w:val="center"/>
              <w:rPr>
                <w:rFonts w:ascii="Times New Roman" w:hAnsi="Times New Roman"/>
                <w:sz w:val="28"/>
                <w:szCs w:val="28"/>
              </w:rPr>
            </w:pPr>
            <w:r>
              <w:rPr>
                <w:rFonts w:ascii="Times New Roman" w:hAnsi="Times New Roman"/>
                <w:sz w:val="28"/>
                <w:szCs w:val="28"/>
              </w:rPr>
              <w:t>HOMA-IR</w:t>
            </w:r>
          </w:p>
        </w:tc>
        <w:tc>
          <w:tcPr>
            <w:tcW w:w="2835"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1,7±2,32 (1,05-3,38)</w:t>
            </w:r>
          </w:p>
        </w:tc>
        <w:tc>
          <w:tcPr>
            <w:tcW w:w="2839"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pPr>
            <w:r>
              <w:rPr>
                <w:rFonts w:ascii="Times New Roman" w:hAnsi="Times New Roman"/>
                <w:sz w:val="28"/>
                <w:szCs w:val="28"/>
              </w:rPr>
              <w:t>2,44±2,4 (1,52-3,93)</w:t>
            </w:r>
          </w:p>
        </w:tc>
        <w:tc>
          <w:tcPr>
            <w:tcW w:w="1017" w:type="dxa"/>
            <w:tcBorders>
              <w:top w:val="single" w:sz="4" w:space="0" w:color="auto"/>
              <w:left w:val="single" w:sz="4" w:space="0" w:color="auto"/>
              <w:bottom w:val="single" w:sz="4" w:space="0" w:color="auto"/>
              <w:right w:val="single" w:sz="4" w:space="0" w:color="auto"/>
            </w:tcBorders>
            <w:hideMark/>
          </w:tcPr>
          <w:p w:rsidR="00201AC5" w:rsidRDefault="00201AC5" w:rsidP="00E6013D">
            <w:pPr>
              <w:jc w:val="center"/>
              <w:rPr>
                <w:rFonts w:ascii="Times New Roman" w:hAnsi="Times New Roman"/>
                <w:sz w:val="28"/>
                <w:szCs w:val="28"/>
              </w:rPr>
            </w:pPr>
            <w:r>
              <w:rPr>
                <w:rFonts w:ascii="Times New Roman" w:hAnsi="Times New Roman"/>
                <w:sz w:val="28"/>
                <w:szCs w:val="28"/>
              </w:rPr>
              <w:t>0,0001</w:t>
            </w:r>
          </w:p>
        </w:tc>
      </w:tr>
      <w:tr w:rsidR="00201AC5" w:rsidTr="00E6013D">
        <w:trPr>
          <w:trHeight w:val="442"/>
        </w:trPr>
        <w:tc>
          <w:tcPr>
            <w:tcW w:w="9243" w:type="dxa"/>
            <w:gridSpan w:val="4"/>
            <w:tcBorders>
              <w:top w:val="single" w:sz="4" w:space="0" w:color="auto"/>
              <w:left w:val="single" w:sz="4" w:space="0" w:color="auto"/>
              <w:bottom w:val="single" w:sz="4" w:space="0" w:color="auto"/>
              <w:right w:val="single" w:sz="4" w:space="0" w:color="auto"/>
            </w:tcBorders>
            <w:hideMark/>
          </w:tcPr>
          <w:p w:rsidR="003A20F7" w:rsidRDefault="00201AC5" w:rsidP="00E6013D">
            <w:pPr>
              <w:jc w:val="both"/>
              <w:rPr>
                <w:rFonts w:ascii="Times New Roman" w:hAnsi="Times New Roman"/>
                <w:szCs w:val="20"/>
                <w:lang w:val="kk-KZ"/>
              </w:rPr>
            </w:pPr>
            <w:r>
              <w:rPr>
                <w:rFonts w:ascii="Times New Roman" w:hAnsi="Times New Roman"/>
                <w:szCs w:val="20"/>
              </w:rPr>
              <w:t xml:space="preserve">Примечание *Критерий Манна-Уитни; </w:t>
            </w:r>
          </w:p>
          <w:p w:rsidR="00201AC5" w:rsidRDefault="00201AC5" w:rsidP="00E6013D">
            <w:pPr>
              <w:jc w:val="both"/>
              <w:rPr>
                <w:rFonts w:ascii="Times New Roman" w:hAnsi="Times New Roman"/>
                <w:sz w:val="20"/>
                <w:szCs w:val="20"/>
              </w:rPr>
            </w:pPr>
            <w:r>
              <w:rPr>
                <w:rFonts w:ascii="Times New Roman" w:hAnsi="Times New Roman"/>
                <w:szCs w:val="20"/>
              </w:rPr>
              <w:t>Ме±IQR (Q1 – Q3) – Медиана ± межквартильный диапазон (1 квартиль – 3 квартиль)</w:t>
            </w:r>
          </w:p>
        </w:tc>
      </w:tr>
    </w:tbl>
    <w:p w:rsidR="00201AC5" w:rsidRDefault="00201AC5" w:rsidP="00201AC5">
      <w:pPr>
        <w:spacing w:after="0" w:line="240" w:lineRule="auto"/>
        <w:ind w:firstLine="708"/>
        <w:jc w:val="both"/>
        <w:rPr>
          <w:rFonts w:ascii="Times New Roman" w:hAnsi="Times New Roman" w:cs="Times New Roman"/>
          <w:sz w:val="28"/>
          <w:szCs w:val="28"/>
        </w:rPr>
      </w:pPr>
    </w:p>
    <w:p w:rsidR="00201AC5" w:rsidRDefault="00201AC5" w:rsidP="00201AC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 оценке взаимосвязи между группами апоВ и биохимическими показателями было</w:t>
      </w:r>
      <w:r w:rsidR="003D3C5A">
        <w:rPr>
          <w:rFonts w:ascii="Times New Roman" w:hAnsi="Times New Roman" w:cs="Times New Roman"/>
          <w:sz w:val="28"/>
          <w:szCs w:val="28"/>
        </w:rPr>
        <w:t xml:space="preserve"> </w:t>
      </w:r>
      <w:r>
        <w:rPr>
          <w:rFonts w:ascii="Times New Roman" w:hAnsi="Times New Roman" w:cs="Times New Roman"/>
          <w:sz w:val="28"/>
          <w:szCs w:val="28"/>
          <w:lang w:val="kk-KZ"/>
        </w:rPr>
        <w:t>показано</w:t>
      </w:r>
      <w:r>
        <w:rPr>
          <w:rFonts w:ascii="Times New Roman" w:hAnsi="Times New Roman" w:cs="Times New Roman"/>
          <w:sz w:val="28"/>
          <w:szCs w:val="28"/>
        </w:rPr>
        <w:t xml:space="preserve">, что уровень апоВ связан с уровнями ОХС, ТГ, </w:t>
      </w:r>
      <w:r w:rsidR="000B4752">
        <w:rPr>
          <w:rFonts w:ascii="Times New Roman" w:hAnsi="Times New Roman" w:cs="Times New Roman"/>
          <w:sz w:val="28"/>
          <w:szCs w:val="28"/>
          <w:lang w:val="kk-KZ"/>
        </w:rPr>
        <w:lastRenderedPageBreak/>
        <w:t xml:space="preserve">значениями </w:t>
      </w:r>
      <w:r>
        <w:rPr>
          <w:rFonts w:ascii="Times New Roman" w:hAnsi="Times New Roman" w:cs="Times New Roman"/>
          <w:sz w:val="28"/>
          <w:szCs w:val="28"/>
        </w:rPr>
        <w:t xml:space="preserve">апоВ/апоА1 и </w:t>
      </w:r>
      <w:r>
        <w:rPr>
          <w:rFonts w:ascii="Times New Roman" w:hAnsi="Times New Roman"/>
          <w:sz w:val="28"/>
          <w:szCs w:val="28"/>
        </w:rPr>
        <w:t>HOMA-IR</w:t>
      </w:r>
      <w:r>
        <w:rPr>
          <w:rFonts w:ascii="Times New Roman" w:hAnsi="Times New Roman" w:cs="Times New Roman"/>
          <w:sz w:val="28"/>
          <w:szCs w:val="28"/>
        </w:rPr>
        <w:t xml:space="preserve"> (таблица 27). Шанс развития гипераполипопротеинемии В при гиперхолестеринемии повышался в 3,28 раза по сравнению с нормальным уровнем ОХС. Также при гипертриглицеридемии шанс развития гипераполипопротеинемии В повышался на 5,92 раза, а при повышенным </w:t>
      </w:r>
      <w:r w:rsidR="00FE18B8">
        <w:rPr>
          <w:rFonts w:ascii="Times New Roman" w:hAnsi="Times New Roman" w:cs="Times New Roman"/>
          <w:sz w:val="28"/>
          <w:szCs w:val="28"/>
          <w:lang w:val="kk-KZ"/>
        </w:rPr>
        <w:t>значения</w:t>
      </w:r>
      <w:r>
        <w:rPr>
          <w:rFonts w:ascii="Times New Roman" w:hAnsi="Times New Roman" w:cs="Times New Roman"/>
          <w:sz w:val="28"/>
          <w:szCs w:val="28"/>
        </w:rPr>
        <w:t xml:space="preserve"> апоВ/апоА1 – в 10,35 раз. </w:t>
      </w:r>
    </w:p>
    <w:p w:rsidR="003422CB" w:rsidRDefault="003422CB" w:rsidP="003422CB">
      <w:pPr>
        <w:spacing w:after="0" w:line="240" w:lineRule="auto"/>
        <w:jc w:val="both"/>
        <w:rPr>
          <w:rFonts w:ascii="Times New Roman" w:hAnsi="Times New Roman" w:cs="Times New Roman"/>
          <w:sz w:val="28"/>
          <w:szCs w:val="28"/>
          <w:lang w:val="kk-KZ"/>
        </w:rPr>
      </w:pPr>
    </w:p>
    <w:p w:rsidR="00AB12B3" w:rsidRDefault="00AB12B3" w:rsidP="003422CB">
      <w:pPr>
        <w:spacing w:after="0" w:line="240" w:lineRule="auto"/>
        <w:jc w:val="both"/>
        <w:rPr>
          <w:rFonts w:ascii="Times New Roman" w:hAnsi="Times New Roman"/>
          <w:sz w:val="28"/>
          <w:szCs w:val="28"/>
          <w:lang w:val="kk-KZ"/>
        </w:rPr>
      </w:pPr>
      <w:r>
        <w:rPr>
          <w:rFonts w:ascii="Times New Roman" w:hAnsi="Times New Roman" w:cs="Times New Roman"/>
          <w:sz w:val="28"/>
          <w:szCs w:val="28"/>
        </w:rPr>
        <w:t xml:space="preserve">Таблица 27 </w:t>
      </w:r>
      <w:r w:rsidR="003422CB">
        <w:rPr>
          <w:rFonts w:ascii="Times New Roman" w:hAnsi="Times New Roman" w:cs="Times New Roman"/>
          <w:sz w:val="28"/>
          <w:szCs w:val="28"/>
          <w:lang w:val="kk-KZ"/>
        </w:rPr>
        <w:t xml:space="preserve">- </w:t>
      </w:r>
      <w:r>
        <w:rPr>
          <w:rFonts w:ascii="Times New Roman" w:hAnsi="Times New Roman" w:cs="Times New Roman"/>
          <w:sz w:val="28"/>
          <w:szCs w:val="28"/>
        </w:rPr>
        <w:t>Распределение биохимических показателей</w:t>
      </w:r>
      <w:r w:rsidR="000845EA">
        <w:rPr>
          <w:rFonts w:ascii="Times New Roman" w:hAnsi="Times New Roman" w:cs="Times New Roman"/>
          <w:sz w:val="28"/>
          <w:szCs w:val="28"/>
        </w:rPr>
        <w:t xml:space="preserve"> </w:t>
      </w:r>
      <w:r>
        <w:rPr>
          <w:rFonts w:ascii="Times New Roman" w:hAnsi="Times New Roman" w:cs="Times New Roman"/>
          <w:sz w:val="28"/>
          <w:szCs w:val="28"/>
        </w:rPr>
        <w:t>по группам апо</w:t>
      </w:r>
      <w:r w:rsidR="0001649C">
        <w:rPr>
          <w:rFonts w:ascii="Times New Roman" w:hAnsi="Times New Roman" w:cs="Times New Roman"/>
          <w:sz w:val="28"/>
          <w:szCs w:val="28"/>
        </w:rPr>
        <w:t>липопротеина</w:t>
      </w:r>
      <w:r w:rsidR="007E713D">
        <w:rPr>
          <w:rFonts w:ascii="Times New Roman" w:hAnsi="Times New Roman" w:cs="Times New Roman"/>
          <w:sz w:val="28"/>
          <w:szCs w:val="28"/>
        </w:rPr>
        <w:t xml:space="preserve"> </w:t>
      </w:r>
      <w:r>
        <w:rPr>
          <w:rFonts w:ascii="Times New Roman" w:hAnsi="Times New Roman" w:cs="Times New Roman"/>
          <w:sz w:val="28"/>
          <w:szCs w:val="28"/>
        </w:rPr>
        <w:t>В</w:t>
      </w:r>
      <w:r w:rsidR="00B36702">
        <w:rPr>
          <w:rFonts w:ascii="Times New Roman" w:hAnsi="Times New Roman" w:cs="Times New Roman"/>
          <w:sz w:val="28"/>
          <w:szCs w:val="28"/>
        </w:rPr>
        <w:t xml:space="preserve"> </w:t>
      </w:r>
      <w:r w:rsidR="00DA472A">
        <w:rPr>
          <w:rFonts w:ascii="Times New Roman" w:hAnsi="Times New Roman" w:cs="Times New Roman"/>
          <w:sz w:val="28"/>
          <w:szCs w:val="28"/>
        </w:rPr>
        <w:t>(</w:t>
      </w:r>
      <w:r>
        <w:rPr>
          <w:rFonts w:ascii="Times New Roman" w:hAnsi="Times New Roman"/>
          <w:sz w:val="28"/>
          <w:szCs w:val="28"/>
        </w:rPr>
        <w:t>n=507</w:t>
      </w:r>
      <w:r w:rsidR="00DA472A">
        <w:rPr>
          <w:rFonts w:ascii="Times New Roman" w:hAnsi="Times New Roman"/>
          <w:sz w:val="28"/>
          <w:szCs w:val="28"/>
        </w:rPr>
        <w:t>)</w:t>
      </w:r>
    </w:p>
    <w:p w:rsidR="00B324BD" w:rsidRPr="00B324BD" w:rsidRDefault="00B324BD" w:rsidP="003422CB">
      <w:pPr>
        <w:spacing w:after="0" w:line="240" w:lineRule="auto"/>
        <w:jc w:val="both"/>
        <w:rPr>
          <w:rFonts w:ascii="Times New Roman" w:hAnsi="Times New Roman"/>
          <w:sz w:val="28"/>
          <w:szCs w:val="28"/>
          <w:lang w:val="kk-KZ"/>
        </w:rPr>
      </w:pPr>
    </w:p>
    <w:tbl>
      <w:tblPr>
        <w:tblStyle w:val="af7"/>
        <w:tblW w:w="9495" w:type="dxa"/>
        <w:tblInd w:w="108" w:type="dxa"/>
        <w:tblLayout w:type="fixed"/>
        <w:tblLook w:val="04A0" w:firstRow="1" w:lastRow="0" w:firstColumn="1" w:lastColumn="0" w:noHBand="0" w:noVBand="1"/>
      </w:tblPr>
      <w:tblGrid>
        <w:gridCol w:w="2439"/>
        <w:gridCol w:w="1559"/>
        <w:gridCol w:w="992"/>
        <w:gridCol w:w="851"/>
        <w:gridCol w:w="2523"/>
        <w:gridCol w:w="1131"/>
      </w:tblGrid>
      <w:tr w:rsidR="00AB12B3" w:rsidTr="00937C90">
        <w:trPr>
          <w:trHeight w:val="385"/>
        </w:trPr>
        <w:tc>
          <w:tcPr>
            <w:tcW w:w="3998"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1843" w:type="dxa"/>
            <w:gridSpan w:val="2"/>
            <w:tcBorders>
              <w:top w:val="single" w:sz="4" w:space="0" w:color="auto"/>
              <w:left w:val="single" w:sz="4" w:space="0" w:color="auto"/>
              <w:bottom w:val="single" w:sz="4" w:space="0" w:color="auto"/>
              <w:right w:val="single" w:sz="4" w:space="0" w:color="auto"/>
            </w:tcBorders>
          </w:tcPr>
          <w:p w:rsidR="00AB12B3" w:rsidRDefault="00AB12B3">
            <w:pPr>
              <w:jc w:val="center"/>
              <w:rPr>
                <w:rFonts w:ascii="Times New Roman" w:hAnsi="Times New Roman"/>
                <w:sz w:val="28"/>
                <w:szCs w:val="28"/>
              </w:rPr>
            </w:pPr>
            <w:r>
              <w:rPr>
                <w:rFonts w:ascii="Times New Roman" w:hAnsi="Times New Roman"/>
                <w:sz w:val="28"/>
                <w:szCs w:val="28"/>
              </w:rPr>
              <w:t>апоВ, г/л</w:t>
            </w:r>
          </w:p>
          <w:p w:rsidR="00AB12B3" w:rsidRDefault="00AB12B3">
            <w:pPr>
              <w:jc w:val="center"/>
              <w:rPr>
                <w:rFonts w:ascii="Times New Roman" w:hAnsi="Times New Roman"/>
                <w:sz w:val="28"/>
                <w:szCs w:val="28"/>
              </w:rPr>
            </w:pPr>
          </w:p>
        </w:tc>
        <w:tc>
          <w:tcPr>
            <w:tcW w:w="252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ОШ (95% ДИ)</w:t>
            </w:r>
          </w:p>
        </w:tc>
        <w:tc>
          <w:tcPr>
            <w:tcW w:w="1131"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937C90">
        <w:trPr>
          <w:trHeight w:val="387"/>
        </w:trPr>
        <w:tc>
          <w:tcPr>
            <w:tcW w:w="3998" w:type="dxa"/>
            <w:gridSpan w:val="2"/>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&lt;0,9n</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 n</w:t>
            </w:r>
          </w:p>
        </w:tc>
        <w:tc>
          <w:tcPr>
            <w:tcW w:w="252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937C90">
        <w:trPr>
          <w:trHeight w:val="330"/>
        </w:trPr>
        <w:tc>
          <w:tcPr>
            <w:tcW w:w="2439"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ОХС, ммоль/л</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≤4,9 </w:t>
            </w:r>
          </w:p>
        </w:tc>
        <w:tc>
          <w:tcPr>
            <w:tcW w:w="992" w:type="dxa"/>
            <w:tcBorders>
              <w:top w:val="single" w:sz="4" w:space="0" w:color="auto"/>
              <w:left w:val="single" w:sz="4" w:space="0" w:color="auto"/>
              <w:bottom w:val="single" w:sz="4" w:space="0" w:color="auto"/>
              <w:right w:val="single" w:sz="4" w:space="0" w:color="auto"/>
            </w:tcBorders>
            <w:hideMark/>
          </w:tcPr>
          <w:p w:rsidR="00AB12B3" w:rsidRPr="00D5019F" w:rsidRDefault="00AB12B3">
            <w:pPr>
              <w:jc w:val="center"/>
              <w:rPr>
                <w:rFonts w:ascii="Times New Roman" w:hAnsi="Times New Roman"/>
                <w:color w:val="000000" w:themeColor="text1"/>
                <w:sz w:val="28"/>
                <w:szCs w:val="28"/>
              </w:rPr>
            </w:pPr>
            <w:r w:rsidRPr="00D5019F">
              <w:rPr>
                <w:rFonts w:ascii="Times New Roman" w:hAnsi="Times New Roman"/>
                <w:color w:val="000000" w:themeColor="text1"/>
                <w:sz w:val="28"/>
                <w:szCs w:val="28"/>
              </w:rPr>
              <w:t>187</w:t>
            </w:r>
          </w:p>
        </w:tc>
        <w:tc>
          <w:tcPr>
            <w:tcW w:w="851" w:type="dxa"/>
            <w:tcBorders>
              <w:top w:val="single" w:sz="4" w:space="0" w:color="auto"/>
              <w:left w:val="single" w:sz="4" w:space="0" w:color="auto"/>
              <w:bottom w:val="single" w:sz="4" w:space="0" w:color="auto"/>
              <w:right w:val="single" w:sz="4" w:space="0" w:color="auto"/>
            </w:tcBorders>
            <w:hideMark/>
          </w:tcPr>
          <w:p w:rsidR="00AB12B3" w:rsidRPr="00D5019F" w:rsidRDefault="00AB12B3">
            <w:pPr>
              <w:jc w:val="center"/>
              <w:rPr>
                <w:rFonts w:ascii="Times New Roman" w:hAnsi="Times New Roman"/>
                <w:color w:val="000000" w:themeColor="text1"/>
                <w:sz w:val="28"/>
                <w:szCs w:val="28"/>
              </w:rPr>
            </w:pPr>
            <w:r w:rsidRPr="00D5019F">
              <w:rPr>
                <w:rFonts w:ascii="Times New Roman" w:hAnsi="Times New Roman"/>
                <w:color w:val="000000" w:themeColor="text1"/>
                <w:sz w:val="28"/>
                <w:szCs w:val="28"/>
              </w:rPr>
              <w:t>259</w:t>
            </w:r>
          </w:p>
        </w:tc>
        <w:tc>
          <w:tcPr>
            <w:tcW w:w="252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937C90">
        <w:trPr>
          <w:trHeight w:val="330"/>
        </w:trPr>
        <w:tc>
          <w:tcPr>
            <w:tcW w:w="2439"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&gt;4,9 </w:t>
            </w:r>
          </w:p>
        </w:tc>
        <w:tc>
          <w:tcPr>
            <w:tcW w:w="992" w:type="dxa"/>
            <w:tcBorders>
              <w:top w:val="single" w:sz="4" w:space="0" w:color="auto"/>
              <w:left w:val="single" w:sz="4" w:space="0" w:color="auto"/>
              <w:bottom w:val="single" w:sz="4" w:space="0" w:color="auto"/>
              <w:right w:val="single" w:sz="4" w:space="0" w:color="auto"/>
            </w:tcBorders>
            <w:hideMark/>
          </w:tcPr>
          <w:p w:rsidR="00AB12B3" w:rsidRPr="00D5019F" w:rsidRDefault="00AB12B3">
            <w:pPr>
              <w:jc w:val="center"/>
              <w:rPr>
                <w:rFonts w:ascii="Times New Roman" w:hAnsi="Times New Roman"/>
                <w:color w:val="000000" w:themeColor="text1"/>
                <w:sz w:val="28"/>
                <w:szCs w:val="28"/>
              </w:rPr>
            </w:pPr>
            <w:r w:rsidRPr="00D5019F">
              <w:rPr>
                <w:rFonts w:ascii="Times New Roman" w:hAnsi="Times New Roman"/>
                <w:color w:val="000000" w:themeColor="text1"/>
                <w:sz w:val="28"/>
                <w:szCs w:val="28"/>
              </w:rPr>
              <w:t>11</w:t>
            </w:r>
          </w:p>
        </w:tc>
        <w:tc>
          <w:tcPr>
            <w:tcW w:w="851" w:type="dxa"/>
            <w:tcBorders>
              <w:top w:val="single" w:sz="4" w:space="0" w:color="auto"/>
              <w:left w:val="single" w:sz="4" w:space="0" w:color="auto"/>
              <w:bottom w:val="single" w:sz="4" w:space="0" w:color="auto"/>
              <w:right w:val="single" w:sz="4" w:space="0" w:color="auto"/>
            </w:tcBorders>
            <w:hideMark/>
          </w:tcPr>
          <w:p w:rsidR="00AB12B3" w:rsidRPr="00D5019F" w:rsidRDefault="00AB12B3">
            <w:pPr>
              <w:jc w:val="center"/>
              <w:rPr>
                <w:rFonts w:ascii="Times New Roman" w:hAnsi="Times New Roman"/>
                <w:color w:val="000000" w:themeColor="text1"/>
                <w:sz w:val="28"/>
                <w:szCs w:val="28"/>
              </w:rPr>
            </w:pPr>
            <w:r w:rsidRPr="00D5019F">
              <w:rPr>
                <w:rFonts w:ascii="Times New Roman" w:hAnsi="Times New Roman"/>
                <w:color w:val="000000" w:themeColor="text1"/>
                <w:sz w:val="28"/>
                <w:szCs w:val="28"/>
              </w:rPr>
              <w:t>50</w:t>
            </w:r>
          </w:p>
        </w:tc>
        <w:tc>
          <w:tcPr>
            <w:tcW w:w="252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3,28 (1,66-6,47)</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937C90">
        <w:trPr>
          <w:trHeight w:val="330"/>
        </w:trPr>
        <w:tc>
          <w:tcPr>
            <w:tcW w:w="2439"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ТГ, ммоль/л</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180</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194</w:t>
            </w:r>
          </w:p>
        </w:tc>
        <w:tc>
          <w:tcPr>
            <w:tcW w:w="252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937C90">
        <w:trPr>
          <w:trHeight w:val="330"/>
        </w:trPr>
        <w:tc>
          <w:tcPr>
            <w:tcW w:w="2439"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&gt;1,7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18</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115</w:t>
            </w:r>
          </w:p>
        </w:tc>
        <w:tc>
          <w:tcPr>
            <w:tcW w:w="252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5,92 (3,47-10,14)</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105E91" w:rsidTr="00937C90">
        <w:trPr>
          <w:trHeight w:val="330"/>
        </w:trPr>
        <w:tc>
          <w:tcPr>
            <w:tcW w:w="2439" w:type="dxa"/>
            <w:vMerge w:val="restart"/>
            <w:tcBorders>
              <w:top w:val="single" w:sz="4" w:space="0" w:color="auto"/>
              <w:left w:val="single" w:sz="4" w:space="0" w:color="auto"/>
              <w:right w:val="single" w:sz="4" w:space="0" w:color="auto"/>
            </w:tcBorders>
            <w:vAlign w:val="center"/>
          </w:tcPr>
          <w:p w:rsidR="00105E91" w:rsidRDefault="00105E91" w:rsidP="00F66CAF">
            <w:pPr>
              <w:jc w:val="center"/>
              <w:rPr>
                <w:rFonts w:ascii="Times New Roman" w:hAnsi="Times New Roman"/>
                <w:sz w:val="28"/>
                <w:szCs w:val="28"/>
              </w:rPr>
            </w:pPr>
            <w:r>
              <w:rPr>
                <w:rFonts w:ascii="Times New Roman" w:hAnsi="Times New Roman"/>
                <w:sz w:val="28"/>
                <w:szCs w:val="28"/>
              </w:rPr>
              <w:t xml:space="preserve">ЛПНП, ммоль/л </w:t>
            </w:r>
          </w:p>
        </w:tc>
        <w:tc>
          <w:tcPr>
            <w:tcW w:w="1559" w:type="dxa"/>
            <w:tcBorders>
              <w:top w:val="single" w:sz="4" w:space="0" w:color="auto"/>
              <w:left w:val="single" w:sz="4" w:space="0" w:color="auto"/>
              <w:bottom w:val="single" w:sz="4" w:space="0" w:color="auto"/>
              <w:right w:val="single" w:sz="4" w:space="0" w:color="auto"/>
            </w:tcBorders>
          </w:tcPr>
          <w:p w:rsidR="00105E91" w:rsidRDefault="00105E91" w:rsidP="00F66CAF">
            <w:pPr>
              <w:jc w:val="center"/>
              <w:rPr>
                <w:rFonts w:ascii="Times New Roman" w:hAnsi="Times New Roman"/>
                <w:sz w:val="28"/>
                <w:szCs w:val="28"/>
              </w:rPr>
            </w:pPr>
            <w:r>
              <w:rPr>
                <w:rFonts w:ascii="Times New Roman" w:hAnsi="Times New Roman"/>
                <w:sz w:val="28"/>
                <w:szCs w:val="28"/>
              </w:rPr>
              <w:t>≤3,0</w:t>
            </w:r>
          </w:p>
        </w:tc>
        <w:tc>
          <w:tcPr>
            <w:tcW w:w="992" w:type="dxa"/>
            <w:tcBorders>
              <w:top w:val="single" w:sz="4" w:space="0" w:color="auto"/>
              <w:left w:val="single" w:sz="4" w:space="0" w:color="auto"/>
              <w:bottom w:val="single" w:sz="4" w:space="0" w:color="auto"/>
              <w:right w:val="single" w:sz="4" w:space="0" w:color="auto"/>
            </w:tcBorders>
          </w:tcPr>
          <w:p w:rsidR="00105E91" w:rsidRDefault="00105E91" w:rsidP="00F66CAF">
            <w:pPr>
              <w:jc w:val="center"/>
              <w:rPr>
                <w:rFonts w:ascii="Times New Roman" w:hAnsi="Times New Roman"/>
                <w:sz w:val="28"/>
                <w:szCs w:val="28"/>
              </w:rPr>
            </w:pPr>
            <w:r>
              <w:rPr>
                <w:rFonts w:ascii="Times New Roman" w:hAnsi="Times New Roman"/>
                <w:sz w:val="28"/>
                <w:szCs w:val="28"/>
              </w:rPr>
              <w:t>179</w:t>
            </w:r>
          </w:p>
        </w:tc>
        <w:tc>
          <w:tcPr>
            <w:tcW w:w="851" w:type="dxa"/>
            <w:tcBorders>
              <w:top w:val="single" w:sz="4" w:space="0" w:color="auto"/>
              <w:left w:val="single" w:sz="4" w:space="0" w:color="auto"/>
              <w:bottom w:val="single" w:sz="4" w:space="0" w:color="auto"/>
              <w:right w:val="single" w:sz="4" w:space="0" w:color="auto"/>
            </w:tcBorders>
          </w:tcPr>
          <w:p w:rsidR="00105E91" w:rsidRDefault="00105E91" w:rsidP="00F66CAF">
            <w:pPr>
              <w:jc w:val="center"/>
              <w:rPr>
                <w:rFonts w:ascii="Times New Roman" w:hAnsi="Times New Roman"/>
                <w:sz w:val="28"/>
                <w:szCs w:val="28"/>
              </w:rPr>
            </w:pPr>
            <w:r>
              <w:rPr>
                <w:rFonts w:ascii="Times New Roman" w:hAnsi="Times New Roman"/>
                <w:sz w:val="28"/>
                <w:szCs w:val="28"/>
              </w:rPr>
              <w:t>261</w:t>
            </w:r>
          </w:p>
        </w:tc>
        <w:tc>
          <w:tcPr>
            <w:tcW w:w="2523" w:type="dxa"/>
            <w:tcBorders>
              <w:top w:val="single" w:sz="4" w:space="0" w:color="auto"/>
              <w:left w:val="single" w:sz="4" w:space="0" w:color="auto"/>
              <w:bottom w:val="single" w:sz="4" w:space="0" w:color="auto"/>
              <w:right w:val="single" w:sz="4" w:space="0" w:color="auto"/>
            </w:tcBorders>
          </w:tcPr>
          <w:p w:rsidR="00105E91" w:rsidRDefault="00105E91" w:rsidP="00F66CAF">
            <w:pPr>
              <w:jc w:val="center"/>
              <w:rPr>
                <w:rFonts w:ascii="Times New Roman" w:hAnsi="Times New Roman"/>
                <w:sz w:val="28"/>
                <w:szCs w:val="28"/>
              </w:rPr>
            </w:pPr>
            <w:r>
              <w:rPr>
                <w:rFonts w:ascii="Times New Roman" w:hAnsi="Times New Roman"/>
                <w:sz w:val="28"/>
                <w:szCs w:val="28"/>
              </w:rPr>
              <w:t>1,0</w:t>
            </w:r>
          </w:p>
        </w:tc>
        <w:tc>
          <w:tcPr>
            <w:tcW w:w="1131" w:type="dxa"/>
            <w:vMerge w:val="restart"/>
            <w:tcBorders>
              <w:top w:val="single" w:sz="4" w:space="0" w:color="auto"/>
              <w:left w:val="single" w:sz="4" w:space="0" w:color="auto"/>
              <w:right w:val="single" w:sz="4" w:space="0" w:color="auto"/>
            </w:tcBorders>
          </w:tcPr>
          <w:p w:rsidR="00105E91" w:rsidRDefault="00105E91" w:rsidP="00F66CAF">
            <w:pPr>
              <w:jc w:val="center"/>
              <w:rPr>
                <w:rFonts w:ascii="Times New Roman" w:hAnsi="Times New Roman"/>
                <w:sz w:val="28"/>
                <w:szCs w:val="28"/>
              </w:rPr>
            </w:pPr>
            <w:r>
              <w:rPr>
                <w:rFonts w:ascii="Times New Roman" w:hAnsi="Times New Roman"/>
                <w:sz w:val="28"/>
                <w:szCs w:val="28"/>
              </w:rPr>
              <w:t>0,054</w:t>
            </w:r>
          </w:p>
        </w:tc>
      </w:tr>
      <w:tr w:rsidR="00105E91" w:rsidTr="00937C90">
        <w:trPr>
          <w:trHeight w:val="330"/>
        </w:trPr>
        <w:tc>
          <w:tcPr>
            <w:tcW w:w="2439" w:type="dxa"/>
            <w:vMerge/>
            <w:tcBorders>
              <w:left w:val="single" w:sz="4" w:space="0" w:color="auto"/>
              <w:bottom w:val="single" w:sz="4" w:space="0" w:color="auto"/>
              <w:right w:val="single" w:sz="4" w:space="0" w:color="auto"/>
            </w:tcBorders>
            <w:vAlign w:val="center"/>
          </w:tcPr>
          <w:p w:rsidR="00105E91" w:rsidRDefault="00105E91">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tcPr>
          <w:p w:rsidR="00105E91" w:rsidRDefault="00105E91" w:rsidP="00F66CAF">
            <w:pPr>
              <w:jc w:val="center"/>
              <w:rPr>
                <w:rFonts w:ascii="Times New Roman" w:hAnsi="Times New Roman"/>
                <w:sz w:val="28"/>
                <w:szCs w:val="28"/>
              </w:rPr>
            </w:pPr>
            <w:r>
              <w:rPr>
                <w:rFonts w:ascii="Times New Roman" w:hAnsi="Times New Roman"/>
                <w:sz w:val="28"/>
                <w:szCs w:val="28"/>
              </w:rPr>
              <w:t>&gt;3, 0</w:t>
            </w:r>
          </w:p>
        </w:tc>
        <w:tc>
          <w:tcPr>
            <w:tcW w:w="992" w:type="dxa"/>
            <w:tcBorders>
              <w:top w:val="single" w:sz="4" w:space="0" w:color="auto"/>
              <w:left w:val="single" w:sz="4" w:space="0" w:color="auto"/>
              <w:bottom w:val="single" w:sz="4" w:space="0" w:color="auto"/>
              <w:right w:val="single" w:sz="4" w:space="0" w:color="auto"/>
            </w:tcBorders>
          </w:tcPr>
          <w:p w:rsidR="00105E91" w:rsidRDefault="00105E91" w:rsidP="00F66CAF">
            <w:pPr>
              <w:jc w:val="center"/>
              <w:rPr>
                <w:rFonts w:ascii="Times New Roman" w:hAnsi="Times New Roman"/>
                <w:sz w:val="28"/>
                <w:szCs w:val="28"/>
              </w:rPr>
            </w:pPr>
            <w:r>
              <w:rPr>
                <w:rFonts w:ascii="Times New Roman" w:hAnsi="Times New Roman"/>
                <w:sz w:val="28"/>
                <w:szCs w:val="28"/>
              </w:rPr>
              <w:t>19</w:t>
            </w:r>
          </w:p>
        </w:tc>
        <w:tc>
          <w:tcPr>
            <w:tcW w:w="851" w:type="dxa"/>
            <w:tcBorders>
              <w:top w:val="single" w:sz="4" w:space="0" w:color="auto"/>
              <w:left w:val="single" w:sz="4" w:space="0" w:color="auto"/>
              <w:bottom w:val="single" w:sz="4" w:space="0" w:color="auto"/>
              <w:right w:val="single" w:sz="4" w:space="0" w:color="auto"/>
            </w:tcBorders>
          </w:tcPr>
          <w:p w:rsidR="00105E91" w:rsidRDefault="00105E91" w:rsidP="00F66CAF">
            <w:pPr>
              <w:jc w:val="center"/>
              <w:rPr>
                <w:rFonts w:ascii="Times New Roman" w:hAnsi="Times New Roman"/>
                <w:sz w:val="28"/>
                <w:szCs w:val="28"/>
              </w:rPr>
            </w:pPr>
            <w:r>
              <w:rPr>
                <w:rFonts w:ascii="Times New Roman" w:hAnsi="Times New Roman"/>
                <w:sz w:val="28"/>
                <w:szCs w:val="28"/>
              </w:rPr>
              <w:t>48</w:t>
            </w:r>
          </w:p>
        </w:tc>
        <w:tc>
          <w:tcPr>
            <w:tcW w:w="2523" w:type="dxa"/>
            <w:tcBorders>
              <w:top w:val="single" w:sz="4" w:space="0" w:color="auto"/>
              <w:left w:val="single" w:sz="4" w:space="0" w:color="auto"/>
              <w:bottom w:val="single" w:sz="4" w:space="0" w:color="auto"/>
              <w:right w:val="single" w:sz="4" w:space="0" w:color="auto"/>
            </w:tcBorders>
          </w:tcPr>
          <w:p w:rsidR="00105E91" w:rsidRDefault="00105E91" w:rsidP="00F66CAF">
            <w:pPr>
              <w:jc w:val="center"/>
              <w:rPr>
                <w:rFonts w:ascii="Times New Roman" w:hAnsi="Times New Roman"/>
                <w:sz w:val="28"/>
                <w:szCs w:val="28"/>
              </w:rPr>
            </w:pPr>
            <w:r>
              <w:rPr>
                <w:rFonts w:ascii="Times New Roman" w:hAnsi="Times New Roman"/>
                <w:sz w:val="28"/>
                <w:szCs w:val="28"/>
              </w:rPr>
              <w:t>1,73 (0,98-3,05)</w:t>
            </w:r>
          </w:p>
        </w:tc>
        <w:tc>
          <w:tcPr>
            <w:tcW w:w="1131" w:type="dxa"/>
            <w:vMerge/>
            <w:tcBorders>
              <w:left w:val="single" w:sz="4" w:space="0" w:color="auto"/>
              <w:bottom w:val="single" w:sz="4" w:space="0" w:color="auto"/>
              <w:right w:val="single" w:sz="4" w:space="0" w:color="auto"/>
            </w:tcBorders>
            <w:vAlign w:val="center"/>
          </w:tcPr>
          <w:p w:rsidR="00105E91" w:rsidRDefault="00105E91">
            <w:pPr>
              <w:rPr>
                <w:rFonts w:ascii="Times New Roman" w:hAnsi="Times New Roman"/>
                <w:sz w:val="28"/>
                <w:szCs w:val="28"/>
              </w:rPr>
            </w:pPr>
          </w:p>
        </w:tc>
      </w:tr>
      <w:tr w:rsidR="00105E91" w:rsidTr="00937C90">
        <w:trPr>
          <w:trHeight w:val="330"/>
        </w:trPr>
        <w:tc>
          <w:tcPr>
            <w:tcW w:w="2439" w:type="dxa"/>
            <w:vMerge w:val="restart"/>
            <w:tcBorders>
              <w:top w:val="single" w:sz="4" w:space="0" w:color="auto"/>
              <w:left w:val="single" w:sz="4" w:space="0" w:color="auto"/>
              <w:bottom w:val="single" w:sz="4" w:space="0" w:color="auto"/>
              <w:right w:val="single" w:sz="4" w:space="0" w:color="auto"/>
            </w:tcBorders>
            <w:vAlign w:val="center"/>
            <w:hideMark/>
          </w:tcPr>
          <w:p w:rsidR="00105E91" w:rsidRDefault="00105E91">
            <w:pPr>
              <w:jc w:val="center"/>
              <w:rPr>
                <w:rFonts w:ascii="Times New Roman" w:hAnsi="Times New Roman"/>
                <w:sz w:val="28"/>
                <w:szCs w:val="28"/>
              </w:rPr>
            </w:pPr>
            <w:r>
              <w:rPr>
                <w:rFonts w:ascii="Times New Roman" w:hAnsi="Times New Roman"/>
                <w:sz w:val="28"/>
                <w:szCs w:val="28"/>
              </w:rPr>
              <w:t>ЛПВП, ммоль/л</w:t>
            </w:r>
          </w:p>
        </w:tc>
        <w:tc>
          <w:tcPr>
            <w:tcW w:w="1559"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Муж ≥1,0</w:t>
            </w:r>
          </w:p>
          <w:p w:rsidR="00105E91" w:rsidRDefault="00105E91">
            <w:pPr>
              <w:jc w:val="center"/>
            </w:pPr>
            <w:r>
              <w:rPr>
                <w:rFonts w:ascii="Times New Roman" w:hAnsi="Times New Roman"/>
                <w:sz w:val="28"/>
                <w:szCs w:val="28"/>
              </w:rPr>
              <w:t>Жен ≥1,2</w:t>
            </w:r>
          </w:p>
        </w:tc>
        <w:tc>
          <w:tcPr>
            <w:tcW w:w="992"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64</w:t>
            </w:r>
          </w:p>
        </w:tc>
        <w:tc>
          <w:tcPr>
            <w:tcW w:w="851"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121</w:t>
            </w:r>
          </w:p>
        </w:tc>
        <w:tc>
          <w:tcPr>
            <w:tcW w:w="2523"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0,12</w:t>
            </w:r>
          </w:p>
        </w:tc>
      </w:tr>
      <w:tr w:rsidR="00105E91" w:rsidTr="00937C90">
        <w:trPr>
          <w:trHeight w:val="330"/>
        </w:trPr>
        <w:tc>
          <w:tcPr>
            <w:tcW w:w="2439" w:type="dxa"/>
            <w:vMerge/>
            <w:tcBorders>
              <w:top w:val="single" w:sz="4" w:space="0" w:color="auto"/>
              <w:left w:val="single" w:sz="4" w:space="0" w:color="auto"/>
              <w:bottom w:val="single" w:sz="4" w:space="0" w:color="auto"/>
              <w:right w:val="single" w:sz="4" w:space="0" w:color="auto"/>
            </w:tcBorders>
            <w:vAlign w:val="center"/>
            <w:hideMark/>
          </w:tcPr>
          <w:p w:rsidR="00105E91" w:rsidRDefault="00105E91">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Муж &lt;1,0</w:t>
            </w:r>
          </w:p>
          <w:p w:rsidR="00105E91" w:rsidRDefault="00105E91">
            <w:pPr>
              <w:jc w:val="center"/>
              <w:rPr>
                <w:rFonts w:ascii="Times New Roman" w:hAnsi="Times New Roman"/>
                <w:sz w:val="28"/>
                <w:szCs w:val="28"/>
              </w:rPr>
            </w:pPr>
            <w:r>
              <w:rPr>
                <w:rFonts w:ascii="Times New Roman" w:hAnsi="Times New Roman"/>
                <w:sz w:val="28"/>
                <w:szCs w:val="28"/>
              </w:rPr>
              <w:t>Жен &lt;1,2</w:t>
            </w:r>
          </w:p>
        </w:tc>
        <w:tc>
          <w:tcPr>
            <w:tcW w:w="992"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134</w:t>
            </w:r>
          </w:p>
        </w:tc>
        <w:tc>
          <w:tcPr>
            <w:tcW w:w="851"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188</w:t>
            </w:r>
          </w:p>
        </w:tc>
        <w:tc>
          <w:tcPr>
            <w:tcW w:w="2523"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0,74 (0,51-1,08)</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105E91" w:rsidRDefault="00105E91">
            <w:pPr>
              <w:rPr>
                <w:rFonts w:ascii="Times New Roman" w:hAnsi="Times New Roman"/>
                <w:sz w:val="28"/>
                <w:szCs w:val="28"/>
              </w:rPr>
            </w:pPr>
          </w:p>
        </w:tc>
      </w:tr>
      <w:tr w:rsidR="00105E91" w:rsidTr="00937C90">
        <w:trPr>
          <w:trHeight w:val="330"/>
        </w:trPr>
        <w:tc>
          <w:tcPr>
            <w:tcW w:w="2439" w:type="dxa"/>
            <w:vMerge w:val="restart"/>
            <w:tcBorders>
              <w:top w:val="single" w:sz="4" w:space="0" w:color="auto"/>
              <w:left w:val="single" w:sz="4" w:space="0" w:color="auto"/>
              <w:bottom w:val="single" w:sz="4" w:space="0" w:color="auto"/>
              <w:right w:val="single" w:sz="4" w:space="0" w:color="auto"/>
            </w:tcBorders>
            <w:vAlign w:val="center"/>
            <w:hideMark/>
          </w:tcPr>
          <w:p w:rsidR="00105E91" w:rsidRDefault="00105E91">
            <w:pPr>
              <w:jc w:val="center"/>
              <w:rPr>
                <w:rFonts w:ascii="Times New Roman" w:hAnsi="Times New Roman"/>
                <w:sz w:val="28"/>
                <w:szCs w:val="28"/>
              </w:rPr>
            </w:pPr>
            <w:r>
              <w:rPr>
                <w:rFonts w:ascii="Times New Roman" w:hAnsi="Times New Roman"/>
                <w:sz w:val="28"/>
                <w:szCs w:val="28"/>
              </w:rPr>
              <w:t>апоА1 г/л</w:t>
            </w:r>
          </w:p>
        </w:tc>
        <w:tc>
          <w:tcPr>
            <w:tcW w:w="1559"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color w:val="000000"/>
                <w:sz w:val="28"/>
                <w:szCs w:val="28"/>
              </w:rPr>
            </w:pPr>
            <w:r>
              <w:rPr>
                <w:rFonts w:ascii="Times New Roman" w:hAnsi="Times New Roman"/>
                <w:color w:val="000000"/>
                <w:sz w:val="28"/>
                <w:szCs w:val="28"/>
              </w:rPr>
              <w:t>Муж ≥1,04</w:t>
            </w:r>
          </w:p>
          <w:p w:rsidR="00105E91" w:rsidRDefault="00105E91">
            <w:pPr>
              <w:jc w:val="center"/>
              <w:rPr>
                <w:rFonts w:ascii="Times New Roman" w:hAnsi="Times New Roman"/>
                <w:sz w:val="28"/>
                <w:szCs w:val="28"/>
              </w:rPr>
            </w:pPr>
            <w:r>
              <w:rPr>
                <w:rFonts w:ascii="Times New Roman" w:hAnsi="Times New Roman"/>
                <w:color w:val="000000"/>
                <w:sz w:val="28"/>
                <w:szCs w:val="28"/>
              </w:rPr>
              <w:t xml:space="preserve">Жен ≥1,08 </w:t>
            </w:r>
          </w:p>
        </w:tc>
        <w:tc>
          <w:tcPr>
            <w:tcW w:w="992"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186</w:t>
            </w:r>
          </w:p>
        </w:tc>
        <w:tc>
          <w:tcPr>
            <w:tcW w:w="851"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290</w:t>
            </w:r>
          </w:p>
        </w:tc>
        <w:tc>
          <w:tcPr>
            <w:tcW w:w="2523"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w:t>
            </w:r>
            <w:r w:rsidRPr="00937C90">
              <w:rPr>
                <w:rFonts w:ascii="Century" w:hAnsi="Century"/>
                <w:sz w:val="28"/>
                <w:szCs w:val="28"/>
              </w:rPr>
              <w:t>,</w:t>
            </w:r>
            <w:r>
              <w:rPr>
                <w:rFonts w:ascii="Times New Roman" w:hAnsi="Times New Roman"/>
                <w:sz w:val="28"/>
                <w:szCs w:val="28"/>
              </w:rPr>
              <w:t>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0,97</w:t>
            </w:r>
          </w:p>
        </w:tc>
      </w:tr>
      <w:tr w:rsidR="00105E91" w:rsidTr="00937C90">
        <w:trPr>
          <w:trHeight w:val="330"/>
        </w:trPr>
        <w:tc>
          <w:tcPr>
            <w:tcW w:w="2439" w:type="dxa"/>
            <w:vMerge/>
            <w:tcBorders>
              <w:top w:val="single" w:sz="4" w:space="0" w:color="auto"/>
              <w:left w:val="single" w:sz="4" w:space="0" w:color="auto"/>
              <w:bottom w:val="single" w:sz="4" w:space="0" w:color="auto"/>
              <w:right w:val="single" w:sz="4" w:space="0" w:color="auto"/>
            </w:tcBorders>
            <w:vAlign w:val="center"/>
            <w:hideMark/>
          </w:tcPr>
          <w:p w:rsidR="00105E91" w:rsidRDefault="00105E91">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color w:val="000000"/>
                <w:sz w:val="28"/>
                <w:szCs w:val="28"/>
              </w:rPr>
            </w:pPr>
            <w:r>
              <w:rPr>
                <w:rFonts w:ascii="Times New Roman" w:hAnsi="Times New Roman"/>
                <w:color w:val="000000"/>
                <w:sz w:val="28"/>
                <w:szCs w:val="28"/>
              </w:rPr>
              <w:t xml:space="preserve">Муж </w:t>
            </w:r>
            <w:r w:rsidRPr="00937C90">
              <w:rPr>
                <w:rFonts w:ascii="Century" w:hAnsi="Century"/>
                <w:color w:val="000000"/>
                <w:sz w:val="28"/>
                <w:szCs w:val="28"/>
              </w:rPr>
              <w:t>&lt;</w:t>
            </w:r>
            <w:r>
              <w:rPr>
                <w:rFonts w:ascii="Times New Roman" w:hAnsi="Times New Roman"/>
                <w:color w:val="000000"/>
                <w:sz w:val="28"/>
                <w:szCs w:val="28"/>
              </w:rPr>
              <w:t>1</w:t>
            </w:r>
            <w:r w:rsidRPr="00937C90">
              <w:rPr>
                <w:rFonts w:ascii="Century" w:hAnsi="Century"/>
                <w:color w:val="000000"/>
                <w:sz w:val="28"/>
                <w:szCs w:val="28"/>
              </w:rPr>
              <w:t>,</w:t>
            </w:r>
            <w:r>
              <w:rPr>
                <w:rFonts w:ascii="Times New Roman" w:hAnsi="Times New Roman"/>
                <w:color w:val="000000"/>
                <w:sz w:val="28"/>
                <w:szCs w:val="28"/>
              </w:rPr>
              <w:t>04</w:t>
            </w:r>
          </w:p>
          <w:p w:rsidR="00105E91" w:rsidRDefault="00105E91">
            <w:pPr>
              <w:jc w:val="center"/>
              <w:rPr>
                <w:rFonts w:ascii="Times New Roman" w:hAnsi="Times New Roman"/>
                <w:color w:val="000000"/>
                <w:sz w:val="28"/>
                <w:szCs w:val="28"/>
              </w:rPr>
            </w:pPr>
            <w:r>
              <w:rPr>
                <w:rFonts w:ascii="Times New Roman" w:hAnsi="Times New Roman"/>
                <w:color w:val="000000"/>
                <w:sz w:val="28"/>
                <w:szCs w:val="28"/>
              </w:rPr>
              <w:t xml:space="preserve">Жен </w:t>
            </w:r>
            <w:r w:rsidRPr="00937C90">
              <w:rPr>
                <w:rFonts w:ascii="Century" w:hAnsi="Century"/>
                <w:color w:val="000000"/>
                <w:sz w:val="28"/>
                <w:szCs w:val="28"/>
              </w:rPr>
              <w:t>&lt;</w:t>
            </w:r>
            <w:r>
              <w:rPr>
                <w:rFonts w:ascii="Times New Roman" w:hAnsi="Times New Roman"/>
                <w:color w:val="000000"/>
                <w:sz w:val="28"/>
                <w:szCs w:val="28"/>
              </w:rPr>
              <w:t>1</w:t>
            </w:r>
            <w:r w:rsidRPr="00937C90">
              <w:rPr>
                <w:rFonts w:ascii="Century" w:hAnsi="Century"/>
                <w:color w:val="000000"/>
                <w:sz w:val="28"/>
                <w:szCs w:val="28"/>
              </w:rPr>
              <w:t>,</w:t>
            </w:r>
            <w:r>
              <w:rPr>
                <w:rFonts w:ascii="Times New Roman" w:hAnsi="Times New Roman"/>
                <w:color w:val="000000"/>
                <w:sz w:val="28"/>
                <w:szCs w:val="28"/>
              </w:rPr>
              <w:t>08</w:t>
            </w:r>
          </w:p>
        </w:tc>
        <w:tc>
          <w:tcPr>
            <w:tcW w:w="992"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19</w:t>
            </w:r>
          </w:p>
        </w:tc>
        <w:tc>
          <w:tcPr>
            <w:tcW w:w="851"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12</w:t>
            </w:r>
          </w:p>
        </w:tc>
        <w:tc>
          <w:tcPr>
            <w:tcW w:w="2523"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w:t>
            </w:r>
            <w:r w:rsidRPr="00937C90">
              <w:rPr>
                <w:rFonts w:ascii="Century" w:hAnsi="Century"/>
                <w:sz w:val="28"/>
                <w:szCs w:val="28"/>
              </w:rPr>
              <w:t>,</w:t>
            </w:r>
            <w:r>
              <w:rPr>
                <w:rFonts w:ascii="Times New Roman" w:hAnsi="Times New Roman"/>
                <w:sz w:val="28"/>
                <w:szCs w:val="28"/>
              </w:rPr>
              <w:t>02 (0</w:t>
            </w:r>
            <w:r w:rsidRPr="00937C90">
              <w:rPr>
                <w:rFonts w:ascii="Century" w:hAnsi="Century"/>
                <w:sz w:val="28"/>
                <w:szCs w:val="28"/>
              </w:rPr>
              <w:t>,</w:t>
            </w:r>
            <w:r>
              <w:rPr>
                <w:rFonts w:ascii="Times New Roman" w:hAnsi="Times New Roman"/>
                <w:sz w:val="28"/>
                <w:szCs w:val="28"/>
              </w:rPr>
              <w:t>48-2</w:t>
            </w:r>
            <w:r w:rsidRPr="00937C90">
              <w:rPr>
                <w:rFonts w:ascii="Century" w:hAnsi="Century"/>
                <w:sz w:val="28"/>
                <w:szCs w:val="28"/>
              </w:rPr>
              <w:t>,</w:t>
            </w:r>
            <w:r>
              <w:rPr>
                <w:rFonts w:ascii="Times New Roman" w:hAnsi="Times New Roman"/>
                <w:sz w:val="28"/>
                <w:szCs w:val="28"/>
              </w:rPr>
              <w:t>14)</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105E91" w:rsidRDefault="00105E91">
            <w:pPr>
              <w:rPr>
                <w:rFonts w:ascii="Times New Roman" w:hAnsi="Times New Roman"/>
                <w:sz w:val="28"/>
                <w:szCs w:val="28"/>
              </w:rPr>
            </w:pPr>
          </w:p>
        </w:tc>
      </w:tr>
      <w:tr w:rsidR="00105E91" w:rsidTr="00937C90">
        <w:trPr>
          <w:trHeight w:val="330"/>
        </w:trPr>
        <w:tc>
          <w:tcPr>
            <w:tcW w:w="2439" w:type="dxa"/>
            <w:vMerge w:val="restart"/>
            <w:tcBorders>
              <w:top w:val="single" w:sz="4" w:space="0" w:color="auto"/>
              <w:left w:val="single" w:sz="4" w:space="0" w:color="auto"/>
              <w:bottom w:val="single" w:sz="4" w:space="0" w:color="auto"/>
              <w:right w:val="single" w:sz="4" w:space="0" w:color="auto"/>
            </w:tcBorders>
            <w:vAlign w:val="center"/>
            <w:hideMark/>
          </w:tcPr>
          <w:p w:rsidR="00105E91" w:rsidRDefault="00105E91">
            <w:pPr>
              <w:jc w:val="center"/>
              <w:rPr>
                <w:rFonts w:ascii="Times New Roman" w:hAnsi="Times New Roman"/>
                <w:sz w:val="28"/>
                <w:szCs w:val="28"/>
              </w:rPr>
            </w:pPr>
            <w:r>
              <w:rPr>
                <w:rFonts w:ascii="Times New Roman" w:hAnsi="Times New Roman"/>
                <w:sz w:val="28"/>
                <w:szCs w:val="28"/>
              </w:rPr>
              <w:t>апоВ</w:t>
            </w:r>
            <w:r w:rsidRPr="00937C90">
              <w:rPr>
                <w:rFonts w:ascii="Century" w:hAnsi="Century"/>
                <w:sz w:val="28"/>
                <w:szCs w:val="28"/>
              </w:rPr>
              <w:t>/</w:t>
            </w:r>
            <w:r>
              <w:rPr>
                <w:rFonts w:ascii="Times New Roman" w:hAnsi="Times New Roman"/>
                <w:sz w:val="28"/>
                <w:szCs w:val="28"/>
              </w:rPr>
              <w:t>апоА1</w:t>
            </w:r>
          </w:p>
        </w:tc>
        <w:tc>
          <w:tcPr>
            <w:tcW w:w="1559"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sidRPr="00937C90">
              <w:rPr>
                <w:rFonts w:ascii="Century" w:hAnsi="Century"/>
                <w:sz w:val="28"/>
                <w:szCs w:val="28"/>
              </w:rPr>
              <w:t>≤</w:t>
            </w:r>
            <w:r>
              <w:rPr>
                <w:rFonts w:ascii="Times New Roman" w:hAnsi="Times New Roman"/>
                <w:sz w:val="28"/>
                <w:szCs w:val="28"/>
              </w:rPr>
              <w:t>0</w:t>
            </w:r>
            <w:r w:rsidRPr="00937C90">
              <w:rPr>
                <w:rFonts w:ascii="Century" w:hAnsi="Century"/>
                <w:sz w:val="28"/>
                <w:szCs w:val="28"/>
              </w:rPr>
              <w:t>,</w:t>
            </w:r>
            <w:r>
              <w:rPr>
                <w:rFonts w:ascii="Times New Roman" w:hAnsi="Times New Roman"/>
                <w:sz w:val="28"/>
                <w:szCs w:val="28"/>
              </w:rPr>
              <w:t>85</w:t>
            </w:r>
          </w:p>
        </w:tc>
        <w:tc>
          <w:tcPr>
            <w:tcW w:w="992"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189</w:t>
            </w:r>
          </w:p>
        </w:tc>
        <w:tc>
          <w:tcPr>
            <w:tcW w:w="851"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207</w:t>
            </w:r>
          </w:p>
        </w:tc>
        <w:tc>
          <w:tcPr>
            <w:tcW w:w="2523"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w:t>
            </w:r>
            <w:r w:rsidRPr="00937C90">
              <w:rPr>
                <w:rFonts w:ascii="Century" w:hAnsi="Century"/>
                <w:sz w:val="28"/>
                <w:szCs w:val="28"/>
              </w:rPr>
              <w:t>,</w:t>
            </w:r>
            <w:r>
              <w:rPr>
                <w:rFonts w:ascii="Times New Roman" w:hAnsi="Times New Roman"/>
                <w:sz w:val="28"/>
                <w:szCs w:val="28"/>
              </w:rPr>
              <w:t>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0</w:t>
            </w:r>
            <w:r w:rsidRPr="00937C90">
              <w:rPr>
                <w:rFonts w:ascii="Century" w:hAnsi="Century"/>
                <w:sz w:val="28"/>
                <w:szCs w:val="28"/>
              </w:rPr>
              <w:t>,</w:t>
            </w:r>
            <w:r>
              <w:rPr>
                <w:rFonts w:ascii="Times New Roman" w:hAnsi="Times New Roman"/>
                <w:sz w:val="28"/>
                <w:szCs w:val="28"/>
              </w:rPr>
              <w:t>0001</w:t>
            </w:r>
          </w:p>
        </w:tc>
      </w:tr>
      <w:tr w:rsidR="00105E91" w:rsidTr="00937C90">
        <w:trPr>
          <w:trHeight w:val="330"/>
        </w:trPr>
        <w:tc>
          <w:tcPr>
            <w:tcW w:w="2439" w:type="dxa"/>
            <w:vMerge/>
            <w:tcBorders>
              <w:top w:val="single" w:sz="4" w:space="0" w:color="auto"/>
              <w:left w:val="single" w:sz="4" w:space="0" w:color="auto"/>
              <w:bottom w:val="single" w:sz="4" w:space="0" w:color="auto"/>
              <w:right w:val="single" w:sz="4" w:space="0" w:color="auto"/>
            </w:tcBorders>
            <w:vAlign w:val="center"/>
            <w:hideMark/>
          </w:tcPr>
          <w:p w:rsidR="00105E91" w:rsidRDefault="00105E91">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sidRPr="00937C90">
              <w:rPr>
                <w:rFonts w:ascii="Century" w:hAnsi="Century"/>
                <w:sz w:val="28"/>
                <w:szCs w:val="28"/>
              </w:rPr>
              <w:t>&gt;</w:t>
            </w:r>
            <w:r>
              <w:rPr>
                <w:rFonts w:ascii="Times New Roman" w:hAnsi="Times New Roman"/>
                <w:sz w:val="28"/>
                <w:szCs w:val="28"/>
              </w:rPr>
              <w:t>0</w:t>
            </w:r>
            <w:r w:rsidRPr="00937C90">
              <w:rPr>
                <w:rFonts w:ascii="Century" w:hAnsi="Century"/>
                <w:sz w:val="28"/>
                <w:szCs w:val="28"/>
              </w:rPr>
              <w:t>,</w:t>
            </w:r>
            <w:r>
              <w:rPr>
                <w:rFonts w:ascii="Times New Roman" w:hAnsi="Times New Roman"/>
                <w:sz w:val="28"/>
                <w:szCs w:val="28"/>
              </w:rPr>
              <w:t>85</w:t>
            </w:r>
          </w:p>
        </w:tc>
        <w:tc>
          <w:tcPr>
            <w:tcW w:w="992"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9</w:t>
            </w:r>
          </w:p>
        </w:tc>
        <w:tc>
          <w:tcPr>
            <w:tcW w:w="851"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102</w:t>
            </w:r>
          </w:p>
        </w:tc>
        <w:tc>
          <w:tcPr>
            <w:tcW w:w="2523"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10</w:t>
            </w:r>
            <w:r w:rsidRPr="00937C90">
              <w:rPr>
                <w:rFonts w:ascii="Century" w:hAnsi="Century"/>
                <w:sz w:val="28"/>
                <w:szCs w:val="28"/>
              </w:rPr>
              <w:t>,</w:t>
            </w:r>
            <w:r>
              <w:rPr>
                <w:rFonts w:ascii="Times New Roman" w:hAnsi="Times New Roman"/>
                <w:sz w:val="28"/>
                <w:szCs w:val="28"/>
              </w:rPr>
              <w:t>35 (5</w:t>
            </w:r>
            <w:r w:rsidRPr="00937C90">
              <w:rPr>
                <w:rFonts w:ascii="Century" w:hAnsi="Century"/>
                <w:sz w:val="28"/>
                <w:szCs w:val="28"/>
              </w:rPr>
              <w:t>,</w:t>
            </w:r>
            <w:r>
              <w:rPr>
                <w:rFonts w:ascii="Times New Roman" w:hAnsi="Times New Roman"/>
                <w:sz w:val="28"/>
                <w:szCs w:val="28"/>
              </w:rPr>
              <w:t>09</w:t>
            </w:r>
            <w:r w:rsidRPr="00937C90">
              <w:rPr>
                <w:rFonts w:ascii="Century" w:hAnsi="Century"/>
                <w:sz w:val="28"/>
                <w:szCs w:val="28"/>
              </w:rPr>
              <w:t>-</w:t>
            </w:r>
            <w:r>
              <w:rPr>
                <w:rFonts w:ascii="Times New Roman" w:hAnsi="Times New Roman"/>
                <w:sz w:val="28"/>
                <w:szCs w:val="28"/>
              </w:rPr>
              <w:t>21</w:t>
            </w:r>
            <w:r w:rsidRPr="00937C90">
              <w:rPr>
                <w:rFonts w:ascii="Century" w:hAnsi="Century"/>
                <w:sz w:val="28"/>
                <w:szCs w:val="28"/>
              </w:rPr>
              <w:t>,</w:t>
            </w:r>
            <w:r>
              <w:rPr>
                <w:rFonts w:ascii="Times New Roman" w:hAnsi="Times New Roman"/>
                <w:sz w:val="28"/>
                <w:szCs w:val="28"/>
              </w:rPr>
              <w:t>04)</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105E91" w:rsidRDefault="00105E91">
            <w:pPr>
              <w:rPr>
                <w:rFonts w:ascii="Times New Roman" w:hAnsi="Times New Roman"/>
                <w:sz w:val="28"/>
                <w:szCs w:val="28"/>
              </w:rPr>
            </w:pPr>
          </w:p>
        </w:tc>
      </w:tr>
      <w:tr w:rsidR="00105E91" w:rsidTr="00937C90">
        <w:trPr>
          <w:trHeight w:val="330"/>
        </w:trPr>
        <w:tc>
          <w:tcPr>
            <w:tcW w:w="2439" w:type="dxa"/>
            <w:vMerge w:val="restart"/>
            <w:tcBorders>
              <w:top w:val="single" w:sz="4" w:space="0" w:color="auto"/>
              <w:left w:val="single" w:sz="4" w:space="0" w:color="auto"/>
              <w:bottom w:val="single" w:sz="4" w:space="0" w:color="auto"/>
              <w:right w:val="single" w:sz="4" w:space="0" w:color="auto"/>
            </w:tcBorders>
            <w:vAlign w:val="center"/>
            <w:hideMark/>
          </w:tcPr>
          <w:p w:rsidR="00105E91" w:rsidRDefault="00105E91">
            <w:pPr>
              <w:jc w:val="center"/>
              <w:rPr>
                <w:rFonts w:ascii="Times New Roman" w:hAnsi="Times New Roman"/>
                <w:sz w:val="28"/>
                <w:szCs w:val="28"/>
              </w:rPr>
            </w:pPr>
            <w:r>
              <w:rPr>
                <w:rFonts w:ascii="Times New Roman" w:hAnsi="Times New Roman"/>
                <w:sz w:val="28"/>
                <w:szCs w:val="28"/>
              </w:rPr>
              <w:t>Инсулин</w:t>
            </w:r>
            <w:r w:rsidRPr="00C5701E">
              <w:rPr>
                <w:rFonts w:ascii="Century" w:hAnsi="Century"/>
                <w:sz w:val="28"/>
                <w:szCs w:val="28"/>
              </w:rPr>
              <w:t xml:space="preserve">, </w:t>
            </w:r>
            <w:r>
              <w:rPr>
                <w:rFonts w:ascii="Times New Roman" w:hAnsi="Times New Roman"/>
                <w:sz w:val="28"/>
                <w:szCs w:val="28"/>
              </w:rPr>
              <w:t>мкМЕ</w:t>
            </w:r>
            <w:r w:rsidRPr="00C5701E">
              <w:rPr>
                <w:rFonts w:ascii="Century" w:hAnsi="Century"/>
                <w:sz w:val="28"/>
                <w:szCs w:val="28"/>
              </w:rPr>
              <w:t>/</w:t>
            </w:r>
            <w:r>
              <w:rPr>
                <w:rFonts w:ascii="Times New Roman" w:hAnsi="Times New Roman"/>
                <w:sz w:val="28"/>
                <w:szCs w:val="28"/>
              </w:rPr>
              <w:t>мл</w:t>
            </w:r>
          </w:p>
        </w:tc>
        <w:tc>
          <w:tcPr>
            <w:tcW w:w="1559"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sidRPr="00C5701E">
              <w:rPr>
                <w:rFonts w:ascii="Century" w:hAnsi="Century"/>
                <w:sz w:val="28"/>
                <w:szCs w:val="28"/>
              </w:rPr>
              <w:t>≤</w:t>
            </w:r>
            <w:r>
              <w:rPr>
                <w:rFonts w:ascii="Times New Roman" w:hAnsi="Times New Roman"/>
                <w:sz w:val="28"/>
                <w:szCs w:val="28"/>
              </w:rPr>
              <w:t>24</w:t>
            </w:r>
            <w:r w:rsidRPr="00C5701E">
              <w:rPr>
                <w:rFonts w:ascii="Century" w:hAnsi="Century"/>
                <w:sz w:val="28"/>
                <w:szCs w:val="28"/>
              </w:rPr>
              <w:t>,</w:t>
            </w:r>
            <w:r>
              <w:rPr>
                <w:rFonts w:ascii="Times New Roman" w:hAnsi="Times New Roman"/>
                <w:sz w:val="28"/>
                <w:szCs w:val="28"/>
              </w:rPr>
              <w:t>9</w:t>
            </w:r>
          </w:p>
        </w:tc>
        <w:tc>
          <w:tcPr>
            <w:tcW w:w="992"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183</w:t>
            </w:r>
          </w:p>
        </w:tc>
        <w:tc>
          <w:tcPr>
            <w:tcW w:w="851"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281</w:t>
            </w:r>
          </w:p>
        </w:tc>
        <w:tc>
          <w:tcPr>
            <w:tcW w:w="2523"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w:t>
            </w:r>
            <w:r w:rsidRPr="00C5701E">
              <w:rPr>
                <w:rFonts w:ascii="Century" w:hAnsi="Century"/>
                <w:sz w:val="28"/>
                <w:szCs w:val="28"/>
              </w:rPr>
              <w:t>,</w:t>
            </w:r>
            <w:r>
              <w:rPr>
                <w:rFonts w:ascii="Times New Roman" w:hAnsi="Times New Roman"/>
                <w:sz w:val="28"/>
                <w:szCs w:val="28"/>
              </w:rPr>
              <w:t>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0</w:t>
            </w:r>
            <w:r w:rsidRPr="00C5701E">
              <w:rPr>
                <w:rFonts w:ascii="Century" w:hAnsi="Century"/>
                <w:sz w:val="28"/>
                <w:szCs w:val="28"/>
              </w:rPr>
              <w:t>,</w:t>
            </w:r>
            <w:r>
              <w:rPr>
                <w:rFonts w:ascii="Times New Roman" w:hAnsi="Times New Roman"/>
                <w:sz w:val="28"/>
                <w:szCs w:val="28"/>
              </w:rPr>
              <w:t>56</w:t>
            </w:r>
          </w:p>
        </w:tc>
      </w:tr>
      <w:tr w:rsidR="00105E91" w:rsidTr="00937C90">
        <w:trPr>
          <w:trHeight w:val="330"/>
        </w:trPr>
        <w:tc>
          <w:tcPr>
            <w:tcW w:w="2439" w:type="dxa"/>
            <w:vMerge/>
            <w:tcBorders>
              <w:top w:val="single" w:sz="4" w:space="0" w:color="auto"/>
              <w:left w:val="single" w:sz="4" w:space="0" w:color="auto"/>
              <w:bottom w:val="single" w:sz="4" w:space="0" w:color="auto"/>
              <w:right w:val="single" w:sz="4" w:space="0" w:color="auto"/>
            </w:tcBorders>
            <w:vAlign w:val="center"/>
            <w:hideMark/>
          </w:tcPr>
          <w:p w:rsidR="00105E91" w:rsidRDefault="00105E91">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&gt;24</w:t>
            </w:r>
            <w:r w:rsidRPr="00C5701E">
              <w:rPr>
                <w:rFonts w:ascii="Century" w:hAnsi="Century"/>
                <w:sz w:val="28"/>
                <w:szCs w:val="28"/>
              </w:rPr>
              <w:t>,</w:t>
            </w:r>
            <w:r>
              <w:rPr>
                <w:rFonts w:ascii="Times New Roman" w:hAnsi="Times New Roman"/>
                <w:sz w:val="28"/>
                <w:szCs w:val="28"/>
              </w:rPr>
              <w:t>9</w:t>
            </w:r>
          </w:p>
        </w:tc>
        <w:tc>
          <w:tcPr>
            <w:tcW w:w="992"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15</w:t>
            </w:r>
          </w:p>
        </w:tc>
        <w:tc>
          <w:tcPr>
            <w:tcW w:w="851"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28</w:t>
            </w:r>
          </w:p>
        </w:tc>
        <w:tc>
          <w:tcPr>
            <w:tcW w:w="2523"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w:t>
            </w:r>
            <w:r w:rsidRPr="00C5701E">
              <w:rPr>
                <w:rFonts w:ascii="Century" w:hAnsi="Century"/>
                <w:sz w:val="28"/>
                <w:szCs w:val="28"/>
              </w:rPr>
              <w:t>,</w:t>
            </w:r>
            <w:r>
              <w:rPr>
                <w:rFonts w:ascii="Times New Roman" w:hAnsi="Times New Roman"/>
                <w:sz w:val="28"/>
                <w:szCs w:val="28"/>
              </w:rPr>
              <w:t>22 (0</w:t>
            </w:r>
            <w:r w:rsidRPr="00C5701E">
              <w:rPr>
                <w:rFonts w:ascii="Century" w:hAnsi="Century"/>
                <w:sz w:val="28"/>
                <w:szCs w:val="28"/>
              </w:rPr>
              <w:t>,</w:t>
            </w:r>
            <w:r>
              <w:rPr>
                <w:rFonts w:ascii="Times New Roman" w:hAnsi="Times New Roman"/>
                <w:sz w:val="28"/>
                <w:szCs w:val="28"/>
              </w:rPr>
              <w:t>63-2</w:t>
            </w:r>
            <w:r w:rsidRPr="00C5701E">
              <w:rPr>
                <w:rFonts w:ascii="Century" w:hAnsi="Century"/>
                <w:sz w:val="28"/>
                <w:szCs w:val="28"/>
              </w:rPr>
              <w:t>,</w:t>
            </w:r>
            <w:r>
              <w:rPr>
                <w:rFonts w:ascii="Times New Roman" w:hAnsi="Times New Roman"/>
                <w:sz w:val="28"/>
                <w:szCs w:val="28"/>
              </w:rPr>
              <w:t>34)</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105E91" w:rsidRDefault="00105E91">
            <w:pPr>
              <w:rPr>
                <w:rFonts w:ascii="Times New Roman" w:hAnsi="Times New Roman"/>
                <w:sz w:val="28"/>
                <w:szCs w:val="28"/>
              </w:rPr>
            </w:pPr>
          </w:p>
        </w:tc>
      </w:tr>
      <w:tr w:rsidR="00105E91" w:rsidTr="00937C90">
        <w:trPr>
          <w:trHeight w:val="330"/>
        </w:trPr>
        <w:tc>
          <w:tcPr>
            <w:tcW w:w="2439" w:type="dxa"/>
            <w:vMerge w:val="restart"/>
            <w:tcBorders>
              <w:top w:val="single" w:sz="4" w:space="0" w:color="auto"/>
              <w:left w:val="single" w:sz="4" w:space="0" w:color="auto"/>
              <w:bottom w:val="single" w:sz="4" w:space="0" w:color="auto"/>
              <w:right w:val="single" w:sz="4" w:space="0" w:color="auto"/>
            </w:tcBorders>
            <w:vAlign w:val="center"/>
            <w:hideMark/>
          </w:tcPr>
          <w:p w:rsidR="00105E91" w:rsidRDefault="00105E91">
            <w:pPr>
              <w:jc w:val="center"/>
              <w:rPr>
                <w:rFonts w:ascii="Times New Roman" w:hAnsi="Times New Roman"/>
                <w:sz w:val="28"/>
                <w:szCs w:val="28"/>
              </w:rPr>
            </w:pPr>
            <w:r>
              <w:rPr>
                <w:rFonts w:ascii="Times New Roman" w:hAnsi="Times New Roman"/>
                <w:sz w:val="28"/>
                <w:szCs w:val="28"/>
              </w:rPr>
              <w:t>глюкоза, ммоль/л</w:t>
            </w:r>
          </w:p>
        </w:tc>
        <w:tc>
          <w:tcPr>
            <w:tcW w:w="1559"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sidRPr="00C5701E">
              <w:rPr>
                <w:rFonts w:ascii="Century" w:hAnsi="Century"/>
                <w:sz w:val="28"/>
                <w:szCs w:val="28"/>
              </w:rPr>
              <w:t>≤</w:t>
            </w:r>
            <w:r>
              <w:rPr>
                <w:rFonts w:ascii="Times New Roman" w:hAnsi="Times New Roman"/>
                <w:sz w:val="28"/>
                <w:szCs w:val="28"/>
              </w:rPr>
              <w:t>5</w:t>
            </w:r>
            <w:r w:rsidRPr="00C5701E">
              <w:rPr>
                <w:rFonts w:ascii="Century" w:hAnsi="Century"/>
                <w:sz w:val="28"/>
                <w:szCs w:val="28"/>
              </w:rPr>
              <w:t>,</w:t>
            </w:r>
            <w:r>
              <w:rPr>
                <w:rFonts w:ascii="Times New Roman" w:hAnsi="Times New Roman"/>
                <w:sz w:val="28"/>
                <w:szCs w:val="28"/>
              </w:rPr>
              <w:t>59</w:t>
            </w:r>
          </w:p>
        </w:tc>
        <w:tc>
          <w:tcPr>
            <w:tcW w:w="992"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107</w:t>
            </w:r>
          </w:p>
        </w:tc>
        <w:tc>
          <w:tcPr>
            <w:tcW w:w="851"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158</w:t>
            </w:r>
          </w:p>
        </w:tc>
        <w:tc>
          <w:tcPr>
            <w:tcW w:w="2523"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w:t>
            </w:r>
            <w:r w:rsidRPr="00C5701E">
              <w:rPr>
                <w:rFonts w:ascii="Century" w:hAnsi="Century"/>
                <w:sz w:val="28"/>
                <w:szCs w:val="28"/>
              </w:rPr>
              <w:t>,</w:t>
            </w:r>
            <w:r>
              <w:rPr>
                <w:rFonts w:ascii="Times New Roman" w:hAnsi="Times New Roman"/>
                <w:sz w:val="28"/>
                <w:szCs w:val="28"/>
              </w:rPr>
              <w:t>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0</w:t>
            </w:r>
            <w:r w:rsidRPr="00C5701E">
              <w:rPr>
                <w:rFonts w:ascii="Century" w:hAnsi="Century"/>
                <w:sz w:val="28"/>
                <w:szCs w:val="28"/>
              </w:rPr>
              <w:t>,</w:t>
            </w:r>
            <w:r>
              <w:rPr>
                <w:rFonts w:ascii="Times New Roman" w:hAnsi="Times New Roman"/>
                <w:sz w:val="28"/>
                <w:szCs w:val="28"/>
              </w:rPr>
              <w:t>52</w:t>
            </w:r>
          </w:p>
        </w:tc>
      </w:tr>
      <w:tr w:rsidR="00105E91" w:rsidTr="00937C90">
        <w:trPr>
          <w:trHeight w:val="330"/>
        </w:trPr>
        <w:tc>
          <w:tcPr>
            <w:tcW w:w="2439" w:type="dxa"/>
            <w:vMerge/>
            <w:tcBorders>
              <w:top w:val="single" w:sz="4" w:space="0" w:color="auto"/>
              <w:left w:val="single" w:sz="4" w:space="0" w:color="auto"/>
              <w:bottom w:val="single" w:sz="4" w:space="0" w:color="auto"/>
              <w:right w:val="single" w:sz="4" w:space="0" w:color="auto"/>
            </w:tcBorders>
            <w:vAlign w:val="center"/>
            <w:hideMark/>
          </w:tcPr>
          <w:p w:rsidR="00105E91" w:rsidRDefault="00105E91">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105E91" w:rsidRDefault="00105E91">
            <w:pPr>
              <w:jc w:val="center"/>
            </w:pPr>
            <w:r w:rsidRPr="00C5701E">
              <w:rPr>
                <w:rFonts w:ascii="Century" w:hAnsi="Century"/>
                <w:sz w:val="28"/>
                <w:szCs w:val="28"/>
              </w:rPr>
              <w:t>&gt;</w:t>
            </w:r>
            <w:r>
              <w:rPr>
                <w:rFonts w:ascii="Times New Roman" w:hAnsi="Times New Roman"/>
                <w:sz w:val="28"/>
                <w:szCs w:val="28"/>
              </w:rPr>
              <w:t>5,59</w:t>
            </w:r>
          </w:p>
        </w:tc>
        <w:tc>
          <w:tcPr>
            <w:tcW w:w="992"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91</w:t>
            </w:r>
          </w:p>
        </w:tc>
        <w:tc>
          <w:tcPr>
            <w:tcW w:w="851"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151</w:t>
            </w:r>
          </w:p>
        </w:tc>
        <w:tc>
          <w:tcPr>
            <w:tcW w:w="2523"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w:t>
            </w:r>
            <w:r w:rsidRPr="00C5701E">
              <w:rPr>
                <w:rFonts w:ascii="Century" w:hAnsi="Century"/>
                <w:sz w:val="28"/>
                <w:szCs w:val="28"/>
              </w:rPr>
              <w:t>,</w:t>
            </w:r>
            <w:r>
              <w:rPr>
                <w:rFonts w:ascii="Times New Roman" w:hAnsi="Times New Roman"/>
                <w:sz w:val="28"/>
                <w:szCs w:val="28"/>
              </w:rPr>
              <w:t>21 (0</w:t>
            </w:r>
            <w:r w:rsidRPr="00C5701E">
              <w:rPr>
                <w:rFonts w:ascii="Century" w:hAnsi="Century"/>
                <w:sz w:val="28"/>
                <w:szCs w:val="28"/>
              </w:rPr>
              <w:t>,</w:t>
            </w:r>
            <w:r>
              <w:rPr>
                <w:rFonts w:ascii="Times New Roman" w:hAnsi="Times New Roman"/>
                <w:sz w:val="28"/>
                <w:szCs w:val="28"/>
              </w:rPr>
              <w:t>85-1</w:t>
            </w:r>
            <w:r w:rsidRPr="00C5701E">
              <w:rPr>
                <w:rFonts w:ascii="Century" w:hAnsi="Century"/>
                <w:sz w:val="28"/>
                <w:szCs w:val="28"/>
              </w:rPr>
              <w:t>,</w:t>
            </w:r>
            <w:r>
              <w:rPr>
                <w:rFonts w:ascii="Times New Roman" w:hAnsi="Times New Roman"/>
                <w:sz w:val="28"/>
                <w:szCs w:val="28"/>
              </w:rPr>
              <w:t>72)</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105E91" w:rsidRDefault="00105E91">
            <w:pPr>
              <w:rPr>
                <w:rFonts w:ascii="Times New Roman" w:hAnsi="Times New Roman"/>
                <w:sz w:val="28"/>
                <w:szCs w:val="28"/>
              </w:rPr>
            </w:pPr>
          </w:p>
        </w:tc>
      </w:tr>
      <w:tr w:rsidR="00105E91" w:rsidTr="00937C90">
        <w:trPr>
          <w:trHeight w:val="330"/>
        </w:trPr>
        <w:tc>
          <w:tcPr>
            <w:tcW w:w="2439" w:type="dxa"/>
            <w:vMerge w:val="restart"/>
            <w:tcBorders>
              <w:top w:val="single" w:sz="4" w:space="0" w:color="auto"/>
              <w:left w:val="single" w:sz="4" w:space="0" w:color="auto"/>
              <w:bottom w:val="single" w:sz="4" w:space="0" w:color="auto"/>
              <w:right w:val="single" w:sz="4" w:space="0" w:color="auto"/>
            </w:tcBorders>
            <w:vAlign w:val="center"/>
            <w:hideMark/>
          </w:tcPr>
          <w:p w:rsidR="00105E91" w:rsidRDefault="00105E91">
            <w:pPr>
              <w:jc w:val="center"/>
              <w:rPr>
                <w:rFonts w:ascii="Times New Roman" w:hAnsi="Times New Roman"/>
                <w:sz w:val="28"/>
                <w:szCs w:val="28"/>
              </w:rPr>
            </w:pPr>
            <w:r>
              <w:rPr>
                <w:rFonts w:ascii="Times New Roman" w:hAnsi="Times New Roman"/>
                <w:sz w:val="28"/>
                <w:szCs w:val="28"/>
              </w:rPr>
              <w:t>HOMA-IR</w:t>
            </w:r>
          </w:p>
        </w:tc>
        <w:tc>
          <w:tcPr>
            <w:tcW w:w="1559"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&lt;2,7</w:t>
            </w:r>
          </w:p>
        </w:tc>
        <w:tc>
          <w:tcPr>
            <w:tcW w:w="992"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137</w:t>
            </w:r>
          </w:p>
        </w:tc>
        <w:tc>
          <w:tcPr>
            <w:tcW w:w="851"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174</w:t>
            </w:r>
          </w:p>
        </w:tc>
        <w:tc>
          <w:tcPr>
            <w:tcW w:w="2523"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1,0</w:t>
            </w:r>
          </w:p>
        </w:tc>
        <w:tc>
          <w:tcPr>
            <w:tcW w:w="1131" w:type="dxa"/>
            <w:vMerge w:val="restart"/>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0,004</w:t>
            </w:r>
          </w:p>
        </w:tc>
      </w:tr>
      <w:tr w:rsidR="00105E91" w:rsidTr="00937C90">
        <w:trPr>
          <w:trHeight w:val="330"/>
        </w:trPr>
        <w:tc>
          <w:tcPr>
            <w:tcW w:w="2439" w:type="dxa"/>
            <w:vMerge/>
            <w:tcBorders>
              <w:top w:val="single" w:sz="4" w:space="0" w:color="auto"/>
              <w:left w:val="single" w:sz="4" w:space="0" w:color="auto"/>
              <w:bottom w:val="single" w:sz="4" w:space="0" w:color="auto"/>
              <w:right w:val="single" w:sz="4" w:space="0" w:color="auto"/>
            </w:tcBorders>
            <w:vAlign w:val="center"/>
            <w:hideMark/>
          </w:tcPr>
          <w:p w:rsidR="00105E91" w:rsidRDefault="00105E91">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≥2,7</w:t>
            </w:r>
          </w:p>
        </w:tc>
        <w:tc>
          <w:tcPr>
            <w:tcW w:w="992"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61</w:t>
            </w:r>
          </w:p>
        </w:tc>
        <w:tc>
          <w:tcPr>
            <w:tcW w:w="851"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135</w:t>
            </w:r>
          </w:p>
        </w:tc>
        <w:tc>
          <w:tcPr>
            <w:tcW w:w="2523" w:type="dxa"/>
            <w:tcBorders>
              <w:top w:val="single" w:sz="4" w:space="0" w:color="auto"/>
              <w:left w:val="single" w:sz="4" w:space="0" w:color="auto"/>
              <w:bottom w:val="single" w:sz="4" w:space="0" w:color="auto"/>
              <w:right w:val="single" w:sz="4" w:space="0" w:color="auto"/>
            </w:tcBorders>
            <w:hideMark/>
          </w:tcPr>
          <w:p w:rsidR="00105E91" w:rsidRDefault="00105E91">
            <w:pPr>
              <w:jc w:val="center"/>
              <w:rPr>
                <w:rFonts w:ascii="Times New Roman" w:hAnsi="Times New Roman"/>
                <w:sz w:val="28"/>
                <w:szCs w:val="28"/>
              </w:rPr>
            </w:pPr>
            <w:r>
              <w:rPr>
                <w:rFonts w:ascii="Times New Roman" w:hAnsi="Times New Roman"/>
                <w:sz w:val="28"/>
                <w:szCs w:val="28"/>
              </w:rPr>
              <w:t>1,74 (1,2-2,54)</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105E91" w:rsidRDefault="00105E91">
            <w:pPr>
              <w:rPr>
                <w:rFonts w:ascii="Times New Roman" w:hAnsi="Times New Roman"/>
                <w:sz w:val="28"/>
                <w:szCs w:val="28"/>
              </w:rPr>
            </w:pPr>
          </w:p>
        </w:tc>
      </w:tr>
      <w:tr w:rsidR="00105E91" w:rsidTr="00C4794B">
        <w:trPr>
          <w:trHeight w:val="451"/>
        </w:trPr>
        <w:tc>
          <w:tcPr>
            <w:tcW w:w="9495" w:type="dxa"/>
            <w:gridSpan w:val="6"/>
            <w:tcBorders>
              <w:top w:val="single" w:sz="4" w:space="0" w:color="auto"/>
              <w:left w:val="single" w:sz="4" w:space="0" w:color="auto"/>
              <w:bottom w:val="single" w:sz="4" w:space="0" w:color="auto"/>
              <w:right w:val="single" w:sz="4" w:space="0" w:color="auto"/>
            </w:tcBorders>
            <w:hideMark/>
          </w:tcPr>
          <w:p w:rsidR="003A20F7" w:rsidRDefault="00105E91">
            <w:pPr>
              <w:jc w:val="both"/>
              <w:rPr>
                <w:rFonts w:ascii="Times New Roman" w:hAnsi="Times New Roman"/>
                <w:szCs w:val="24"/>
                <w:lang w:val="kk-KZ"/>
              </w:rPr>
            </w:pPr>
            <w:r>
              <w:rPr>
                <w:rFonts w:ascii="Times New Roman" w:hAnsi="Times New Roman"/>
                <w:szCs w:val="24"/>
              </w:rPr>
              <w:t>Примечание * - χ</w:t>
            </w:r>
            <w:r>
              <w:rPr>
                <w:rFonts w:ascii="Times New Roman" w:hAnsi="Times New Roman"/>
                <w:szCs w:val="24"/>
                <w:vertAlign w:val="superscript"/>
              </w:rPr>
              <w:t>2</w:t>
            </w:r>
            <w:r>
              <w:rPr>
                <w:rFonts w:ascii="Times New Roman" w:hAnsi="Times New Roman"/>
                <w:szCs w:val="24"/>
              </w:rPr>
              <w:t xml:space="preserve"> – хи квадрат Пирсона; </w:t>
            </w:r>
          </w:p>
          <w:p w:rsidR="00105E91" w:rsidRDefault="00105E91">
            <w:pPr>
              <w:jc w:val="both"/>
              <w:rPr>
                <w:rFonts w:ascii="Times New Roman" w:hAnsi="Times New Roman"/>
                <w:sz w:val="20"/>
                <w:szCs w:val="20"/>
              </w:rPr>
            </w:pPr>
            <w:r>
              <w:rPr>
                <w:rFonts w:ascii="Times New Roman" w:hAnsi="Times New Roman"/>
                <w:szCs w:val="24"/>
              </w:rPr>
              <w:t>ОШ (95% ДИ) – Отношение шансов (95% Доверительный интервал)</w:t>
            </w:r>
          </w:p>
        </w:tc>
      </w:tr>
    </w:tbl>
    <w:p w:rsidR="00201AC5" w:rsidRDefault="00201AC5" w:rsidP="00D21F99">
      <w:pPr>
        <w:spacing w:after="0" w:line="240" w:lineRule="auto"/>
        <w:ind w:firstLine="708"/>
        <w:jc w:val="both"/>
        <w:rPr>
          <w:rFonts w:ascii="Times New Roman" w:hAnsi="Times New Roman" w:cs="Times New Roman"/>
          <w:sz w:val="28"/>
          <w:szCs w:val="28"/>
        </w:rPr>
      </w:pPr>
    </w:p>
    <w:p w:rsidR="00B324BD" w:rsidRDefault="00B324BD" w:rsidP="00B324B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 xml:space="preserve">Схожие результаты были в исследовании </w:t>
      </w:r>
      <w:r>
        <w:rPr>
          <w:rFonts w:ascii="Times New Roman" w:hAnsi="Times New Roman" w:cs="Times New Roman"/>
          <w:sz w:val="28"/>
          <w:szCs w:val="24"/>
        </w:rPr>
        <w:t>Alinaghian N. (2019)</w:t>
      </w:r>
      <w:r>
        <w:rPr>
          <w:rFonts w:ascii="Times New Roman" w:hAnsi="Times New Roman" w:cs="Times New Roman"/>
          <w:sz w:val="28"/>
          <w:szCs w:val="28"/>
        </w:rPr>
        <w:t xml:space="preserve">, где автор утверждает, что у пациентов с гипертриглицеридемией часто встречается повышение уровня апоВ по сравнению с здоровыми лицами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{"citationItems":[{"id":"ITEM-1","itemData":{"DOI":"10.1016/j.gene.2019.04.069","ISSN":"03781119","PMID":"31034941","abstract":"BACKGROUND: Metabolic syndrome is a cluster of conditions that increase risk of cardiovascular morbidity and mortality. Among genetic factors that contributed to incidence of metabolic syndrome, Polymorphisms of Lipoprotein lipase (LPL) are major candidates especially because of their effect on obesity and dyslipidemia. S447X (rs328) and Hind III (rs320) Polymorphisms of LPL gene have been reported to change LPL activity, resulting in altered triglyceride (TG) and high density lipoprotein Cholesterol (HDL-C) levels. This study investigates the effects of these gene polymorphisms on factors affecting metabolic syndrome in northern population of Iran. METHODS: Studied population included 223 adults consisting 90 women and 133 men with body mass index (BMI) ≥ 30 kg/m2 as obese subjects, and 156 healthy participants as a control group with BMI &lt;25 that included 68 women and 88 men. All factors causing metabolic syndrome were evaluated. Also DNA was extracted from blood samples and HindIII and S447X LPL gene polymorphisms were screened by polymerase chain reaction-restriction fragment length polymorphism method (PCR-RFLP). CONCLUSIONS: The present study proves that some genotypes of S447X were associated with a reduced risk of developing low HDL-C only in men, while the protective effects of HindIII on hypertriglyceridemia were only seen in women [corrected]. The point is that this relation is affected by the weight profile of the participants. It can be concluded that there is a gender-related relation between the polymorphisms of LPL gene and the risk factors for incidence of metabolic syndrome in the northern population of Iran.","author":[{"dropping-particle":"","family":"Alinaghian","given":"Nazila","non-dropping-particle":"","parse-names":false,"suffix":""},{"dropping-particle":"","family":"Abdollahi","given":"Elaheh","non-dropping-particle":"","parse-names":false,"suffix":""},{"dropping-particle":"","family":"Torab","given":"Mansour","non-dropping-particle":"","parse-names":false,"suffix":""},{"dropping-particle":"","family":"Khodaparast","given":"Maral","non-dropping-particle":"","parse-names":false,"suffix":""},{"dropping-particle":"","family":"Zamani","given":"Farhad","non-dropping-particle":"","parse-names":false,"suffix":""},{"dropping-particle":"","family":"Rahimi-Moghaddam","given":"Parvaneh","non-dropping-particle":"","parse-names":false,"suffix":""}],"container-title":"Gene","id":"ITEM-1","issued":{"date-parts":[["2019","7"]]},"page":"13-18","title":"Gender-related relation between metabolic syndrome and S447X and HindIII polymorphisms of lipoprotein lipase gene in northern Iran","type":"article-journal","volume":"706"},"uris":["http://www.mendeley.com/documents/?uuid=b39e5cc8-4201-4483-93b7-3b067088140c"]}],"mendeley":{"formattedCitation":"[173]","plainTextFormattedCitation":"[173]","previouslyFormattedCitation":"[173]"},"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[173]</w:t>
      </w:r>
      <w:r>
        <w:rPr>
          <w:rFonts w:ascii="Times New Roman" w:hAnsi="Times New Roman" w:cs="Times New Roman"/>
          <w:sz w:val="28"/>
          <w:szCs w:val="28"/>
        </w:rPr>
        <w:fldChar w:fldCharType="end"/>
      </w:r>
      <w:r w:rsidRPr="00BA67AC">
        <w:rPr>
          <w:rFonts w:ascii="Times New Roman" w:hAnsi="Times New Roman" w:cs="Times New Roman"/>
          <w:sz w:val="28"/>
          <w:szCs w:val="28"/>
        </w:rPr>
        <w:t xml:space="preserve">. </w:t>
      </w:r>
      <w:r>
        <w:rPr>
          <w:rFonts w:ascii="Times New Roman" w:hAnsi="Times New Roman" w:cs="Times New Roman"/>
          <w:sz w:val="28"/>
          <w:szCs w:val="28"/>
        </w:rPr>
        <w:t xml:space="preserve">Многие статины применяющие в лечении дислипидемии снижает уровень апоВ в плазме, что подтверждает гипотезу об ассоциации </w:t>
      </w:r>
      <w:r>
        <w:rPr>
          <w:rFonts w:ascii="Times New Roman" w:hAnsi="Times New Roman" w:cs="Times New Roman"/>
          <w:sz w:val="28"/>
          <w:szCs w:val="28"/>
        </w:rPr>
        <w:lastRenderedPageBreak/>
        <w:t xml:space="preserve">концентрации апоВ с риском АССЗ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{"citationItems":[{"id":"ITEM-1","itemData":{"DOI":"10.1001/jama.2017.11467","ISSN":"0098-7484","abstract":"IMPORTANCE: Some cholesteryl ester transfer protein (CETP) inhibitors lower low-density lipoprotein cholesterol (LDL-C) levels without reducing cardiovascular events, suggesting that the clinical benefit of lowering LDL-C may depend on how LDL-C is lowered. OBJECTIVE: To estimate the association between changes in levels of LDL-C (and other lipoproteins) and the risk of cardiovascular events related to variants in the CETP gene, both alone and in combination with variants in the 3-hydroxy-3-methylglutaryl-CoA reductase (HMGCR) gene. DESIGN, SETTING, AND PARTICIPANTS: Mendelian randomization analyses evaluating the association between CETP and HMGCR scores, changes in lipid and lipoprotein levels, and the risk of cardiovascular events involving 102 837 participants from 14 cohort or case-control studies conducted in North America or the United Kingdom between 1948 and 2012. The associations with cardiovascular events were externally validated in 189 539 participants from 48 studies conducted between 2011 and 2015. EXPOSURES: Differences in mean high-density lipoprotein cholesterol (HDL-C), LDL-C, and apolipoprotein B (apoB) levels in participants with CETP scores at or above vs below the median. MAIN OUTCOMES AND MEASURES: Odds ratio (OR) for major cardiovascular events. RESULTS: The primary analysis included 102 837 participants (mean age, 59.9 years; 58% women) who experienced 13 821 major cardiovascular events. The validation analyses included 189 539 participants (mean age, 58.5 years; 39% women) with 62 240 cases of coronary heart disease (CHD). Considered alone, the CETP score was associated with higher levels of HDL-C, lower LDL-C, concordantly lower apoB, and a corresponding lower risk of major vascular events (OR, 0.946 [95% CI, 0.921-0.972]) that was similar in magnitude to the association between the HMGCR score and risk of major cardiovascular events per unit change in levels of LDL-C (and apoB). When combined with the HMGCR score, the CETP score was associated with the same reduction in LDL-C levels but an attenuated reduction in apoB levels and a corresponding attenuated nonsignificant risk of major cardiovascular events (OR, 0.985 [95% CI, 0.955-1.015]). In external validation analyses, a genetic score consisting of variants with naturally occurring discordance between levels of LDL-C and apoB was associated with a similar risk of CHD per unit change in apoB level (OR, 0.782 [95% CI, 0.720-0.845] vs 0.793 [95% CI, 0.774-0.812]; P = .79 for…","author":[{"dropping-particle":"","family":"Ference","given":"Brian A.","non-dropping-particle":"","parse-names":false,"suffix":""},{"dropping-particle":"","family":"Kastelein","given":"John J. P.","non-dropping-particle":"","parse-names":false,"suffix":""},{"dropping-particle":"","family":"Ginsberg","given":"Henry N.","non-dropping-particle":"","parse-names":false,"suffix":""},{"dropping-particle":"","family":"Chapman","given":"M. John","non-dropping-particle":"","parse-names":false,"suffix":""},{"dropping-particle":"","family":"Nicholls","given":"Stephen J.","non-dropping-particle":"","parse-names":false,"suffix":""},{"dropping-particle":"","family":"Ray","given":"Kausik K.","non-dropping-particle":"","parse-names":false,"suffix":""},{"dropping-particle":"","family":"Packard","given":"Chris J.","non-dropping-particle":"","parse-names":false,"suffix":""},{"dropping-particle":"","family":"Laufs","given":"Ulrich","non-dropping-particle":"","parse-names":false,"suffix":""},{"dropping-particle":"","family":"Brook","given":"Robert D.","non-dropping-particle":"","parse-names":false,"suffix":""},{"dropping-particle":"","family":"Oliver-Williams","given":"Clare","non-dropping-particle":"","parse-names":false,"suffix":""},{"dropping-particle":"","family":"Butterworth","given":"Adam S.","non-dropping-particle":"","parse-names":false,"suffix":""},{"dropping-particle":"","family":"Danesh","given":"John","non-dropping-particle":"","parse-names":false,"suffix":""},{"dropping-particle":"","family":"Smith","given":"George Davey","non-dropping-particle":"","parse-names":false,"suffix":""},{"dropping-particle":"","family":"Catapano","given":"Alberico L.","non-dropping-particle":"","parse-names":false,"suffix":""},{"dropping-particle":"","family":"Sabatine","given":"Marc S.","non-dropping-particle":"","parse-names":false,"suffix":""}],"container-title":"JAMA","id":"ITEM-1","issue":"10","issued":{"date-parts":[["2017","9","12"]]},"page":"947","title":"Association of Genetic Variants Related to CETP Inhibitors and Statins With Lipoprotein Levels and Cardiovascular Risk","type":"article-journal","volume":"318"},"uris":["http://www.mendeley.com/documents/?uuid=0951c096-9295-45ff-b58b-0646f2c02d95"]}],"mendeley":{"formattedCitation":"[174]","plainTextFormattedCitation":"[174]","previouslyFormattedCitation":"[174]"},"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[174]</w:t>
      </w:r>
      <w:r>
        <w:rPr>
          <w:rFonts w:ascii="Times New Roman" w:hAnsi="Times New Roman" w:cs="Times New Roman"/>
          <w:sz w:val="28"/>
          <w:szCs w:val="28"/>
        </w:rPr>
        <w:fldChar w:fldCharType="end"/>
      </w:r>
      <w:r>
        <w:rPr>
          <w:rFonts w:ascii="Times New Roman" w:hAnsi="Times New Roman" w:cs="Times New Roman"/>
          <w:sz w:val="28"/>
          <w:szCs w:val="28"/>
        </w:rPr>
        <w:t xml:space="preserve">. Как показывают результаты многих исследований, определение уровня апоВ имеет важное значение для оценки и мониторинга дислипидемии как фактора риска АССЗ </w:t>
      </w:r>
      <w:r>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{"citationItems":[{"id":"ITEM-1","itemData":{"DOI":"10.1016/j.gene.2019.04.069","ISSN":"03781119","PMID":"31034941","abstract":"BACKGROUND: Metabolic syndrome is a cluster of conditions that increase risk of cardiovascular morbidity and mortality. Among genetic factors that contributed to incidence of metabolic syndrome, Polymorphisms of Lipoprotein lipase (LPL) are major candidates especially because of their effect on obesity and dyslipidemia. S447X (rs328) and Hind III (rs320) Polymorphisms of LPL gene have been reported to change LPL activity, resulting in altered triglyceride (TG) and high density lipoprotein Cholesterol (HDL-C) levels. This study investigates the effects of these gene polymorphisms on factors affecting metabolic syndrome in northern population of Iran. METHODS: Studied population included 223 adults consisting 90 women and 133 men with body mass index (BMI) ≥ 30 kg/m2 as obese subjects, and 156 healthy participants as a control group with BMI &lt;25 that included 68 women and 88 men. All factors causing metabolic syndrome were evaluated. Also DNA was extracted from blood samples and HindIII and S447X LPL gene polymorphisms were screened by polymerase chain reaction-restriction fragment length polymorphism method (PCR-RFLP). CONCLUSIONS: The present study proves that some genotypes of S447X were associated with a reduced risk of developing low HDL-C only in men, while the protective effects of HindIII on hypertriglyceridemia were only seen in women [corrected]. The point is that this relation is affected by the weight profile of the participants. It can be concluded that there is a gender-related relation between the polymorphisms of LPL gene and the risk factors for incidence of metabolic syndrome in the northern population of Iran.","author":[{"dropping-particle":"","family":"Alinaghian","given":"Nazila","non-dropping-particle":"","parse-names":false,"suffix":""},{"dropping-particle":"","family":"Abdollahi","given":"Elaheh","non-dropping-particle":"","parse-names":false,"suffix":""},{"dropping-particle":"","family":"Torab","given":"Mansour","non-dropping-particle":"","parse-names":false,"suffix":""},{"dropping-particle":"","family":"Khodaparast","given":"Maral","non-dropping-particle":"","parse-names":false,"suffix":""},{"dropping-particle":"","family":"Zamani","given":"Farhad","non-dropping-particle":"","parse-names":false,"suffix":""},{"dropping-particle":"","family":"Rahimi-Moghaddam","given":"Parvaneh","non-dropping-particle":"","parse-names":false,"suffix":""}],"container-title":"Gene","id":"ITEM-1","issued":{"date-parts":[["2019","7"]]},"page":"13-18","title":"Gender-related relation between metabolic syndrome and S447X and HindIII polymorphisms of lipoprotein lipase gene in northern Iran","type":"article-journal","volume":"706"},"uris":["http://www.mendeley.com/documents/?uuid=b39e5cc8-4201-4483-93b7-3b067088140c"]}],"mendeley":{"formattedCitation":"[173]","manualFormatting":"[173, р. 15]","plainTextFormattedCitation":"[173]","previouslyFormattedCitation":"[173]"},"properties":{"noteIndex":0},"schema":"https://github.com/citation-style-language/schema/raw/master/csl-citation.json"}</w:instrText>
      </w:r>
      <w:r>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[173</w:t>
      </w:r>
      <w:r w:rsidR="00F87DB7">
        <w:rPr>
          <w:rFonts w:ascii="Times New Roman" w:hAnsi="Times New Roman" w:cs="Times New Roman"/>
          <w:noProof/>
          <w:sz w:val="28"/>
          <w:szCs w:val="28"/>
        </w:rPr>
        <w:t>, р. 15</w:t>
      </w:r>
      <w:r w:rsidR="00F87DB7" w:rsidRPr="00F87DB7">
        <w:rPr>
          <w:rFonts w:ascii="Times New Roman" w:hAnsi="Times New Roman" w:cs="Times New Roman"/>
          <w:noProof/>
          <w:sz w:val="28"/>
          <w:szCs w:val="28"/>
        </w:rPr>
        <w:t>]</w:t>
      </w:r>
      <w:r>
        <w:rPr>
          <w:rFonts w:ascii="Times New Roman" w:hAnsi="Times New Roman" w:cs="Times New Roman"/>
          <w:sz w:val="28"/>
          <w:szCs w:val="28"/>
        </w:rPr>
        <w:fldChar w:fldCharType="end"/>
      </w:r>
      <w:r w:rsidRPr="00FC26AB">
        <w:rPr>
          <w:rFonts w:ascii="Times New Roman" w:hAnsi="Times New Roman" w:cs="Times New Roman"/>
          <w:sz w:val="28"/>
          <w:szCs w:val="28"/>
        </w:rPr>
        <w:t xml:space="preserve">. </w:t>
      </w:r>
      <w:r>
        <w:rPr>
          <w:rFonts w:ascii="Times New Roman" w:hAnsi="Times New Roman" w:cs="Times New Roman"/>
          <w:sz w:val="28"/>
          <w:szCs w:val="28"/>
        </w:rPr>
        <w:t xml:space="preserve">В некоторых исследованиях оценка риска ИМ проводилась с помощью определения и мониторинга уровня апоВ </w:t>
      </w:r>
      <w:r>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{"citationItems":[{"id":"ITEM-1","itemData":{"DOI":"10.1177/0004563219827620","ISSN":"17581001","abstract":"An elevated low-density lipoprotein cholesterol concentration is a classical risk factor for cardiovascular disease. This has led to pharmacotherapy in patients with atherosclerotic heart disease or high heart disease risk with statins to reduce serum low-density lipoprotein cholesterol. Even in patients in whom the target levels of low-density lipoprotein cholesterol are reached, there remains a significant residual cardiovascular risk; this is due, in part, to a focus on low-density lipoprotein cholesterol alone and neglect of other important aspects of lipoprotein metabolism. A more refined lipoprotein analysis will provide additional information on the accumulation of very low-density lipoproteins, intermediate density lipoproteins, chylomicrons, chylomicron-remnants and Lp(a) concentrations. Instead of measuring the cholesterol and triglyceride content of the lipoproteins, measurement of their apolipoproteins (apos) is more informative. Apos are either specific for a particular lipoprotein or for a group of lipoproteins. In particular measurement of apos in atherogenic particles is more biologically meaningful than the measurement of the cholesterol concentration contained in these particles. Applying apo profiling will not only improve characterization of the lipoprotein abnormality, but will also improve definition of therapeutic targets. Apo profiling aligns with the concept of precision medicine by which an individual patient is not treated as ‘average’ patient by the average (dose of) therapy. This concept of precision medicine fits the unmet clinical need for stratified cardiovascular medicine. The requirements for clinical application of proteomics, including apo profiling, can now be met using robust mass spectrometry technology which offers desirable analytical performance and standardization.","author":[{"dropping-particle":"","family":"Renee Ruhaak","given":"L.","non-dropping-particle":"","parse-names":false,"suffix":""},{"dropping-particle":"","family":"Laarse","given":"Arnoud","non-dropping-particle":"van der","parse-names":false,"suffix":""},{"dropping-particle":"","family":"Cobbaert","given":"Christa M.","non-dropping-particle":"","parse-names":false,"suffix":""}],"container-title":"Annals of Clinical Biochemistry","id":"ITEM-1","issue":"3","issued":{"date-parts":[["2019"]]},"page":"338-356","title":"Apolipoprotein profiling as a personalized approach to the diagnosis and treatment of dyslipidaemia","type":"article-journal","volume":"56"},"uris":["http://www.mendeley.com/documents/?uuid=9d29395d-90a9-4250-ba7f-a6c24fd91f65"]}],"mendeley":{"formattedCitation":"[30]","manualFormatting":"[30, р. 341]","plainTextFormattedCitation":"[30]","previouslyFormattedCitation":"[30]"},"properties":{"noteIndex":0},"schema":"https://github.com/citation-style-language/schema/raw/master/csl-citation.json"}</w:instrText>
      </w:r>
      <w:r>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[30</w:t>
      </w:r>
      <w:r w:rsidR="00F87DB7">
        <w:rPr>
          <w:rFonts w:ascii="Times New Roman" w:hAnsi="Times New Roman" w:cs="Times New Roman"/>
          <w:noProof/>
          <w:sz w:val="28"/>
          <w:szCs w:val="28"/>
        </w:rPr>
        <w:t>, р. 341</w:t>
      </w:r>
      <w:r w:rsidR="00F87DB7" w:rsidRPr="00F87DB7">
        <w:rPr>
          <w:rFonts w:ascii="Times New Roman" w:hAnsi="Times New Roman" w:cs="Times New Roman"/>
          <w:noProof/>
          <w:sz w:val="28"/>
          <w:szCs w:val="28"/>
        </w:rPr>
        <w:t>]</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B324BD" w:rsidRDefault="00B324BD" w:rsidP="00B324B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Гипераполипопротеинемия В чаще наблюдалась в сочетании с высоким уровнем </w:t>
      </w:r>
      <w:r>
        <w:rPr>
          <w:rFonts w:ascii="Times New Roman" w:hAnsi="Times New Roman"/>
          <w:sz w:val="28"/>
          <w:szCs w:val="28"/>
        </w:rPr>
        <w:t>HOMA-IR</w:t>
      </w:r>
      <w:r>
        <w:rPr>
          <w:rFonts w:ascii="Times New Roman" w:hAnsi="Times New Roman" w:cs="Times New Roman"/>
          <w:sz w:val="28"/>
          <w:szCs w:val="28"/>
        </w:rPr>
        <w:t xml:space="preserve"> (таблица 27). Схожие результаты по </w:t>
      </w:r>
      <w:r>
        <w:rPr>
          <w:rFonts w:ascii="Times New Roman" w:hAnsi="Times New Roman"/>
          <w:sz w:val="28"/>
          <w:szCs w:val="28"/>
        </w:rPr>
        <w:t>HOMA-IR</w:t>
      </w:r>
      <w:r>
        <w:rPr>
          <w:rFonts w:ascii="Times New Roman" w:hAnsi="Times New Roman" w:cs="Times New Roman"/>
          <w:sz w:val="28"/>
          <w:szCs w:val="28"/>
        </w:rPr>
        <w:t xml:space="preserve"> были получены в исследовании </w:t>
      </w:r>
      <w:r>
        <w:rPr>
          <w:rFonts w:ascii="Times New Roman" w:hAnsi="Times New Roman" w:cs="Times New Roman"/>
          <w:sz w:val="28"/>
          <w:szCs w:val="24"/>
        </w:rPr>
        <w:t>Bissonnette S. (2018)</w:t>
      </w:r>
      <w:r w:rsidRPr="00C3785C">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{"citationItems":[{"id":"ITEM-1","itemData":{"DOI":"10.1093/ajcn/nqy070","ISSN":"19383207","abstract":"Background To optimize the prevention of type 2 diabetes (T2D), high-risk obese subjects with the best metabolic recovery after a hypocaloric diet should be targeted. Apolipoprotein B lipoproteins (apoB lipoproteins) induce white adipose tissue (WAT) dysfunction, which in turn promotes postprandial hypertriglyceridemia, insulin resistance (IR), and hyperinsulinemia. Objective The aim of this study was to explore whether high plasma apoB, or number of plasma apoB lipoproteins, identifies subjects who best ameliorate WAT dysfunction and related risk factors after a hypocaloric diet. Design Fifty-nine men and postmenopausal women [mean ± SD age: 58 ± 6 y; body mass index (kg/m 2): 32.6 ± 4.6] completed a prospective study with a 6-mo hypocaloric diet (-500 kcal/d). Glucose-induced insulin secretion (GIIS) and insulin sensitivity (IS) were measured by 1-h intravenous glucose-tolerance test (IVGTT) followed by a 3-h hyperinsulinemic-euglycemic clamp, respectively. Ex vivo gynoid WAT function (i.e., hydrolysis and storage of 3 H-triolein-labeled triglyceride-rich lipoproteins) and 6-h postprandial plasma clearance of a 13 C-triolein-labeled high-fat meal were measured in a subsample (n = 25). Results Postintervention first-phase GIIS IVGTT and total C-peptide secretion decreased in both sexes, whereas second-phase and total GIIS IVGTT and clamp IS were ameliorated in men (P &lt; 0.05). Baseline plasma apoB was associated with a postintervention increase in WAT function (r = 0.61) and IS (glucose infusion rate divided by steady state insulin (M/I clamp) r = 0.30) and a decrease in first-phase, second-phase, and total GIIS IVGTT (r = -0.30 to -0.35) without sex differences. The association with postintervention amelioration in WAT function and GIIS IVGTT was independent of plasma cholesterol (total, LDL, and HDL), sex, and changes in body composition. Subjects with high baseline plasma apoB (1.2 ± 0.2 g/L) showed a significant increase in WAT function (+105%; P = 0.012) and a decrease in total GIIS IVGTT (-34%; P ≤ 0.001), whereas sex-matched subjects with low plasma apoB (0.7 ± 0.1 g/L) did not, despite equivalent changes in body composition and energy intake and expenditure. Conclusions High plasma apoB identifies obese subjects who best ameliorate WAT dysfunction and glucose-induced hyperinsulinemia, independent of changes in adiposity after consumption of a hypocaloric diet. We propose that subjects with high plasma apoB represent an optimal target group for t…","author":[{"dropping-particle":"","family":"Bissonnette","given":"Simon","non-dropping-particle":"","parse-names":false,"suffix":""},{"dropping-particle":"","family":"Saint-Pierre","given":"Nathalie","non-dropping-particle":"","parse-names":false,"suffix":""},{"dropping-particle":"","family":"Lamantia","given":"Valerie","non-dropping-particle":"","parse-names":false,"suffix":""},{"dropping-particle":"","family":"Leroux","given":"Catherine","non-dropping-particle":"","parse-names":false,"suffix":""},{"dropping-particle":"","family":"Provost","given":"Viviane","non-dropping-particle":"","parse-names":false,"suffix":""},{"dropping-particle":"","family":"Cyr","given":"Yannick","non-dropping-particle":"","parse-names":false,"suffix":""},{"dropping-particle":"","family":"Rabasa-Lhoret","given":"Remi","non-dropping-particle":"","parse-names":false,"suffix":""},{"dropping-particle":"","family":"Faraj","given":"May","non-dropping-particle":"","parse-names":false,"suffix":""}],"container-title":"American Journal of Clinical Nutrition","id":"ITEM-1","issue":"1","issued":{"date-parts":[["2018"]]},"page":"62-76","title":"High plasma apolipoprotein B identifies obese subjects who best ameliorate white adipose tissue dysfunction and glucose-induced hyperinsulinemia after a hypocaloric diet","type":"article-journal","volume":"108"},"uris":["http://www.mendeley.com/documents/?uuid=6691a466-903e-4bf2-a8c8-e57f89fbeccd"]}],"mendeley":{"formattedCitation":"[175]","plainTextFormattedCitation":"[175]","previouslyFormattedCitation":"[175]"},"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[175]</w:t>
      </w:r>
      <w:r>
        <w:rPr>
          <w:rFonts w:ascii="Times New Roman" w:hAnsi="Times New Roman" w:cs="Times New Roman"/>
          <w:sz w:val="28"/>
          <w:szCs w:val="28"/>
        </w:rPr>
        <w:fldChar w:fldCharType="end"/>
      </w:r>
      <w:r>
        <w:rPr>
          <w:rFonts w:ascii="Times New Roman" w:hAnsi="Times New Roman" w:cs="Times New Roman"/>
          <w:sz w:val="28"/>
          <w:szCs w:val="24"/>
        </w:rPr>
        <w:t xml:space="preserve">. </w:t>
      </w:r>
      <w:r>
        <w:rPr>
          <w:rFonts w:ascii="Times New Roman" w:hAnsi="Times New Roman" w:cs="Times New Roman"/>
          <w:sz w:val="28"/>
          <w:szCs w:val="28"/>
        </w:rPr>
        <w:t xml:space="preserve">В работе изучали дисфункцию жировой ткани, где было выявлено, что изначальное содержание апоВ более 1,2 г/л в плазме значительно увеличивала функции жировой ткани у лиц с ожирением независимо от соблюдении низкокалорийной диеты в течение 6 месяцев. Авторы выявили, что содержание апоВ влияет на дисфункцию жировой ткани, которая в последствии приводит к гипертриглицеридемии, ИР и гиперинсулинемии. Поэтому авторы этого исследования предлагали пациентам с высоким уровнем апоВ рекомендовать низкокалорийную диету, как первичную профилактику СД 2 типа при избыточном весе и ожирении </w:t>
      </w:r>
      <w:r>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{"citationItems":[{"id":"ITEM-1","itemData":{"DOI":"10.1093/ajcn/nqy070","ISSN":"19383207","abstract":"Background To optimize the prevention of type 2 diabetes (T2D), high-risk obese subjects with the best metabolic recovery after a hypocaloric diet should be targeted. Apolipoprotein B lipoproteins (apoB lipoproteins) induce white adipose tissue (WAT) dysfunction, which in turn promotes postprandial hypertriglyceridemia, insulin resistance (IR), and hyperinsulinemia. Objective The aim of this study was to explore whether high plasma apoB, or number of plasma apoB lipoproteins, identifies subjects who best ameliorate WAT dysfunction and related risk factors after a hypocaloric diet. Design Fifty-nine men and postmenopausal women [mean ± SD age: 58 ± 6 y; body mass index (kg/m 2): 32.6 ± 4.6] completed a prospective study with a 6-mo hypocaloric diet (-500 kcal/d). Glucose-induced insulin secretion (GIIS) and insulin sensitivity (IS) were measured by 1-h intravenous glucose-tolerance test (IVGTT) followed by a 3-h hyperinsulinemic-euglycemic clamp, respectively. Ex vivo gynoid WAT function (i.e., hydrolysis and storage of 3 H-triolein-labeled triglyceride-rich lipoproteins) and 6-h postprandial plasma clearance of a 13 C-triolein-labeled high-fat meal were measured in a subsample (n = 25). Results Postintervention first-phase GIIS IVGTT and total C-peptide secretion decreased in both sexes, whereas second-phase and total GIIS IVGTT and clamp IS were ameliorated in men (P &lt; 0.05). Baseline plasma apoB was associated with a postintervention increase in WAT function (r = 0.61) and IS (glucose infusion rate divided by steady state insulin (M/I clamp) r = 0.30) and a decrease in first-phase, second-phase, and total GIIS IVGTT (r = -0.30 to -0.35) without sex differences. The association with postintervention amelioration in WAT function and GIIS IVGTT was independent of plasma cholesterol (total, LDL, and HDL), sex, and changes in body composition. Subjects with high baseline plasma apoB (1.2 ± 0.2 g/L) showed a significant increase in WAT function (+105%; P = 0.012) and a decrease in total GIIS IVGTT (-34%; P ≤ 0.001), whereas sex-matched subjects with low plasma apoB (0.7 ± 0.1 g/L) did not, despite equivalent changes in body composition and energy intake and expenditure. Conclusions High plasma apoB identifies obese subjects who best ameliorate WAT dysfunction and glucose-induced hyperinsulinemia, independent of changes in adiposity after consumption of a hypocaloric diet. We propose that subjects with high plasma apoB represent an optimal target group for t…","author":[{"dropping-particle":"","family":"Bissonnette","given":"Simon","non-dropping-particle":"","parse-names":false,"suffix":""},{"dropping-particle":"","family":"Saint-Pierre","given":"Nathalie","non-dropping-particle":"","parse-names":false,"suffix":""},{"dropping-particle":"","family":"Lamantia","given":"Valerie","non-dropping-particle":"","parse-names":false,"suffix":""},{"dropping-particle":"","family":"Leroux","given":"Catherine","non-dropping-particle":"","parse-names":false,"suffix":""},{"dropping-particle":"","family":"Provost","given":"Viviane","non-dropping-particle":"","parse-names":false,"suffix":""},{"dropping-particle":"","family":"Cyr","given":"Yannick","non-dropping-particle":"","parse-names":false,"suffix":""},{"dropping-particle":"","family":"Rabasa-Lhoret","given":"Remi","non-dropping-particle":"","parse-names":false,"suffix":""},{"dropping-particle":"","family":"Faraj","given":"May","non-dropping-particle":"","parse-names":false,"suffix":""}],"container-title":"American Journal of Clinical Nutrition","id":"ITEM-1","issue":"1","issued":{"date-parts":[["2018"]]},"page":"62-76","title":"High plasma apolipoprotein B identifies obese subjects who best ameliorate white adipose tissue dysfunction and glucose-induced hyperinsulinemia after a hypocaloric diet","type":"article-journal","volume":"108"},"uris":["http://www.mendeley.com/documents/?uuid=6691a466-903e-4bf2-a8c8-e57f89fbeccd"]}],"mendeley":{"formattedCitation":"[175]","manualFormatting":"[175, р. 68]","plainTextFormattedCitation":"[175]","previouslyFormattedCitation":"[175]"},"properties":{"noteIndex":0},"schema":"https://github.com/citation-style-language/schema/raw/master/csl-citation.json"}</w:instrText>
      </w:r>
      <w:r>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[175</w:t>
      </w:r>
      <w:r w:rsidR="00F87DB7">
        <w:rPr>
          <w:rFonts w:ascii="Times New Roman" w:hAnsi="Times New Roman" w:cs="Times New Roman"/>
          <w:noProof/>
          <w:sz w:val="28"/>
          <w:szCs w:val="28"/>
        </w:rPr>
        <w:t>, р. 68</w:t>
      </w:r>
      <w:r w:rsidR="00F87DB7" w:rsidRPr="00F87DB7">
        <w:rPr>
          <w:rFonts w:ascii="Times New Roman" w:hAnsi="Times New Roman" w:cs="Times New Roman"/>
          <w:noProof/>
          <w:sz w:val="28"/>
          <w:szCs w:val="28"/>
        </w:rPr>
        <w:t>]</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Таким образом, в на</w:t>
      </w:r>
      <w:r w:rsidR="00BC09A9">
        <w:rPr>
          <w:rFonts w:ascii="Times New Roman" w:hAnsi="Times New Roman" w:cs="Times New Roman"/>
          <w:sz w:val="28"/>
          <w:szCs w:val="28"/>
        </w:rPr>
        <w:t xml:space="preserve">стоящей работе </w:t>
      </w:r>
      <w:r>
        <w:rPr>
          <w:rFonts w:ascii="Times New Roman" w:hAnsi="Times New Roman" w:cs="Times New Roman"/>
          <w:sz w:val="28"/>
          <w:szCs w:val="28"/>
        </w:rPr>
        <w:t>гипераполипопротеинеми</w:t>
      </w:r>
      <w:r w:rsidR="00BC09A9">
        <w:rPr>
          <w:rFonts w:ascii="Times New Roman" w:hAnsi="Times New Roman" w:cs="Times New Roman"/>
          <w:sz w:val="28"/>
          <w:szCs w:val="28"/>
        </w:rPr>
        <w:t>я В чаще со</w:t>
      </w:r>
      <w:r w:rsidR="0045704C">
        <w:rPr>
          <w:rFonts w:ascii="Times New Roman" w:hAnsi="Times New Roman" w:cs="Times New Roman"/>
          <w:sz w:val="28"/>
          <w:szCs w:val="28"/>
        </w:rPr>
        <w:t>четал</w:t>
      </w:r>
      <w:r w:rsidR="00BC09A9">
        <w:rPr>
          <w:rFonts w:ascii="Times New Roman" w:hAnsi="Times New Roman" w:cs="Times New Roman"/>
          <w:sz w:val="28"/>
          <w:szCs w:val="28"/>
        </w:rPr>
        <w:t>а</w:t>
      </w:r>
      <w:r>
        <w:rPr>
          <w:rFonts w:ascii="Times New Roman" w:hAnsi="Times New Roman" w:cs="Times New Roman"/>
          <w:sz w:val="28"/>
          <w:szCs w:val="28"/>
        </w:rPr>
        <w:t xml:space="preserve">сь с гиперхолестеринемией, гипертриглицеридемией, высокими </w:t>
      </w:r>
      <w:r w:rsidR="00AC1702">
        <w:rPr>
          <w:rFonts w:ascii="Times New Roman" w:hAnsi="Times New Roman" w:cs="Times New Roman"/>
          <w:sz w:val="28"/>
          <w:szCs w:val="28"/>
          <w:lang w:val="kk-KZ"/>
        </w:rPr>
        <w:t>значения</w:t>
      </w:r>
      <w:r>
        <w:rPr>
          <w:rFonts w:ascii="Times New Roman" w:hAnsi="Times New Roman" w:cs="Times New Roman"/>
          <w:sz w:val="28"/>
          <w:szCs w:val="28"/>
        </w:rPr>
        <w:t xml:space="preserve">ми апоВ/апоА1 и </w:t>
      </w:r>
      <w:r>
        <w:rPr>
          <w:rFonts w:ascii="Times New Roman" w:hAnsi="Times New Roman"/>
          <w:sz w:val="28"/>
          <w:szCs w:val="28"/>
        </w:rPr>
        <w:t>HOMA-IR</w:t>
      </w:r>
      <w:r w:rsidR="00B43734">
        <w:rPr>
          <w:rFonts w:ascii="Times New Roman" w:hAnsi="Times New Roman"/>
          <w:sz w:val="28"/>
          <w:szCs w:val="28"/>
        </w:rPr>
        <w:t xml:space="preserve"> </w:t>
      </w:r>
      <w:r w:rsidR="00EA0E64">
        <w:rPr>
          <w:rFonts w:ascii="Times New Roman" w:hAnsi="Times New Roman"/>
          <w:sz w:val="28"/>
          <w:szCs w:val="28"/>
        </w:rPr>
        <w:fldChar w:fldCharType="begin" w:fldLock="1"/>
      </w:r>
      <w:r w:rsidR="00624769">
        <w:rPr>
          <w:rFonts w:ascii="Times New Roman" w:hAnsi="Times New Roman"/>
          <w:sz w:val="28"/>
          <w:szCs w:val="28"/>
        </w:rPr>
        <w:instrText>ADDIN CSL_CITATION {"citationItems":[{"id":"ITEM-1","itemData":{"ISBN":"8701616625","author":[{"dropping-particle":"","family":"Шаханова","given":"Айжан Т","non-dropping-particle":"","parse-names":false,"suffix":""},{"dropping-particle":"","family":"Аукенов","given":"Нурлан Е","non-dropping-particle":"","parse-names":false,"suffix":""},{"dropping-particle":"","family":"Нуртазина","given":"Алма У","non-dropping-particle":"","parse-names":false,"suffix":""},{"dropping-particle":"","family":"Шаханов","given":"Тунгышхан Е","non-dropping-particle":"","parse-names":false,"suffix":""},{"dropping-particle":"","family":"Масабаева Меруерт Р","given":"","non-dropping-particle":"","parse-names":false,"suffix":""},{"dropping-particle":"","family":"Апсаликов Б.А.","given":"","non-dropping-particle":"","parse-names":false,"suffix":""},{"dropping-particle":"","family":"Кожахметова","given":"Дана К","non-dropping-particle":"","parse-names":false,"suffix":""}],"container-title":"Astana Medical Journal","id":"ITEM-1","issued":{"date-parts":[["2020"]]},"page":"238-245","title":"Оценка частоты и характера изменений уровня аполипопротеина В, липидного и углеводного обменов у лиц казахской национальности","type":"article-journal","volume":"2 (104)"},"uris":["http://www.mendeley.com/documents/?uuid=86d36b8e-ec72-4710-acd7-8ea7ed14f15d"]}],"mendeley":{"formattedCitation":"[176]","plainTextFormattedCitation":"[176]","previouslyFormattedCitation":"[176]"},"properties":{"noteIndex":0},"schema":"https://github.com/citation-style-language/schema/raw/master/csl-citation.json"}</w:instrText>
      </w:r>
      <w:r w:rsidR="00EA0E64">
        <w:rPr>
          <w:rFonts w:ascii="Times New Roman" w:hAnsi="Times New Roman"/>
          <w:sz w:val="28"/>
          <w:szCs w:val="28"/>
        </w:rPr>
        <w:fldChar w:fldCharType="separate"/>
      </w:r>
      <w:r w:rsidR="00624769" w:rsidRPr="00624769">
        <w:rPr>
          <w:rFonts w:ascii="Times New Roman" w:hAnsi="Times New Roman"/>
          <w:noProof/>
          <w:sz w:val="28"/>
          <w:szCs w:val="28"/>
        </w:rPr>
        <w:t>[176]</w:t>
      </w:r>
      <w:r w:rsidR="00EA0E64">
        <w:rPr>
          <w:rFonts w:ascii="Times New Roman" w:hAnsi="Times New Roman"/>
          <w:sz w:val="28"/>
          <w:szCs w:val="28"/>
        </w:rPr>
        <w:fldChar w:fldCharType="end"/>
      </w:r>
      <w:r w:rsidR="00CD6A2F">
        <w:rPr>
          <w:rFonts w:ascii="Times New Roman" w:hAnsi="Times New Roman"/>
          <w:sz w:val="28"/>
          <w:szCs w:val="28"/>
        </w:rPr>
        <w:t>.</w:t>
      </w:r>
    </w:p>
    <w:p w:rsidR="005B2942" w:rsidRDefault="005B2942" w:rsidP="00AB12B3">
      <w:pPr>
        <w:spacing w:after="0" w:line="240" w:lineRule="auto"/>
        <w:ind w:firstLine="708"/>
        <w:jc w:val="both"/>
        <w:rPr>
          <w:rFonts w:ascii="Times New Roman" w:hAnsi="Times New Roman" w:cs="Times New Roman"/>
          <w:i/>
          <w:sz w:val="28"/>
          <w:szCs w:val="28"/>
        </w:rPr>
      </w:pPr>
    </w:p>
    <w:p w:rsidR="00AB12B3" w:rsidRDefault="00AB12B3" w:rsidP="00AB12B3">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Аполипопротеин А1</w:t>
      </w:r>
    </w:p>
    <w:p w:rsidR="009C62CD" w:rsidRDefault="004323BF" w:rsidP="009C62C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Данные по у</w:t>
      </w:r>
      <w:r w:rsidR="003A46D8">
        <w:rPr>
          <w:rFonts w:ascii="Times New Roman" w:hAnsi="Times New Roman" w:cs="Times New Roman"/>
          <w:sz w:val="28"/>
          <w:szCs w:val="28"/>
        </w:rPr>
        <w:t>ровн</w:t>
      </w:r>
      <w:r>
        <w:rPr>
          <w:rFonts w:ascii="Times New Roman" w:hAnsi="Times New Roman" w:cs="Times New Roman"/>
          <w:sz w:val="28"/>
          <w:szCs w:val="28"/>
        </w:rPr>
        <w:t>ю</w:t>
      </w:r>
      <w:r w:rsidR="003A46D8">
        <w:rPr>
          <w:rFonts w:ascii="Times New Roman" w:hAnsi="Times New Roman" w:cs="Times New Roman"/>
          <w:sz w:val="28"/>
          <w:szCs w:val="28"/>
        </w:rPr>
        <w:t xml:space="preserve"> средних величин факторов риска по группам апоА1 п</w:t>
      </w:r>
      <w:r>
        <w:rPr>
          <w:rFonts w:ascii="Times New Roman" w:hAnsi="Times New Roman" w:cs="Times New Roman"/>
          <w:sz w:val="28"/>
          <w:szCs w:val="28"/>
        </w:rPr>
        <w:t>риведены</w:t>
      </w:r>
      <w:r w:rsidR="003A46D8">
        <w:rPr>
          <w:rFonts w:ascii="Times New Roman" w:hAnsi="Times New Roman" w:cs="Times New Roman"/>
          <w:sz w:val="28"/>
          <w:szCs w:val="28"/>
        </w:rPr>
        <w:t xml:space="preserve"> в таблице 28.</w:t>
      </w:r>
      <w:r w:rsidR="00B43734">
        <w:rPr>
          <w:rFonts w:ascii="Times New Roman" w:hAnsi="Times New Roman" w:cs="Times New Roman"/>
          <w:sz w:val="28"/>
          <w:szCs w:val="28"/>
        </w:rPr>
        <w:t xml:space="preserve"> </w:t>
      </w:r>
      <w:r w:rsidR="009C62CD">
        <w:rPr>
          <w:rFonts w:ascii="Times New Roman" w:hAnsi="Times New Roman" w:cs="Times New Roman"/>
          <w:sz w:val="28"/>
          <w:szCs w:val="28"/>
        </w:rPr>
        <w:t>Разницы в средних вели</w:t>
      </w:r>
      <w:r>
        <w:rPr>
          <w:rFonts w:ascii="Times New Roman" w:hAnsi="Times New Roman" w:cs="Times New Roman"/>
          <w:sz w:val="28"/>
          <w:szCs w:val="28"/>
        </w:rPr>
        <w:t>чинах по группам апоА1 и факторам</w:t>
      </w:r>
      <w:r w:rsidR="009C62CD">
        <w:rPr>
          <w:rFonts w:ascii="Times New Roman" w:hAnsi="Times New Roman" w:cs="Times New Roman"/>
          <w:sz w:val="28"/>
          <w:szCs w:val="28"/>
        </w:rPr>
        <w:t xml:space="preserve"> риска не выявлен</w:t>
      </w:r>
      <w:r>
        <w:rPr>
          <w:rFonts w:ascii="Times New Roman" w:hAnsi="Times New Roman" w:cs="Times New Roman"/>
          <w:sz w:val="28"/>
          <w:szCs w:val="28"/>
        </w:rPr>
        <w:t>а</w:t>
      </w:r>
      <w:r w:rsidR="009C62CD">
        <w:rPr>
          <w:rFonts w:ascii="Times New Roman" w:hAnsi="Times New Roman" w:cs="Times New Roman"/>
          <w:sz w:val="28"/>
          <w:szCs w:val="28"/>
        </w:rPr>
        <w:t xml:space="preserve"> (таблица 28). </w:t>
      </w:r>
    </w:p>
    <w:p w:rsidR="00D678B1" w:rsidRDefault="00D678B1"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sz w:val="28"/>
          <w:szCs w:val="28"/>
          <w:lang w:val="kk-KZ"/>
        </w:rPr>
      </w:pPr>
      <w:r>
        <w:rPr>
          <w:rFonts w:ascii="Times New Roman" w:hAnsi="Times New Roman" w:cs="Times New Roman"/>
          <w:sz w:val="28"/>
          <w:szCs w:val="28"/>
        </w:rPr>
        <w:t>Таблица 28</w:t>
      </w:r>
      <w:r w:rsidR="004621D6">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средних величин факторов рисков по группам </w:t>
      </w:r>
      <w:r w:rsidR="00EE4108">
        <w:rPr>
          <w:rFonts w:ascii="Times New Roman" w:hAnsi="Times New Roman" w:cs="Times New Roman"/>
          <w:sz w:val="28"/>
          <w:szCs w:val="28"/>
        </w:rPr>
        <w:t xml:space="preserve">уровня </w:t>
      </w:r>
      <w:r>
        <w:rPr>
          <w:rFonts w:ascii="Times New Roman" w:hAnsi="Times New Roman" w:cs="Times New Roman"/>
          <w:sz w:val="28"/>
          <w:szCs w:val="28"/>
        </w:rPr>
        <w:t>апо</w:t>
      </w:r>
      <w:r w:rsidR="00265B17">
        <w:rPr>
          <w:rFonts w:ascii="Times New Roman" w:hAnsi="Times New Roman" w:cs="Times New Roman"/>
          <w:sz w:val="28"/>
          <w:szCs w:val="28"/>
          <w:lang w:val="kk-KZ"/>
        </w:rPr>
        <w:t>липопротеина</w:t>
      </w:r>
      <w:r w:rsidR="005B3D03">
        <w:rPr>
          <w:rFonts w:ascii="Times New Roman" w:hAnsi="Times New Roman" w:cs="Times New Roman"/>
          <w:sz w:val="28"/>
          <w:szCs w:val="28"/>
          <w:lang w:val="kk-KZ"/>
        </w:rPr>
        <w:t xml:space="preserve"> </w:t>
      </w:r>
      <w:r>
        <w:rPr>
          <w:rFonts w:ascii="Times New Roman" w:hAnsi="Times New Roman" w:cs="Times New Roman"/>
          <w:sz w:val="28"/>
          <w:szCs w:val="28"/>
        </w:rPr>
        <w:t>А1</w:t>
      </w:r>
      <w:r w:rsidR="005B3D03">
        <w:rPr>
          <w:rFonts w:ascii="Times New Roman" w:hAnsi="Times New Roman" w:cs="Times New Roman"/>
          <w:sz w:val="28"/>
          <w:szCs w:val="28"/>
        </w:rPr>
        <w:t xml:space="preserve"> </w:t>
      </w:r>
      <w:r w:rsidR="00DA472A">
        <w:rPr>
          <w:rFonts w:ascii="Times New Roman" w:hAnsi="Times New Roman" w:cs="Times New Roman"/>
          <w:sz w:val="28"/>
          <w:szCs w:val="28"/>
        </w:rPr>
        <w:t>(</w:t>
      </w:r>
      <w:r>
        <w:rPr>
          <w:rFonts w:ascii="Times New Roman" w:hAnsi="Times New Roman"/>
          <w:sz w:val="28"/>
          <w:szCs w:val="28"/>
        </w:rPr>
        <w:t>n=507</w:t>
      </w:r>
      <w:r w:rsidR="00DA472A">
        <w:rPr>
          <w:rFonts w:ascii="Times New Roman" w:hAnsi="Times New Roman"/>
          <w:sz w:val="28"/>
          <w:szCs w:val="28"/>
        </w:rPr>
        <w:t>)</w:t>
      </w:r>
    </w:p>
    <w:p w:rsidR="00B324BD" w:rsidRPr="00B324BD" w:rsidRDefault="00B324BD" w:rsidP="00AB12B3">
      <w:pPr>
        <w:spacing w:after="0" w:line="240" w:lineRule="auto"/>
        <w:jc w:val="both"/>
        <w:rPr>
          <w:rFonts w:ascii="Times New Roman" w:hAnsi="Times New Roman"/>
          <w:sz w:val="28"/>
          <w:szCs w:val="28"/>
          <w:lang w:val="kk-KZ"/>
        </w:rPr>
      </w:pPr>
    </w:p>
    <w:tbl>
      <w:tblPr>
        <w:tblStyle w:val="af7"/>
        <w:tblW w:w="9360" w:type="dxa"/>
        <w:tblInd w:w="108" w:type="dxa"/>
        <w:tblLayout w:type="fixed"/>
        <w:tblLook w:val="04A0" w:firstRow="1" w:lastRow="0" w:firstColumn="1" w:lastColumn="0" w:noHBand="0" w:noVBand="1"/>
      </w:tblPr>
      <w:tblGrid>
        <w:gridCol w:w="2554"/>
        <w:gridCol w:w="3119"/>
        <w:gridCol w:w="2832"/>
        <w:gridCol w:w="855"/>
      </w:tblGrid>
      <w:tr w:rsidR="00AB12B3" w:rsidTr="005E281E">
        <w:trPr>
          <w:trHeight w:val="377"/>
        </w:trPr>
        <w:tc>
          <w:tcPr>
            <w:tcW w:w="2554"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5951"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апоА1, г/л</w:t>
            </w:r>
          </w:p>
        </w:tc>
        <w:tc>
          <w:tcPr>
            <w:tcW w:w="855"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5E281E">
        <w:trPr>
          <w:trHeight w:val="379"/>
        </w:trPr>
        <w:tc>
          <w:tcPr>
            <w:tcW w:w="255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311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color w:val="000000"/>
                <w:sz w:val="28"/>
                <w:szCs w:val="28"/>
              </w:rPr>
              <w:t xml:space="preserve">Муж ≥1,04 Жен ≥1,08 </w:t>
            </w:r>
            <w:r>
              <w:rPr>
                <w:rFonts w:ascii="Times New Roman" w:hAnsi="Times New Roman"/>
                <w:sz w:val="28"/>
                <w:szCs w:val="28"/>
              </w:rPr>
              <w:t>Ме±IQR (Q1–Q3)</w:t>
            </w:r>
          </w:p>
        </w:tc>
        <w:tc>
          <w:tcPr>
            <w:tcW w:w="283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color w:val="000000"/>
                <w:sz w:val="28"/>
                <w:szCs w:val="28"/>
              </w:rPr>
            </w:pPr>
            <w:r>
              <w:rPr>
                <w:rFonts w:ascii="Times New Roman" w:hAnsi="Times New Roman"/>
                <w:color w:val="000000"/>
                <w:sz w:val="28"/>
                <w:szCs w:val="28"/>
              </w:rPr>
              <w:t>Муж &lt;1,04 Жен &lt;1,08</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855"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5E281E">
        <w:trPr>
          <w:trHeight w:val="323"/>
        </w:trPr>
        <w:tc>
          <w:tcPr>
            <w:tcW w:w="255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Возраст</w:t>
            </w:r>
            <w:r w:rsidRPr="005E281E">
              <w:rPr>
                <w:rFonts w:ascii="Century" w:hAnsi="Century"/>
                <w:sz w:val="28"/>
                <w:szCs w:val="28"/>
              </w:rPr>
              <w:t xml:space="preserve">, </w:t>
            </w:r>
            <w:r>
              <w:rPr>
                <w:rFonts w:ascii="Times New Roman" w:hAnsi="Times New Roman"/>
                <w:sz w:val="28"/>
                <w:szCs w:val="28"/>
              </w:rPr>
              <w:t>лет</w:t>
            </w:r>
          </w:p>
        </w:tc>
        <w:tc>
          <w:tcPr>
            <w:tcW w:w="3119"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47</w:t>
            </w:r>
            <w:r w:rsidRPr="005E281E">
              <w:rPr>
                <w:rFonts w:ascii="Century" w:hAnsi="Century"/>
                <w:sz w:val="28"/>
                <w:szCs w:val="28"/>
              </w:rPr>
              <w:t>±</w:t>
            </w:r>
            <w:r>
              <w:rPr>
                <w:rFonts w:ascii="Times New Roman" w:hAnsi="Times New Roman"/>
                <w:sz w:val="28"/>
                <w:szCs w:val="28"/>
              </w:rPr>
              <w:t>17 (39-56)</w:t>
            </w:r>
          </w:p>
        </w:tc>
        <w:tc>
          <w:tcPr>
            <w:tcW w:w="283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44</w:t>
            </w:r>
            <w:r w:rsidRPr="005E281E">
              <w:rPr>
                <w:rFonts w:ascii="Century" w:hAnsi="Century"/>
                <w:sz w:val="28"/>
                <w:szCs w:val="28"/>
              </w:rPr>
              <w:t>±</w:t>
            </w:r>
            <w:r>
              <w:rPr>
                <w:rFonts w:ascii="Times New Roman" w:hAnsi="Times New Roman"/>
                <w:sz w:val="28"/>
                <w:szCs w:val="28"/>
              </w:rPr>
              <w:t>19 (33</w:t>
            </w:r>
            <w:r w:rsidRPr="005E281E">
              <w:rPr>
                <w:rFonts w:ascii="Century" w:hAnsi="Century"/>
                <w:sz w:val="28"/>
                <w:szCs w:val="28"/>
              </w:rPr>
              <w:t>,</w:t>
            </w:r>
            <w:r>
              <w:rPr>
                <w:rFonts w:ascii="Times New Roman" w:hAnsi="Times New Roman"/>
                <w:sz w:val="28"/>
                <w:szCs w:val="28"/>
              </w:rPr>
              <w:t>25-52</w:t>
            </w:r>
            <w:r w:rsidRPr="005E281E">
              <w:rPr>
                <w:rFonts w:ascii="Century" w:hAnsi="Century"/>
                <w:sz w:val="28"/>
                <w:szCs w:val="28"/>
              </w:rPr>
              <w:t>,</w:t>
            </w:r>
            <w:r>
              <w:rPr>
                <w:rFonts w:ascii="Times New Roman" w:hAnsi="Times New Roman"/>
                <w:sz w:val="28"/>
                <w:szCs w:val="28"/>
              </w:rPr>
              <w:t>5)</w:t>
            </w:r>
          </w:p>
        </w:tc>
        <w:tc>
          <w:tcPr>
            <w:tcW w:w="855"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5E281E">
              <w:rPr>
                <w:rFonts w:ascii="Century" w:hAnsi="Century"/>
                <w:sz w:val="28"/>
                <w:szCs w:val="28"/>
              </w:rPr>
              <w:t>,</w:t>
            </w:r>
            <w:r>
              <w:rPr>
                <w:rFonts w:ascii="Times New Roman" w:hAnsi="Times New Roman"/>
                <w:sz w:val="28"/>
                <w:szCs w:val="28"/>
              </w:rPr>
              <w:t>64</w:t>
            </w:r>
          </w:p>
        </w:tc>
      </w:tr>
      <w:tr w:rsidR="005D64C6" w:rsidTr="005E281E">
        <w:trPr>
          <w:trHeight w:val="323"/>
        </w:trPr>
        <w:tc>
          <w:tcPr>
            <w:tcW w:w="2554"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Окружность талии (см)</w:t>
            </w:r>
          </w:p>
        </w:tc>
        <w:tc>
          <w:tcPr>
            <w:tcW w:w="3119" w:type="dxa"/>
            <w:tcBorders>
              <w:top w:val="nil"/>
              <w:left w:val="single" w:sz="4" w:space="0" w:color="auto"/>
              <w:bottom w:val="single" w:sz="4" w:space="0" w:color="auto"/>
              <w:right w:val="single" w:sz="4" w:space="0" w:color="auto"/>
            </w:tcBorders>
            <w:hideMark/>
          </w:tcPr>
          <w:p w:rsidR="005D64C6" w:rsidRDefault="005D64C6" w:rsidP="003F0171">
            <w:pPr>
              <w:jc w:val="center"/>
            </w:pPr>
            <w:r>
              <w:rPr>
                <w:rFonts w:ascii="Times New Roman" w:hAnsi="Times New Roman"/>
                <w:sz w:val="28"/>
                <w:szCs w:val="28"/>
              </w:rPr>
              <w:t>96</w:t>
            </w:r>
            <w:r w:rsidRPr="005E281E">
              <w:rPr>
                <w:rFonts w:ascii="Century" w:hAnsi="Century"/>
                <w:sz w:val="28"/>
                <w:szCs w:val="28"/>
              </w:rPr>
              <w:t>±</w:t>
            </w:r>
            <w:r>
              <w:rPr>
                <w:rFonts w:ascii="Times New Roman" w:hAnsi="Times New Roman"/>
                <w:sz w:val="28"/>
                <w:szCs w:val="28"/>
              </w:rPr>
              <w:t>15 (90-105)</w:t>
            </w:r>
          </w:p>
        </w:tc>
        <w:tc>
          <w:tcPr>
            <w:tcW w:w="2832" w:type="dxa"/>
            <w:tcBorders>
              <w:top w:val="nil"/>
              <w:left w:val="single" w:sz="4" w:space="0" w:color="auto"/>
              <w:bottom w:val="single" w:sz="4" w:space="0" w:color="auto"/>
              <w:right w:val="single" w:sz="4" w:space="0" w:color="auto"/>
            </w:tcBorders>
            <w:hideMark/>
          </w:tcPr>
          <w:p w:rsidR="005D64C6" w:rsidRDefault="005D64C6" w:rsidP="003F0171">
            <w:pPr>
              <w:jc w:val="center"/>
            </w:pPr>
            <w:r>
              <w:rPr>
                <w:rFonts w:ascii="Times New Roman" w:hAnsi="Times New Roman"/>
                <w:sz w:val="28"/>
                <w:szCs w:val="28"/>
              </w:rPr>
              <w:t>98</w:t>
            </w:r>
            <w:r w:rsidRPr="005E281E">
              <w:rPr>
                <w:rFonts w:ascii="Century" w:hAnsi="Century"/>
                <w:sz w:val="28"/>
                <w:szCs w:val="28"/>
              </w:rPr>
              <w:t>±</w:t>
            </w:r>
            <w:r>
              <w:rPr>
                <w:rFonts w:ascii="Times New Roman" w:hAnsi="Times New Roman"/>
                <w:sz w:val="28"/>
                <w:szCs w:val="28"/>
              </w:rPr>
              <w:t>17 (90</w:t>
            </w:r>
            <w:r w:rsidRPr="005E281E">
              <w:rPr>
                <w:rFonts w:ascii="Century" w:hAnsi="Century"/>
                <w:sz w:val="28"/>
                <w:szCs w:val="28"/>
              </w:rPr>
              <w:t>,</w:t>
            </w:r>
            <w:r>
              <w:rPr>
                <w:rFonts w:ascii="Times New Roman" w:hAnsi="Times New Roman"/>
                <w:sz w:val="28"/>
                <w:szCs w:val="28"/>
              </w:rPr>
              <w:t>5-107</w:t>
            </w:r>
            <w:r w:rsidRPr="005E281E">
              <w:rPr>
                <w:rFonts w:ascii="Century" w:hAnsi="Century"/>
                <w:sz w:val="28"/>
                <w:szCs w:val="28"/>
              </w:rPr>
              <w:t>,</w:t>
            </w:r>
            <w:r>
              <w:rPr>
                <w:rFonts w:ascii="Times New Roman" w:hAnsi="Times New Roman"/>
                <w:sz w:val="28"/>
                <w:szCs w:val="28"/>
              </w:rPr>
              <w:t>75)</w:t>
            </w:r>
          </w:p>
        </w:tc>
        <w:tc>
          <w:tcPr>
            <w:tcW w:w="855"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0</w:t>
            </w:r>
            <w:r w:rsidRPr="005E281E">
              <w:rPr>
                <w:rFonts w:ascii="Century" w:hAnsi="Century"/>
                <w:sz w:val="28"/>
                <w:szCs w:val="28"/>
              </w:rPr>
              <w:t>,</w:t>
            </w:r>
            <w:r>
              <w:rPr>
                <w:rFonts w:ascii="Times New Roman" w:hAnsi="Times New Roman"/>
                <w:sz w:val="28"/>
                <w:szCs w:val="28"/>
              </w:rPr>
              <w:t>37</w:t>
            </w:r>
          </w:p>
        </w:tc>
      </w:tr>
      <w:tr w:rsidR="00AB12B3" w:rsidTr="005E281E">
        <w:trPr>
          <w:trHeight w:val="323"/>
        </w:trPr>
        <w:tc>
          <w:tcPr>
            <w:tcW w:w="255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ИМТ (кг</w:t>
            </w:r>
            <w:r w:rsidRPr="005E281E">
              <w:rPr>
                <w:rFonts w:ascii="Century" w:hAnsi="Century"/>
                <w:sz w:val="28"/>
                <w:szCs w:val="28"/>
              </w:rPr>
              <w:t>/</w:t>
            </w:r>
            <w:r>
              <w:rPr>
                <w:rFonts w:ascii="Times New Roman" w:hAnsi="Times New Roman"/>
                <w:sz w:val="28"/>
                <w:szCs w:val="28"/>
              </w:rPr>
              <w:t>м</w:t>
            </w:r>
            <w:r>
              <w:rPr>
                <w:rFonts w:ascii="Times New Roman" w:hAnsi="Times New Roman"/>
                <w:sz w:val="28"/>
                <w:szCs w:val="28"/>
                <w:vertAlign w:val="superscript"/>
              </w:rPr>
              <w:t>2</w:t>
            </w:r>
            <w:r>
              <w:rPr>
                <w:rFonts w:ascii="Times New Roman" w:hAnsi="Times New Roman"/>
                <w:sz w:val="28"/>
                <w:szCs w:val="28"/>
              </w:rPr>
              <w:t>)</w:t>
            </w:r>
          </w:p>
        </w:tc>
        <w:tc>
          <w:tcPr>
            <w:tcW w:w="3119"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26</w:t>
            </w:r>
            <w:r w:rsidRPr="005E281E">
              <w:rPr>
                <w:rFonts w:ascii="Century" w:hAnsi="Century"/>
                <w:sz w:val="28"/>
                <w:szCs w:val="28"/>
              </w:rPr>
              <w:t>,</w:t>
            </w:r>
            <w:r>
              <w:rPr>
                <w:rFonts w:ascii="Times New Roman" w:hAnsi="Times New Roman"/>
                <w:sz w:val="28"/>
                <w:szCs w:val="28"/>
              </w:rPr>
              <w:t>16</w:t>
            </w:r>
            <w:r w:rsidRPr="005E281E">
              <w:rPr>
                <w:rFonts w:ascii="Century" w:hAnsi="Century"/>
                <w:sz w:val="28"/>
                <w:szCs w:val="28"/>
              </w:rPr>
              <w:t>±</w:t>
            </w:r>
            <w:r>
              <w:rPr>
                <w:rFonts w:ascii="Times New Roman" w:hAnsi="Times New Roman"/>
                <w:sz w:val="28"/>
                <w:szCs w:val="28"/>
              </w:rPr>
              <w:t>5</w:t>
            </w:r>
            <w:r w:rsidRPr="005E281E">
              <w:rPr>
                <w:rFonts w:ascii="Century" w:hAnsi="Century"/>
                <w:sz w:val="28"/>
                <w:szCs w:val="28"/>
              </w:rPr>
              <w:t>,</w:t>
            </w:r>
            <w:r>
              <w:rPr>
                <w:rFonts w:ascii="Times New Roman" w:hAnsi="Times New Roman"/>
                <w:sz w:val="28"/>
                <w:szCs w:val="28"/>
              </w:rPr>
              <w:t xml:space="preserve">81 </w:t>
            </w:r>
          </w:p>
          <w:p w:rsidR="00AB12B3" w:rsidRDefault="00AB12B3">
            <w:pPr>
              <w:jc w:val="center"/>
            </w:pPr>
            <w:r>
              <w:rPr>
                <w:rFonts w:ascii="Times New Roman" w:hAnsi="Times New Roman"/>
                <w:sz w:val="28"/>
                <w:szCs w:val="28"/>
              </w:rPr>
              <w:t>(23</w:t>
            </w:r>
            <w:r w:rsidRPr="005E281E">
              <w:rPr>
                <w:rFonts w:ascii="Century" w:hAnsi="Century"/>
                <w:sz w:val="28"/>
                <w:szCs w:val="28"/>
              </w:rPr>
              <w:t>,</w:t>
            </w:r>
            <w:r>
              <w:rPr>
                <w:rFonts w:ascii="Times New Roman" w:hAnsi="Times New Roman"/>
                <w:sz w:val="28"/>
                <w:szCs w:val="28"/>
              </w:rPr>
              <w:t>3</w:t>
            </w:r>
            <w:r w:rsidRPr="005E281E">
              <w:rPr>
                <w:rFonts w:ascii="Century" w:hAnsi="Century"/>
                <w:sz w:val="28"/>
                <w:szCs w:val="28"/>
              </w:rPr>
              <w:t>-</w:t>
            </w:r>
            <w:r>
              <w:rPr>
                <w:rFonts w:ascii="Times New Roman" w:hAnsi="Times New Roman"/>
                <w:sz w:val="28"/>
                <w:szCs w:val="28"/>
              </w:rPr>
              <w:t>29</w:t>
            </w:r>
            <w:r w:rsidRPr="005E281E">
              <w:rPr>
                <w:rFonts w:ascii="Century" w:hAnsi="Century"/>
                <w:sz w:val="28"/>
                <w:szCs w:val="28"/>
              </w:rPr>
              <w:t>,</w:t>
            </w:r>
            <w:r>
              <w:rPr>
                <w:rFonts w:ascii="Times New Roman" w:hAnsi="Times New Roman"/>
                <w:sz w:val="28"/>
                <w:szCs w:val="28"/>
              </w:rPr>
              <w:t>11)</w:t>
            </w:r>
          </w:p>
        </w:tc>
        <w:tc>
          <w:tcPr>
            <w:tcW w:w="283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25</w:t>
            </w:r>
            <w:r w:rsidRPr="005E281E">
              <w:rPr>
                <w:rFonts w:ascii="Century" w:hAnsi="Century"/>
                <w:sz w:val="28"/>
                <w:szCs w:val="28"/>
              </w:rPr>
              <w:t>,</w:t>
            </w:r>
            <w:r>
              <w:rPr>
                <w:rFonts w:ascii="Times New Roman" w:hAnsi="Times New Roman"/>
                <w:sz w:val="28"/>
                <w:szCs w:val="28"/>
              </w:rPr>
              <w:t>22</w:t>
            </w:r>
            <w:r w:rsidRPr="005E281E">
              <w:rPr>
                <w:rFonts w:ascii="Century" w:hAnsi="Century"/>
                <w:sz w:val="28"/>
                <w:szCs w:val="28"/>
              </w:rPr>
              <w:t>±</w:t>
            </w:r>
            <w:r>
              <w:rPr>
                <w:rFonts w:ascii="Times New Roman" w:hAnsi="Times New Roman"/>
                <w:sz w:val="28"/>
                <w:szCs w:val="28"/>
              </w:rPr>
              <w:t>4</w:t>
            </w:r>
            <w:r w:rsidRPr="005E281E">
              <w:rPr>
                <w:rFonts w:ascii="Century" w:hAnsi="Century"/>
                <w:sz w:val="28"/>
                <w:szCs w:val="28"/>
              </w:rPr>
              <w:t>,</w:t>
            </w:r>
            <w:r>
              <w:rPr>
                <w:rFonts w:ascii="Times New Roman" w:hAnsi="Times New Roman"/>
                <w:sz w:val="28"/>
                <w:szCs w:val="28"/>
              </w:rPr>
              <w:t>31</w:t>
            </w:r>
          </w:p>
          <w:p w:rsidR="00AB12B3" w:rsidRDefault="00AB12B3">
            <w:pPr>
              <w:jc w:val="center"/>
            </w:pPr>
            <w:r>
              <w:rPr>
                <w:rFonts w:ascii="Times New Roman" w:hAnsi="Times New Roman"/>
                <w:sz w:val="28"/>
                <w:szCs w:val="28"/>
              </w:rPr>
              <w:t xml:space="preserve"> (23</w:t>
            </w:r>
            <w:r w:rsidRPr="005E281E">
              <w:rPr>
                <w:rFonts w:ascii="Century" w:hAnsi="Century"/>
                <w:sz w:val="28"/>
                <w:szCs w:val="28"/>
              </w:rPr>
              <w:t>,</w:t>
            </w:r>
            <w:r>
              <w:rPr>
                <w:rFonts w:ascii="Times New Roman" w:hAnsi="Times New Roman"/>
                <w:sz w:val="28"/>
                <w:szCs w:val="28"/>
              </w:rPr>
              <w:t>66-25</w:t>
            </w:r>
            <w:r w:rsidRPr="005E281E">
              <w:rPr>
                <w:rFonts w:ascii="Century" w:hAnsi="Century"/>
                <w:sz w:val="28"/>
                <w:szCs w:val="28"/>
              </w:rPr>
              <w:t>,</w:t>
            </w:r>
            <w:r>
              <w:rPr>
                <w:rFonts w:ascii="Times New Roman" w:hAnsi="Times New Roman"/>
                <w:sz w:val="28"/>
                <w:szCs w:val="28"/>
              </w:rPr>
              <w:t>22)</w:t>
            </w:r>
          </w:p>
        </w:tc>
        <w:tc>
          <w:tcPr>
            <w:tcW w:w="855"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5E281E">
              <w:rPr>
                <w:rFonts w:ascii="Century" w:hAnsi="Century"/>
                <w:sz w:val="28"/>
                <w:szCs w:val="28"/>
              </w:rPr>
              <w:t>,</w:t>
            </w:r>
            <w:r>
              <w:rPr>
                <w:rFonts w:ascii="Times New Roman" w:hAnsi="Times New Roman"/>
                <w:sz w:val="28"/>
                <w:szCs w:val="28"/>
              </w:rPr>
              <w:t>48</w:t>
            </w:r>
          </w:p>
        </w:tc>
      </w:tr>
      <w:tr w:rsidR="00AB12B3" w:rsidTr="005E281E">
        <w:trPr>
          <w:trHeight w:val="323"/>
        </w:trPr>
        <w:tc>
          <w:tcPr>
            <w:tcW w:w="255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САД (мм рт.ст.)</w:t>
            </w:r>
          </w:p>
        </w:tc>
        <w:tc>
          <w:tcPr>
            <w:tcW w:w="3119"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120±20 (110-130)</w:t>
            </w:r>
          </w:p>
        </w:tc>
        <w:tc>
          <w:tcPr>
            <w:tcW w:w="283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120±14 (110-127,5)</w:t>
            </w:r>
          </w:p>
        </w:tc>
        <w:tc>
          <w:tcPr>
            <w:tcW w:w="855"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0,95</w:t>
            </w:r>
          </w:p>
        </w:tc>
      </w:tr>
      <w:tr w:rsidR="00AB12B3" w:rsidTr="005E281E">
        <w:trPr>
          <w:trHeight w:val="323"/>
        </w:trPr>
        <w:tc>
          <w:tcPr>
            <w:tcW w:w="255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ДАД (мм рт.ст.)</w:t>
            </w:r>
          </w:p>
        </w:tc>
        <w:tc>
          <w:tcPr>
            <w:tcW w:w="3119"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80±20 (70-90)</w:t>
            </w:r>
          </w:p>
        </w:tc>
        <w:tc>
          <w:tcPr>
            <w:tcW w:w="283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80±10 (70-80)</w:t>
            </w:r>
          </w:p>
        </w:tc>
        <w:tc>
          <w:tcPr>
            <w:tcW w:w="855"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0,96</w:t>
            </w:r>
          </w:p>
        </w:tc>
      </w:tr>
      <w:tr w:rsidR="00AB12B3" w:rsidTr="005B1090">
        <w:trPr>
          <w:trHeight w:val="442"/>
        </w:trPr>
        <w:tc>
          <w:tcPr>
            <w:tcW w:w="9360" w:type="dxa"/>
            <w:gridSpan w:val="4"/>
            <w:tcBorders>
              <w:top w:val="single" w:sz="4" w:space="0" w:color="auto"/>
              <w:left w:val="single" w:sz="4" w:space="0" w:color="auto"/>
              <w:bottom w:val="single" w:sz="4" w:space="0" w:color="auto"/>
              <w:right w:val="single" w:sz="4" w:space="0" w:color="auto"/>
            </w:tcBorders>
            <w:hideMark/>
          </w:tcPr>
          <w:p w:rsidR="009B2F35" w:rsidRDefault="009B2F35" w:rsidP="009B2F35">
            <w:pPr>
              <w:jc w:val="both"/>
              <w:rPr>
                <w:rFonts w:ascii="Times New Roman" w:hAnsi="Times New Roman"/>
                <w:szCs w:val="24"/>
              </w:rPr>
            </w:pPr>
            <w:r>
              <w:rPr>
                <w:rFonts w:ascii="Times New Roman" w:hAnsi="Times New Roman"/>
                <w:szCs w:val="24"/>
              </w:rPr>
              <w:t xml:space="preserve">Примечание ИМТ – индекс массы тела; САД – систолическое артериальное давление; ДАД – диастолическое артериальное давление; *Критерий Манна-Уитни; </w:t>
            </w:r>
          </w:p>
          <w:p w:rsidR="00AB12B3" w:rsidRDefault="009B2F35" w:rsidP="009B2F35">
            <w:pPr>
              <w:jc w:val="both"/>
              <w:rPr>
                <w:rFonts w:ascii="Times New Roman" w:hAnsi="Times New Roman"/>
                <w:sz w:val="20"/>
                <w:szCs w:val="20"/>
              </w:rPr>
            </w:pPr>
            <w:r>
              <w:rPr>
                <w:rFonts w:ascii="Times New Roman" w:hAnsi="Times New Roman"/>
                <w:szCs w:val="24"/>
              </w:rPr>
              <w:t>Ме±IQR (Q1 – Q3) – Медиана ± межквартильный диапазон (1 квартиль – 3 квартиль);</w:t>
            </w:r>
          </w:p>
        </w:tc>
      </w:tr>
    </w:tbl>
    <w:p w:rsidR="00B324BD" w:rsidRDefault="00B324BD" w:rsidP="005B1090">
      <w:pPr>
        <w:spacing w:after="0" w:line="240" w:lineRule="auto"/>
        <w:ind w:firstLine="708"/>
        <w:jc w:val="both"/>
        <w:rPr>
          <w:rFonts w:ascii="Times New Roman" w:hAnsi="Times New Roman" w:cs="Times New Roman"/>
          <w:sz w:val="28"/>
          <w:szCs w:val="28"/>
        </w:rPr>
        <w:sectPr w:rsidR="00B324BD" w:rsidSect="005B1090">
          <w:pgSz w:w="11906" w:h="16838"/>
          <w:pgMar w:top="1134" w:right="850" w:bottom="1134" w:left="1701" w:header="708" w:footer="708" w:gutter="0"/>
          <w:cols w:space="720"/>
        </w:sectPr>
      </w:pPr>
    </w:p>
    <w:p w:rsidR="00AB12B3" w:rsidRDefault="00AB12B3" w:rsidP="00AB12B3">
      <w:pPr>
        <w:spacing w:after="0" w:line="240" w:lineRule="auto"/>
        <w:jc w:val="both"/>
        <w:rPr>
          <w:rFonts w:ascii="Times New Roman" w:hAnsi="Times New Roman"/>
          <w:sz w:val="28"/>
          <w:szCs w:val="28"/>
          <w:lang w:val="kk-KZ"/>
        </w:rPr>
      </w:pPr>
      <w:r>
        <w:rPr>
          <w:rFonts w:ascii="Times New Roman" w:hAnsi="Times New Roman" w:cs="Times New Roman"/>
          <w:sz w:val="28"/>
          <w:szCs w:val="28"/>
        </w:rPr>
        <w:lastRenderedPageBreak/>
        <w:t xml:space="preserve">Таблица 29 </w:t>
      </w:r>
      <w:r w:rsidR="004621D6">
        <w:rPr>
          <w:rFonts w:ascii="Times New Roman" w:hAnsi="Times New Roman" w:cs="Times New Roman"/>
          <w:sz w:val="28"/>
          <w:szCs w:val="28"/>
          <w:lang w:val="kk-KZ"/>
        </w:rPr>
        <w:t xml:space="preserve">- </w:t>
      </w:r>
      <w:r>
        <w:rPr>
          <w:rFonts w:ascii="Times New Roman" w:hAnsi="Times New Roman" w:cs="Times New Roman"/>
          <w:sz w:val="28"/>
          <w:szCs w:val="28"/>
        </w:rPr>
        <w:t>Распределение факторов риск</w:t>
      </w:r>
      <w:r w:rsidR="004323BF">
        <w:rPr>
          <w:rFonts w:ascii="Times New Roman" w:hAnsi="Times New Roman" w:cs="Times New Roman"/>
          <w:sz w:val="28"/>
          <w:szCs w:val="28"/>
        </w:rPr>
        <w:t>а</w:t>
      </w:r>
      <w:r>
        <w:rPr>
          <w:rFonts w:ascii="Times New Roman" w:hAnsi="Times New Roman" w:cs="Times New Roman"/>
          <w:sz w:val="28"/>
          <w:szCs w:val="28"/>
        </w:rPr>
        <w:t xml:space="preserve"> по группам апо</w:t>
      </w:r>
      <w:r w:rsidR="00265B17">
        <w:rPr>
          <w:rFonts w:ascii="Times New Roman" w:hAnsi="Times New Roman" w:cs="Times New Roman"/>
          <w:sz w:val="28"/>
          <w:szCs w:val="28"/>
          <w:lang w:val="kk-KZ"/>
        </w:rPr>
        <w:t>липопротеина</w:t>
      </w:r>
      <w:r w:rsidR="005B3D03">
        <w:rPr>
          <w:rFonts w:ascii="Times New Roman" w:hAnsi="Times New Roman" w:cs="Times New Roman"/>
          <w:sz w:val="28"/>
          <w:szCs w:val="28"/>
          <w:lang w:val="kk-KZ"/>
        </w:rPr>
        <w:t xml:space="preserve"> </w:t>
      </w:r>
      <w:r>
        <w:rPr>
          <w:rFonts w:ascii="Times New Roman" w:hAnsi="Times New Roman" w:cs="Times New Roman"/>
          <w:sz w:val="28"/>
          <w:szCs w:val="28"/>
        </w:rPr>
        <w:t>А1</w:t>
      </w:r>
      <w:r w:rsidR="005B3D03">
        <w:rPr>
          <w:rFonts w:ascii="Times New Roman" w:hAnsi="Times New Roman" w:cs="Times New Roman"/>
          <w:sz w:val="28"/>
          <w:szCs w:val="28"/>
        </w:rPr>
        <w:t xml:space="preserve"> </w:t>
      </w:r>
      <w:r w:rsidR="00DA472A">
        <w:rPr>
          <w:rFonts w:ascii="Times New Roman" w:hAnsi="Times New Roman" w:cs="Times New Roman"/>
          <w:sz w:val="28"/>
          <w:szCs w:val="28"/>
        </w:rPr>
        <w:t>(</w:t>
      </w:r>
      <w:r>
        <w:rPr>
          <w:rFonts w:ascii="Times New Roman" w:hAnsi="Times New Roman"/>
          <w:sz w:val="28"/>
          <w:szCs w:val="28"/>
        </w:rPr>
        <w:t>n=507</w:t>
      </w:r>
      <w:r w:rsidR="00DA472A">
        <w:rPr>
          <w:rFonts w:ascii="Times New Roman" w:hAnsi="Times New Roman"/>
          <w:sz w:val="28"/>
          <w:szCs w:val="28"/>
        </w:rPr>
        <w:t>)</w:t>
      </w:r>
    </w:p>
    <w:p w:rsidR="00B324BD" w:rsidRPr="00B324BD" w:rsidRDefault="00B324BD" w:rsidP="00AB12B3">
      <w:pPr>
        <w:spacing w:after="0" w:line="240" w:lineRule="auto"/>
        <w:jc w:val="both"/>
        <w:rPr>
          <w:rFonts w:ascii="Times New Roman" w:hAnsi="Times New Roman" w:cs="Times New Roman"/>
          <w:sz w:val="28"/>
          <w:szCs w:val="28"/>
          <w:lang w:val="kk-KZ"/>
        </w:rPr>
      </w:pPr>
    </w:p>
    <w:tbl>
      <w:tblPr>
        <w:tblStyle w:val="af7"/>
        <w:tblW w:w="9360" w:type="dxa"/>
        <w:tblInd w:w="108" w:type="dxa"/>
        <w:tblLayout w:type="fixed"/>
        <w:tblLook w:val="04A0" w:firstRow="1" w:lastRow="0" w:firstColumn="1" w:lastColumn="0" w:noHBand="0" w:noVBand="1"/>
      </w:tblPr>
      <w:tblGrid>
        <w:gridCol w:w="1418"/>
        <w:gridCol w:w="1560"/>
        <w:gridCol w:w="1702"/>
        <w:gridCol w:w="1702"/>
        <w:gridCol w:w="2127"/>
        <w:gridCol w:w="851"/>
      </w:tblGrid>
      <w:tr w:rsidR="00AB12B3" w:rsidTr="003B6C0A">
        <w:trPr>
          <w:trHeight w:val="377"/>
        </w:trPr>
        <w:tc>
          <w:tcPr>
            <w:tcW w:w="2978"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3404"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апоА1, г/л</w:t>
            </w:r>
          </w:p>
        </w:tc>
        <w:tc>
          <w:tcPr>
            <w:tcW w:w="2127"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ОШ (95% ДИ)</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3B6C0A">
        <w:trPr>
          <w:trHeight w:val="379"/>
        </w:trPr>
        <w:tc>
          <w:tcPr>
            <w:tcW w:w="2978" w:type="dxa"/>
            <w:gridSpan w:val="2"/>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color w:val="000000"/>
                <w:sz w:val="28"/>
                <w:szCs w:val="28"/>
              </w:rPr>
            </w:pPr>
            <w:r>
              <w:rPr>
                <w:rFonts w:ascii="Times New Roman" w:hAnsi="Times New Roman"/>
                <w:color w:val="000000"/>
                <w:sz w:val="28"/>
                <w:szCs w:val="28"/>
              </w:rPr>
              <w:t>Муж ≥1,04</w:t>
            </w:r>
          </w:p>
          <w:p w:rsidR="00AB12B3" w:rsidRDefault="00AB12B3">
            <w:pPr>
              <w:jc w:val="center"/>
              <w:rPr>
                <w:rFonts w:ascii="Times New Roman" w:hAnsi="Times New Roman"/>
                <w:sz w:val="28"/>
                <w:szCs w:val="28"/>
              </w:rPr>
            </w:pPr>
            <w:r>
              <w:rPr>
                <w:rFonts w:ascii="Times New Roman" w:hAnsi="Times New Roman"/>
                <w:color w:val="000000"/>
                <w:sz w:val="28"/>
                <w:szCs w:val="28"/>
              </w:rPr>
              <w:t>Жен ≥1,08</w:t>
            </w:r>
            <w:r>
              <w:rPr>
                <w:rFonts w:ascii="Times New Roman" w:hAnsi="Times New Roman"/>
                <w:sz w:val="28"/>
                <w:szCs w:val="28"/>
              </w:rPr>
              <w:t xml:space="preserve"> n</w:t>
            </w:r>
          </w:p>
        </w:tc>
        <w:tc>
          <w:tcPr>
            <w:tcW w:w="170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color w:val="000000"/>
                <w:sz w:val="28"/>
                <w:szCs w:val="28"/>
              </w:rPr>
            </w:pPr>
            <w:r>
              <w:rPr>
                <w:rFonts w:ascii="Times New Roman" w:hAnsi="Times New Roman"/>
                <w:color w:val="000000"/>
                <w:sz w:val="28"/>
                <w:szCs w:val="28"/>
              </w:rPr>
              <w:t>Муж &lt;1,04</w:t>
            </w:r>
          </w:p>
          <w:p w:rsidR="00AB12B3" w:rsidRDefault="00AB12B3">
            <w:pPr>
              <w:jc w:val="center"/>
              <w:rPr>
                <w:rFonts w:ascii="Times New Roman" w:hAnsi="Times New Roman"/>
                <w:sz w:val="28"/>
                <w:szCs w:val="28"/>
              </w:rPr>
            </w:pPr>
            <w:r>
              <w:rPr>
                <w:rFonts w:ascii="Times New Roman" w:hAnsi="Times New Roman"/>
                <w:color w:val="000000"/>
                <w:sz w:val="28"/>
                <w:szCs w:val="28"/>
              </w:rPr>
              <w:t>Жен &lt;1,08</w:t>
            </w:r>
            <w:r>
              <w:rPr>
                <w:rFonts w:ascii="Times New Roman" w:hAnsi="Times New Roman"/>
                <w:sz w:val="28"/>
                <w:szCs w:val="28"/>
              </w:rPr>
              <w:t xml:space="preserve"> n</w:t>
            </w:r>
          </w:p>
        </w:tc>
        <w:tc>
          <w:tcPr>
            <w:tcW w:w="212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3B6C0A">
        <w:trPr>
          <w:trHeight w:val="317"/>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Пол</w:t>
            </w:r>
          </w:p>
        </w:tc>
        <w:tc>
          <w:tcPr>
            <w:tcW w:w="1560"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Жен</w:t>
            </w:r>
          </w:p>
        </w:tc>
        <w:tc>
          <w:tcPr>
            <w:tcW w:w="1702"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252</w:t>
            </w:r>
          </w:p>
        </w:tc>
        <w:tc>
          <w:tcPr>
            <w:tcW w:w="1702"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10</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85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0,017</w:t>
            </w:r>
          </w:p>
        </w:tc>
      </w:tr>
      <w:tr w:rsidR="00AB12B3" w:rsidTr="003B6C0A">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Муж</w:t>
            </w:r>
          </w:p>
        </w:tc>
        <w:tc>
          <w:tcPr>
            <w:tcW w:w="1702"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224</w:t>
            </w:r>
          </w:p>
        </w:tc>
        <w:tc>
          <w:tcPr>
            <w:tcW w:w="1702"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22</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2,47 (1,15-5,34)</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3B6C0A">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Возраст, лет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18 – 35</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65</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7</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85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0,21</w:t>
            </w:r>
          </w:p>
        </w:tc>
      </w:tr>
      <w:tr w:rsidR="00AB12B3" w:rsidTr="003B6C0A">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36 – 45</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104</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8</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0,71 (0,25-2,06)</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3B6C0A">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46 – 55</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115</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9</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0,73 (0,26-2,04)</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3B6C0A">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56 – 65</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115</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0,24 (0,06-0,97)</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5D64C6" w:rsidTr="003F0171">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Окружность талии (см)</w:t>
            </w:r>
          </w:p>
        </w:tc>
        <w:tc>
          <w:tcPr>
            <w:tcW w:w="1560"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муж &lt;102</w:t>
            </w:r>
          </w:p>
          <w:p w:rsidR="005D64C6" w:rsidRDefault="005D64C6" w:rsidP="003F0171">
            <w:pPr>
              <w:jc w:val="center"/>
              <w:rPr>
                <w:rFonts w:ascii="Times New Roman" w:hAnsi="Times New Roman"/>
                <w:sz w:val="28"/>
                <w:szCs w:val="28"/>
              </w:rPr>
            </w:pPr>
            <w:r>
              <w:rPr>
                <w:rFonts w:ascii="Times New Roman" w:hAnsi="Times New Roman"/>
                <w:sz w:val="28"/>
                <w:szCs w:val="28"/>
              </w:rPr>
              <w:t xml:space="preserve">жен &lt;88 </w:t>
            </w:r>
          </w:p>
        </w:tc>
        <w:tc>
          <w:tcPr>
            <w:tcW w:w="1702"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183</w:t>
            </w:r>
          </w:p>
        </w:tc>
        <w:tc>
          <w:tcPr>
            <w:tcW w:w="1702"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296</w:t>
            </w:r>
          </w:p>
        </w:tc>
        <w:tc>
          <w:tcPr>
            <w:tcW w:w="2127"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1,0</w:t>
            </w:r>
          </w:p>
        </w:tc>
        <w:tc>
          <w:tcPr>
            <w:tcW w:w="851" w:type="dxa"/>
            <w:vMerge w:val="restart"/>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0,73</w:t>
            </w:r>
          </w:p>
        </w:tc>
      </w:tr>
      <w:tr w:rsidR="005D64C6" w:rsidTr="003F0171">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муж ≥102</w:t>
            </w:r>
          </w:p>
          <w:p w:rsidR="005D64C6" w:rsidRDefault="005D64C6" w:rsidP="003F0171">
            <w:pPr>
              <w:jc w:val="center"/>
              <w:rPr>
                <w:rFonts w:ascii="Times New Roman" w:hAnsi="Times New Roman"/>
                <w:sz w:val="28"/>
                <w:szCs w:val="28"/>
              </w:rPr>
            </w:pPr>
            <w:r>
              <w:rPr>
                <w:rFonts w:ascii="Times New Roman" w:hAnsi="Times New Roman"/>
                <w:sz w:val="28"/>
                <w:szCs w:val="28"/>
              </w:rPr>
              <w:t xml:space="preserve">жен ≥88 </w:t>
            </w:r>
          </w:p>
        </w:tc>
        <w:tc>
          <w:tcPr>
            <w:tcW w:w="1702"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8</w:t>
            </w:r>
          </w:p>
        </w:tc>
        <w:tc>
          <w:tcPr>
            <w:tcW w:w="1702"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20</w:t>
            </w:r>
          </w:p>
        </w:tc>
        <w:tc>
          <w:tcPr>
            <w:tcW w:w="2127"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0,88 (0,42-1,83)</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rPr>
                <w:rFonts w:ascii="Times New Roman" w:hAnsi="Times New Roman"/>
                <w:sz w:val="28"/>
                <w:szCs w:val="28"/>
              </w:rPr>
            </w:pPr>
          </w:p>
        </w:tc>
      </w:tr>
      <w:tr w:rsidR="00AB12B3" w:rsidTr="003B6C0A">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ИМТ (кг/м</w:t>
            </w:r>
            <w:r>
              <w:rPr>
                <w:rFonts w:ascii="Times New Roman" w:hAnsi="Times New Roman"/>
                <w:sz w:val="28"/>
                <w:szCs w:val="28"/>
                <w:vertAlign w:val="superscript"/>
              </w:rPr>
              <w:t>2</w:t>
            </w:r>
            <w:r>
              <w:rPr>
                <w:rFonts w:ascii="Times New Roman" w:hAnsi="Times New Roman"/>
                <w:sz w:val="28"/>
                <w:szCs w:val="28"/>
              </w:rPr>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НВ</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188</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14</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85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0,41</w:t>
            </w:r>
          </w:p>
        </w:tc>
      </w:tr>
      <w:tr w:rsidR="00AB12B3" w:rsidTr="003B6C0A">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60"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ИВ</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199</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15</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1,01 (0,48-2,15)</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3B6C0A">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60"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Ож</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89</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0,45 (0,65-1,61)</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3B6C0A">
        <w:trPr>
          <w:trHeight w:val="385"/>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Статус курения</w:t>
            </w:r>
          </w:p>
        </w:tc>
        <w:tc>
          <w:tcPr>
            <w:tcW w:w="1560"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Не курит</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322</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19</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85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0,43</w:t>
            </w:r>
          </w:p>
        </w:tc>
      </w:tr>
      <w:tr w:rsidR="00AB12B3" w:rsidTr="003B6C0A">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Курит</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131</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rPr>
                <w:rFonts w:ascii="Times New Roman" w:hAnsi="Times New Roman"/>
                <w:sz w:val="28"/>
                <w:szCs w:val="28"/>
              </w:rPr>
            </w:pPr>
            <w:r>
              <w:rPr>
                <w:rFonts w:ascii="Times New Roman" w:hAnsi="Times New Roman"/>
                <w:sz w:val="28"/>
                <w:szCs w:val="28"/>
              </w:rPr>
              <w:t>1,29 (0,59-2,86)</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3B6C0A">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Бросил</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23</w:t>
            </w:r>
          </w:p>
        </w:tc>
        <w:tc>
          <w:tcPr>
            <w:tcW w:w="170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w:t>
            </w:r>
          </w:p>
        </w:tc>
        <w:tc>
          <w:tcPr>
            <w:tcW w:w="212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2,21 (0,65-8,02)</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3B6C0A">
        <w:trPr>
          <w:trHeight w:val="442"/>
        </w:trPr>
        <w:tc>
          <w:tcPr>
            <w:tcW w:w="9360" w:type="dxa"/>
            <w:gridSpan w:val="6"/>
            <w:tcBorders>
              <w:top w:val="single" w:sz="4" w:space="0" w:color="auto"/>
              <w:left w:val="single" w:sz="4" w:space="0" w:color="auto"/>
              <w:bottom w:val="single" w:sz="4" w:space="0" w:color="auto"/>
              <w:right w:val="single" w:sz="4" w:space="0" w:color="auto"/>
            </w:tcBorders>
            <w:hideMark/>
          </w:tcPr>
          <w:p w:rsidR="00A5054A" w:rsidRDefault="00AB12B3" w:rsidP="00A5054A">
            <w:pPr>
              <w:jc w:val="both"/>
              <w:rPr>
                <w:rFonts w:ascii="Times New Roman" w:hAnsi="Times New Roman"/>
                <w:szCs w:val="24"/>
              </w:rPr>
            </w:pPr>
            <w:r>
              <w:rPr>
                <w:rFonts w:ascii="Times New Roman" w:hAnsi="Times New Roman"/>
                <w:szCs w:val="24"/>
              </w:rPr>
              <w:t xml:space="preserve">Примечание </w:t>
            </w:r>
            <w:r w:rsidR="00A5054A">
              <w:rPr>
                <w:rFonts w:ascii="Times New Roman" w:hAnsi="Times New Roman"/>
                <w:szCs w:val="24"/>
              </w:rPr>
              <w:t xml:space="preserve">НВ – нормальный вес; ИВ – избыточный вес; Ож – ожирение; </w:t>
            </w:r>
          </w:p>
          <w:p w:rsidR="00AB12B3" w:rsidRDefault="00AB12B3">
            <w:pPr>
              <w:jc w:val="both"/>
              <w:rPr>
                <w:rFonts w:ascii="Times New Roman" w:hAnsi="Times New Roman"/>
                <w:szCs w:val="20"/>
              </w:rPr>
            </w:pPr>
            <w:r>
              <w:rPr>
                <w:rFonts w:ascii="Times New Roman" w:hAnsi="Times New Roman"/>
                <w:szCs w:val="24"/>
              </w:rPr>
              <w:t>* - χ</w:t>
            </w:r>
            <w:r>
              <w:rPr>
                <w:rFonts w:ascii="Times New Roman" w:hAnsi="Times New Roman"/>
                <w:szCs w:val="24"/>
                <w:vertAlign w:val="superscript"/>
              </w:rPr>
              <w:t>2</w:t>
            </w:r>
            <w:r>
              <w:rPr>
                <w:rFonts w:ascii="Times New Roman" w:hAnsi="Times New Roman"/>
                <w:szCs w:val="24"/>
              </w:rPr>
              <w:t xml:space="preserve"> – хи квадрат Пирсона; ОШ (95% ДИ) – Отношение шансов (95% Доверительный интервал)</w:t>
            </w:r>
          </w:p>
        </w:tc>
      </w:tr>
    </w:tbl>
    <w:p w:rsidR="007F248D" w:rsidRDefault="007F248D" w:rsidP="007B6B94">
      <w:pPr>
        <w:spacing w:after="0" w:line="240" w:lineRule="auto"/>
        <w:ind w:firstLine="708"/>
        <w:jc w:val="both"/>
        <w:rPr>
          <w:rFonts w:ascii="Times New Roman" w:hAnsi="Times New Roman" w:cs="Times New Roman"/>
          <w:sz w:val="28"/>
          <w:szCs w:val="28"/>
          <w:lang w:val="kk-KZ"/>
        </w:rPr>
      </w:pPr>
    </w:p>
    <w:p w:rsidR="00B324BD" w:rsidRDefault="00385AAC" w:rsidP="00B324B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Кроме</w:t>
      </w:r>
      <w:r w:rsidR="003501E7">
        <w:rPr>
          <w:rFonts w:ascii="Times New Roman" w:hAnsi="Times New Roman" w:cs="Times New Roman"/>
          <w:sz w:val="28"/>
          <w:szCs w:val="28"/>
        </w:rPr>
        <w:t xml:space="preserve"> гендерных различий</w:t>
      </w:r>
      <w:r>
        <w:rPr>
          <w:rFonts w:ascii="Times New Roman" w:hAnsi="Times New Roman" w:cs="Times New Roman"/>
          <w:sz w:val="28"/>
          <w:szCs w:val="28"/>
        </w:rPr>
        <w:t xml:space="preserve">, мы не обнаружили </w:t>
      </w:r>
      <w:r w:rsidR="00BA047D">
        <w:rPr>
          <w:rFonts w:ascii="Times New Roman" w:hAnsi="Times New Roman" w:cs="Times New Roman"/>
          <w:sz w:val="28"/>
          <w:szCs w:val="28"/>
          <w:lang w:val="kk-KZ"/>
        </w:rPr>
        <w:t>значимой</w:t>
      </w:r>
      <w:r>
        <w:rPr>
          <w:rFonts w:ascii="Times New Roman" w:hAnsi="Times New Roman" w:cs="Times New Roman"/>
          <w:sz w:val="28"/>
          <w:szCs w:val="28"/>
        </w:rPr>
        <w:t xml:space="preserve"> связи между другими группами апоА1 и фактор</w:t>
      </w:r>
      <w:r w:rsidR="003501E7">
        <w:rPr>
          <w:rFonts w:ascii="Times New Roman" w:hAnsi="Times New Roman" w:cs="Times New Roman"/>
          <w:sz w:val="28"/>
          <w:szCs w:val="28"/>
        </w:rPr>
        <w:t>ами</w:t>
      </w:r>
      <w:r>
        <w:rPr>
          <w:rFonts w:ascii="Times New Roman" w:hAnsi="Times New Roman" w:cs="Times New Roman"/>
          <w:sz w:val="28"/>
          <w:szCs w:val="28"/>
        </w:rPr>
        <w:t xml:space="preserve"> риска (таблица 29). Шанс развития гипоаполипопротеинемии А1 был </w:t>
      </w:r>
      <w:r w:rsidR="003501E7">
        <w:rPr>
          <w:rFonts w:ascii="Times New Roman" w:hAnsi="Times New Roman" w:cs="Times New Roman"/>
          <w:sz w:val="28"/>
          <w:szCs w:val="28"/>
        </w:rPr>
        <w:t>выше</w:t>
      </w:r>
      <w:r>
        <w:rPr>
          <w:rFonts w:ascii="Times New Roman" w:hAnsi="Times New Roman" w:cs="Times New Roman"/>
          <w:sz w:val="28"/>
          <w:szCs w:val="28"/>
        </w:rPr>
        <w:t xml:space="preserve"> у мужчин в 2,47 раза по сравнению с женщинами.</w:t>
      </w:r>
      <w:r w:rsidR="00D1057A">
        <w:rPr>
          <w:rFonts w:ascii="Times New Roman" w:hAnsi="Times New Roman" w:cs="Times New Roman"/>
          <w:sz w:val="28"/>
          <w:szCs w:val="28"/>
        </w:rPr>
        <w:t xml:space="preserve"> </w:t>
      </w:r>
      <w:r w:rsidR="007B6B94">
        <w:rPr>
          <w:rFonts w:ascii="Times New Roman" w:hAnsi="Times New Roman" w:cs="Times New Roman"/>
          <w:sz w:val="28"/>
          <w:szCs w:val="28"/>
        </w:rPr>
        <w:t>Уровни ОХС, ТГ, ЛПНП, глюкозы, апоВ, апоВ/апоА1 между группами апоА1 не отличались между собой. Не</w:t>
      </w:r>
      <w:r w:rsidR="000403EC">
        <w:rPr>
          <w:rFonts w:ascii="Times New Roman" w:hAnsi="Times New Roman" w:cs="Times New Roman"/>
          <w:sz w:val="28"/>
          <w:szCs w:val="28"/>
        </w:rPr>
        <w:t xml:space="preserve"> удалось</w:t>
      </w:r>
      <w:r w:rsidR="007B6B94">
        <w:rPr>
          <w:rFonts w:ascii="Times New Roman" w:hAnsi="Times New Roman" w:cs="Times New Roman"/>
          <w:sz w:val="28"/>
          <w:szCs w:val="28"/>
        </w:rPr>
        <w:t xml:space="preserve"> выяв</w:t>
      </w:r>
      <w:r w:rsidR="000403EC">
        <w:rPr>
          <w:rFonts w:ascii="Times New Roman" w:hAnsi="Times New Roman" w:cs="Times New Roman"/>
          <w:sz w:val="28"/>
          <w:szCs w:val="28"/>
        </w:rPr>
        <w:t>ить</w:t>
      </w:r>
      <w:r w:rsidR="007B6B94">
        <w:rPr>
          <w:rFonts w:ascii="Times New Roman" w:hAnsi="Times New Roman" w:cs="Times New Roman"/>
          <w:sz w:val="28"/>
          <w:szCs w:val="28"/>
        </w:rPr>
        <w:t xml:space="preserve"> отличий средних величин уровней ЛПВП, инсулина, и </w:t>
      </w:r>
      <w:r w:rsidR="007B6B94">
        <w:rPr>
          <w:rFonts w:ascii="Times New Roman" w:hAnsi="Times New Roman"/>
          <w:sz w:val="28"/>
          <w:szCs w:val="28"/>
        </w:rPr>
        <w:t>HOMA-IR</w:t>
      </w:r>
      <w:r w:rsidR="007B6B94">
        <w:rPr>
          <w:rFonts w:ascii="Times New Roman" w:hAnsi="Times New Roman" w:cs="Times New Roman"/>
          <w:sz w:val="28"/>
          <w:szCs w:val="28"/>
        </w:rPr>
        <w:t xml:space="preserve"> между группами апоА1 (таблица 30).</w:t>
      </w:r>
      <w:r w:rsidR="007F248D">
        <w:rPr>
          <w:rFonts w:ascii="Times New Roman" w:hAnsi="Times New Roman" w:cs="Times New Roman"/>
          <w:sz w:val="28"/>
          <w:szCs w:val="28"/>
          <w:lang w:val="kk-KZ"/>
        </w:rPr>
        <w:t xml:space="preserve"> </w:t>
      </w:r>
      <w:r w:rsidR="00B324BD">
        <w:rPr>
          <w:rFonts w:ascii="Times New Roman" w:hAnsi="Times New Roman" w:cs="Times New Roman"/>
          <w:sz w:val="28"/>
          <w:szCs w:val="28"/>
        </w:rPr>
        <w:t xml:space="preserve">При изучении взаимосвязи между группами апоА1 и биохимическими показателями была выявлена ассоциация с уровнем ЛПВП (таблица 31). </w:t>
      </w:r>
    </w:p>
    <w:p w:rsidR="00B324BD" w:rsidRDefault="00B324BD" w:rsidP="00B324B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Bodde M. и соавторы (2019) в своем исследовании применяли определение уровней сывороточных апоЛП в оценке риска развития ИМ и основных осложнений со стороны сердца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{"citationItems":[{"id":"ITEM-1","itemData":{"DOI":"10.1007/s00392-018-1381-5","ISBN":"0039201813","ISSN":"1861-0684","abstract":"Introduction: The current way to assess the risk of cardiovascular disease (CVD) is to measure conventional lipid and lipoprotein cholesterol fractions. Despite the success of statin treatment, residual cardiovascular risk remains high. Therefore, the value of extensive serum apolipoprotein (apo) profiling to assess the risk of ST-segment elevation myocardial infarction (STEMI) and of major adverse cardiac events (MACE) in patients with STEMI was investigated in a case–control design. Methods and results: Serum apo levels were measured using liquid chromatography and mass spectrometry in 299 healthy individuals and 220 patients with STEMI. First, the association of apo profiles in baseline samples with risk of STEMI was examined, and second, the association of apo profiles at baseline with risk of recurrent MACE in patients with STEMI in a longitudinal study design was studied. High baseline (&gt; 1.25 g/L) apoA1 levels were associated with a decreased risk of STEMI [odds ratio (OR) 0.17; 95% CI 0.11–0.26], whereas high apoB (&gt; 1.00 g/L) levels (OR 2.17; 95% CI 1.40–3.36) and apoB/apoA1 ratio (OR per 1 SD (OR/SD): 2.16; 95% CI 1.76–2.65) were associated with an increased risk. Very-low-density-lipoprotein (VLDL)-associated apos gave conflicting results. Neither conventional lipid levels nor apo levels were associated with MACE in the STEMI group. Conclusion: In conclusion, apoA1, apoB, and apoB/apoA1 were strongly associated with risk of STEMI. No clear relation between VLDL-associated apos and the risk of STEMI was found. Neither baseline serum apos nor lipids predicted MACE in statin-treated patients during long-term follow-up after a first STEMI.","author":[{"dropping-particle":"","family":"Bodde","given":"Mathijs C.","non-dropping-particle":"","parse-names":false,"suffix":""},{"dropping-particle":"","family":"Hermans","given":"Maaike P. J.","non-dropping-particle":"","parse-names":false,"suffix":""},{"dropping-particle":"","family":"Jukema","given":"J. Wouter","non-dropping-particle":"","parse-names":false,"suffix":""},{"dropping-particle":"","family":"Schalij","given":"Martin J.","non-dropping-particle":"","parse-names":false,"suffix":""},{"dropping-particle":"","family":"Lijfering","given":"Willem M.","non-dropping-particle":"","parse-names":false,"suffix":""},{"dropping-particle":"","family":"Rosendaal","given":"Frits R.","non-dropping-particle":"","parse-names":false,"suffix":""},{"dropping-particle":"","family":"Romijn","given":"Fred P. H. T. M.","non-dropping-particle":"","parse-names":false,"suffix":""},{"dropping-particle":"","family":"Ruhaak","given":"L. Renee","non-dropping-particle":"","parse-names":false,"suffix":""},{"dropping-particle":"","family":"Laarse","given":"Arnoud","non-dropping-particle":"van der","parse-names":false,"suffix":""},{"dropping-particle":"","family":"Cobbaert","given":"Christa M.","non-dropping-particle":"","parse-names":false,"suffix":""}],"container-title":"Clinical Research in Cardiology","id":"ITEM-1","issue":"5","issued":{"date-parts":[["2019","5","8"]]},"page":"520-538","publisher":"Springer Berlin Heidelberg","title":"Apolipoproteins A1, B, and apoB/apoA1 ratio are associated with first ST-segment elevation myocardial infarction but not with recurrent events during long-term follow-up","type":"article-journal","volume":"108"},"uris":["http://www.mendeley.com/documents/?uuid=4f113486-2d01-4431-9310-4feb79f96b5d"]}],"mendeley":{"formattedCitation":"[177]","plainTextFormattedCitation":"[177]","previouslyFormattedCitation":"[177]"},"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[177]</w:t>
      </w:r>
      <w:r>
        <w:rPr>
          <w:rFonts w:ascii="Times New Roman" w:hAnsi="Times New Roman" w:cs="Times New Roman"/>
          <w:sz w:val="28"/>
          <w:szCs w:val="28"/>
        </w:rPr>
        <w:fldChar w:fldCharType="end"/>
      </w:r>
      <w:r>
        <w:rPr>
          <w:rFonts w:ascii="Times New Roman" w:hAnsi="Times New Roman" w:cs="Times New Roman"/>
          <w:sz w:val="28"/>
          <w:szCs w:val="28"/>
        </w:rPr>
        <w:t xml:space="preserve">. Согласно их результатам уровни апоА1, апоВ, соотношение апоВ/апоА1 коррелировали с риском развития ИМ. Они выявили, что высокие уровни апоА1 более 1,25 г/л снижали риск развития ИМ, а высокий уровень апоВ более 1,0 г/л и соотношение апоВ/апоА1 повышали риск развития ИМ. Также ими обнаружено, что ни уровень апоЛП и ни уровень липидов не могут прогнозировать развитие осложнений со стороны сердца </w:t>
      </w:r>
      <w:r>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{"citationItems":[{"id":"ITEM-1","itemData":{"DOI":"10.1007/s00392-018-1381-5","ISBN":"0039201813","ISSN":"1861-0684","abstract":"Introduction: The current way to assess the risk of cardiovascular disease (CVD) is to measure conventional lipid and lipoprotein cholesterol fractions. Despite the success of statin treatment, residual cardiovascular risk remains high. Therefore, the value of extensive serum apolipoprotein (apo) profiling to assess the risk of ST-segment elevation myocardial infarction (STEMI) and of major adverse cardiac events (MACE) in patients with STEMI was investigated in a case–control design. Methods and results: Serum apo levels were measured using liquid chromatography and mass spectrometry in 299 healthy individuals and 220 patients with STEMI. First, the association of apo profiles in baseline samples with risk of STEMI was examined, and second, the association of apo profiles at baseline with risk of recurrent MACE in patients with STEMI in a longitudinal study design was studied. High baseline (&gt; 1.25 g/L) apoA1 levels were associated with a decreased risk of STEMI [odds ratio (OR) 0.17; 95% CI 0.11–0.26], whereas high apoB (&gt; 1.00 g/L) levels (OR 2.17; 95% CI 1.40–3.36) and apoB/apoA1 ratio (OR per 1 SD (OR/SD): 2.16; 95% CI 1.76–2.65) were associated with an increased risk. Very-low-density-lipoprotein (VLDL)-associated apos gave conflicting results. Neither conventional lipid levels nor apo levels were associated with MACE in the STEMI group. Conclusion: In conclusion, apoA1, apoB, and apoB/apoA1 were strongly associated with risk of STEMI. No clear relation between VLDL-associated apos and the risk of STEMI was found. Neither baseline serum apos nor lipids predicted MACE in statin-treated patients during long-term follow-up after a first STEMI.","author":[{"dropping-particle":"","family":"Bodde","given":"Mathijs C.","non-dropping-particle":"","parse-names":false,"suffix":""},{"dropping-particle":"","family":"Hermans","given":"Maaike P. J.","non-dropping-particle":"","parse-names":false,"suffix":""},{"dropping-particle":"","family":"Jukema","given":"J. Wouter","non-dropping-particle":"","parse-names":false,"suffix":""},{"dropping-particle":"","family":"Schalij","given":"Martin J.","non-dropping-particle":"","parse-names":false,"suffix":""},{"dropping-particle":"","family":"Lijfering","given":"Willem M.","non-dropping-particle":"","parse-names":false,"suffix":""},{"dropping-particle":"","family":"Rosendaal","given":"Frits R.","non-dropping-particle":"","parse-names":false,"suffix":""},{"dropping-particle":"","family":"Romijn","given":"Fred P. H. T. M.","non-dropping-particle":"","parse-names":false,"suffix":""},{"dropping-particle":"","family":"Ruhaak","given":"L. Renee","non-dropping-particle":"","parse-names":false,"suffix":""},{"dropping-particle":"","family":"Laarse","given":"Arnoud","non-dropping-particle":"van der","parse-names":false,"suffix":""},{"dropping-particle":"","family":"Cobbaert","given":"Christa M.","non-dropping-particle":"","parse-names":false,"suffix":""}],"container-title":"Clinical Research in Cardiology","id":"ITEM-1","issue":"5","issued":{"date-parts":[["2019","5","8"]]},"page":"520-538","publisher":"Springer Berlin Heidelberg","title":"Apolipoproteins A1, B, and apoB/apoA1 ratio are associated with first ST-segment elevation myocardial infarction but not with recurrent events during long-term follow-up","type":"article-journal","volume":"108"},"uris":["http://www.mendeley.com/documents/?uuid=4f113486-2d01-4431-9310-4feb79f96b5d"]}],"mendeley":{"formattedCitation":"[177]","manualFormatting":"[177, р. 527]","plainTextFormattedCitation":"[177]","previouslyFormattedCitation":"[177]"},"properties":{"noteIndex":0},"schema":"https://github.com/citation-style-language/schema/raw/master/csl-citation.json"}</w:instrText>
      </w:r>
      <w:r>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[177</w:t>
      </w:r>
      <w:r w:rsidR="00F87DB7">
        <w:rPr>
          <w:rFonts w:ascii="Times New Roman" w:hAnsi="Times New Roman" w:cs="Times New Roman"/>
          <w:noProof/>
          <w:sz w:val="28"/>
          <w:szCs w:val="28"/>
        </w:rPr>
        <w:t>, р. 527</w:t>
      </w:r>
      <w:r w:rsidR="00F87DB7" w:rsidRPr="00F87DB7">
        <w:rPr>
          <w:rFonts w:ascii="Times New Roman" w:hAnsi="Times New Roman" w:cs="Times New Roman"/>
          <w:noProof/>
          <w:sz w:val="28"/>
          <w:szCs w:val="28"/>
        </w:rPr>
        <w:t>]</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7B6B94" w:rsidRDefault="007B6B94" w:rsidP="00AB12B3">
      <w:pPr>
        <w:spacing w:after="0" w:line="240" w:lineRule="auto"/>
        <w:jc w:val="both"/>
        <w:rPr>
          <w:rFonts w:ascii="Times New Roman" w:hAnsi="Times New Roman" w:cs="Times New Roman"/>
          <w:sz w:val="28"/>
          <w:szCs w:val="28"/>
          <w:lang w:val="kk-KZ"/>
        </w:rPr>
      </w:pPr>
    </w:p>
    <w:p w:rsidR="00AB12B3" w:rsidRDefault="00AB12B3" w:rsidP="00AB12B3">
      <w:pPr>
        <w:spacing w:after="0" w:line="240" w:lineRule="auto"/>
        <w:jc w:val="both"/>
        <w:rPr>
          <w:rFonts w:ascii="Times New Roman" w:hAnsi="Times New Roman"/>
          <w:sz w:val="28"/>
          <w:szCs w:val="28"/>
          <w:lang w:val="kk-KZ"/>
        </w:rPr>
      </w:pPr>
      <w:r>
        <w:rPr>
          <w:rFonts w:ascii="Times New Roman" w:hAnsi="Times New Roman" w:cs="Times New Roman"/>
          <w:sz w:val="28"/>
          <w:szCs w:val="28"/>
        </w:rPr>
        <w:lastRenderedPageBreak/>
        <w:t xml:space="preserve">Таблица 30 </w:t>
      </w:r>
      <w:r w:rsidR="004621D6">
        <w:rPr>
          <w:rFonts w:ascii="Times New Roman" w:hAnsi="Times New Roman" w:cs="Times New Roman"/>
          <w:sz w:val="28"/>
          <w:szCs w:val="28"/>
          <w:lang w:val="kk-KZ"/>
        </w:rPr>
        <w:t xml:space="preserve">- </w:t>
      </w:r>
      <w:r>
        <w:rPr>
          <w:rFonts w:ascii="Times New Roman" w:hAnsi="Times New Roman" w:cs="Times New Roman"/>
          <w:sz w:val="28"/>
          <w:szCs w:val="28"/>
        </w:rPr>
        <w:t>Распределение средни</w:t>
      </w:r>
      <w:r w:rsidR="003501E7">
        <w:rPr>
          <w:rFonts w:ascii="Times New Roman" w:hAnsi="Times New Roman" w:cs="Times New Roman"/>
          <w:sz w:val="28"/>
          <w:szCs w:val="28"/>
        </w:rPr>
        <w:t>х</w:t>
      </w:r>
      <w:r>
        <w:rPr>
          <w:rFonts w:ascii="Times New Roman" w:hAnsi="Times New Roman" w:cs="Times New Roman"/>
          <w:sz w:val="28"/>
          <w:szCs w:val="28"/>
        </w:rPr>
        <w:t xml:space="preserve"> величин биохимических показателей по группам апо</w:t>
      </w:r>
      <w:r w:rsidR="00265B17">
        <w:rPr>
          <w:rFonts w:ascii="Times New Roman" w:hAnsi="Times New Roman" w:cs="Times New Roman"/>
          <w:sz w:val="28"/>
          <w:szCs w:val="28"/>
          <w:lang w:val="kk-KZ"/>
        </w:rPr>
        <w:t>липопротеина</w:t>
      </w:r>
      <w:r w:rsidR="004E7459">
        <w:rPr>
          <w:rFonts w:ascii="Times New Roman" w:hAnsi="Times New Roman" w:cs="Times New Roman"/>
          <w:sz w:val="28"/>
          <w:szCs w:val="28"/>
          <w:lang w:val="kk-KZ"/>
        </w:rPr>
        <w:t xml:space="preserve"> </w:t>
      </w:r>
      <w:r>
        <w:rPr>
          <w:rFonts w:ascii="Times New Roman" w:hAnsi="Times New Roman" w:cs="Times New Roman"/>
          <w:sz w:val="28"/>
          <w:szCs w:val="28"/>
        </w:rPr>
        <w:t>А1</w:t>
      </w:r>
      <w:r w:rsidR="004E7459">
        <w:rPr>
          <w:rFonts w:ascii="Times New Roman" w:hAnsi="Times New Roman" w:cs="Times New Roman"/>
          <w:sz w:val="28"/>
          <w:szCs w:val="28"/>
        </w:rPr>
        <w:t xml:space="preserve"> </w:t>
      </w:r>
      <w:r w:rsidR="00DA472A">
        <w:rPr>
          <w:rFonts w:ascii="Times New Roman" w:hAnsi="Times New Roman" w:cs="Times New Roman"/>
          <w:sz w:val="28"/>
          <w:szCs w:val="28"/>
        </w:rPr>
        <w:t>(</w:t>
      </w:r>
      <w:r>
        <w:rPr>
          <w:rFonts w:ascii="Times New Roman" w:hAnsi="Times New Roman"/>
          <w:sz w:val="28"/>
          <w:szCs w:val="28"/>
        </w:rPr>
        <w:t>n=507</w:t>
      </w:r>
      <w:r w:rsidR="00DA472A">
        <w:rPr>
          <w:rFonts w:ascii="Times New Roman" w:hAnsi="Times New Roman"/>
          <w:sz w:val="28"/>
          <w:szCs w:val="28"/>
        </w:rPr>
        <w:t>)</w:t>
      </w:r>
    </w:p>
    <w:p w:rsidR="00B324BD" w:rsidRPr="00B324BD" w:rsidRDefault="00B324BD" w:rsidP="00AB12B3">
      <w:pPr>
        <w:spacing w:after="0" w:line="240" w:lineRule="auto"/>
        <w:jc w:val="both"/>
        <w:rPr>
          <w:rFonts w:ascii="Times New Roman" w:hAnsi="Times New Roman" w:cs="Times New Roman"/>
          <w:sz w:val="28"/>
          <w:szCs w:val="28"/>
          <w:lang w:val="kk-KZ"/>
        </w:rPr>
      </w:pPr>
    </w:p>
    <w:tbl>
      <w:tblPr>
        <w:tblStyle w:val="af7"/>
        <w:tblW w:w="9360" w:type="dxa"/>
        <w:tblInd w:w="108" w:type="dxa"/>
        <w:tblLayout w:type="fixed"/>
        <w:tblLook w:val="04A0" w:firstRow="1" w:lastRow="0" w:firstColumn="1" w:lastColumn="0" w:noHBand="0" w:noVBand="1"/>
      </w:tblPr>
      <w:tblGrid>
        <w:gridCol w:w="2696"/>
        <w:gridCol w:w="2836"/>
        <w:gridCol w:w="2836"/>
        <w:gridCol w:w="992"/>
      </w:tblGrid>
      <w:tr w:rsidR="00AB12B3" w:rsidTr="003B6C0A">
        <w:trPr>
          <w:trHeight w:val="377"/>
        </w:trPr>
        <w:tc>
          <w:tcPr>
            <w:tcW w:w="2696"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5672"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апоА1, г/л</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3B6C0A">
        <w:trPr>
          <w:trHeight w:val="379"/>
        </w:trPr>
        <w:tc>
          <w:tcPr>
            <w:tcW w:w="269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color w:val="000000"/>
                <w:sz w:val="28"/>
                <w:szCs w:val="28"/>
              </w:rPr>
              <w:t xml:space="preserve">Муж ≥1,04 Жен ≥1,08 </w:t>
            </w:r>
            <w:r>
              <w:rPr>
                <w:rFonts w:ascii="Times New Roman" w:hAnsi="Times New Roman"/>
                <w:sz w:val="28"/>
                <w:szCs w:val="28"/>
              </w:rPr>
              <w:t>Ме±IQR (Q1–Q3)</w:t>
            </w:r>
          </w:p>
        </w:tc>
        <w:tc>
          <w:tcPr>
            <w:tcW w:w="283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color w:val="000000"/>
                <w:sz w:val="28"/>
                <w:szCs w:val="28"/>
              </w:rPr>
            </w:pPr>
            <w:r>
              <w:rPr>
                <w:rFonts w:ascii="Times New Roman" w:hAnsi="Times New Roman"/>
                <w:color w:val="000000"/>
                <w:sz w:val="28"/>
                <w:szCs w:val="28"/>
              </w:rPr>
              <w:t>Муж &lt;1,04 Жен &lt;1,08</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3B6C0A">
        <w:trPr>
          <w:trHeight w:val="323"/>
        </w:trPr>
        <w:tc>
          <w:tcPr>
            <w:tcW w:w="269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ОХС, ммоль/л</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3,37±1,98 (2,51-4,5)</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4,0±2,14 (2,76-4,9)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0,18</w:t>
            </w:r>
          </w:p>
        </w:tc>
      </w:tr>
      <w:tr w:rsidR="00AB12B3" w:rsidTr="003B6C0A">
        <w:trPr>
          <w:trHeight w:val="323"/>
        </w:trPr>
        <w:tc>
          <w:tcPr>
            <w:tcW w:w="269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ТГ, ммоль/л</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1,24±0,89 (0,86-1,75)</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1,1±0,8 (0,83-1,63)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0,35</w:t>
            </w:r>
          </w:p>
        </w:tc>
      </w:tr>
      <w:tr w:rsidR="00AB12B3" w:rsidTr="003B6C0A">
        <w:trPr>
          <w:trHeight w:val="323"/>
        </w:trPr>
        <w:tc>
          <w:tcPr>
            <w:tcW w:w="269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ЛПНП, ммоль/л</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1,83±1,13 (1,37-2,5)</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1,87±1,21 (1,39-2,6)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0,87</w:t>
            </w:r>
          </w:p>
        </w:tc>
      </w:tr>
      <w:tr w:rsidR="00AB12B3" w:rsidTr="003B6C0A">
        <w:trPr>
          <w:trHeight w:val="323"/>
        </w:trPr>
        <w:tc>
          <w:tcPr>
            <w:tcW w:w="269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ЛПВП, ммоль/л</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0,91±0,7 (0,7-1,4)</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1,13±0,08 (0,8-1,6)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0,04</w:t>
            </w:r>
          </w:p>
        </w:tc>
      </w:tr>
      <w:tr w:rsidR="00AB12B3" w:rsidTr="003B6C0A">
        <w:trPr>
          <w:trHeight w:val="323"/>
        </w:trPr>
        <w:tc>
          <w:tcPr>
            <w:tcW w:w="269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 г/л</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0</w:t>
            </w:r>
            <w:r w:rsidRPr="00B01F89">
              <w:rPr>
                <w:rFonts w:ascii="Century" w:hAnsi="Century"/>
                <w:sz w:val="28"/>
                <w:szCs w:val="28"/>
              </w:rPr>
              <w:t>,</w:t>
            </w:r>
            <w:r>
              <w:rPr>
                <w:rFonts w:ascii="Times New Roman" w:hAnsi="Times New Roman"/>
                <w:sz w:val="28"/>
                <w:szCs w:val="28"/>
              </w:rPr>
              <w:t>97</w:t>
            </w:r>
            <w:r w:rsidRPr="00B01F89">
              <w:rPr>
                <w:rFonts w:ascii="Century" w:hAnsi="Century"/>
                <w:sz w:val="28"/>
                <w:szCs w:val="28"/>
              </w:rPr>
              <w:t>±</w:t>
            </w:r>
            <w:r>
              <w:rPr>
                <w:rFonts w:ascii="Times New Roman" w:hAnsi="Times New Roman"/>
                <w:sz w:val="28"/>
                <w:szCs w:val="28"/>
              </w:rPr>
              <w:t>0</w:t>
            </w:r>
            <w:r w:rsidRPr="00B01F89">
              <w:rPr>
                <w:rFonts w:ascii="Century" w:hAnsi="Century"/>
                <w:sz w:val="28"/>
                <w:szCs w:val="28"/>
              </w:rPr>
              <w:t>,</w:t>
            </w:r>
            <w:r>
              <w:rPr>
                <w:rFonts w:ascii="Times New Roman" w:hAnsi="Times New Roman"/>
                <w:sz w:val="28"/>
                <w:szCs w:val="28"/>
              </w:rPr>
              <w:t>38 (0</w:t>
            </w:r>
            <w:r w:rsidRPr="00B01F89">
              <w:rPr>
                <w:rFonts w:ascii="Century" w:hAnsi="Century"/>
                <w:sz w:val="28"/>
                <w:szCs w:val="28"/>
              </w:rPr>
              <w:t>,</w:t>
            </w:r>
            <w:r>
              <w:rPr>
                <w:rFonts w:ascii="Times New Roman" w:hAnsi="Times New Roman"/>
                <w:sz w:val="28"/>
                <w:szCs w:val="28"/>
              </w:rPr>
              <w:t>79-1</w:t>
            </w:r>
            <w:r w:rsidRPr="00B01F89">
              <w:rPr>
                <w:rFonts w:ascii="Century" w:hAnsi="Century"/>
                <w:sz w:val="28"/>
                <w:szCs w:val="28"/>
              </w:rPr>
              <w:t>,</w:t>
            </w:r>
            <w:r>
              <w:rPr>
                <w:rFonts w:ascii="Times New Roman" w:hAnsi="Times New Roman"/>
                <w:sz w:val="28"/>
                <w:szCs w:val="28"/>
              </w:rPr>
              <w:t>17)</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w:t>
            </w:r>
            <w:r w:rsidRPr="00B01F89">
              <w:rPr>
                <w:rFonts w:ascii="Century" w:hAnsi="Century"/>
                <w:sz w:val="28"/>
                <w:szCs w:val="28"/>
              </w:rPr>
              <w:t>,</w:t>
            </w:r>
            <w:r>
              <w:rPr>
                <w:rFonts w:ascii="Times New Roman" w:hAnsi="Times New Roman"/>
                <w:sz w:val="28"/>
                <w:szCs w:val="28"/>
              </w:rPr>
              <w:t>04</w:t>
            </w:r>
            <w:r w:rsidRPr="00B01F89">
              <w:rPr>
                <w:rFonts w:ascii="Century" w:hAnsi="Century"/>
                <w:sz w:val="28"/>
                <w:szCs w:val="28"/>
              </w:rPr>
              <w:t>±</w:t>
            </w:r>
            <w:r>
              <w:rPr>
                <w:rFonts w:ascii="Times New Roman" w:hAnsi="Times New Roman"/>
                <w:sz w:val="28"/>
                <w:szCs w:val="28"/>
              </w:rPr>
              <w:t>0</w:t>
            </w:r>
            <w:r w:rsidRPr="00B01F89">
              <w:rPr>
                <w:rFonts w:ascii="Century" w:hAnsi="Century"/>
                <w:sz w:val="28"/>
                <w:szCs w:val="28"/>
              </w:rPr>
              <w:t>,</w:t>
            </w:r>
            <w:r>
              <w:rPr>
                <w:rFonts w:ascii="Times New Roman" w:hAnsi="Times New Roman"/>
                <w:sz w:val="28"/>
                <w:szCs w:val="28"/>
              </w:rPr>
              <w:t>49 (0</w:t>
            </w:r>
            <w:r w:rsidRPr="00B01F89">
              <w:rPr>
                <w:rFonts w:ascii="Century" w:hAnsi="Century"/>
                <w:sz w:val="28"/>
                <w:szCs w:val="28"/>
              </w:rPr>
              <w:t>,</w:t>
            </w:r>
            <w:r>
              <w:rPr>
                <w:rFonts w:ascii="Times New Roman" w:hAnsi="Times New Roman"/>
                <w:sz w:val="28"/>
                <w:szCs w:val="28"/>
              </w:rPr>
              <w:t>7-1</w:t>
            </w:r>
            <w:r w:rsidRPr="00B01F89">
              <w:rPr>
                <w:rFonts w:ascii="Century" w:hAnsi="Century"/>
                <w:sz w:val="28"/>
                <w:szCs w:val="28"/>
              </w:rPr>
              <w:t>,</w:t>
            </w:r>
            <w:r>
              <w:rPr>
                <w:rFonts w:ascii="Times New Roman" w:hAnsi="Times New Roman"/>
                <w:sz w:val="28"/>
                <w:szCs w:val="28"/>
              </w:rPr>
              <w:t>19)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B01F89">
              <w:rPr>
                <w:rFonts w:ascii="Century" w:hAnsi="Century"/>
                <w:sz w:val="28"/>
                <w:szCs w:val="28"/>
              </w:rPr>
              <w:t>,</w:t>
            </w:r>
            <w:r>
              <w:rPr>
                <w:rFonts w:ascii="Times New Roman" w:hAnsi="Times New Roman"/>
                <w:sz w:val="28"/>
                <w:szCs w:val="28"/>
              </w:rPr>
              <w:t>76</w:t>
            </w:r>
          </w:p>
        </w:tc>
      </w:tr>
      <w:tr w:rsidR="00AB12B3" w:rsidTr="003B6C0A">
        <w:trPr>
          <w:trHeight w:val="323"/>
        </w:trPr>
        <w:tc>
          <w:tcPr>
            <w:tcW w:w="269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w:t>
            </w:r>
            <w:r w:rsidRPr="00B01F89">
              <w:rPr>
                <w:rFonts w:ascii="Century" w:hAnsi="Century"/>
                <w:sz w:val="28"/>
                <w:szCs w:val="28"/>
              </w:rPr>
              <w:t>/</w:t>
            </w:r>
            <w:r>
              <w:rPr>
                <w:rFonts w:ascii="Times New Roman" w:hAnsi="Times New Roman"/>
                <w:sz w:val="28"/>
                <w:szCs w:val="28"/>
              </w:rPr>
              <w:t>апоА1</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B01F89">
              <w:rPr>
                <w:rFonts w:ascii="Century" w:hAnsi="Century"/>
                <w:sz w:val="28"/>
                <w:szCs w:val="28"/>
              </w:rPr>
              <w:t>,</w:t>
            </w:r>
            <w:r>
              <w:rPr>
                <w:rFonts w:ascii="Times New Roman" w:hAnsi="Times New Roman"/>
                <w:sz w:val="28"/>
                <w:szCs w:val="28"/>
              </w:rPr>
              <w:t>64</w:t>
            </w:r>
            <w:r w:rsidRPr="00B01F89">
              <w:rPr>
                <w:rFonts w:ascii="Century" w:hAnsi="Century"/>
                <w:sz w:val="28"/>
                <w:szCs w:val="28"/>
              </w:rPr>
              <w:t>±</w:t>
            </w:r>
            <w:r>
              <w:rPr>
                <w:rFonts w:ascii="Times New Roman" w:hAnsi="Times New Roman"/>
                <w:sz w:val="28"/>
                <w:szCs w:val="28"/>
              </w:rPr>
              <w:t>0</w:t>
            </w:r>
            <w:r w:rsidRPr="00B01F89">
              <w:rPr>
                <w:rFonts w:ascii="Century" w:hAnsi="Century"/>
                <w:sz w:val="28"/>
                <w:szCs w:val="28"/>
              </w:rPr>
              <w:t>,</w:t>
            </w:r>
            <w:r>
              <w:rPr>
                <w:rFonts w:ascii="Times New Roman" w:hAnsi="Times New Roman"/>
                <w:sz w:val="28"/>
                <w:szCs w:val="28"/>
              </w:rPr>
              <w:t>3 (0</w:t>
            </w:r>
            <w:r w:rsidRPr="00B01F89">
              <w:rPr>
                <w:rFonts w:ascii="Century" w:hAnsi="Century"/>
                <w:sz w:val="28"/>
                <w:szCs w:val="28"/>
              </w:rPr>
              <w:t>,</w:t>
            </w:r>
            <w:r>
              <w:rPr>
                <w:rFonts w:ascii="Times New Roman" w:hAnsi="Times New Roman"/>
                <w:sz w:val="28"/>
                <w:szCs w:val="28"/>
              </w:rPr>
              <w:t>51-0</w:t>
            </w:r>
            <w:r w:rsidRPr="00B01F89">
              <w:rPr>
                <w:rFonts w:ascii="Century" w:hAnsi="Century"/>
                <w:sz w:val="28"/>
                <w:szCs w:val="28"/>
              </w:rPr>
              <w:t>,</w:t>
            </w:r>
            <w:r>
              <w:rPr>
                <w:rFonts w:ascii="Times New Roman" w:hAnsi="Times New Roman"/>
                <w:sz w:val="28"/>
                <w:szCs w:val="28"/>
              </w:rPr>
              <w:t>81)</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B01F89">
              <w:rPr>
                <w:rFonts w:ascii="Century" w:hAnsi="Century"/>
                <w:sz w:val="28"/>
                <w:szCs w:val="28"/>
              </w:rPr>
              <w:t>,</w:t>
            </w:r>
            <w:r>
              <w:rPr>
                <w:rFonts w:ascii="Times New Roman" w:hAnsi="Times New Roman"/>
                <w:sz w:val="28"/>
                <w:szCs w:val="28"/>
              </w:rPr>
              <w:t>69</w:t>
            </w:r>
            <w:r w:rsidRPr="00B01F89">
              <w:rPr>
                <w:rFonts w:ascii="Century" w:hAnsi="Century"/>
                <w:sz w:val="28"/>
                <w:szCs w:val="28"/>
              </w:rPr>
              <w:t>±</w:t>
            </w:r>
            <w:r>
              <w:rPr>
                <w:rFonts w:ascii="Times New Roman" w:hAnsi="Times New Roman"/>
                <w:sz w:val="28"/>
                <w:szCs w:val="28"/>
              </w:rPr>
              <w:t>0</w:t>
            </w:r>
            <w:r w:rsidRPr="00B01F89">
              <w:rPr>
                <w:rFonts w:ascii="Century" w:hAnsi="Century"/>
                <w:sz w:val="28"/>
                <w:szCs w:val="28"/>
              </w:rPr>
              <w:t>,</w:t>
            </w:r>
            <w:r>
              <w:rPr>
                <w:rFonts w:ascii="Times New Roman" w:hAnsi="Times New Roman"/>
                <w:sz w:val="28"/>
                <w:szCs w:val="28"/>
              </w:rPr>
              <w:t>37 (0</w:t>
            </w:r>
            <w:r w:rsidRPr="00B01F89">
              <w:rPr>
                <w:rFonts w:ascii="Century" w:hAnsi="Century"/>
                <w:sz w:val="28"/>
                <w:szCs w:val="28"/>
              </w:rPr>
              <w:t>,</w:t>
            </w:r>
            <w:r>
              <w:rPr>
                <w:rFonts w:ascii="Times New Roman" w:hAnsi="Times New Roman"/>
                <w:sz w:val="28"/>
                <w:szCs w:val="28"/>
              </w:rPr>
              <w:t>55-0</w:t>
            </w:r>
            <w:r w:rsidRPr="00B01F89">
              <w:rPr>
                <w:rFonts w:ascii="Century" w:hAnsi="Century"/>
                <w:sz w:val="28"/>
                <w:szCs w:val="28"/>
              </w:rPr>
              <w:t>,</w:t>
            </w:r>
            <w:r>
              <w:rPr>
                <w:rFonts w:ascii="Times New Roman" w:hAnsi="Times New Roman"/>
                <w:sz w:val="28"/>
                <w:szCs w:val="28"/>
              </w:rPr>
              <w:t>81)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B01F89">
              <w:rPr>
                <w:rFonts w:ascii="Century" w:hAnsi="Century"/>
                <w:sz w:val="28"/>
                <w:szCs w:val="28"/>
              </w:rPr>
              <w:t>,</w:t>
            </w:r>
            <w:r>
              <w:rPr>
                <w:rFonts w:ascii="Times New Roman" w:hAnsi="Times New Roman"/>
                <w:sz w:val="28"/>
                <w:szCs w:val="28"/>
              </w:rPr>
              <w:t>12</w:t>
            </w:r>
          </w:p>
        </w:tc>
      </w:tr>
      <w:tr w:rsidR="00AB12B3" w:rsidTr="003B6C0A">
        <w:trPr>
          <w:trHeight w:val="323"/>
        </w:trPr>
        <w:tc>
          <w:tcPr>
            <w:tcW w:w="269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Инсулин</w:t>
            </w:r>
            <w:r w:rsidRPr="00B01F89">
              <w:rPr>
                <w:rFonts w:ascii="Century" w:hAnsi="Century"/>
                <w:sz w:val="28"/>
                <w:szCs w:val="28"/>
              </w:rPr>
              <w:t xml:space="preserve">, </w:t>
            </w:r>
            <w:r>
              <w:rPr>
                <w:rFonts w:ascii="Times New Roman" w:hAnsi="Times New Roman"/>
                <w:sz w:val="28"/>
                <w:szCs w:val="28"/>
              </w:rPr>
              <w:t>мкМЕ</w:t>
            </w:r>
            <w:r w:rsidRPr="00B01F89">
              <w:rPr>
                <w:rFonts w:ascii="Century" w:hAnsi="Century"/>
                <w:sz w:val="28"/>
                <w:szCs w:val="28"/>
              </w:rPr>
              <w:t>/</w:t>
            </w:r>
            <w:r>
              <w:rPr>
                <w:rFonts w:ascii="Times New Roman" w:hAnsi="Times New Roman"/>
                <w:sz w:val="28"/>
                <w:szCs w:val="28"/>
              </w:rPr>
              <w:t>мл</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9</w:t>
            </w:r>
            <w:r w:rsidRPr="00B01F89">
              <w:rPr>
                <w:rFonts w:ascii="Century" w:hAnsi="Century"/>
                <w:sz w:val="28"/>
                <w:szCs w:val="28"/>
              </w:rPr>
              <w:t>,</w:t>
            </w:r>
            <w:r>
              <w:rPr>
                <w:rFonts w:ascii="Times New Roman" w:hAnsi="Times New Roman"/>
                <w:sz w:val="28"/>
                <w:szCs w:val="28"/>
              </w:rPr>
              <w:t>3</w:t>
            </w:r>
            <w:r w:rsidRPr="00B01F89">
              <w:rPr>
                <w:rFonts w:ascii="Century" w:hAnsi="Century"/>
                <w:sz w:val="28"/>
                <w:szCs w:val="28"/>
              </w:rPr>
              <w:t>±</w:t>
            </w:r>
            <w:r>
              <w:rPr>
                <w:rFonts w:ascii="Times New Roman" w:hAnsi="Times New Roman"/>
                <w:sz w:val="28"/>
                <w:szCs w:val="28"/>
              </w:rPr>
              <w:t>9</w:t>
            </w:r>
            <w:r w:rsidRPr="00B01F89">
              <w:rPr>
                <w:rFonts w:ascii="Century" w:hAnsi="Century"/>
                <w:sz w:val="28"/>
                <w:szCs w:val="28"/>
              </w:rPr>
              <w:t>,</w:t>
            </w:r>
            <w:r>
              <w:rPr>
                <w:rFonts w:ascii="Times New Roman" w:hAnsi="Times New Roman"/>
                <w:sz w:val="28"/>
                <w:szCs w:val="28"/>
              </w:rPr>
              <w:t>15 (5</w:t>
            </w:r>
            <w:r w:rsidRPr="00B01F89">
              <w:rPr>
                <w:rFonts w:ascii="Century" w:hAnsi="Century"/>
                <w:sz w:val="28"/>
                <w:szCs w:val="28"/>
              </w:rPr>
              <w:t>,</w:t>
            </w:r>
            <w:r>
              <w:rPr>
                <w:rFonts w:ascii="Times New Roman" w:hAnsi="Times New Roman"/>
                <w:sz w:val="28"/>
                <w:szCs w:val="28"/>
              </w:rPr>
              <w:t>9-15</w:t>
            </w:r>
            <w:r w:rsidRPr="00B01F89">
              <w:rPr>
                <w:rFonts w:ascii="Century" w:hAnsi="Century"/>
                <w:sz w:val="28"/>
                <w:szCs w:val="28"/>
              </w:rPr>
              <w:t>,</w:t>
            </w:r>
            <w:r>
              <w:rPr>
                <w:rFonts w:ascii="Times New Roman" w:hAnsi="Times New Roman"/>
                <w:sz w:val="28"/>
                <w:szCs w:val="28"/>
              </w:rPr>
              <w:t>05)</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7</w:t>
            </w:r>
            <w:r w:rsidRPr="00B01F89">
              <w:rPr>
                <w:rFonts w:ascii="Century" w:hAnsi="Century"/>
                <w:sz w:val="28"/>
                <w:szCs w:val="28"/>
              </w:rPr>
              <w:t>,</w:t>
            </w:r>
            <w:r>
              <w:rPr>
                <w:rFonts w:ascii="Times New Roman" w:hAnsi="Times New Roman"/>
                <w:sz w:val="28"/>
                <w:szCs w:val="28"/>
              </w:rPr>
              <w:t>7</w:t>
            </w:r>
            <w:r w:rsidRPr="00B01F89">
              <w:rPr>
                <w:rFonts w:ascii="Century" w:hAnsi="Century"/>
                <w:sz w:val="28"/>
                <w:szCs w:val="28"/>
              </w:rPr>
              <w:t>±</w:t>
            </w:r>
            <w:r>
              <w:rPr>
                <w:rFonts w:ascii="Times New Roman" w:hAnsi="Times New Roman"/>
                <w:sz w:val="28"/>
                <w:szCs w:val="28"/>
              </w:rPr>
              <w:t>6</w:t>
            </w:r>
            <w:r w:rsidRPr="00B01F89">
              <w:rPr>
                <w:rFonts w:ascii="Century" w:hAnsi="Century"/>
                <w:sz w:val="28"/>
                <w:szCs w:val="28"/>
              </w:rPr>
              <w:t>,</w:t>
            </w:r>
            <w:r>
              <w:rPr>
                <w:rFonts w:ascii="Times New Roman" w:hAnsi="Times New Roman"/>
                <w:sz w:val="28"/>
                <w:szCs w:val="28"/>
              </w:rPr>
              <w:t>5 (4</w:t>
            </w:r>
            <w:r w:rsidRPr="00B01F89">
              <w:rPr>
                <w:rFonts w:ascii="Century" w:hAnsi="Century"/>
                <w:sz w:val="28"/>
                <w:szCs w:val="28"/>
              </w:rPr>
              <w:t>,</w:t>
            </w:r>
            <w:r>
              <w:rPr>
                <w:rFonts w:ascii="Times New Roman" w:hAnsi="Times New Roman"/>
                <w:sz w:val="28"/>
                <w:szCs w:val="28"/>
              </w:rPr>
              <w:t>1-10</w:t>
            </w:r>
            <w:r w:rsidRPr="00B01F89">
              <w:rPr>
                <w:rFonts w:ascii="Century" w:hAnsi="Century"/>
                <w:sz w:val="28"/>
                <w:szCs w:val="28"/>
              </w:rPr>
              <w:t>,</w:t>
            </w:r>
            <w:r>
              <w:rPr>
                <w:rFonts w:ascii="Times New Roman" w:hAnsi="Times New Roman"/>
                <w:sz w:val="28"/>
                <w:szCs w:val="28"/>
              </w:rPr>
              <w:t>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B01F89">
              <w:rPr>
                <w:rFonts w:ascii="Century" w:hAnsi="Century"/>
                <w:sz w:val="28"/>
                <w:szCs w:val="28"/>
              </w:rPr>
              <w:t>,</w:t>
            </w:r>
            <w:r>
              <w:rPr>
                <w:rFonts w:ascii="Times New Roman" w:hAnsi="Times New Roman"/>
                <w:sz w:val="28"/>
                <w:szCs w:val="28"/>
              </w:rPr>
              <w:t>04</w:t>
            </w:r>
          </w:p>
        </w:tc>
      </w:tr>
      <w:tr w:rsidR="00AB12B3" w:rsidTr="003B6C0A">
        <w:trPr>
          <w:trHeight w:val="323"/>
        </w:trPr>
        <w:tc>
          <w:tcPr>
            <w:tcW w:w="269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глюкоза, ммоль/л</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5,5±1,91 (4,44-6,35)</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5,46±2,4 (4,2-6,6)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0,93</w:t>
            </w:r>
          </w:p>
        </w:tc>
      </w:tr>
      <w:tr w:rsidR="00AB12B3" w:rsidTr="003B6C0A">
        <w:trPr>
          <w:trHeight w:val="323"/>
        </w:trPr>
        <w:tc>
          <w:tcPr>
            <w:tcW w:w="269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HOMA-IR</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2,18±2,45 (1,35-3,8)</w:t>
            </w:r>
          </w:p>
        </w:tc>
        <w:tc>
          <w:tcPr>
            <w:tcW w:w="2836"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1,73±1,8 (0,94-2,75)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0,07</w:t>
            </w:r>
          </w:p>
        </w:tc>
      </w:tr>
      <w:tr w:rsidR="00AB12B3" w:rsidTr="003B6C0A">
        <w:trPr>
          <w:trHeight w:val="442"/>
        </w:trPr>
        <w:tc>
          <w:tcPr>
            <w:tcW w:w="9360" w:type="dxa"/>
            <w:gridSpan w:val="4"/>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0"/>
                <w:szCs w:val="20"/>
              </w:rPr>
            </w:pPr>
            <w:r>
              <w:rPr>
                <w:rFonts w:ascii="Times New Roman" w:hAnsi="Times New Roman"/>
                <w:szCs w:val="20"/>
              </w:rPr>
              <w:t xml:space="preserve">Примечание *Критерий Манна-Уитни; Ме±IQR (Q1 – Q3) </w:t>
            </w:r>
            <w:r w:rsidR="00C16F07">
              <w:rPr>
                <w:rFonts w:ascii="Times New Roman" w:hAnsi="Times New Roman"/>
                <w:szCs w:val="20"/>
              </w:rPr>
              <w:t>–</w:t>
            </w:r>
            <w:r>
              <w:rPr>
                <w:rFonts w:ascii="Times New Roman" w:hAnsi="Times New Roman"/>
                <w:szCs w:val="20"/>
              </w:rPr>
              <w:t xml:space="preserve"> Медиана ± межквартильный диапазон (1 квартиль – 3 квартиль)</w:t>
            </w:r>
          </w:p>
        </w:tc>
      </w:tr>
    </w:tbl>
    <w:p w:rsidR="00D678B1" w:rsidRDefault="00D678B1" w:rsidP="00AB12B3">
      <w:pPr>
        <w:spacing w:after="0" w:line="240" w:lineRule="auto"/>
        <w:ind w:firstLine="708"/>
        <w:jc w:val="both"/>
        <w:rPr>
          <w:rFonts w:ascii="Times New Roman" w:hAnsi="Times New Roman" w:cs="Times New Roman"/>
          <w:sz w:val="28"/>
          <w:szCs w:val="28"/>
          <w:lang w:val="kk-KZ"/>
        </w:rPr>
      </w:pPr>
    </w:p>
    <w:p w:rsidR="00B324BD" w:rsidRDefault="00B324BD" w:rsidP="00B324B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данной работе уровень инсулина, </w:t>
      </w:r>
      <w:r>
        <w:rPr>
          <w:rFonts w:ascii="Times New Roman" w:hAnsi="Times New Roman"/>
          <w:sz w:val="28"/>
          <w:szCs w:val="28"/>
        </w:rPr>
        <w:t>HOMA-IR</w:t>
      </w:r>
      <w:r>
        <w:rPr>
          <w:rFonts w:ascii="Times New Roman" w:hAnsi="Times New Roman" w:cs="Times New Roman"/>
          <w:sz w:val="28"/>
          <w:szCs w:val="28"/>
        </w:rPr>
        <w:t xml:space="preserve"> были различны в группах апоА1, </w:t>
      </w:r>
      <w:r w:rsidRPr="00C307ED">
        <w:rPr>
          <w:rFonts w:ascii="Times New Roman" w:hAnsi="Times New Roman"/>
          <w:sz w:val="28"/>
          <w:szCs w:val="28"/>
        </w:rPr>
        <w:t>повышение уровня апоА1 сопровождалось снижением уровн</w:t>
      </w:r>
      <w:r>
        <w:rPr>
          <w:rFonts w:ascii="Times New Roman" w:hAnsi="Times New Roman"/>
          <w:sz w:val="28"/>
          <w:szCs w:val="28"/>
        </w:rPr>
        <w:t>я</w:t>
      </w:r>
      <w:r w:rsidRPr="00C307ED">
        <w:rPr>
          <w:rFonts w:ascii="Times New Roman" w:hAnsi="Times New Roman"/>
          <w:sz w:val="28"/>
          <w:szCs w:val="28"/>
        </w:rPr>
        <w:t xml:space="preserve"> инсулина и HOMA-IR</w:t>
      </w:r>
      <w:r>
        <w:rPr>
          <w:rFonts w:ascii="Times New Roman" w:hAnsi="Times New Roman" w:cs="Times New Roman"/>
          <w:sz w:val="28"/>
          <w:szCs w:val="28"/>
        </w:rPr>
        <w:t xml:space="preserve">. В других исследованиях была обнаружена ассоциация между уровнями апоА1 с инсулином, глюкозой и </w:t>
      </w:r>
      <w:r>
        <w:rPr>
          <w:rFonts w:ascii="Times New Roman" w:hAnsi="Times New Roman"/>
          <w:sz w:val="28"/>
          <w:szCs w:val="28"/>
        </w:rPr>
        <w:t>HOMA-IR</w:t>
      </w:r>
      <w:r>
        <w:rPr>
          <w:rFonts w:ascii="Times New Roman" w:hAnsi="Times New Roman" w:cs="Times New Roman"/>
          <w:sz w:val="28"/>
          <w:szCs w:val="28"/>
        </w:rPr>
        <w:t xml:space="preserve">. Так, в исследовании </w:t>
      </w:r>
      <w:r>
        <w:rPr>
          <w:rFonts w:ascii="Times New Roman" w:hAnsi="Times New Roman" w:cs="Times New Roman"/>
          <w:sz w:val="28"/>
          <w:szCs w:val="24"/>
          <w:lang w:val="en-US"/>
        </w:rPr>
        <w:t>Tang</w:t>
      </w:r>
      <w:r>
        <w:rPr>
          <w:rFonts w:ascii="Times New Roman" w:hAnsi="Times New Roman" w:cs="Times New Roman"/>
          <w:sz w:val="28"/>
          <w:szCs w:val="24"/>
        </w:rPr>
        <w:t xml:space="preserve"> </w:t>
      </w:r>
      <w:r>
        <w:rPr>
          <w:rFonts w:ascii="Times New Roman" w:hAnsi="Times New Roman" w:cs="Times New Roman"/>
          <w:sz w:val="28"/>
          <w:szCs w:val="24"/>
          <w:lang w:val="en-US"/>
        </w:rPr>
        <w:t>S</w:t>
      </w:r>
      <w:r>
        <w:rPr>
          <w:rFonts w:ascii="Times New Roman" w:hAnsi="Times New Roman" w:cs="Times New Roman"/>
          <w:sz w:val="28"/>
          <w:szCs w:val="24"/>
        </w:rPr>
        <w:t xml:space="preserve">. </w:t>
      </w:r>
      <w:r>
        <w:rPr>
          <w:rFonts w:ascii="Times New Roman" w:hAnsi="Times New Roman" w:cs="Times New Roman"/>
          <w:sz w:val="28"/>
          <w:szCs w:val="28"/>
        </w:rPr>
        <w:t xml:space="preserve">и соавторов было изучено влияние уровня апоА1 на снижение уровня глюкозы и ИР в плазме путем измерения поглощения глюкозы скелетными мышцами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{"citationItems":[{"id":"ITEM-1","itemData":{"DOI":"10.1038/s41598-018-38014-3","ISBN":"4159801838","ISSN":"20452322","abstract":"Therapeutic interventions that increase plasma high density lipoprotein (HDL) and apolipoprotein (apo) A-I levels have been reported to reduce plasma glucose levels and attenuate insulin resistance. The present study asks if this is a direct effect of increased glucose uptake by skeletal muscle. Incubation of primary human skeletal muscle cells (HSKMCs) with apoA-I increased insulin-dependent and insulin–independent glucose uptake in a time- and concentration-dependent manner. The increased glucose uptake was accompanied by enhanced phosphorylation of the insulin receptor (IR), insulin receptor substrate-1 (IRS-1), the serine/threonine kinase Akt and Akt substrate of 160 kDa (AS160). Cell surface levels of the glucose transporter type 4, GLUT4, were also increased. The apoA-I-mediated increase in glucose uptake by HSKMCs was dependent on phosphatidylinositol-4,5-bisphosphate 3-kinase (PI3K)/Akt, the ATP binding cassette transporter A1 (ABCA1) and scavenger receptor class B type I (SR-B1). Taken together, these results establish that apoA-I increases glucose disposal in skeletal muscle by activating the IR/IRS-1/PI3K/Akt/AS160 signal transduction pathway. The findings suggest that therapeutic agents that increase apoA-I levels may improve glycemic control in people with type 2 diabetes.","author":[{"dropping-particle":"","family":"Tang","given":"Shudi","non-dropping-particle":"","parse-names":false,"suffix":""},{"dropping-particle":"","family":"Tabet","given":"Fatiha","non-dropping-particle":"","parse-names":false,"suffix":""},{"dropping-particle":"","family":"Cochran","given":"Blake J.","non-dropping-particle":"","parse-names":false,"suffix":""},{"dropping-particle":"","family":"Cuesta Torres","given":"Luisa F.","non-dropping-particle":"","parse-names":false,"suffix":""},{"dropping-particle":"","family":"Wu","given":"Ben J.","non-dropping-particle":"","parse-names":false,"suffix":""},{"dropping-particle":"","family":"Barter","given":"Philip J.","non-dropping-particle":"","parse-names":false,"suffix":""},{"dropping-particle":"","family":"Rye","given":"Kerry Anne","non-dropping-particle":"","parse-names":false,"suffix":""}],"container-title":"Scientific Reports","id":"ITEM-1","issue":"1","issued":{"date-parts":[["2019"]]},"page":"1-9","publisher":"Springer US","title":"Apolipoprotein A-I enhances insulin-dependent and insulin-independent glucose uptake by skeletal muscle","type":"article-journal","volume":"9"},"uris":["http://www.mendeley.com/documents/?uuid=161fcb67-7ab9-4189-98b3-b8f760a525e3"]}],"mendeley":{"formattedCitation":"[178]","plainTextFormattedCitation":"[178]","previouslyFormattedCitation":"[178]"},"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[178]</w:t>
      </w:r>
      <w:r>
        <w:rPr>
          <w:rFonts w:ascii="Times New Roman" w:hAnsi="Times New Roman" w:cs="Times New Roman"/>
          <w:sz w:val="28"/>
          <w:szCs w:val="28"/>
        </w:rPr>
        <w:fldChar w:fldCharType="end"/>
      </w:r>
      <w:r>
        <w:rPr>
          <w:rFonts w:ascii="Times New Roman" w:hAnsi="Times New Roman" w:cs="Times New Roman"/>
          <w:sz w:val="28"/>
          <w:szCs w:val="28"/>
        </w:rPr>
        <w:t>. Согласно полученными ими результатам терапевтические мероприятия, направленные на повышение уровня апоА</w:t>
      </w:r>
      <w:r>
        <w:rPr>
          <w:rFonts w:ascii="Times New Roman" w:hAnsi="Times New Roman" w:cs="Times New Roman"/>
          <w:sz w:val="28"/>
          <w:szCs w:val="28"/>
          <w:lang w:val="kk-KZ"/>
        </w:rPr>
        <w:t>1 также</w:t>
      </w:r>
      <w:r>
        <w:rPr>
          <w:rFonts w:ascii="Times New Roman" w:hAnsi="Times New Roman" w:cs="Times New Roman"/>
          <w:sz w:val="28"/>
          <w:szCs w:val="28"/>
        </w:rPr>
        <w:t xml:space="preserve"> улучшают гликемический контроль у пациентов с СД 2 типа. Влияние апоА1 они объясняют тем, что апоА1 активирует сложный путь передачи сигнала инсулина в скелетных мышцах </w:t>
      </w:r>
      <w:r>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{"citationItems":[{"id":"ITEM-1","itemData":{"DOI":"10.1038/s41598-018-38014-3","ISBN":"4159801838","ISSN":"20452322","abstract":"Therapeutic interventions that increase plasma high density lipoprotein (HDL) and apolipoprotein (apo) A-I levels have been reported to reduce plasma glucose levels and attenuate insulin resistance. The present study asks if this is a direct effect of increased glucose uptake by skeletal muscle. Incubation of primary human skeletal muscle cells (HSKMCs) with apoA-I increased insulin-dependent and insulin–independent glucose uptake in a time- and concentration-dependent manner. The increased glucose uptake was accompanied by enhanced phosphorylation of the insulin receptor (IR), insulin receptor substrate-1 (IRS-1), the serine/threonine kinase Akt and Akt substrate of 160 kDa (AS160). Cell surface levels of the glucose transporter type 4, GLUT4, were also increased. The apoA-I-mediated increase in glucose uptake by HSKMCs was dependent on phosphatidylinositol-4,5-bisphosphate 3-kinase (PI3K)/Akt, the ATP binding cassette transporter A1 (ABCA1) and scavenger receptor class B type I (SR-B1). Taken together, these results establish that apoA-I increases glucose disposal in skeletal muscle by activating the IR/IRS-1/PI3K/Akt/AS160 signal transduction pathway. The findings suggest that therapeutic agents that increase apoA-I levels may improve glycemic control in people with type 2 diabetes.","author":[{"dropping-particle":"","family":"Tang","given":"Shudi","non-dropping-particle":"","parse-names":false,"suffix":""},{"dropping-particle":"","family":"Tabet","given":"Fatiha","non-dropping-particle":"","parse-names":false,"suffix":""},{"dropping-particle":"","family":"Cochran","given":"Blake J.","non-dropping-particle":"","parse-names":false,"suffix":""},{"dropping-particle":"","family":"Cuesta Torres","given":"Luisa F.","non-dropping-particle":"","parse-names":false,"suffix":""},{"dropping-particle":"","family":"Wu","given":"Ben J.","non-dropping-particle":"","parse-names":false,"suffix":""},{"dropping-particle":"","family":"Barter","given":"Philip J.","non-dropping-particle":"","parse-names":false,"suffix":""},{"dropping-particle":"","family":"Rye","given":"Kerry Anne","non-dropping-particle":"","parse-names":false,"suffix":""}],"container-title":"Scientific Reports","id":"ITEM-1","issue":"1","issued":{"date-parts":[["2019"]]},"page":"1-9","publisher":"Springer US","title":"Apolipoprotein A-I enhances insulin-dependent and insulin-independent glucose uptake by skeletal muscle","type":"article-journal","volume":"9"},"uris":["http://www.mendeley.com/documents/?uuid=161fcb67-7ab9-4189-98b3-b8f760a525e3"]}],"mendeley":{"formattedCitation":"[178]","manualFormatting":"[178, р. 4]","plainTextFormattedCitation":"[178]","previouslyFormattedCitation":"[178]"},"properties":{"noteIndex":0},"schema":"https://github.com/citation-style-language/schema/raw/master/csl-citation.json"}</w:instrText>
      </w:r>
      <w:r>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[178</w:t>
      </w:r>
      <w:r w:rsidR="00F87DB7">
        <w:rPr>
          <w:rFonts w:ascii="Times New Roman" w:hAnsi="Times New Roman" w:cs="Times New Roman"/>
          <w:noProof/>
          <w:sz w:val="28"/>
          <w:szCs w:val="28"/>
        </w:rPr>
        <w:t>, р. 4</w:t>
      </w:r>
      <w:r w:rsidR="00F87DB7" w:rsidRPr="00F87DB7">
        <w:rPr>
          <w:rFonts w:ascii="Times New Roman" w:hAnsi="Times New Roman" w:cs="Times New Roman"/>
          <w:noProof/>
          <w:sz w:val="28"/>
          <w:szCs w:val="28"/>
        </w:rPr>
        <w:t>]</w:t>
      </w:r>
      <w:r>
        <w:rPr>
          <w:rFonts w:ascii="Times New Roman" w:hAnsi="Times New Roman" w:cs="Times New Roman"/>
          <w:sz w:val="28"/>
          <w:szCs w:val="28"/>
        </w:rPr>
        <w:fldChar w:fldCharType="end"/>
      </w:r>
      <w:r>
        <w:rPr>
          <w:rFonts w:ascii="Times New Roman" w:hAnsi="Times New Roman" w:cs="Times New Roman"/>
          <w:sz w:val="28"/>
          <w:szCs w:val="28"/>
        </w:rPr>
        <w:t>.</w:t>
      </w:r>
    </w:p>
    <w:p w:rsidR="00B324BD" w:rsidRDefault="00B324BD" w:rsidP="00B324B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своем исследовании Domingo-Espín J. и соавторы (2018) утверждают, что длительная гипергликемия может привести к гликированию апоА1, что нарушает функции апоА1 в метаболизме липидов и глюкозы, что может способствовать развитию СД 2 типа и ССЗ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{"citationItems":[{"id":"ITEM-1","itemData":{"DOI":"10.1016/j.bbadis.2018.05.014","ISSN":"1879260X","abstract":"Prolonged hyperglycemia in poorly controlled diabetes leads to an increase in reactive glucose metabolites that covalently modify proteins by non-enzymatic glycation reactions. Apolipoprotein A-I (apoA-I) of high-density lipoprotein (HDL) is one of the proteins that becomes glycated in hyperglycemia. The impact of glycation on apoA-I protein structure and function in lipid and glucose metabolism were investigated. ApoA-I was chemically glycated by two different glucose metabolites (methylglyoxal and glycolaldehyde). Synchrotron radiation and conventional circular dichroism spectroscopy were used to study apoA-I structure and stability. The ability to bind lipids was measured by lipid-clearance assay and native gel analysis, and cholesterol efflux was measured by using lipid-laden J774 macrophages. Diet induced obese mice with established insulin resistance, L6 rat and C2C12 mouse myocytes, as well as INS-1E rat insulinoma cells, were used to determine in vivo and in vitro glucose uptake and insulin secretion. Site-specific, covalent modifications of apoA-I (lysines or arginines) led to altered protein structure, reduced lipid binding capability and a reduced ability to catalyze cholesterol efflux from macrophages, partly in a modification-specific manner. The stimulatory effects of apoA-I on the in vivo glucose clearance were negatively affected when apoA-I was modified with methylglyoxal, but not with glycolaldehyde. The in vitro data showed that both glucose uptake in muscle cells and insulin secretion from beta cells were affected. Taken together, glycation modifications impair the apoA-I protein functionality in lipid and glucose metabolism, which is expected to have implications for diabetes patients with poorly controlled blood glucose.","author":[{"dropping-particle":"","family":"Domingo-Espín","given":"Joan","non-dropping-particle":"","parse-names":false,"suffix":""},{"dropping-particle":"","family":"Nilsson","given":"Oktawia","non-dropping-particle":"","parse-names":false,"suffix":""},{"dropping-particle":"","family":"Bernfur","given":"Katja","non-dropping-particle":"","parse-names":false,"suffix":""},{"dropping-particle":"","family":"Giudice","given":"Rita","non-dropping-particle":"Del","parse-names":false,"suffix":""},{"dropping-particle":"","family":"Lagerstedt","given":"Jens O.","non-dropping-particle":"","parse-names":false,"suffix":""}],"container-title":"Biochimica et Biophysica Acta - Molecular Basis of Disease","id":"ITEM-1","issue":"9","issued":{"date-parts":[["2018"]]},"page":"2822-2834","title":"Site-specific glycations of apolipoprotein A-I lead to differentiated functional effects on lipid-binding and on glucose metabolism","type":"article-journal","volume":"1864"},"uris":["http://www.mendeley.com/documents/?uuid=6e603dec-0914-43fe-b69c-98947e57dca5"]}],"mendeley":{"formattedCitation":"[179]","plainTextFormattedCitation":"[179]","previouslyFormattedCitation":"[179]"},"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[179]</w:t>
      </w:r>
      <w:r>
        <w:rPr>
          <w:rFonts w:ascii="Times New Roman" w:hAnsi="Times New Roman" w:cs="Times New Roman"/>
          <w:sz w:val="28"/>
          <w:szCs w:val="28"/>
        </w:rPr>
        <w:fldChar w:fldCharType="end"/>
      </w:r>
      <w:r>
        <w:rPr>
          <w:rFonts w:ascii="Times New Roman" w:hAnsi="Times New Roman" w:cs="Times New Roman"/>
          <w:sz w:val="28"/>
          <w:szCs w:val="28"/>
        </w:rPr>
        <w:t xml:space="preserve">. В аналогических исследованиях других ученых связь между уровнем апоА1 и ССР обнаружена не была. Некоторые авторы полагают, что атерозащитное действие высоких концентрацией апоА1 и ЛПВП могут быть не связаны с концентрациями апоА1 и ЛПВП, но могут быть вызваны сопутствующим снижением концентрации ТГ и атерогенных липопротеинов </w:t>
      </w:r>
      <w:r>
        <w:rPr>
          <w:rFonts w:ascii="Times New Roman" w:hAnsi="Times New Roman" w:cs="Times New Roman"/>
          <w:sz w:val="28"/>
          <w:szCs w:val="28"/>
        </w:rPr>
        <w:fldChar w:fldCharType="begin" w:fldLock="1"/>
      </w:r>
      <w:r w:rsidR="00F87DB7">
        <w:rPr>
          <w:rFonts w:ascii="Times New Roman" w:hAnsi="Times New Roman" w:cs="Times New Roman"/>
          <w:sz w:val="28"/>
          <w:szCs w:val="28"/>
        </w:rPr>
        <w:instrText>ADDIN CSL_CITATION {"citationItems":[{"id":"ITEM-1","itemData":{"DOI":"10.1177/0004563219827620","ISSN":"17581001","abstract":"An elevated low-density lipoprotein cholesterol concentration is a classical risk factor for cardiovascular disease. This has led to pharmacotherapy in patients with atherosclerotic heart disease or high heart disease risk with statins to reduce serum low-density lipoprotein cholesterol. Even in patients in whom the target levels of low-density lipoprotein cholesterol are reached, there remains a significant residual cardiovascular risk; this is due, in part, to a focus on low-density lipoprotein cholesterol alone and neglect of other important aspects of lipoprotein metabolism. A more refined lipoprotein analysis will provide additional information on the accumulation of very low-density lipoproteins, intermediate density lipoproteins, chylomicrons, chylomicron-remnants and Lp(a) concentrations. Instead of measuring the cholesterol and triglyceride content of the lipoproteins, measurement of their apolipoproteins (apos) is more informative. Apos are either specific for a particular lipoprotein or for a group of lipoproteins. In particular measurement of apos in atherogenic particles is more biologically meaningful than the measurement of the cholesterol concentration contained in these particles. Applying apo profiling will not only improve characterization of the lipoprotein abnormality, but will also improve definition of therapeutic targets. Apo profiling aligns with the concept of precision medicine by which an individual patient is not treated as ‘average’ patient by the average (dose of) therapy. This concept of precision medicine fits the unmet clinical need for stratified cardiovascular medicine. The requirements for clinical application of proteomics, including apo profiling, can now be met using robust mass spectrometry technology which offers desirable analytical performance and standardization.","author":[{"dropping-particle":"","family":"Renee Ruhaak","given":"L.","non-dropping-particle":"","parse-names":false,"suffix":""},{"dropping-particle":"","family":"Laarse","given":"Arnoud","non-dropping-particle":"van der","parse-names":false,"suffix":""},{"dropping-particle":"","family":"Cobbaert","given":"Christa M.","non-dropping-particle":"","parse-names":false,"suffix":""}],"container-title":"Annals of Clinical Biochemistry","id":"ITEM-1","issue":"3","issued":{"date-parts":[["2019"]]},"page":"338-356","title":"Apolipoprotein profiling as a personalized approach to the diagnosis and treatment of dyslipidaemia","type":"article-journal","volume":"56"},"uris":["http://www.mendeley.com/documents/?uuid=9d29395d-90a9-4250-ba7f-a6c24fd91f65"]}],"mendeley":{"formattedCitation":"[30]","manualFormatting":"[30, р. 343]","plainTextFormattedCitation":"[30]","previouslyFormattedCitation":"[30]"},"properties":{"noteIndex":0},"schema":"https://github.com/citation-style-language/schema/raw/master/csl-citation.json"}</w:instrText>
      </w:r>
      <w:r>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[30</w:t>
      </w:r>
      <w:r w:rsidR="00F87DB7">
        <w:rPr>
          <w:rFonts w:ascii="Times New Roman" w:hAnsi="Times New Roman" w:cs="Times New Roman"/>
          <w:noProof/>
          <w:sz w:val="28"/>
          <w:szCs w:val="28"/>
        </w:rPr>
        <w:t>, р. 343</w:t>
      </w:r>
      <w:r w:rsidR="00F87DB7" w:rsidRPr="00F87DB7">
        <w:rPr>
          <w:rFonts w:ascii="Times New Roman" w:hAnsi="Times New Roman" w:cs="Times New Roman"/>
          <w:noProof/>
          <w:sz w:val="28"/>
          <w:szCs w:val="28"/>
        </w:rPr>
        <w:t>]</w:t>
      </w:r>
      <w:r>
        <w:rPr>
          <w:rFonts w:ascii="Times New Roman" w:hAnsi="Times New Roman" w:cs="Times New Roman"/>
          <w:sz w:val="28"/>
          <w:szCs w:val="28"/>
        </w:rPr>
        <w:fldChar w:fldCharType="end"/>
      </w:r>
      <w:r>
        <w:rPr>
          <w:rFonts w:ascii="Times New Roman" w:hAnsi="Times New Roman" w:cs="Times New Roman"/>
          <w:sz w:val="28"/>
          <w:szCs w:val="28"/>
        </w:rPr>
        <w:t xml:space="preserve">. При изучении взаимосвязи между апоА1, апоВ и показателями сосудистой функции (дилатация сосуда, опосредственная потоком; скорость кровотока и толщина интимы сонной артерии), а также их связи с неблагоприятными сердечно-сосудистыми событиями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{"citationItems":[{"id":"ITEM-1","itemData":{"DOI":"10.1016/j.cjca.2017.08.004","ISSN":"1916-7075","PMID":"28941609","abstract":"BACKGROUND Apolipoprotein B (apoB) and apolipoprotein A-1 (apoA-1) are markers of lipoprotein metabolism. Although their relationship to cardiovascular disease has been well documented, little is known regarding their correlation to measures of vascular structure and function. This study was conducted to investigate the relationship between apoA-1, apoB, and measures of vascular function, as well their relationship to adverse cardiovascular events. Moreover, we evaluated whether apoB or the apoB/apoA-1 ratio was more closely related to vascular markers than was low-density lipoprotein cholesterol (LDL-C) or non-high-density lipoprotein cholesterol (non-HDL-C). METHODS One thousand five hundred twenty-two healthy middle-aged men of the Firefighters and Their Endothelium (FATE) cohort were assessed for risk factors and flow-mediated dilatation (FMD), hyperemic velocity (VTI), and carotid intima-media thickness (CIMT). Participants were then followed for 7.2 ± 1.7 years. ApoA-1 and apoB levels were measured at baseline. RESULTS ApoA-1 was not correlated with VTI, FMD, or CIMT, whereas apoB was significantly related to VTI and CIMT. Multiple regression analyses confirmed apoB as being related to both VTI (β = -0.083; P = 0.001) and CIMT (β = 0.055; P = 0.022) in models adjusted for age; blood pressure; high-density lipoprotein C (HDL-C), triglyceride and insulin levels; waist circumference; and C-reactive protein levels. In substituted models, LDL-C (β = -0.092; P &lt; 0.001) and non-HDL-C (β = -0.089; P = 0.001) levels appeared to have the same degree of association as apoB for VTI but were not associated with CIMT. ApoB was found to be associated with cardiovascular events (hazard ratio, 1.349; 95% confidence interval, 1.073-1.695; P = 0.010). CONCLUSIONS ApoB had an independent but weak relationship with indices of microvascular health. Nevertheless, it was associated with occurrence rates of adverse cardiovascular events.","author":[{"dropping-particle":"","family":"Zhu","given":"Yiming M.","non-dropping-particle":"","parse-names":false,"suffix":""},{"dropping-particle":"","family":"Verma","given":"Subodh","non-dropping-particle":"","parse-names":false,"suffix":""},{"dropping-particle":"","family":"Fung","given":"Marinda","non-dropping-particle":"","parse-names":false,"suffix":""},{"dropping-particle":"","family":"McQueen","given":"Matthew J.","non-dropping-particle":"","parse-names":false,"suffix":""},{"dropping-particle":"","family":"Anderson","given":"Todd J.","non-dropping-particle":"","parse-names":false,"suffix":""},{"dropping-particle":"","family":"Lonn","given":"Eva M.","non-dropping-particle":"","parse-names":false,"suffix":""}],"container-title":"The Canadian journal of cardiology","id":"ITEM-1","issue":"10","issued":{"date-parts":[["2017","10"]]},"page":"1305-1311","title":"Association of Apolipoproteins B and A-1 With Markers of Vascular Health or Cardiovascular Events.","type":"article-journal","volume":"33"},"uris":["http://www.mendeley.com/documents/?uuid=f3c2e7f6-55de-47fb-81bf-fd537a27aaad"]}],"mendeley":{"formattedCitation":"[180]","plainTextFormattedCitation":"[180]","previouslyFormattedCitation":"[180]"},"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[180]</w:t>
      </w:r>
      <w:r>
        <w:rPr>
          <w:rFonts w:ascii="Times New Roman" w:hAnsi="Times New Roman" w:cs="Times New Roman"/>
          <w:sz w:val="28"/>
          <w:szCs w:val="28"/>
        </w:rPr>
        <w:fldChar w:fldCharType="end"/>
      </w:r>
      <w:r>
        <w:rPr>
          <w:rFonts w:ascii="Times New Roman" w:hAnsi="Times New Roman" w:cs="Times New Roman"/>
          <w:sz w:val="28"/>
          <w:szCs w:val="28"/>
        </w:rPr>
        <w:t xml:space="preserve">, авторами было выявлено, что апоА1 не связан с показателями сосудистой функции. Тогда как, апоВ был связан со гиперемической скоростью и с толщиной интимы сонной артерии </w:t>
      </w:r>
      <w:r>
        <w:rPr>
          <w:rFonts w:ascii="Times New Roman" w:hAnsi="Times New Roman" w:cs="Times New Roman"/>
          <w:sz w:val="28"/>
          <w:szCs w:val="28"/>
        </w:rPr>
        <w:fldChar w:fldCharType="begin" w:fldLock="1"/>
      </w:r>
      <w:r w:rsidR="00375D69">
        <w:rPr>
          <w:rFonts w:ascii="Times New Roman" w:hAnsi="Times New Roman" w:cs="Times New Roman"/>
          <w:sz w:val="28"/>
          <w:szCs w:val="28"/>
        </w:rPr>
        <w:instrText>ADDIN CSL_CITATION {"citationItems":[{"id":"ITEM-1","itemData":{"DOI":"10.1016/j.cjca.2017.08.004","ISSN":"1916-7075","PMID":"28941609","abstract":"BACKGROUND Apolipoprotein B (apoB) and apolipoprotein A-1 (apoA-1) are markers of lipoprotein metabolism. Although their relationship to cardiovascular disease has been well documented, little is known regarding their correlation to measures of vascular structure and function. This study was conducted to investigate the relationship between apoA-1, apoB, and measures of vascular function, as well their relationship to adverse cardiovascular events. Moreover, we evaluated whether apoB or the apoB/apoA-1 ratio was more closely related to vascular markers than was low-density lipoprotein cholesterol (LDL-C) or non-high-density lipoprotein cholesterol (non-HDL-C). METHODS One thousand five hundred twenty-two healthy middle-aged men of the Firefighters and Their Endothelium (FATE) cohort were assessed for risk factors and flow-mediated dilatation (FMD), hyperemic velocity (VTI), and carotid intima-media thickness (CIMT). Participants were then followed for 7.2 ± 1.7 years. ApoA-1 and apoB levels were measured at baseline. RESULTS ApoA-1 was not correlated with VTI, FMD, or CIMT, whereas apoB was significantly related to VTI and CIMT. Multiple regression analyses confirmed apoB as being related to both VTI (β = -0.083; P = 0.001) and CIMT (β = 0.055; P = 0.022) in models adjusted for age; blood pressure; high-density lipoprotein C (HDL-C), triglyceride and insulin levels; waist circumference; and C-reactive protein levels. In substituted models, LDL-C (β = -0.092; P &lt; 0.001) and non-HDL-C (β = -0.089; P = 0.001) levels appeared to have the same degree of association as apoB for VTI but were not associated with CIMT. ApoB was found to be associated with cardiovascular events (hazard ratio, 1.349; 95% confidence interval, 1.073-1.695; P = 0.010). CONCLUSIONS ApoB had an independent but weak relationship with indices of microvascular health. Nevertheless, it was associated with occurrence rates of adverse cardiovascular events.","author":[{"dropping-particle":"","family":"Zhu","given":"Yiming M.","non-dropping-particle":"","parse-names":false,"suffix":""},{"dropping-particle":"","family":"Verma","given":"Subodh","non-dropping-particle":"","parse-names":false,"suffix":""},{"dropping-particle":"","family":"Fung","given":"Marinda","non-dropping-particle":"","parse-names":false,"suffix":""},{"dropping-particle":"","family":"McQueen","given":"Matthew J.","non-dropping-particle":"","parse-names":false,"suffix":""},{"dropping-particle":"","family":"Anderson","given":"Todd J.","non-dropping-particle":"","parse-names":false,"suffix":""},{"dropping-particle":"","family":"Lonn","given":"Eva M.","non-dropping-particle":"","parse-names":false,"suffix":""}],"container-title":"The Canadian journal of cardiology","id":"ITEM-1","issue":"10","issued":{"date-parts":[["2017","10"]]},"page":"1305-1311","title":"Association of Apolipoproteins B and A-1 With Markers of Vascular Health or Cardiovascular Events.","type":"article-journal","volume":"33"},"uris":["http://www.mendeley.com/documents/?uuid=f3c2e7f6-55de-47fb-81bf-fd537a27aaad"]}],"mendeley":{"formattedCitation":"[180]","manualFormatting":"[180, р. 1308]","plainTextFormattedCitation":"[180]","previouslyFormattedCitation":"[180]"},"properties":{"noteIndex":0},"schema":"https://github.com/citation-style-language/schema/raw/master/csl-citation.json"}</w:instrText>
      </w:r>
      <w:r>
        <w:rPr>
          <w:rFonts w:ascii="Times New Roman" w:hAnsi="Times New Roman" w:cs="Times New Roman"/>
          <w:sz w:val="28"/>
          <w:szCs w:val="28"/>
        </w:rPr>
        <w:fldChar w:fldCharType="separate"/>
      </w:r>
      <w:r w:rsidR="00F87DB7" w:rsidRPr="00F87DB7">
        <w:rPr>
          <w:rFonts w:ascii="Times New Roman" w:hAnsi="Times New Roman" w:cs="Times New Roman"/>
          <w:noProof/>
          <w:sz w:val="28"/>
          <w:szCs w:val="28"/>
        </w:rPr>
        <w:t>[180</w:t>
      </w:r>
      <w:r w:rsidR="00F87DB7">
        <w:rPr>
          <w:rFonts w:ascii="Times New Roman" w:hAnsi="Times New Roman" w:cs="Times New Roman"/>
          <w:noProof/>
          <w:sz w:val="28"/>
          <w:szCs w:val="28"/>
        </w:rPr>
        <w:t xml:space="preserve">, р. </w:t>
      </w:r>
      <w:r w:rsidR="00F87DB7">
        <w:rPr>
          <w:rFonts w:ascii="Times New Roman" w:hAnsi="Times New Roman" w:cs="Times New Roman"/>
          <w:noProof/>
          <w:sz w:val="28"/>
          <w:szCs w:val="28"/>
        </w:rPr>
        <w:lastRenderedPageBreak/>
        <w:t>1308</w:t>
      </w:r>
      <w:r w:rsidR="00F87DB7" w:rsidRPr="00F87DB7">
        <w:rPr>
          <w:rFonts w:ascii="Times New Roman" w:hAnsi="Times New Roman" w:cs="Times New Roman"/>
          <w:noProof/>
          <w:sz w:val="28"/>
          <w:szCs w:val="28"/>
        </w:rPr>
        <w:t>]</w:t>
      </w:r>
      <w:r>
        <w:rPr>
          <w:rFonts w:ascii="Times New Roman" w:hAnsi="Times New Roman" w:cs="Times New Roman"/>
          <w:sz w:val="28"/>
          <w:szCs w:val="28"/>
        </w:rPr>
        <w:fldChar w:fldCharType="end"/>
      </w:r>
      <w:r>
        <w:rPr>
          <w:rFonts w:ascii="Times New Roman" w:hAnsi="Times New Roman" w:cs="Times New Roman"/>
          <w:sz w:val="28"/>
          <w:szCs w:val="28"/>
        </w:rPr>
        <w:t xml:space="preserve">. При изучении ассоциации полиморфизма rs12225230 гена </w:t>
      </w:r>
      <w:r>
        <w:rPr>
          <w:rFonts w:ascii="Times New Roman" w:hAnsi="Times New Roman" w:cs="Times New Roman"/>
          <w:i/>
          <w:sz w:val="28"/>
          <w:szCs w:val="28"/>
        </w:rPr>
        <w:t>APOA1</w:t>
      </w:r>
      <w:r>
        <w:rPr>
          <w:rFonts w:ascii="Times New Roman" w:hAnsi="Times New Roman" w:cs="Times New Roman"/>
          <w:sz w:val="28"/>
          <w:szCs w:val="28"/>
        </w:rPr>
        <w:t xml:space="preserve"> с апоА1 Karjalainen M. и соавторы не нашли подтверждении кардиозащитной роли апоА1 в профилактике ИБС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{"citationItems":[{"id":"ITEM-1","itemData":{"DOI":"10.1016/j.atherosclerosis.2020.02.002","ISSN":"00219150","abstract":"Background and aims: Apolipoprotein A-I (apoA-I) infusions represent a potential novel therapeutic approach for the prevention of coronary artery disease (CAD). Although circulating apoA-I concentrations inversely associate with risk of CAD, the evidence base of this representing a causal relationship is lacking. The aim was to assess the causal role of apoA-I using human genetics. Methods: We identified a variant (rs12225230) in APOA1 locus that associated with circulating apoA-I concentrations (p &lt; 5 × 10−8) in 20,370 Finnish participants, and meta-analyzed our data with a previous GWAS of apoA-I. We obtained genetic estimates of CAD from UK Biobank and CARDIoGRAMplusC4D (totaling 122,733 CAD cases) and conducted a two-sample Mendelian randomization analysis. We compared our genetic findings to observational associations of apoA-I with risk of CAD in 918 incident CAD cases among 11,535 individuals from population-based prospective cohorts. Results: ApoA-I was associated with a lower risk of CAD in observational analyses (HR 0.81; 95%CI: 0.75, 0.88; per 1-SD higher apoA-I), with the association showing a dose-response relationship. Rs12225230 associated with apoA-I concentrations (per-C allele beta 0.076 SD; SE: 0.013; p = 1.5 × 10−9) but not with confounders. In Mendelian randomization analyses, apoA-I was not related to risk of CAD (OR 1.13; 95%CI: 0.98,1.30 per 1-SD higher apoA-I), which was different from the observational association. Similar findings were observed using an independent ABCA1 variant in sensitivity analysis. Conclusions: Genetic evidence fails to support a cardioprotective role for apoA-I. This is in line with the cumulative evidence showing that HDL-related phenotypes are unlikely to have a protective role in CAD.","author":[{"dropping-particle":"","family":"Karjalainen","given":"Minna K.","non-dropping-particle":"","parse-names":false,"suffix":""},{"dropping-particle":"V.","family":"Holmes","given":"Michael","non-dropping-particle":"","parse-names":false,"suffix":""},{"dropping-particle":"","family":"Wang","given":"Qin","non-dropping-particle":"","parse-names":false,"suffix":""},{"dropping-particle":"","family":"Anufrieva","given":"Olga","non-dropping-particle":"","parse-names":false,"suffix":""},{"dropping-particle":"","family":"Kähönen","given":"Mika","non-dropping-particle":"","parse-names":false,"suffix":""},{"dropping-particle":"","family":"Lehtimäki","given":"Terho","non-dropping-particle":"","parse-names":false,"suffix":""},{"dropping-particle":"","family":"Havulinna","given":"Aki S.","non-dropping-particle":"","parse-names":false,"suffix":""},{"dropping-particle":"","family":"Kristiansson","given":"Kati","non-dropping-particle":"","parse-names":false,"suffix":""},{"dropping-particle":"","family":"Salomaa","given":"Veikko","non-dropping-particle":"","parse-names":false,"suffix":""},{"dropping-particle":"","family":"Perola","given":"Markus","non-dropping-particle":"","parse-names":false,"suffix":""},{"dropping-particle":"","family":"Viikari","given":"Jorma S.","non-dropping-particle":"","parse-names":false,"suffix":""},{"dropping-particle":"","family":"Raitakari","given":"Olli T.","non-dropping-particle":"","parse-names":false,"suffix":""},{"dropping-particle":"","family":"Järvelin","given":"Marjo-Riitta","non-dropping-particle":"","parse-names":false,"suffix":""},{"dropping-particle":"","family":"Ala-Korpela","given":"Mika","non-dropping-particle":"","parse-names":false,"suffix":""},{"dropping-particle":"","family":"Kettunen","given":"Johannes","non-dropping-particle":"","parse-names":false,"suffix":""}],"container-title":"Atherosclerosis","id":"ITEM-1","issue":"February","issued":{"date-parts":[["2020","2"]]},"page":"1-8","publisher":"Elsevier","title":"Apolipoprotein A-I concentrations and risk of coronary artery disease: A Mendelian randomization study","type":"article-journal"},"uris":["http://www.mendeley.com/documents/?uuid=835bb066-d709-4861-93d3-eafea27c374e"]}],"mendeley":{"formattedCitation":"[181]","plainTextFormattedCitation":"[181]","previouslyFormattedCitation":"[181]"},"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[181]</w:t>
      </w:r>
      <w:r>
        <w:rPr>
          <w:rFonts w:ascii="Times New Roman" w:hAnsi="Times New Roman" w:cs="Times New Roman"/>
          <w:sz w:val="28"/>
          <w:szCs w:val="28"/>
        </w:rPr>
        <w:fldChar w:fldCharType="end"/>
      </w:r>
      <w:r>
        <w:rPr>
          <w:rFonts w:ascii="Times New Roman" w:hAnsi="Times New Roman" w:cs="Times New Roman"/>
          <w:sz w:val="28"/>
          <w:szCs w:val="28"/>
        </w:rPr>
        <w:t>.</w:t>
      </w:r>
    </w:p>
    <w:p w:rsidR="00B324BD" w:rsidRPr="00B324BD" w:rsidRDefault="00B324BD" w:rsidP="00AB12B3">
      <w:pPr>
        <w:spacing w:after="0" w:line="240" w:lineRule="auto"/>
        <w:ind w:firstLine="708"/>
        <w:jc w:val="both"/>
        <w:rPr>
          <w:rFonts w:ascii="Times New Roman" w:hAnsi="Times New Roman" w:cs="Times New Roman"/>
          <w:sz w:val="28"/>
          <w:szCs w:val="28"/>
          <w:lang w:val="kk-KZ"/>
        </w:rPr>
      </w:pPr>
    </w:p>
    <w:p w:rsidR="00AB12B3" w:rsidRDefault="00AB12B3" w:rsidP="00D1057A">
      <w:pPr>
        <w:spacing w:after="0" w:line="240" w:lineRule="auto"/>
        <w:jc w:val="both"/>
        <w:rPr>
          <w:rFonts w:ascii="Times New Roman" w:hAnsi="Times New Roman"/>
          <w:sz w:val="28"/>
          <w:szCs w:val="28"/>
          <w:lang w:val="kk-KZ"/>
        </w:rPr>
      </w:pPr>
      <w:r>
        <w:rPr>
          <w:rFonts w:ascii="Times New Roman" w:hAnsi="Times New Roman" w:cs="Times New Roman"/>
          <w:sz w:val="28"/>
          <w:szCs w:val="28"/>
        </w:rPr>
        <w:t xml:space="preserve">Таблица 31 </w:t>
      </w:r>
      <w:r w:rsidR="004621D6">
        <w:rPr>
          <w:rFonts w:ascii="Times New Roman" w:hAnsi="Times New Roman" w:cs="Times New Roman"/>
          <w:sz w:val="28"/>
          <w:szCs w:val="28"/>
          <w:lang w:val="kk-KZ"/>
        </w:rPr>
        <w:t xml:space="preserve">- </w:t>
      </w:r>
      <w:r>
        <w:rPr>
          <w:rFonts w:ascii="Times New Roman" w:hAnsi="Times New Roman" w:cs="Times New Roman"/>
          <w:sz w:val="28"/>
          <w:szCs w:val="28"/>
        </w:rPr>
        <w:t>Распределение биохимических показателей по группам апо</w:t>
      </w:r>
      <w:r w:rsidR="006E5064">
        <w:rPr>
          <w:rFonts w:ascii="Times New Roman" w:hAnsi="Times New Roman" w:cs="Times New Roman"/>
          <w:sz w:val="28"/>
          <w:szCs w:val="28"/>
          <w:lang w:val="kk-KZ"/>
        </w:rPr>
        <w:t>липопротеина</w:t>
      </w:r>
      <w:r w:rsidR="009504C7">
        <w:rPr>
          <w:rFonts w:ascii="Times New Roman" w:hAnsi="Times New Roman" w:cs="Times New Roman"/>
          <w:sz w:val="28"/>
          <w:szCs w:val="28"/>
          <w:lang w:val="kk-KZ"/>
        </w:rPr>
        <w:t xml:space="preserve"> </w:t>
      </w:r>
      <w:r>
        <w:rPr>
          <w:rFonts w:ascii="Times New Roman" w:hAnsi="Times New Roman" w:cs="Times New Roman"/>
          <w:sz w:val="28"/>
          <w:szCs w:val="28"/>
        </w:rPr>
        <w:t>А1</w:t>
      </w:r>
      <w:r>
        <w:rPr>
          <w:rFonts w:ascii="Times New Roman" w:hAnsi="Times New Roman"/>
          <w:sz w:val="28"/>
          <w:szCs w:val="28"/>
        </w:rPr>
        <w:t xml:space="preserve"> </w:t>
      </w:r>
      <w:r w:rsidR="00DA472A">
        <w:rPr>
          <w:rFonts w:ascii="Times New Roman" w:hAnsi="Times New Roman"/>
          <w:sz w:val="28"/>
          <w:szCs w:val="28"/>
        </w:rPr>
        <w:t>(</w:t>
      </w:r>
      <w:r>
        <w:rPr>
          <w:rFonts w:ascii="Times New Roman" w:hAnsi="Times New Roman"/>
          <w:sz w:val="28"/>
          <w:szCs w:val="28"/>
        </w:rPr>
        <w:t>n=507</w:t>
      </w:r>
      <w:r w:rsidR="00DA472A">
        <w:rPr>
          <w:rFonts w:ascii="Times New Roman" w:hAnsi="Times New Roman"/>
          <w:sz w:val="28"/>
          <w:szCs w:val="28"/>
        </w:rPr>
        <w:t>)</w:t>
      </w:r>
    </w:p>
    <w:p w:rsidR="00B324BD" w:rsidRPr="00B324BD" w:rsidRDefault="00B324BD" w:rsidP="00D1057A">
      <w:pPr>
        <w:spacing w:after="0" w:line="240" w:lineRule="auto"/>
        <w:jc w:val="both"/>
        <w:rPr>
          <w:rFonts w:ascii="Times New Roman" w:hAnsi="Times New Roman" w:cs="Times New Roman"/>
          <w:sz w:val="28"/>
          <w:szCs w:val="28"/>
          <w:lang w:val="kk-KZ"/>
        </w:rPr>
      </w:pPr>
    </w:p>
    <w:tbl>
      <w:tblPr>
        <w:tblStyle w:val="af7"/>
        <w:tblW w:w="9495" w:type="dxa"/>
        <w:tblInd w:w="108" w:type="dxa"/>
        <w:tblLayout w:type="fixed"/>
        <w:tblLook w:val="04A0" w:firstRow="1" w:lastRow="0" w:firstColumn="1" w:lastColumn="0" w:noHBand="0" w:noVBand="1"/>
      </w:tblPr>
      <w:tblGrid>
        <w:gridCol w:w="1983"/>
        <w:gridCol w:w="1559"/>
        <w:gridCol w:w="1276"/>
        <w:gridCol w:w="1276"/>
        <w:gridCol w:w="2408"/>
        <w:gridCol w:w="993"/>
      </w:tblGrid>
      <w:tr w:rsidR="00AB12B3" w:rsidTr="00573846">
        <w:trPr>
          <w:trHeight w:val="385"/>
        </w:trPr>
        <w:tc>
          <w:tcPr>
            <w:tcW w:w="354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2552"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апоА1, г/л</w:t>
            </w:r>
          </w:p>
        </w:tc>
        <w:tc>
          <w:tcPr>
            <w:tcW w:w="2408"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ОШ (95% ДИ)</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573846">
        <w:trPr>
          <w:trHeight w:val="387"/>
        </w:trPr>
        <w:tc>
          <w:tcPr>
            <w:tcW w:w="3542" w:type="dxa"/>
            <w:gridSpan w:val="2"/>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27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color w:val="000000"/>
                <w:sz w:val="28"/>
                <w:szCs w:val="28"/>
              </w:rPr>
            </w:pPr>
            <w:r>
              <w:rPr>
                <w:rFonts w:ascii="Times New Roman" w:hAnsi="Times New Roman"/>
                <w:color w:val="000000"/>
                <w:sz w:val="28"/>
                <w:szCs w:val="28"/>
              </w:rPr>
              <w:t>Муж ≥1</w:t>
            </w:r>
            <w:r w:rsidRPr="000929A4">
              <w:rPr>
                <w:rFonts w:ascii="Century" w:hAnsi="Century"/>
                <w:color w:val="000000"/>
                <w:sz w:val="28"/>
                <w:szCs w:val="28"/>
              </w:rPr>
              <w:t>,</w:t>
            </w:r>
            <w:r>
              <w:rPr>
                <w:rFonts w:ascii="Times New Roman" w:hAnsi="Times New Roman"/>
                <w:color w:val="000000"/>
                <w:sz w:val="28"/>
                <w:szCs w:val="28"/>
              </w:rPr>
              <w:t>04</w:t>
            </w:r>
          </w:p>
          <w:p w:rsidR="00AB12B3" w:rsidRDefault="00AB12B3">
            <w:pPr>
              <w:jc w:val="center"/>
              <w:rPr>
                <w:rFonts w:ascii="Times New Roman" w:hAnsi="Times New Roman"/>
                <w:sz w:val="28"/>
                <w:szCs w:val="28"/>
              </w:rPr>
            </w:pPr>
            <w:r>
              <w:rPr>
                <w:rFonts w:ascii="Times New Roman" w:hAnsi="Times New Roman"/>
                <w:color w:val="000000"/>
                <w:sz w:val="28"/>
                <w:szCs w:val="28"/>
              </w:rPr>
              <w:t xml:space="preserve">Жен </w:t>
            </w:r>
            <w:r w:rsidRPr="000929A4">
              <w:rPr>
                <w:rFonts w:ascii="Century" w:hAnsi="Century"/>
                <w:color w:val="000000"/>
                <w:sz w:val="28"/>
                <w:szCs w:val="28"/>
              </w:rPr>
              <w:t>≥</w:t>
            </w:r>
            <w:r>
              <w:rPr>
                <w:rFonts w:ascii="Times New Roman" w:hAnsi="Times New Roman"/>
                <w:color w:val="000000"/>
                <w:sz w:val="28"/>
                <w:szCs w:val="28"/>
              </w:rPr>
              <w:t>1</w:t>
            </w:r>
            <w:r w:rsidRPr="000929A4">
              <w:rPr>
                <w:rFonts w:ascii="Century" w:hAnsi="Century"/>
                <w:color w:val="000000"/>
                <w:sz w:val="28"/>
                <w:szCs w:val="28"/>
              </w:rPr>
              <w:t>,</w:t>
            </w:r>
            <w:r>
              <w:rPr>
                <w:rFonts w:ascii="Times New Roman" w:hAnsi="Times New Roman"/>
                <w:color w:val="000000"/>
                <w:sz w:val="28"/>
                <w:szCs w:val="28"/>
              </w:rPr>
              <w:t>08</w:t>
            </w:r>
            <w:r>
              <w:rPr>
                <w:rFonts w:ascii="Times New Roman" w:hAnsi="Times New Roman"/>
                <w:sz w:val="28"/>
                <w:szCs w:val="28"/>
              </w:rPr>
              <w:t xml:space="preserve"> n</w:t>
            </w:r>
          </w:p>
        </w:tc>
        <w:tc>
          <w:tcPr>
            <w:tcW w:w="127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color w:val="000000"/>
                <w:sz w:val="28"/>
                <w:szCs w:val="28"/>
              </w:rPr>
            </w:pPr>
            <w:r>
              <w:rPr>
                <w:rFonts w:ascii="Times New Roman" w:hAnsi="Times New Roman"/>
                <w:color w:val="000000"/>
                <w:sz w:val="28"/>
                <w:szCs w:val="28"/>
              </w:rPr>
              <w:t xml:space="preserve">Муж </w:t>
            </w:r>
            <w:r w:rsidRPr="000929A4">
              <w:rPr>
                <w:rFonts w:ascii="Century" w:hAnsi="Century"/>
                <w:color w:val="000000"/>
                <w:sz w:val="28"/>
                <w:szCs w:val="28"/>
              </w:rPr>
              <w:t>&lt;</w:t>
            </w:r>
            <w:r>
              <w:rPr>
                <w:rFonts w:ascii="Times New Roman" w:hAnsi="Times New Roman"/>
                <w:color w:val="000000"/>
                <w:sz w:val="28"/>
                <w:szCs w:val="28"/>
              </w:rPr>
              <w:t>1</w:t>
            </w:r>
            <w:r w:rsidRPr="000929A4">
              <w:rPr>
                <w:rFonts w:ascii="Century" w:hAnsi="Century"/>
                <w:color w:val="000000"/>
                <w:sz w:val="28"/>
                <w:szCs w:val="28"/>
              </w:rPr>
              <w:t>,</w:t>
            </w:r>
            <w:r>
              <w:rPr>
                <w:rFonts w:ascii="Times New Roman" w:hAnsi="Times New Roman"/>
                <w:color w:val="000000"/>
                <w:sz w:val="28"/>
                <w:szCs w:val="28"/>
              </w:rPr>
              <w:t>04</w:t>
            </w:r>
          </w:p>
          <w:p w:rsidR="00AB12B3" w:rsidRDefault="00AB12B3">
            <w:pPr>
              <w:jc w:val="center"/>
              <w:rPr>
                <w:rFonts w:ascii="Times New Roman" w:hAnsi="Times New Roman"/>
                <w:sz w:val="28"/>
                <w:szCs w:val="28"/>
              </w:rPr>
            </w:pPr>
            <w:r>
              <w:rPr>
                <w:rFonts w:ascii="Times New Roman" w:hAnsi="Times New Roman"/>
                <w:color w:val="000000"/>
                <w:sz w:val="28"/>
                <w:szCs w:val="28"/>
              </w:rPr>
              <w:t xml:space="preserve">Жен </w:t>
            </w:r>
            <w:r w:rsidRPr="000929A4">
              <w:rPr>
                <w:rFonts w:ascii="Century" w:hAnsi="Century"/>
                <w:color w:val="000000"/>
                <w:sz w:val="28"/>
                <w:szCs w:val="28"/>
              </w:rPr>
              <w:t>&lt;</w:t>
            </w:r>
            <w:r>
              <w:rPr>
                <w:rFonts w:ascii="Times New Roman" w:hAnsi="Times New Roman"/>
                <w:color w:val="000000"/>
                <w:sz w:val="28"/>
                <w:szCs w:val="28"/>
              </w:rPr>
              <w:t>1</w:t>
            </w:r>
            <w:r w:rsidRPr="000929A4">
              <w:rPr>
                <w:rFonts w:ascii="Century" w:hAnsi="Century"/>
                <w:color w:val="000000"/>
                <w:sz w:val="28"/>
                <w:szCs w:val="28"/>
              </w:rPr>
              <w:t>,</w:t>
            </w:r>
            <w:r>
              <w:rPr>
                <w:rFonts w:ascii="Times New Roman" w:hAnsi="Times New Roman"/>
                <w:color w:val="000000"/>
                <w:sz w:val="28"/>
                <w:szCs w:val="28"/>
              </w:rPr>
              <w:t>08</w:t>
            </w:r>
            <w:r>
              <w:rPr>
                <w:rFonts w:ascii="Times New Roman" w:hAnsi="Times New Roman"/>
                <w:sz w:val="28"/>
                <w:szCs w:val="28"/>
              </w:rPr>
              <w:t xml:space="preserve"> n</w:t>
            </w:r>
          </w:p>
        </w:tc>
        <w:tc>
          <w:tcPr>
            <w:tcW w:w="240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573846">
        <w:trPr>
          <w:trHeight w:val="330"/>
        </w:trPr>
        <w:tc>
          <w:tcPr>
            <w:tcW w:w="1983"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ОХС</w:t>
            </w:r>
            <w:r w:rsidRPr="000929A4">
              <w:rPr>
                <w:rFonts w:ascii="Century" w:hAnsi="Century"/>
                <w:sz w:val="28"/>
                <w:szCs w:val="28"/>
              </w:rPr>
              <w:t>,</w:t>
            </w:r>
            <w:r>
              <w:rPr>
                <w:rFonts w:ascii="Times New Roman" w:hAnsi="Times New Roman"/>
                <w:sz w:val="28"/>
                <w:szCs w:val="28"/>
              </w:rPr>
              <w:t xml:space="preserve"> ммоль</w:t>
            </w:r>
            <w:r w:rsidRPr="000929A4">
              <w:rPr>
                <w:rFonts w:ascii="Century" w:hAnsi="Century"/>
                <w:sz w:val="28"/>
                <w:szCs w:val="28"/>
              </w:rPr>
              <w:t>/</w:t>
            </w:r>
            <w:r>
              <w:rPr>
                <w:rFonts w:ascii="Times New Roman" w:hAnsi="Times New Roman"/>
                <w:sz w:val="28"/>
                <w:szCs w:val="28"/>
              </w:rPr>
              <w:t>л</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0929A4">
              <w:rPr>
                <w:rFonts w:ascii="Century" w:hAnsi="Century"/>
                <w:sz w:val="28"/>
                <w:szCs w:val="28"/>
              </w:rPr>
              <w:t>≤</w:t>
            </w:r>
            <w:r>
              <w:rPr>
                <w:rFonts w:ascii="Times New Roman" w:hAnsi="Times New Roman"/>
                <w:sz w:val="28"/>
                <w:szCs w:val="28"/>
              </w:rPr>
              <w:t>4</w:t>
            </w:r>
            <w:r w:rsidRPr="000929A4">
              <w:rPr>
                <w:rFonts w:ascii="Century" w:hAnsi="Century"/>
                <w:sz w:val="28"/>
                <w:szCs w:val="28"/>
              </w:rPr>
              <w:t>,</w:t>
            </w:r>
            <w:r>
              <w:rPr>
                <w:rFonts w:ascii="Times New Roman" w:hAnsi="Times New Roman"/>
                <w:sz w:val="28"/>
                <w:szCs w:val="28"/>
              </w:rPr>
              <w:t xml:space="preserve">9 </w:t>
            </w:r>
          </w:p>
        </w:tc>
        <w:tc>
          <w:tcPr>
            <w:tcW w:w="1276" w:type="dxa"/>
            <w:tcBorders>
              <w:top w:val="single" w:sz="4" w:space="0" w:color="auto"/>
              <w:left w:val="single" w:sz="4" w:space="0" w:color="auto"/>
              <w:bottom w:val="single" w:sz="4" w:space="0" w:color="auto"/>
              <w:right w:val="single" w:sz="4" w:space="0" w:color="auto"/>
            </w:tcBorders>
            <w:hideMark/>
          </w:tcPr>
          <w:p w:rsidR="00AB12B3" w:rsidRPr="00AD36ED" w:rsidRDefault="00AB12B3">
            <w:pPr>
              <w:jc w:val="center"/>
              <w:rPr>
                <w:rFonts w:ascii="Times New Roman" w:hAnsi="Times New Roman"/>
                <w:color w:val="000000" w:themeColor="text1"/>
                <w:sz w:val="28"/>
                <w:szCs w:val="28"/>
              </w:rPr>
            </w:pPr>
            <w:r w:rsidRPr="00AD36ED">
              <w:rPr>
                <w:rFonts w:ascii="Times New Roman" w:hAnsi="Times New Roman"/>
                <w:color w:val="000000" w:themeColor="text1"/>
                <w:sz w:val="28"/>
                <w:szCs w:val="28"/>
              </w:rPr>
              <w:t>42</w:t>
            </w:r>
            <w:r w:rsidR="00AD36ED" w:rsidRPr="00AD36ED">
              <w:rPr>
                <w:rFonts w:ascii="Times New Roman" w:hAnsi="Times New Roman"/>
                <w:color w:val="000000" w:themeColor="text1"/>
                <w:sz w:val="28"/>
                <w:szCs w:val="28"/>
              </w:rPr>
              <w:t>3</w:t>
            </w:r>
          </w:p>
        </w:tc>
        <w:tc>
          <w:tcPr>
            <w:tcW w:w="1276" w:type="dxa"/>
            <w:tcBorders>
              <w:top w:val="single" w:sz="4" w:space="0" w:color="auto"/>
              <w:left w:val="single" w:sz="4" w:space="0" w:color="auto"/>
              <w:bottom w:val="single" w:sz="4" w:space="0" w:color="auto"/>
              <w:right w:val="single" w:sz="4" w:space="0" w:color="auto"/>
            </w:tcBorders>
            <w:hideMark/>
          </w:tcPr>
          <w:p w:rsidR="00AB12B3" w:rsidRPr="00AD36ED" w:rsidRDefault="00AB12B3">
            <w:pPr>
              <w:jc w:val="center"/>
              <w:rPr>
                <w:rFonts w:ascii="Times New Roman" w:hAnsi="Times New Roman"/>
                <w:color w:val="000000" w:themeColor="text1"/>
                <w:sz w:val="28"/>
                <w:szCs w:val="28"/>
              </w:rPr>
            </w:pPr>
            <w:r w:rsidRPr="00AD36ED">
              <w:rPr>
                <w:rFonts w:ascii="Times New Roman" w:hAnsi="Times New Roman"/>
                <w:color w:val="000000" w:themeColor="text1"/>
                <w:sz w:val="28"/>
                <w:szCs w:val="28"/>
              </w:rPr>
              <w:t>2</w:t>
            </w:r>
            <w:r w:rsidR="00AD36ED" w:rsidRPr="00AD36ED">
              <w:rPr>
                <w:rFonts w:ascii="Times New Roman" w:hAnsi="Times New Roman"/>
                <w:color w:val="000000" w:themeColor="text1"/>
                <w:sz w:val="28"/>
                <w:szCs w:val="28"/>
              </w:rPr>
              <w:t>3</w:t>
            </w:r>
          </w:p>
        </w:tc>
        <w:tc>
          <w:tcPr>
            <w:tcW w:w="240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0929A4">
              <w:rPr>
                <w:rFonts w:ascii="Century" w:hAnsi="Century"/>
                <w:sz w:val="28"/>
                <w:szCs w:val="28"/>
              </w:rPr>
              <w:t>,</w:t>
            </w:r>
            <w:r>
              <w:rPr>
                <w:rFonts w:ascii="Times New Roman" w:hAnsi="Times New Roman"/>
                <w:sz w:val="28"/>
                <w:szCs w:val="28"/>
              </w:rPr>
              <w:t>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0929A4">
              <w:rPr>
                <w:rFonts w:ascii="Century" w:hAnsi="Century"/>
                <w:sz w:val="28"/>
                <w:szCs w:val="28"/>
              </w:rPr>
              <w:t>,</w:t>
            </w:r>
            <w:r>
              <w:rPr>
                <w:rFonts w:ascii="Times New Roman" w:hAnsi="Times New Roman"/>
                <w:sz w:val="28"/>
                <w:szCs w:val="28"/>
              </w:rPr>
              <w:t>22</w:t>
            </w:r>
          </w:p>
        </w:tc>
      </w:tr>
      <w:tr w:rsidR="00AB12B3" w:rsidTr="00573846">
        <w:trPr>
          <w:trHeight w:val="330"/>
        </w:trPr>
        <w:tc>
          <w:tcPr>
            <w:tcW w:w="198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0929A4">
              <w:rPr>
                <w:rFonts w:ascii="Century" w:hAnsi="Century"/>
                <w:sz w:val="28"/>
                <w:szCs w:val="28"/>
              </w:rPr>
              <w:t>&gt;</w:t>
            </w:r>
            <w:r>
              <w:rPr>
                <w:rFonts w:ascii="Times New Roman" w:hAnsi="Times New Roman"/>
                <w:sz w:val="28"/>
                <w:szCs w:val="28"/>
              </w:rPr>
              <w:t>4</w:t>
            </w:r>
            <w:r w:rsidRPr="000929A4">
              <w:rPr>
                <w:rFonts w:ascii="Century" w:hAnsi="Century"/>
                <w:sz w:val="28"/>
                <w:szCs w:val="28"/>
              </w:rPr>
              <w:t>,</w:t>
            </w:r>
            <w:r>
              <w:rPr>
                <w:rFonts w:ascii="Times New Roman" w:hAnsi="Times New Roman"/>
                <w:sz w:val="28"/>
                <w:szCs w:val="28"/>
              </w:rPr>
              <w:t xml:space="preserve">9 </w:t>
            </w:r>
          </w:p>
        </w:tc>
        <w:tc>
          <w:tcPr>
            <w:tcW w:w="1276" w:type="dxa"/>
            <w:tcBorders>
              <w:top w:val="single" w:sz="4" w:space="0" w:color="auto"/>
              <w:left w:val="single" w:sz="4" w:space="0" w:color="auto"/>
              <w:bottom w:val="single" w:sz="4" w:space="0" w:color="auto"/>
              <w:right w:val="single" w:sz="4" w:space="0" w:color="auto"/>
            </w:tcBorders>
            <w:hideMark/>
          </w:tcPr>
          <w:p w:rsidR="00AB12B3" w:rsidRPr="00AD36ED" w:rsidRDefault="00AB12B3">
            <w:pPr>
              <w:jc w:val="center"/>
              <w:rPr>
                <w:rFonts w:ascii="Times New Roman" w:hAnsi="Times New Roman"/>
                <w:color w:val="000000" w:themeColor="text1"/>
                <w:sz w:val="28"/>
                <w:szCs w:val="28"/>
              </w:rPr>
            </w:pPr>
            <w:r w:rsidRPr="00AD36ED">
              <w:rPr>
                <w:rFonts w:ascii="Times New Roman" w:hAnsi="Times New Roman"/>
                <w:color w:val="000000" w:themeColor="text1"/>
                <w:sz w:val="28"/>
                <w:szCs w:val="28"/>
              </w:rPr>
              <w:t>5</w:t>
            </w:r>
            <w:r w:rsidR="00AD36ED" w:rsidRPr="00AD36ED">
              <w:rPr>
                <w:rFonts w:ascii="Times New Roman" w:hAnsi="Times New Roman"/>
                <w:color w:val="000000" w:themeColor="text1"/>
                <w:sz w:val="28"/>
                <w:szCs w:val="28"/>
              </w:rPr>
              <w:t>6</w:t>
            </w:r>
          </w:p>
        </w:tc>
        <w:tc>
          <w:tcPr>
            <w:tcW w:w="1276" w:type="dxa"/>
            <w:tcBorders>
              <w:top w:val="single" w:sz="4" w:space="0" w:color="auto"/>
              <w:left w:val="single" w:sz="4" w:space="0" w:color="auto"/>
              <w:bottom w:val="single" w:sz="4" w:space="0" w:color="auto"/>
              <w:right w:val="single" w:sz="4" w:space="0" w:color="auto"/>
            </w:tcBorders>
            <w:hideMark/>
          </w:tcPr>
          <w:p w:rsidR="00AB12B3" w:rsidRPr="00AD36ED" w:rsidRDefault="00AD36ED">
            <w:pPr>
              <w:jc w:val="center"/>
              <w:rPr>
                <w:rFonts w:ascii="Times New Roman" w:hAnsi="Times New Roman"/>
                <w:color w:val="000000" w:themeColor="text1"/>
                <w:sz w:val="28"/>
                <w:szCs w:val="28"/>
              </w:rPr>
            </w:pPr>
            <w:r w:rsidRPr="00AD36ED">
              <w:rPr>
                <w:rFonts w:ascii="Times New Roman" w:hAnsi="Times New Roman"/>
                <w:color w:val="000000" w:themeColor="text1"/>
                <w:sz w:val="28"/>
                <w:szCs w:val="28"/>
              </w:rPr>
              <w:t>5</w:t>
            </w:r>
          </w:p>
        </w:tc>
        <w:tc>
          <w:tcPr>
            <w:tcW w:w="240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0929A4">
              <w:rPr>
                <w:rFonts w:ascii="Century" w:hAnsi="Century"/>
                <w:sz w:val="28"/>
                <w:szCs w:val="28"/>
              </w:rPr>
              <w:t>,</w:t>
            </w:r>
            <w:r>
              <w:rPr>
                <w:rFonts w:ascii="Times New Roman" w:hAnsi="Times New Roman"/>
                <w:sz w:val="28"/>
                <w:szCs w:val="28"/>
              </w:rPr>
              <w:t>77 (0</w:t>
            </w:r>
            <w:r w:rsidRPr="000929A4">
              <w:rPr>
                <w:rFonts w:ascii="Century" w:hAnsi="Century"/>
                <w:sz w:val="28"/>
                <w:szCs w:val="28"/>
              </w:rPr>
              <w:t>,</w:t>
            </w:r>
            <w:r>
              <w:rPr>
                <w:rFonts w:ascii="Times New Roman" w:hAnsi="Times New Roman"/>
                <w:sz w:val="28"/>
                <w:szCs w:val="28"/>
              </w:rPr>
              <w:t>7-4</w:t>
            </w:r>
            <w:r w:rsidRPr="000929A4">
              <w:rPr>
                <w:rFonts w:ascii="Century" w:hAnsi="Century"/>
                <w:sz w:val="28"/>
                <w:szCs w:val="28"/>
              </w:rPr>
              <w:t>,</w:t>
            </w:r>
            <w:r>
              <w:rPr>
                <w:rFonts w:ascii="Times New Roman" w:hAnsi="Times New Roman"/>
                <w:sz w:val="28"/>
                <w:szCs w:val="28"/>
              </w:rPr>
              <w:t>48)</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573846">
        <w:trPr>
          <w:trHeight w:val="330"/>
        </w:trPr>
        <w:tc>
          <w:tcPr>
            <w:tcW w:w="1983"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ТГ</w:t>
            </w:r>
            <w:r w:rsidRPr="000929A4">
              <w:rPr>
                <w:rFonts w:ascii="Century" w:hAnsi="Century"/>
                <w:sz w:val="28"/>
                <w:szCs w:val="28"/>
              </w:rPr>
              <w:t>,</w:t>
            </w:r>
            <w:r>
              <w:rPr>
                <w:rFonts w:ascii="Times New Roman" w:hAnsi="Times New Roman"/>
                <w:sz w:val="28"/>
                <w:szCs w:val="28"/>
              </w:rPr>
              <w:t xml:space="preserve"> ммоль</w:t>
            </w:r>
            <w:r w:rsidRPr="000929A4">
              <w:rPr>
                <w:rFonts w:ascii="Century" w:hAnsi="Century"/>
                <w:sz w:val="28"/>
                <w:szCs w:val="28"/>
              </w:rPr>
              <w:t>/</w:t>
            </w:r>
            <w:r>
              <w:rPr>
                <w:rFonts w:ascii="Times New Roman" w:hAnsi="Times New Roman"/>
                <w:sz w:val="28"/>
                <w:szCs w:val="28"/>
              </w:rPr>
              <w:t>л</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0929A4">
              <w:rPr>
                <w:rFonts w:ascii="Century" w:hAnsi="Century"/>
                <w:sz w:val="28"/>
                <w:szCs w:val="28"/>
              </w:rPr>
              <w:t>≤</w:t>
            </w:r>
            <w:r>
              <w:rPr>
                <w:rFonts w:ascii="Times New Roman" w:hAnsi="Times New Roman"/>
                <w:sz w:val="28"/>
                <w:szCs w:val="28"/>
              </w:rPr>
              <w:t>1</w:t>
            </w:r>
            <w:r w:rsidRPr="000929A4">
              <w:rPr>
                <w:rFonts w:ascii="Century" w:hAnsi="Century"/>
                <w:sz w:val="28"/>
                <w:szCs w:val="28"/>
              </w:rPr>
              <w:t>,</w:t>
            </w:r>
            <w:r>
              <w:rPr>
                <w:rFonts w:ascii="Times New Roman" w:hAnsi="Times New Roman"/>
                <w:sz w:val="28"/>
                <w:szCs w:val="28"/>
              </w:rPr>
              <w:t>7</w:t>
            </w:r>
          </w:p>
        </w:tc>
        <w:tc>
          <w:tcPr>
            <w:tcW w:w="127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350</w:t>
            </w:r>
          </w:p>
        </w:tc>
        <w:tc>
          <w:tcPr>
            <w:tcW w:w="127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25</w:t>
            </w:r>
          </w:p>
        </w:tc>
        <w:tc>
          <w:tcPr>
            <w:tcW w:w="240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0929A4">
              <w:rPr>
                <w:rFonts w:ascii="Century" w:hAnsi="Century"/>
                <w:sz w:val="28"/>
                <w:szCs w:val="28"/>
              </w:rPr>
              <w:t>,</w:t>
            </w:r>
            <w:r>
              <w:rPr>
                <w:rFonts w:ascii="Times New Roman" w:hAnsi="Times New Roman"/>
                <w:sz w:val="28"/>
                <w:szCs w:val="28"/>
              </w:rPr>
              <w:t>57</w:t>
            </w:r>
          </w:p>
        </w:tc>
      </w:tr>
      <w:tr w:rsidR="00AB12B3" w:rsidTr="00573846">
        <w:trPr>
          <w:trHeight w:val="330"/>
        </w:trPr>
        <w:tc>
          <w:tcPr>
            <w:tcW w:w="198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sidRPr="000929A4">
              <w:rPr>
                <w:rFonts w:ascii="Century" w:hAnsi="Century"/>
                <w:sz w:val="28"/>
                <w:szCs w:val="28"/>
              </w:rPr>
              <w:t>&gt;</w:t>
            </w:r>
            <w:r>
              <w:rPr>
                <w:rFonts w:ascii="Times New Roman" w:hAnsi="Times New Roman"/>
                <w:sz w:val="28"/>
                <w:szCs w:val="28"/>
              </w:rPr>
              <w:t>1</w:t>
            </w:r>
            <w:r w:rsidRPr="000929A4">
              <w:rPr>
                <w:rFonts w:ascii="Century" w:hAnsi="Century"/>
                <w:sz w:val="28"/>
                <w:szCs w:val="28"/>
              </w:rPr>
              <w:t>,</w:t>
            </w:r>
            <w:r>
              <w:rPr>
                <w:rFonts w:ascii="Times New Roman" w:hAnsi="Times New Roman"/>
                <w:sz w:val="28"/>
                <w:szCs w:val="28"/>
              </w:rPr>
              <w:t>7</w:t>
            </w:r>
          </w:p>
        </w:tc>
        <w:tc>
          <w:tcPr>
            <w:tcW w:w="127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126</w:t>
            </w:r>
          </w:p>
        </w:tc>
        <w:tc>
          <w:tcPr>
            <w:tcW w:w="1276"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7</w:t>
            </w:r>
          </w:p>
        </w:tc>
        <w:tc>
          <w:tcPr>
            <w:tcW w:w="240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0,78 (0,33-1,84)</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6E01DF" w:rsidTr="006E01DF">
        <w:trPr>
          <w:trHeight w:val="330"/>
        </w:trPr>
        <w:tc>
          <w:tcPr>
            <w:tcW w:w="1983" w:type="dxa"/>
            <w:vMerge w:val="restart"/>
            <w:tcBorders>
              <w:top w:val="single" w:sz="4" w:space="0" w:color="auto"/>
              <w:left w:val="single" w:sz="4" w:space="0" w:color="auto"/>
              <w:right w:val="single" w:sz="4" w:space="0" w:color="auto"/>
            </w:tcBorders>
            <w:vAlign w:val="center"/>
          </w:tcPr>
          <w:p w:rsidR="006E01DF" w:rsidRDefault="006E01DF" w:rsidP="00F66CAF">
            <w:pPr>
              <w:jc w:val="center"/>
              <w:rPr>
                <w:rFonts w:ascii="Times New Roman" w:hAnsi="Times New Roman"/>
                <w:sz w:val="28"/>
                <w:szCs w:val="28"/>
              </w:rPr>
            </w:pPr>
            <w:r>
              <w:rPr>
                <w:rFonts w:ascii="Times New Roman" w:hAnsi="Times New Roman"/>
                <w:sz w:val="28"/>
                <w:szCs w:val="28"/>
              </w:rPr>
              <w:t>ЛПНП</w:t>
            </w:r>
            <w:r w:rsidRPr="000929A4">
              <w:rPr>
                <w:rFonts w:ascii="Century" w:hAnsi="Century"/>
                <w:sz w:val="28"/>
                <w:szCs w:val="28"/>
              </w:rPr>
              <w:t>,</w:t>
            </w:r>
            <w:r>
              <w:rPr>
                <w:rFonts w:ascii="Times New Roman" w:hAnsi="Times New Roman"/>
                <w:sz w:val="28"/>
                <w:szCs w:val="28"/>
              </w:rPr>
              <w:t xml:space="preserve"> ммоль</w:t>
            </w:r>
            <w:r w:rsidRPr="000929A4">
              <w:rPr>
                <w:rFonts w:ascii="Century" w:hAnsi="Century"/>
                <w:sz w:val="28"/>
                <w:szCs w:val="28"/>
              </w:rPr>
              <w:t>/</w:t>
            </w:r>
            <w:r>
              <w:rPr>
                <w:rFonts w:ascii="Times New Roman" w:hAnsi="Times New Roman"/>
                <w:sz w:val="28"/>
                <w:szCs w:val="28"/>
              </w:rPr>
              <w:t xml:space="preserve">л </w:t>
            </w:r>
          </w:p>
        </w:tc>
        <w:tc>
          <w:tcPr>
            <w:tcW w:w="1559"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sidRPr="000929A4">
              <w:rPr>
                <w:rFonts w:ascii="Century" w:hAnsi="Century"/>
                <w:sz w:val="28"/>
                <w:szCs w:val="28"/>
              </w:rPr>
              <w:t>≤</w:t>
            </w:r>
            <w:r>
              <w:rPr>
                <w:rFonts w:ascii="Times New Roman" w:hAnsi="Times New Roman"/>
                <w:sz w:val="28"/>
                <w:szCs w:val="28"/>
              </w:rPr>
              <w:t>3</w:t>
            </w:r>
            <w:r w:rsidRPr="000929A4">
              <w:rPr>
                <w:rFonts w:ascii="Century" w:hAnsi="Century"/>
                <w:sz w:val="28"/>
                <w:szCs w:val="28"/>
              </w:rPr>
              <w:t>,</w:t>
            </w:r>
            <w:r>
              <w:rPr>
                <w:rFonts w:ascii="Times New Roman" w:hAnsi="Times New Roman"/>
                <w:sz w:val="28"/>
                <w:szCs w:val="28"/>
              </w:rPr>
              <w:t>0</w:t>
            </w:r>
          </w:p>
        </w:tc>
        <w:tc>
          <w:tcPr>
            <w:tcW w:w="1276"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413</w:t>
            </w:r>
          </w:p>
        </w:tc>
        <w:tc>
          <w:tcPr>
            <w:tcW w:w="1276"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28</w:t>
            </w:r>
          </w:p>
        </w:tc>
        <w:tc>
          <w:tcPr>
            <w:tcW w:w="2408"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1</w:t>
            </w:r>
            <w:r w:rsidRPr="000929A4">
              <w:rPr>
                <w:rFonts w:ascii="Century" w:hAnsi="Century"/>
                <w:sz w:val="28"/>
                <w:szCs w:val="28"/>
              </w:rPr>
              <w:t>,</w:t>
            </w:r>
            <w:r>
              <w:rPr>
                <w:rFonts w:ascii="Times New Roman" w:hAnsi="Times New Roman"/>
                <w:sz w:val="28"/>
                <w:szCs w:val="28"/>
              </w:rPr>
              <w:t>0</w:t>
            </w:r>
          </w:p>
        </w:tc>
        <w:tc>
          <w:tcPr>
            <w:tcW w:w="993" w:type="dxa"/>
            <w:vMerge w:val="restart"/>
            <w:tcBorders>
              <w:top w:val="single" w:sz="4" w:space="0" w:color="auto"/>
              <w:left w:val="single" w:sz="4" w:space="0" w:color="auto"/>
              <w:right w:val="single" w:sz="4" w:space="0" w:color="auto"/>
            </w:tcBorders>
          </w:tcPr>
          <w:p w:rsidR="006E01DF" w:rsidRDefault="006E01DF" w:rsidP="006E01DF">
            <w:pPr>
              <w:jc w:val="center"/>
              <w:rPr>
                <w:rFonts w:ascii="Times New Roman" w:hAnsi="Times New Roman"/>
                <w:sz w:val="28"/>
                <w:szCs w:val="28"/>
              </w:rPr>
            </w:pPr>
            <w:r>
              <w:rPr>
                <w:rFonts w:ascii="Times New Roman" w:hAnsi="Times New Roman"/>
                <w:sz w:val="28"/>
                <w:szCs w:val="28"/>
              </w:rPr>
              <w:t>0</w:t>
            </w:r>
            <w:r w:rsidRPr="000929A4">
              <w:rPr>
                <w:rFonts w:ascii="Century" w:hAnsi="Century"/>
                <w:sz w:val="28"/>
                <w:szCs w:val="28"/>
              </w:rPr>
              <w:t>,</w:t>
            </w:r>
            <w:r>
              <w:rPr>
                <w:rFonts w:ascii="Times New Roman" w:hAnsi="Times New Roman"/>
                <w:sz w:val="28"/>
                <w:szCs w:val="28"/>
              </w:rPr>
              <w:t>9</w:t>
            </w:r>
          </w:p>
        </w:tc>
      </w:tr>
      <w:tr w:rsidR="006E01DF" w:rsidTr="00F66CAF">
        <w:trPr>
          <w:trHeight w:val="330"/>
        </w:trPr>
        <w:tc>
          <w:tcPr>
            <w:tcW w:w="1983" w:type="dxa"/>
            <w:vMerge/>
            <w:tcBorders>
              <w:left w:val="single" w:sz="4" w:space="0" w:color="auto"/>
              <w:bottom w:val="single" w:sz="4" w:space="0" w:color="auto"/>
              <w:right w:val="single" w:sz="4" w:space="0" w:color="auto"/>
            </w:tcBorders>
            <w:vAlign w:val="center"/>
          </w:tcPr>
          <w:p w:rsidR="006E01DF" w:rsidRDefault="006E01DF" w:rsidP="00F66CAF">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sidRPr="000929A4">
              <w:rPr>
                <w:rFonts w:ascii="Century" w:hAnsi="Century"/>
                <w:sz w:val="28"/>
                <w:szCs w:val="28"/>
              </w:rPr>
              <w:t>&gt;</w:t>
            </w:r>
            <w:r>
              <w:rPr>
                <w:rFonts w:ascii="Times New Roman" w:hAnsi="Times New Roman"/>
                <w:sz w:val="28"/>
                <w:szCs w:val="28"/>
              </w:rPr>
              <w:t>3</w:t>
            </w:r>
            <w:r w:rsidRPr="000929A4">
              <w:rPr>
                <w:rFonts w:ascii="Century" w:hAnsi="Century"/>
                <w:sz w:val="28"/>
                <w:szCs w:val="28"/>
              </w:rPr>
              <w:t>,</w:t>
            </w:r>
            <w:r>
              <w:rPr>
                <w:rFonts w:ascii="Times New Roman" w:hAnsi="Times New Roman"/>
                <w:sz w:val="28"/>
                <w:szCs w:val="28"/>
              </w:rPr>
              <w:t>0</w:t>
            </w:r>
          </w:p>
        </w:tc>
        <w:tc>
          <w:tcPr>
            <w:tcW w:w="1276"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63</w:t>
            </w:r>
          </w:p>
        </w:tc>
        <w:tc>
          <w:tcPr>
            <w:tcW w:w="1276"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4</w:t>
            </w:r>
          </w:p>
        </w:tc>
        <w:tc>
          <w:tcPr>
            <w:tcW w:w="2408"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0</w:t>
            </w:r>
            <w:r w:rsidRPr="000929A4">
              <w:rPr>
                <w:rFonts w:ascii="Century" w:hAnsi="Century"/>
                <w:sz w:val="28"/>
                <w:szCs w:val="28"/>
              </w:rPr>
              <w:t>,</w:t>
            </w:r>
            <w:r>
              <w:rPr>
                <w:rFonts w:ascii="Times New Roman" w:hAnsi="Times New Roman"/>
                <w:sz w:val="28"/>
                <w:szCs w:val="28"/>
              </w:rPr>
              <w:t>94 (0</w:t>
            </w:r>
            <w:r w:rsidRPr="000929A4">
              <w:rPr>
                <w:rFonts w:ascii="Century" w:hAnsi="Century"/>
                <w:sz w:val="28"/>
                <w:szCs w:val="28"/>
              </w:rPr>
              <w:t>,</w:t>
            </w:r>
            <w:r>
              <w:rPr>
                <w:rFonts w:ascii="Times New Roman" w:hAnsi="Times New Roman"/>
                <w:sz w:val="28"/>
                <w:szCs w:val="28"/>
              </w:rPr>
              <w:t>32-2</w:t>
            </w:r>
            <w:r w:rsidRPr="000929A4">
              <w:rPr>
                <w:rFonts w:ascii="Century" w:hAnsi="Century"/>
                <w:sz w:val="28"/>
                <w:szCs w:val="28"/>
              </w:rPr>
              <w:t>,</w:t>
            </w:r>
            <w:r>
              <w:rPr>
                <w:rFonts w:ascii="Times New Roman" w:hAnsi="Times New Roman"/>
                <w:sz w:val="28"/>
                <w:szCs w:val="28"/>
              </w:rPr>
              <w:t>76)</w:t>
            </w:r>
          </w:p>
        </w:tc>
        <w:tc>
          <w:tcPr>
            <w:tcW w:w="993" w:type="dxa"/>
            <w:vMerge/>
            <w:tcBorders>
              <w:left w:val="single" w:sz="4" w:space="0" w:color="auto"/>
              <w:bottom w:val="single" w:sz="4" w:space="0" w:color="auto"/>
              <w:right w:val="single" w:sz="4" w:space="0" w:color="auto"/>
            </w:tcBorders>
            <w:vAlign w:val="center"/>
          </w:tcPr>
          <w:p w:rsidR="006E01DF" w:rsidRDefault="006E01DF">
            <w:pPr>
              <w:rPr>
                <w:rFonts w:ascii="Times New Roman" w:hAnsi="Times New Roman"/>
                <w:sz w:val="28"/>
                <w:szCs w:val="28"/>
              </w:rPr>
            </w:pPr>
          </w:p>
        </w:tc>
      </w:tr>
      <w:tr w:rsidR="006E01DF" w:rsidTr="00573846">
        <w:trPr>
          <w:trHeight w:val="330"/>
        </w:trPr>
        <w:tc>
          <w:tcPr>
            <w:tcW w:w="1983"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ЛПВП</w:t>
            </w:r>
            <w:r w:rsidRPr="000929A4">
              <w:rPr>
                <w:rFonts w:ascii="Century" w:hAnsi="Century"/>
                <w:sz w:val="28"/>
                <w:szCs w:val="28"/>
              </w:rPr>
              <w:t xml:space="preserve">, </w:t>
            </w:r>
            <w:r>
              <w:rPr>
                <w:rFonts w:ascii="Times New Roman" w:hAnsi="Times New Roman"/>
                <w:sz w:val="28"/>
                <w:szCs w:val="28"/>
              </w:rPr>
              <w:t>ммоль</w:t>
            </w:r>
            <w:r w:rsidRPr="000929A4">
              <w:rPr>
                <w:rFonts w:ascii="Century" w:hAnsi="Century"/>
                <w:sz w:val="28"/>
                <w:szCs w:val="28"/>
              </w:rPr>
              <w:t>/</w:t>
            </w:r>
            <w:r>
              <w:rPr>
                <w:rFonts w:ascii="Times New Roman" w:hAnsi="Times New Roman"/>
                <w:sz w:val="28"/>
                <w:szCs w:val="28"/>
              </w:rPr>
              <w:t xml:space="preserve">л </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 xml:space="preserve">Муж </w:t>
            </w:r>
            <w:r w:rsidRPr="000929A4">
              <w:rPr>
                <w:rFonts w:ascii="Century" w:hAnsi="Century"/>
                <w:sz w:val="28"/>
                <w:szCs w:val="28"/>
              </w:rPr>
              <w:t>≥</w:t>
            </w:r>
            <w:r>
              <w:rPr>
                <w:rFonts w:ascii="Times New Roman" w:hAnsi="Times New Roman"/>
                <w:sz w:val="28"/>
                <w:szCs w:val="28"/>
              </w:rPr>
              <w:t>1</w:t>
            </w:r>
            <w:r w:rsidRPr="000929A4">
              <w:rPr>
                <w:rFonts w:ascii="Century" w:hAnsi="Century"/>
                <w:sz w:val="28"/>
                <w:szCs w:val="28"/>
              </w:rPr>
              <w:t>,</w:t>
            </w:r>
            <w:r>
              <w:rPr>
                <w:rFonts w:ascii="Times New Roman" w:hAnsi="Times New Roman"/>
                <w:sz w:val="28"/>
                <w:szCs w:val="28"/>
              </w:rPr>
              <w:t>0</w:t>
            </w:r>
          </w:p>
          <w:p w:rsidR="006E01DF" w:rsidRDefault="006E01DF">
            <w:pPr>
              <w:jc w:val="center"/>
            </w:pPr>
            <w:r>
              <w:rPr>
                <w:rFonts w:ascii="Times New Roman" w:hAnsi="Times New Roman"/>
                <w:sz w:val="28"/>
                <w:szCs w:val="28"/>
              </w:rPr>
              <w:t xml:space="preserve">Жен </w:t>
            </w:r>
            <w:r w:rsidRPr="000929A4">
              <w:rPr>
                <w:rFonts w:ascii="Century" w:hAnsi="Century"/>
                <w:sz w:val="28"/>
                <w:szCs w:val="28"/>
              </w:rPr>
              <w:t>≥</w:t>
            </w:r>
            <w:r>
              <w:rPr>
                <w:rFonts w:ascii="Times New Roman" w:hAnsi="Times New Roman"/>
                <w:sz w:val="28"/>
                <w:szCs w:val="28"/>
              </w:rPr>
              <w:t>1</w:t>
            </w:r>
            <w:r w:rsidRPr="000929A4">
              <w:rPr>
                <w:rFonts w:ascii="Century" w:hAnsi="Century"/>
                <w:sz w:val="28"/>
                <w:szCs w:val="28"/>
              </w:rPr>
              <w:t>,</w:t>
            </w:r>
            <w:r>
              <w:rPr>
                <w:rFonts w:ascii="Times New Roman" w:hAnsi="Times New Roman"/>
                <w:sz w:val="28"/>
                <w:szCs w:val="28"/>
              </w:rPr>
              <w:t>2</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167</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18</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w:t>
            </w:r>
            <w:r w:rsidRPr="000929A4">
              <w:rPr>
                <w:rFonts w:ascii="Century" w:hAnsi="Century"/>
                <w:sz w:val="28"/>
                <w:szCs w:val="28"/>
              </w:rPr>
              <w:t>,</w:t>
            </w:r>
            <w:r>
              <w:rPr>
                <w:rFonts w:ascii="Times New Roman" w:hAnsi="Times New Roman"/>
                <w:sz w:val="28"/>
                <w:szCs w:val="28"/>
              </w:rPr>
              <w:t>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w:t>
            </w:r>
            <w:r w:rsidRPr="000929A4">
              <w:rPr>
                <w:rFonts w:ascii="Century" w:hAnsi="Century"/>
                <w:sz w:val="28"/>
                <w:szCs w:val="28"/>
              </w:rPr>
              <w:t>,</w:t>
            </w:r>
            <w:r>
              <w:rPr>
                <w:rFonts w:ascii="Times New Roman" w:hAnsi="Times New Roman"/>
                <w:sz w:val="28"/>
                <w:szCs w:val="28"/>
              </w:rPr>
              <w:t>016</w:t>
            </w:r>
          </w:p>
        </w:tc>
      </w:tr>
      <w:tr w:rsidR="006E01DF" w:rsidTr="00573846">
        <w:trPr>
          <w:trHeight w:val="330"/>
        </w:trPr>
        <w:tc>
          <w:tcPr>
            <w:tcW w:w="198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Муж &lt;1,0</w:t>
            </w:r>
          </w:p>
          <w:p w:rsidR="006E01DF" w:rsidRDefault="006E01DF">
            <w:pPr>
              <w:jc w:val="center"/>
              <w:rPr>
                <w:rFonts w:ascii="Times New Roman" w:hAnsi="Times New Roman"/>
                <w:sz w:val="28"/>
                <w:szCs w:val="28"/>
              </w:rPr>
            </w:pPr>
            <w:r>
              <w:rPr>
                <w:rFonts w:ascii="Times New Roman" w:hAnsi="Times New Roman"/>
                <w:sz w:val="28"/>
                <w:szCs w:val="28"/>
              </w:rPr>
              <w:t>Жен &lt;1,2</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308</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14</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w:t>
            </w:r>
            <w:r w:rsidRPr="000929A4">
              <w:rPr>
                <w:rFonts w:ascii="Century" w:hAnsi="Century"/>
                <w:sz w:val="28"/>
                <w:szCs w:val="28"/>
              </w:rPr>
              <w:t>,</w:t>
            </w:r>
            <w:r>
              <w:rPr>
                <w:rFonts w:ascii="Times New Roman" w:hAnsi="Times New Roman"/>
                <w:sz w:val="28"/>
                <w:szCs w:val="28"/>
              </w:rPr>
              <w:t>42 (0</w:t>
            </w:r>
            <w:r w:rsidRPr="000929A4">
              <w:rPr>
                <w:rFonts w:ascii="Century" w:hAnsi="Century"/>
                <w:sz w:val="28"/>
                <w:szCs w:val="28"/>
              </w:rPr>
              <w:t>,</w:t>
            </w:r>
            <w:r>
              <w:rPr>
                <w:rFonts w:ascii="Times New Roman" w:hAnsi="Times New Roman"/>
                <w:sz w:val="28"/>
                <w:szCs w:val="28"/>
              </w:rPr>
              <w:t>2-0</w:t>
            </w:r>
            <w:r w:rsidRPr="000929A4">
              <w:rPr>
                <w:rFonts w:ascii="Century" w:hAnsi="Century"/>
                <w:sz w:val="28"/>
                <w:szCs w:val="28"/>
              </w:rPr>
              <w:t>,</w:t>
            </w:r>
            <w:r>
              <w:rPr>
                <w:rFonts w:ascii="Times New Roman" w:hAnsi="Times New Roman"/>
                <w:sz w:val="28"/>
                <w:szCs w:val="28"/>
              </w:rPr>
              <w:t>87)</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573846">
        <w:trPr>
          <w:trHeight w:val="330"/>
        </w:trPr>
        <w:tc>
          <w:tcPr>
            <w:tcW w:w="1983"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апоВ</w:t>
            </w:r>
            <w:r w:rsidRPr="00512E36">
              <w:rPr>
                <w:rFonts w:ascii="Century" w:hAnsi="Century"/>
                <w:sz w:val="28"/>
                <w:szCs w:val="28"/>
              </w:rPr>
              <w:t xml:space="preserve">, </w:t>
            </w:r>
            <w:r>
              <w:rPr>
                <w:rFonts w:ascii="Times New Roman" w:hAnsi="Times New Roman"/>
                <w:sz w:val="28"/>
                <w:szCs w:val="28"/>
              </w:rPr>
              <w:t>г</w:t>
            </w:r>
            <w:r w:rsidRPr="00512E36">
              <w:rPr>
                <w:rFonts w:ascii="Century" w:hAnsi="Century"/>
                <w:sz w:val="28"/>
                <w:szCs w:val="28"/>
              </w:rPr>
              <w:t>/</w:t>
            </w:r>
            <w:r>
              <w:rPr>
                <w:rFonts w:ascii="Times New Roman" w:hAnsi="Times New Roman"/>
                <w:sz w:val="28"/>
                <w:szCs w:val="28"/>
              </w:rPr>
              <w:t>л</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sidRPr="00512E36">
              <w:rPr>
                <w:rFonts w:ascii="Century" w:hAnsi="Century"/>
                <w:sz w:val="28"/>
                <w:szCs w:val="28"/>
              </w:rPr>
              <w:t>&lt;</w:t>
            </w:r>
            <w:r>
              <w:rPr>
                <w:rFonts w:ascii="Times New Roman" w:hAnsi="Times New Roman"/>
                <w:sz w:val="28"/>
                <w:szCs w:val="28"/>
              </w:rPr>
              <w:t>0,9</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186</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12</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w:t>
            </w:r>
            <w:r w:rsidRPr="00512E36">
              <w:rPr>
                <w:rFonts w:ascii="Century" w:hAnsi="Century"/>
                <w:sz w:val="28"/>
                <w:szCs w:val="28"/>
              </w:rPr>
              <w:t>,</w:t>
            </w:r>
            <w:r>
              <w:rPr>
                <w:rFonts w:ascii="Times New Roman" w:hAnsi="Times New Roman"/>
                <w:sz w:val="28"/>
                <w:szCs w:val="28"/>
              </w:rPr>
              <w:t>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w:t>
            </w:r>
            <w:r w:rsidRPr="00512E36">
              <w:rPr>
                <w:rFonts w:ascii="Century" w:hAnsi="Century"/>
                <w:sz w:val="28"/>
                <w:szCs w:val="28"/>
              </w:rPr>
              <w:t>,</w:t>
            </w:r>
            <w:r>
              <w:rPr>
                <w:rFonts w:ascii="Times New Roman" w:hAnsi="Times New Roman"/>
                <w:sz w:val="28"/>
                <w:szCs w:val="28"/>
              </w:rPr>
              <w:t>97</w:t>
            </w:r>
          </w:p>
        </w:tc>
      </w:tr>
      <w:tr w:rsidR="006E01DF" w:rsidTr="00573846">
        <w:trPr>
          <w:trHeight w:val="330"/>
        </w:trPr>
        <w:tc>
          <w:tcPr>
            <w:tcW w:w="198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sidRPr="00512E36">
              <w:rPr>
                <w:rFonts w:ascii="Century" w:hAnsi="Century"/>
                <w:sz w:val="28"/>
                <w:szCs w:val="28"/>
              </w:rPr>
              <w:t>≥</w:t>
            </w:r>
            <w:r>
              <w:rPr>
                <w:rFonts w:ascii="Times New Roman" w:hAnsi="Times New Roman"/>
                <w:sz w:val="28"/>
                <w:szCs w:val="28"/>
              </w:rPr>
              <w:t>0,9</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290</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19</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w:t>
            </w:r>
            <w:r w:rsidRPr="00512E36">
              <w:rPr>
                <w:rFonts w:ascii="Century" w:hAnsi="Century"/>
                <w:sz w:val="28"/>
                <w:szCs w:val="28"/>
              </w:rPr>
              <w:t>,</w:t>
            </w:r>
            <w:r>
              <w:rPr>
                <w:rFonts w:ascii="Times New Roman" w:hAnsi="Times New Roman"/>
                <w:sz w:val="28"/>
                <w:szCs w:val="28"/>
              </w:rPr>
              <w:t>02 (0</w:t>
            </w:r>
            <w:r w:rsidRPr="00512E36">
              <w:rPr>
                <w:rFonts w:ascii="Century" w:hAnsi="Century"/>
                <w:sz w:val="28"/>
                <w:szCs w:val="28"/>
              </w:rPr>
              <w:t>,</w:t>
            </w:r>
            <w:r>
              <w:rPr>
                <w:rFonts w:ascii="Times New Roman" w:hAnsi="Times New Roman"/>
                <w:sz w:val="28"/>
                <w:szCs w:val="28"/>
              </w:rPr>
              <w:t>48-2</w:t>
            </w:r>
            <w:r w:rsidRPr="00512E36">
              <w:rPr>
                <w:rFonts w:ascii="Century" w:hAnsi="Century"/>
                <w:sz w:val="28"/>
                <w:szCs w:val="28"/>
              </w:rPr>
              <w:t>,</w:t>
            </w:r>
            <w:r>
              <w:rPr>
                <w:rFonts w:ascii="Times New Roman" w:hAnsi="Times New Roman"/>
                <w:sz w:val="28"/>
                <w:szCs w:val="28"/>
              </w:rPr>
              <w:t>14)</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573846">
        <w:trPr>
          <w:trHeight w:val="330"/>
        </w:trPr>
        <w:tc>
          <w:tcPr>
            <w:tcW w:w="1983"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апоВ</w:t>
            </w:r>
            <w:r w:rsidRPr="00512E36">
              <w:rPr>
                <w:rFonts w:ascii="Century" w:hAnsi="Century"/>
                <w:sz w:val="28"/>
                <w:szCs w:val="28"/>
              </w:rPr>
              <w:t>/</w:t>
            </w:r>
            <w:r>
              <w:rPr>
                <w:rFonts w:ascii="Times New Roman" w:hAnsi="Times New Roman"/>
                <w:sz w:val="28"/>
                <w:szCs w:val="28"/>
              </w:rPr>
              <w:t>апоА1</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sidRPr="00512E36">
              <w:rPr>
                <w:rFonts w:ascii="Century" w:hAnsi="Century"/>
                <w:sz w:val="28"/>
                <w:szCs w:val="28"/>
              </w:rPr>
              <w:t>≤</w:t>
            </w:r>
            <w:r>
              <w:rPr>
                <w:rFonts w:ascii="Times New Roman" w:hAnsi="Times New Roman"/>
                <w:sz w:val="28"/>
                <w:szCs w:val="28"/>
              </w:rPr>
              <w:t>0,85</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375</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21</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w:t>
            </w:r>
            <w:r w:rsidRPr="00512E36">
              <w:rPr>
                <w:rFonts w:ascii="Century" w:hAnsi="Century"/>
                <w:sz w:val="28"/>
                <w:szCs w:val="28"/>
              </w:rPr>
              <w:t>,</w:t>
            </w:r>
            <w:r>
              <w:rPr>
                <w:rFonts w:ascii="Times New Roman" w:hAnsi="Times New Roman"/>
                <w:sz w:val="28"/>
                <w:szCs w:val="28"/>
              </w:rPr>
              <w:t>15</w:t>
            </w:r>
          </w:p>
        </w:tc>
      </w:tr>
      <w:tr w:rsidR="006E01DF" w:rsidTr="00573846">
        <w:trPr>
          <w:trHeight w:val="330"/>
        </w:trPr>
        <w:tc>
          <w:tcPr>
            <w:tcW w:w="198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sidRPr="00512E36">
              <w:rPr>
                <w:rFonts w:ascii="Century" w:hAnsi="Century"/>
                <w:sz w:val="28"/>
                <w:szCs w:val="28"/>
              </w:rPr>
              <w:t>&gt;</w:t>
            </w:r>
            <w:r>
              <w:rPr>
                <w:rFonts w:ascii="Times New Roman" w:hAnsi="Times New Roman"/>
                <w:sz w:val="28"/>
                <w:szCs w:val="28"/>
              </w:rPr>
              <w:t>0,85</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101</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w:t>
            </w:r>
            <w:r w:rsidRPr="00512E36">
              <w:rPr>
                <w:rFonts w:ascii="Century" w:hAnsi="Century"/>
                <w:sz w:val="28"/>
                <w:szCs w:val="28"/>
              </w:rPr>
              <w:t>,</w:t>
            </w:r>
            <w:r>
              <w:rPr>
                <w:rFonts w:ascii="Times New Roman" w:hAnsi="Times New Roman"/>
                <w:sz w:val="28"/>
                <w:szCs w:val="28"/>
              </w:rPr>
              <w:t>77 (0</w:t>
            </w:r>
            <w:r w:rsidRPr="00512E36">
              <w:rPr>
                <w:rFonts w:ascii="Century" w:hAnsi="Century"/>
                <w:sz w:val="28"/>
                <w:szCs w:val="28"/>
              </w:rPr>
              <w:t>,</w:t>
            </w:r>
            <w:r>
              <w:rPr>
                <w:rFonts w:ascii="Times New Roman" w:hAnsi="Times New Roman"/>
                <w:sz w:val="28"/>
                <w:szCs w:val="28"/>
              </w:rPr>
              <w:t>81-3</w:t>
            </w:r>
            <w:r w:rsidRPr="00512E36">
              <w:rPr>
                <w:rFonts w:ascii="Century" w:hAnsi="Century"/>
                <w:sz w:val="28"/>
                <w:szCs w:val="28"/>
              </w:rPr>
              <w:t>,</w:t>
            </w:r>
            <w:r>
              <w:rPr>
                <w:rFonts w:ascii="Times New Roman" w:hAnsi="Times New Roman"/>
                <w:sz w:val="28"/>
                <w:szCs w:val="28"/>
              </w:rPr>
              <w:t>87)</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573846">
        <w:trPr>
          <w:trHeight w:val="330"/>
        </w:trPr>
        <w:tc>
          <w:tcPr>
            <w:tcW w:w="1983"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Инсулин, мкМЕ</w:t>
            </w:r>
            <w:r w:rsidRPr="00512E36">
              <w:rPr>
                <w:rFonts w:ascii="Century" w:hAnsi="Century"/>
                <w:sz w:val="28"/>
                <w:szCs w:val="28"/>
              </w:rPr>
              <w:t>/</w:t>
            </w:r>
            <w:r>
              <w:rPr>
                <w:rFonts w:ascii="Times New Roman" w:hAnsi="Times New Roman"/>
                <w:sz w:val="28"/>
                <w:szCs w:val="28"/>
              </w:rPr>
              <w:t xml:space="preserve">мл </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sidRPr="00512E36">
              <w:rPr>
                <w:rFonts w:ascii="Century" w:hAnsi="Century"/>
                <w:sz w:val="28"/>
                <w:szCs w:val="28"/>
              </w:rPr>
              <w:t>≤</w:t>
            </w:r>
            <w:r>
              <w:rPr>
                <w:rFonts w:ascii="Times New Roman" w:hAnsi="Times New Roman"/>
                <w:sz w:val="28"/>
                <w:szCs w:val="28"/>
              </w:rPr>
              <w:t>24</w:t>
            </w:r>
            <w:r w:rsidRPr="00512E36">
              <w:rPr>
                <w:rFonts w:ascii="Century" w:hAnsi="Century"/>
                <w:sz w:val="28"/>
                <w:szCs w:val="28"/>
              </w:rPr>
              <w:t>,</w:t>
            </w:r>
            <w:r>
              <w:rPr>
                <w:rFonts w:ascii="Times New Roman" w:hAnsi="Times New Roman"/>
                <w:sz w:val="28"/>
                <w:szCs w:val="28"/>
              </w:rPr>
              <w:t>9</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435</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29</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w:t>
            </w:r>
            <w:r w:rsidRPr="00512E36">
              <w:rPr>
                <w:rFonts w:ascii="Century" w:hAnsi="Century"/>
                <w:sz w:val="28"/>
                <w:szCs w:val="28"/>
              </w:rPr>
              <w:t>,</w:t>
            </w:r>
            <w:r>
              <w:rPr>
                <w:rFonts w:ascii="Times New Roman" w:hAnsi="Times New Roman"/>
                <w:sz w:val="28"/>
                <w:szCs w:val="28"/>
              </w:rPr>
              <w:t>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w:t>
            </w:r>
            <w:r w:rsidRPr="00512E36">
              <w:rPr>
                <w:rFonts w:ascii="Century" w:hAnsi="Century"/>
                <w:sz w:val="28"/>
                <w:szCs w:val="28"/>
              </w:rPr>
              <w:t>,</w:t>
            </w:r>
            <w:r>
              <w:rPr>
                <w:rFonts w:ascii="Times New Roman" w:hAnsi="Times New Roman"/>
                <w:sz w:val="28"/>
                <w:szCs w:val="28"/>
              </w:rPr>
              <w:t>67</w:t>
            </w:r>
          </w:p>
        </w:tc>
      </w:tr>
      <w:tr w:rsidR="006E01DF" w:rsidTr="00573846">
        <w:trPr>
          <w:trHeight w:val="330"/>
        </w:trPr>
        <w:tc>
          <w:tcPr>
            <w:tcW w:w="198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sidRPr="00512E36">
              <w:rPr>
                <w:rFonts w:ascii="Century" w:hAnsi="Century"/>
                <w:sz w:val="28"/>
                <w:szCs w:val="28"/>
              </w:rPr>
              <w:t>&gt;</w:t>
            </w:r>
            <w:r>
              <w:rPr>
                <w:rFonts w:ascii="Times New Roman" w:hAnsi="Times New Roman"/>
                <w:sz w:val="28"/>
                <w:szCs w:val="28"/>
              </w:rPr>
              <w:t>24</w:t>
            </w:r>
            <w:r w:rsidRPr="00512E36">
              <w:rPr>
                <w:rFonts w:ascii="Century" w:hAnsi="Century"/>
                <w:sz w:val="28"/>
                <w:szCs w:val="28"/>
              </w:rPr>
              <w:t>,</w:t>
            </w:r>
            <w:r>
              <w:rPr>
                <w:rFonts w:ascii="Times New Roman" w:hAnsi="Times New Roman"/>
                <w:sz w:val="28"/>
                <w:szCs w:val="28"/>
              </w:rPr>
              <w:t>9</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41</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w:t>
            </w:r>
            <w:r w:rsidRPr="00512E36">
              <w:rPr>
                <w:rFonts w:ascii="Century" w:hAnsi="Century"/>
                <w:sz w:val="28"/>
                <w:szCs w:val="28"/>
              </w:rPr>
              <w:t>,</w:t>
            </w:r>
            <w:r>
              <w:rPr>
                <w:rFonts w:ascii="Times New Roman" w:hAnsi="Times New Roman"/>
                <w:sz w:val="28"/>
                <w:szCs w:val="28"/>
              </w:rPr>
              <w:t>73 (0</w:t>
            </w:r>
            <w:r w:rsidRPr="00512E36">
              <w:rPr>
                <w:rFonts w:ascii="Century" w:hAnsi="Century"/>
                <w:sz w:val="28"/>
                <w:szCs w:val="28"/>
              </w:rPr>
              <w:t>,</w:t>
            </w:r>
            <w:r>
              <w:rPr>
                <w:rFonts w:ascii="Times New Roman" w:hAnsi="Times New Roman"/>
                <w:sz w:val="28"/>
                <w:szCs w:val="28"/>
              </w:rPr>
              <w:t>17-3</w:t>
            </w:r>
            <w:r w:rsidRPr="00512E36">
              <w:rPr>
                <w:rFonts w:ascii="Century" w:hAnsi="Century"/>
                <w:sz w:val="28"/>
                <w:szCs w:val="28"/>
              </w:rPr>
              <w:t>,</w:t>
            </w:r>
            <w:r>
              <w:rPr>
                <w:rFonts w:ascii="Times New Roman" w:hAnsi="Times New Roman"/>
                <w:sz w:val="28"/>
                <w:szCs w:val="28"/>
              </w:rPr>
              <w:t>18)</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573846">
        <w:trPr>
          <w:trHeight w:val="330"/>
        </w:trPr>
        <w:tc>
          <w:tcPr>
            <w:tcW w:w="1983"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 xml:space="preserve">глюкоза, ммоль/л </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≤5,59</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250</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16</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0,78</w:t>
            </w:r>
          </w:p>
        </w:tc>
      </w:tr>
      <w:tr w:rsidR="006E01DF" w:rsidTr="00573846">
        <w:trPr>
          <w:trHeight w:val="330"/>
        </w:trPr>
        <w:tc>
          <w:tcPr>
            <w:tcW w:w="198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pPr>
            <w:r>
              <w:rPr>
                <w:rFonts w:ascii="Times New Roman" w:hAnsi="Times New Roman"/>
                <w:sz w:val="28"/>
                <w:szCs w:val="28"/>
              </w:rPr>
              <w:t>&gt;5,59</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226</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16</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1,11 (0,54-2,26)</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573846">
        <w:trPr>
          <w:trHeight w:val="330"/>
        </w:trPr>
        <w:tc>
          <w:tcPr>
            <w:tcW w:w="1983"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HOMA-IR</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&lt;2,7</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288</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23</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0,13</w:t>
            </w:r>
          </w:p>
        </w:tc>
      </w:tr>
      <w:tr w:rsidR="006E01DF" w:rsidTr="00573846">
        <w:trPr>
          <w:trHeight w:val="330"/>
        </w:trPr>
        <w:tc>
          <w:tcPr>
            <w:tcW w:w="198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≥2,7</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188</w:t>
            </w:r>
          </w:p>
        </w:tc>
        <w:tc>
          <w:tcPr>
            <w:tcW w:w="1276"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8</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0,53 (0,23-1,22)</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573846">
        <w:trPr>
          <w:trHeight w:val="451"/>
        </w:trPr>
        <w:tc>
          <w:tcPr>
            <w:tcW w:w="9495" w:type="dxa"/>
            <w:gridSpan w:val="6"/>
            <w:tcBorders>
              <w:top w:val="single" w:sz="4" w:space="0" w:color="auto"/>
              <w:left w:val="single" w:sz="4" w:space="0" w:color="auto"/>
              <w:bottom w:val="single" w:sz="4" w:space="0" w:color="auto"/>
              <w:right w:val="single" w:sz="4" w:space="0" w:color="auto"/>
            </w:tcBorders>
            <w:hideMark/>
          </w:tcPr>
          <w:p w:rsidR="00EC7987" w:rsidRDefault="006E01DF">
            <w:pPr>
              <w:jc w:val="both"/>
              <w:rPr>
                <w:rFonts w:ascii="Times New Roman" w:hAnsi="Times New Roman"/>
                <w:szCs w:val="24"/>
                <w:lang w:val="kk-KZ"/>
              </w:rPr>
            </w:pPr>
            <w:r>
              <w:rPr>
                <w:rFonts w:ascii="Times New Roman" w:hAnsi="Times New Roman"/>
                <w:szCs w:val="24"/>
              </w:rPr>
              <w:t>Примечание * - χ</w:t>
            </w:r>
            <w:r>
              <w:rPr>
                <w:rFonts w:ascii="Times New Roman" w:hAnsi="Times New Roman"/>
                <w:szCs w:val="24"/>
                <w:vertAlign w:val="superscript"/>
              </w:rPr>
              <w:t>2</w:t>
            </w:r>
            <w:r>
              <w:rPr>
                <w:rFonts w:ascii="Times New Roman" w:hAnsi="Times New Roman"/>
                <w:szCs w:val="24"/>
              </w:rPr>
              <w:t xml:space="preserve"> – хи квадрат Пирсона; </w:t>
            </w:r>
          </w:p>
          <w:p w:rsidR="006E01DF" w:rsidRDefault="006E01DF">
            <w:pPr>
              <w:jc w:val="both"/>
              <w:rPr>
                <w:rFonts w:ascii="Times New Roman" w:hAnsi="Times New Roman"/>
                <w:sz w:val="20"/>
                <w:szCs w:val="20"/>
              </w:rPr>
            </w:pPr>
            <w:r>
              <w:rPr>
                <w:rFonts w:ascii="Times New Roman" w:hAnsi="Times New Roman"/>
                <w:szCs w:val="24"/>
              </w:rPr>
              <w:t>ОШ (95% ДИ) – Отношение шансов (95% Доверительный интервал)</w:t>
            </w:r>
          </w:p>
        </w:tc>
      </w:tr>
    </w:tbl>
    <w:p w:rsidR="00573846" w:rsidRDefault="00573846" w:rsidP="00573846">
      <w:pPr>
        <w:spacing w:after="0" w:line="240" w:lineRule="auto"/>
        <w:ind w:firstLine="708"/>
        <w:jc w:val="both"/>
        <w:rPr>
          <w:rFonts w:ascii="Times New Roman" w:hAnsi="Times New Roman" w:cs="Times New Roman"/>
          <w:sz w:val="28"/>
          <w:szCs w:val="28"/>
        </w:rPr>
      </w:pPr>
    </w:p>
    <w:p w:rsidR="00EA265A" w:rsidRDefault="00AB12B3" w:rsidP="00EA265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Таким образом, в нашем исследовании уровни ЛПВП, инсулина и </w:t>
      </w:r>
      <w:r>
        <w:rPr>
          <w:rFonts w:ascii="Times New Roman" w:hAnsi="Times New Roman"/>
          <w:sz w:val="28"/>
          <w:szCs w:val="28"/>
        </w:rPr>
        <w:t>HOMA-IR</w:t>
      </w:r>
      <w:r w:rsidR="00AF30FA">
        <w:rPr>
          <w:rFonts w:ascii="Times New Roman" w:hAnsi="Times New Roman" w:cs="Times New Roman"/>
          <w:sz w:val="28"/>
          <w:szCs w:val="28"/>
        </w:rPr>
        <w:t xml:space="preserve"> отличались в группах апоА1</w:t>
      </w:r>
      <w:r w:rsidR="0052559E">
        <w:rPr>
          <w:rFonts w:ascii="Times New Roman" w:hAnsi="Times New Roman" w:cs="Times New Roman"/>
          <w:sz w:val="28"/>
          <w:szCs w:val="28"/>
        </w:rPr>
        <w:t xml:space="preserve">, </w:t>
      </w:r>
      <w:r w:rsidR="0052559E" w:rsidRPr="00C307ED">
        <w:rPr>
          <w:rFonts w:ascii="Times New Roman" w:hAnsi="Times New Roman" w:cs="Times New Roman"/>
          <w:sz w:val="28"/>
          <w:szCs w:val="28"/>
        </w:rPr>
        <w:t>выявлена обратная связь между уровн</w:t>
      </w:r>
      <w:r w:rsidR="003F244B">
        <w:rPr>
          <w:rFonts w:ascii="Times New Roman" w:hAnsi="Times New Roman" w:cs="Times New Roman"/>
          <w:sz w:val="28"/>
          <w:szCs w:val="28"/>
        </w:rPr>
        <w:t>ем</w:t>
      </w:r>
      <w:r w:rsidR="00F43693" w:rsidRPr="00C307ED">
        <w:rPr>
          <w:rFonts w:ascii="Times New Roman" w:hAnsi="Times New Roman" w:cs="Times New Roman"/>
          <w:sz w:val="28"/>
          <w:szCs w:val="28"/>
        </w:rPr>
        <w:t xml:space="preserve"> инсулина,</w:t>
      </w:r>
      <w:r w:rsidR="009B60C5">
        <w:rPr>
          <w:rFonts w:ascii="Times New Roman" w:hAnsi="Times New Roman" w:cs="Times New Roman"/>
          <w:sz w:val="28"/>
          <w:szCs w:val="28"/>
        </w:rPr>
        <w:t xml:space="preserve"> </w:t>
      </w:r>
      <w:r w:rsidR="00F43693" w:rsidRPr="00C307ED">
        <w:rPr>
          <w:rFonts w:ascii="Times New Roman" w:hAnsi="Times New Roman"/>
          <w:sz w:val="28"/>
          <w:szCs w:val="28"/>
        </w:rPr>
        <w:t>HOMA-IR с уровнем апоА1</w:t>
      </w:r>
      <w:r>
        <w:rPr>
          <w:rFonts w:ascii="Times New Roman" w:hAnsi="Times New Roman" w:cs="Times New Roman"/>
          <w:sz w:val="28"/>
          <w:szCs w:val="28"/>
        </w:rPr>
        <w:t xml:space="preserve">. </w:t>
      </w:r>
      <w:r w:rsidR="00EA265A">
        <w:rPr>
          <w:rFonts w:ascii="Times New Roman" w:hAnsi="Times New Roman" w:cs="Times New Roman"/>
          <w:sz w:val="28"/>
          <w:szCs w:val="28"/>
        </w:rPr>
        <w:t>В связи с этим,</w:t>
      </w:r>
      <w:r>
        <w:rPr>
          <w:rFonts w:ascii="Times New Roman" w:hAnsi="Times New Roman" w:cs="Times New Roman"/>
          <w:sz w:val="28"/>
          <w:szCs w:val="28"/>
        </w:rPr>
        <w:t xml:space="preserve"> мы считаем, что </w:t>
      </w:r>
      <w:r w:rsidR="00EA265A">
        <w:rPr>
          <w:rFonts w:ascii="Times New Roman" w:hAnsi="Times New Roman" w:cs="Times New Roman"/>
          <w:sz w:val="28"/>
          <w:szCs w:val="28"/>
        </w:rPr>
        <w:t>необходимо</w:t>
      </w:r>
      <w:r>
        <w:rPr>
          <w:rFonts w:ascii="Times New Roman" w:hAnsi="Times New Roman" w:cs="Times New Roman"/>
          <w:sz w:val="28"/>
          <w:szCs w:val="28"/>
        </w:rPr>
        <w:t xml:space="preserve"> дальнейшее изучение влияния апо</w:t>
      </w:r>
      <w:r w:rsidR="00F051BC">
        <w:rPr>
          <w:rFonts w:ascii="Times New Roman" w:hAnsi="Times New Roman" w:cs="Times New Roman"/>
          <w:sz w:val="28"/>
          <w:szCs w:val="28"/>
        </w:rPr>
        <w:t>ЛП</w:t>
      </w:r>
      <w:r>
        <w:rPr>
          <w:rFonts w:ascii="Times New Roman" w:hAnsi="Times New Roman" w:cs="Times New Roman"/>
          <w:sz w:val="28"/>
          <w:szCs w:val="28"/>
        </w:rPr>
        <w:t xml:space="preserve"> в казахской популяции.</w:t>
      </w:r>
    </w:p>
    <w:p w:rsidR="00B324BD" w:rsidRDefault="00B324BD" w:rsidP="00EA265A">
      <w:pPr>
        <w:spacing w:after="0" w:line="240" w:lineRule="auto"/>
        <w:jc w:val="both"/>
        <w:rPr>
          <w:rFonts w:ascii="Times New Roman" w:hAnsi="Times New Roman" w:cs="Times New Roman"/>
          <w:sz w:val="28"/>
          <w:szCs w:val="28"/>
        </w:rPr>
        <w:sectPr w:rsidR="00B324BD" w:rsidSect="005B1090">
          <w:pgSz w:w="11906" w:h="16838"/>
          <w:pgMar w:top="1134" w:right="850" w:bottom="1134" w:left="1701" w:header="708" w:footer="708" w:gutter="0"/>
          <w:cols w:space="720"/>
        </w:sectPr>
      </w:pPr>
    </w:p>
    <w:p w:rsidR="00AB12B3" w:rsidRDefault="00AB12B3" w:rsidP="00EA265A">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lastRenderedPageBreak/>
        <w:t>Соотношение апоВ/апоА1</w:t>
      </w:r>
    </w:p>
    <w:p w:rsidR="00DB5225" w:rsidRDefault="00DB5225" w:rsidP="00DB522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w:t>
      </w:r>
      <w:r w:rsidR="00386E6E">
        <w:rPr>
          <w:rFonts w:ascii="Times New Roman" w:hAnsi="Times New Roman" w:cs="Times New Roman"/>
          <w:sz w:val="28"/>
          <w:szCs w:val="28"/>
        </w:rPr>
        <w:t>исследований различий</w:t>
      </w:r>
      <w:r>
        <w:rPr>
          <w:rFonts w:ascii="Times New Roman" w:hAnsi="Times New Roman" w:cs="Times New Roman"/>
          <w:sz w:val="28"/>
          <w:szCs w:val="28"/>
        </w:rPr>
        <w:t xml:space="preserve"> средних величин факторов риска м</w:t>
      </w:r>
      <w:r w:rsidR="00386E6E">
        <w:rPr>
          <w:rFonts w:ascii="Times New Roman" w:hAnsi="Times New Roman" w:cs="Times New Roman"/>
          <w:sz w:val="28"/>
          <w:szCs w:val="28"/>
        </w:rPr>
        <w:t>ежду группами апоВ/апоА1 отличий</w:t>
      </w:r>
      <w:r>
        <w:rPr>
          <w:rFonts w:ascii="Times New Roman" w:hAnsi="Times New Roman" w:cs="Times New Roman"/>
          <w:sz w:val="28"/>
          <w:szCs w:val="28"/>
        </w:rPr>
        <w:t xml:space="preserve"> не выявлено (таблица 32). </w:t>
      </w:r>
    </w:p>
    <w:p w:rsidR="00BD4973" w:rsidRDefault="00BD4973" w:rsidP="00BD4973">
      <w:pPr>
        <w:spacing w:after="0" w:line="240" w:lineRule="auto"/>
        <w:ind w:firstLine="708"/>
        <w:jc w:val="both"/>
        <w:rPr>
          <w:rFonts w:ascii="Times New Roman" w:hAnsi="Times New Roman" w:cs="Times New Roman"/>
          <w:sz w:val="28"/>
          <w:szCs w:val="28"/>
        </w:rPr>
      </w:pPr>
    </w:p>
    <w:p w:rsidR="00FE28DE" w:rsidRDefault="00FE28DE" w:rsidP="00FE28DE">
      <w:pPr>
        <w:spacing w:after="0" w:line="240" w:lineRule="auto"/>
        <w:jc w:val="both"/>
        <w:rPr>
          <w:rFonts w:ascii="Times New Roman" w:hAnsi="Times New Roman"/>
          <w:sz w:val="28"/>
          <w:szCs w:val="28"/>
          <w:lang w:val="kk-KZ"/>
        </w:rPr>
      </w:pPr>
      <w:r>
        <w:rPr>
          <w:rFonts w:ascii="Times New Roman" w:hAnsi="Times New Roman" w:cs="Times New Roman"/>
          <w:sz w:val="28"/>
          <w:szCs w:val="28"/>
        </w:rPr>
        <w:t>Таблица 32</w:t>
      </w:r>
      <w:r w:rsidR="004621D6">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средних величин факторов рисков по группам апо</w:t>
      </w:r>
      <w:r w:rsidR="002030EE">
        <w:rPr>
          <w:rFonts w:ascii="Times New Roman" w:hAnsi="Times New Roman" w:cs="Times New Roman"/>
          <w:sz w:val="28"/>
          <w:szCs w:val="28"/>
        </w:rPr>
        <w:t xml:space="preserve">липопротеин </w:t>
      </w:r>
      <w:r>
        <w:rPr>
          <w:rFonts w:ascii="Times New Roman" w:hAnsi="Times New Roman" w:cs="Times New Roman"/>
          <w:sz w:val="28"/>
          <w:szCs w:val="28"/>
        </w:rPr>
        <w:t>В/апо</w:t>
      </w:r>
      <w:r w:rsidR="002030EE">
        <w:rPr>
          <w:rFonts w:ascii="Times New Roman" w:hAnsi="Times New Roman" w:cs="Times New Roman"/>
          <w:sz w:val="28"/>
          <w:szCs w:val="28"/>
        </w:rPr>
        <w:t xml:space="preserve">липопротеин </w:t>
      </w:r>
      <w:r>
        <w:rPr>
          <w:rFonts w:ascii="Times New Roman" w:hAnsi="Times New Roman" w:cs="Times New Roman"/>
          <w:sz w:val="28"/>
          <w:szCs w:val="28"/>
        </w:rPr>
        <w:t>А1</w:t>
      </w:r>
      <w:r w:rsidR="004B09AD">
        <w:rPr>
          <w:rFonts w:ascii="Times New Roman" w:hAnsi="Times New Roman" w:cs="Times New Roman"/>
          <w:sz w:val="28"/>
          <w:szCs w:val="28"/>
        </w:rPr>
        <w:t xml:space="preserve"> </w:t>
      </w:r>
      <w:r w:rsidR="00051F4F">
        <w:rPr>
          <w:rFonts w:ascii="Times New Roman" w:hAnsi="Times New Roman" w:cs="Times New Roman"/>
          <w:sz w:val="28"/>
          <w:szCs w:val="28"/>
        </w:rPr>
        <w:t>(</w:t>
      </w:r>
      <w:r>
        <w:rPr>
          <w:rFonts w:ascii="Times New Roman" w:hAnsi="Times New Roman"/>
          <w:sz w:val="28"/>
          <w:szCs w:val="28"/>
        </w:rPr>
        <w:t>n=507</w:t>
      </w:r>
      <w:r w:rsidR="00051F4F">
        <w:rPr>
          <w:rFonts w:ascii="Times New Roman" w:hAnsi="Times New Roman"/>
          <w:sz w:val="28"/>
          <w:szCs w:val="28"/>
        </w:rPr>
        <w:t>)</w:t>
      </w:r>
    </w:p>
    <w:p w:rsidR="00B324BD" w:rsidRPr="00B324BD" w:rsidRDefault="00B324BD" w:rsidP="00FE28DE">
      <w:pPr>
        <w:spacing w:after="0" w:line="240" w:lineRule="auto"/>
        <w:jc w:val="both"/>
        <w:rPr>
          <w:rFonts w:ascii="Times New Roman" w:hAnsi="Times New Roman" w:cs="Times New Roman"/>
          <w:sz w:val="28"/>
          <w:szCs w:val="28"/>
          <w:lang w:val="kk-KZ"/>
        </w:rPr>
      </w:pPr>
    </w:p>
    <w:tbl>
      <w:tblPr>
        <w:tblStyle w:val="af7"/>
        <w:tblW w:w="9360" w:type="dxa"/>
        <w:tblInd w:w="108" w:type="dxa"/>
        <w:tblLayout w:type="fixed"/>
        <w:tblLook w:val="04A0" w:firstRow="1" w:lastRow="0" w:firstColumn="1" w:lastColumn="0" w:noHBand="0" w:noVBand="1"/>
      </w:tblPr>
      <w:tblGrid>
        <w:gridCol w:w="3263"/>
        <w:gridCol w:w="2552"/>
        <w:gridCol w:w="2553"/>
        <w:gridCol w:w="992"/>
      </w:tblGrid>
      <w:tr w:rsidR="00FE28DE" w:rsidTr="00F14602">
        <w:trPr>
          <w:trHeight w:val="377"/>
        </w:trPr>
        <w:tc>
          <w:tcPr>
            <w:tcW w:w="3263" w:type="dxa"/>
            <w:vMerge w:val="restart"/>
            <w:tcBorders>
              <w:top w:val="single" w:sz="4" w:space="0" w:color="auto"/>
              <w:left w:val="single" w:sz="4" w:space="0" w:color="auto"/>
              <w:bottom w:val="single" w:sz="4" w:space="0" w:color="auto"/>
              <w:right w:val="single" w:sz="4" w:space="0" w:color="auto"/>
            </w:tcBorders>
            <w:vAlign w:val="center"/>
            <w:hideMark/>
          </w:tcPr>
          <w:p w:rsidR="00FE28DE" w:rsidRDefault="00FE28DE" w:rsidP="00F820CF">
            <w:pPr>
              <w:jc w:val="center"/>
              <w:rPr>
                <w:rFonts w:ascii="Times New Roman" w:hAnsi="Times New Roman"/>
                <w:sz w:val="28"/>
                <w:szCs w:val="28"/>
              </w:rPr>
            </w:pPr>
            <w:r>
              <w:rPr>
                <w:rFonts w:ascii="Times New Roman" w:hAnsi="Times New Roman"/>
                <w:sz w:val="28"/>
                <w:szCs w:val="28"/>
              </w:rPr>
              <w:t>Параметры</w:t>
            </w:r>
          </w:p>
        </w:tc>
        <w:tc>
          <w:tcPr>
            <w:tcW w:w="5105" w:type="dxa"/>
            <w:gridSpan w:val="2"/>
            <w:tcBorders>
              <w:top w:val="single" w:sz="4" w:space="0" w:color="auto"/>
              <w:left w:val="single" w:sz="4" w:space="0" w:color="auto"/>
              <w:bottom w:val="single" w:sz="4" w:space="0" w:color="auto"/>
              <w:right w:val="single" w:sz="4" w:space="0" w:color="auto"/>
            </w:tcBorders>
            <w:hideMark/>
          </w:tcPr>
          <w:p w:rsidR="00FE28DE" w:rsidRDefault="00FE28DE" w:rsidP="00F820CF">
            <w:pPr>
              <w:jc w:val="center"/>
              <w:rPr>
                <w:rFonts w:ascii="Times New Roman" w:hAnsi="Times New Roman"/>
                <w:sz w:val="28"/>
                <w:szCs w:val="28"/>
              </w:rPr>
            </w:pPr>
            <w:r>
              <w:rPr>
                <w:rFonts w:ascii="Times New Roman" w:hAnsi="Times New Roman"/>
                <w:sz w:val="28"/>
                <w:szCs w:val="28"/>
              </w:rPr>
              <w:t>апоВ/апоА1</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FE28DE" w:rsidRDefault="00FE28DE" w:rsidP="00F820CF">
            <w:pPr>
              <w:jc w:val="center"/>
              <w:rPr>
                <w:rFonts w:ascii="Times New Roman" w:hAnsi="Times New Roman"/>
                <w:sz w:val="28"/>
                <w:szCs w:val="28"/>
              </w:rPr>
            </w:pPr>
            <w:r>
              <w:rPr>
                <w:rFonts w:ascii="Times New Roman" w:hAnsi="Times New Roman"/>
                <w:sz w:val="28"/>
                <w:szCs w:val="28"/>
              </w:rPr>
              <w:t>p*</w:t>
            </w:r>
          </w:p>
        </w:tc>
      </w:tr>
      <w:tr w:rsidR="00FE28DE" w:rsidTr="00F14602">
        <w:trPr>
          <w:trHeight w:val="379"/>
        </w:trPr>
        <w:tc>
          <w:tcPr>
            <w:tcW w:w="3263" w:type="dxa"/>
            <w:vMerge/>
            <w:tcBorders>
              <w:top w:val="single" w:sz="4" w:space="0" w:color="auto"/>
              <w:left w:val="single" w:sz="4" w:space="0" w:color="auto"/>
              <w:bottom w:val="single" w:sz="4" w:space="0" w:color="auto"/>
              <w:right w:val="single" w:sz="4" w:space="0" w:color="auto"/>
            </w:tcBorders>
            <w:vAlign w:val="center"/>
            <w:hideMark/>
          </w:tcPr>
          <w:p w:rsidR="00FE28DE" w:rsidRDefault="00FE28DE" w:rsidP="00F820CF">
            <w:pPr>
              <w:rPr>
                <w:rFonts w:ascii="Times New Roman" w:hAnsi="Times New Roman"/>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rsidR="00FE28DE" w:rsidRDefault="00FE28DE" w:rsidP="00F820CF">
            <w:pPr>
              <w:jc w:val="center"/>
              <w:rPr>
                <w:rFonts w:ascii="Times New Roman" w:hAnsi="Times New Roman"/>
                <w:sz w:val="28"/>
                <w:szCs w:val="28"/>
              </w:rPr>
            </w:pPr>
            <w:r>
              <w:rPr>
                <w:rFonts w:ascii="Times New Roman" w:hAnsi="Times New Roman"/>
                <w:sz w:val="28"/>
                <w:szCs w:val="28"/>
              </w:rPr>
              <w:t>≤0,85</w:t>
            </w:r>
          </w:p>
          <w:p w:rsidR="00FE28DE" w:rsidRDefault="00FE28DE" w:rsidP="00F820CF">
            <w:pPr>
              <w:jc w:val="center"/>
              <w:rPr>
                <w:rFonts w:ascii="Times New Roman" w:hAnsi="Times New Roman"/>
                <w:sz w:val="28"/>
                <w:szCs w:val="28"/>
              </w:rPr>
            </w:pPr>
            <w:r>
              <w:rPr>
                <w:rFonts w:ascii="Times New Roman" w:hAnsi="Times New Roman"/>
                <w:sz w:val="28"/>
                <w:szCs w:val="28"/>
              </w:rPr>
              <w:t>Ме±IQR (Q1–Q3)</w:t>
            </w:r>
          </w:p>
        </w:tc>
        <w:tc>
          <w:tcPr>
            <w:tcW w:w="2553" w:type="dxa"/>
            <w:tcBorders>
              <w:top w:val="single" w:sz="4" w:space="0" w:color="auto"/>
              <w:left w:val="single" w:sz="4" w:space="0" w:color="auto"/>
              <w:bottom w:val="single" w:sz="4" w:space="0" w:color="auto"/>
              <w:right w:val="single" w:sz="4" w:space="0" w:color="auto"/>
            </w:tcBorders>
            <w:vAlign w:val="center"/>
            <w:hideMark/>
          </w:tcPr>
          <w:p w:rsidR="00FE28DE" w:rsidRDefault="00FE28DE" w:rsidP="00F820CF">
            <w:pPr>
              <w:jc w:val="center"/>
              <w:rPr>
                <w:rFonts w:ascii="Times New Roman" w:hAnsi="Times New Roman"/>
                <w:sz w:val="28"/>
                <w:szCs w:val="28"/>
              </w:rPr>
            </w:pPr>
            <w:r>
              <w:rPr>
                <w:rFonts w:ascii="Times New Roman" w:hAnsi="Times New Roman"/>
                <w:sz w:val="28"/>
                <w:szCs w:val="28"/>
              </w:rPr>
              <w:t>&gt;0,85</w:t>
            </w:r>
          </w:p>
          <w:p w:rsidR="00FE28DE" w:rsidRDefault="00FE28DE" w:rsidP="00F820CF">
            <w:pPr>
              <w:jc w:val="center"/>
              <w:rPr>
                <w:rFonts w:ascii="Times New Roman" w:hAnsi="Times New Roman"/>
                <w:sz w:val="28"/>
                <w:szCs w:val="28"/>
              </w:rPr>
            </w:pPr>
            <w:r>
              <w:rPr>
                <w:rFonts w:ascii="Times New Roman" w:hAnsi="Times New Roman"/>
                <w:sz w:val="28"/>
                <w:szCs w:val="28"/>
              </w:rPr>
              <w:t>Ме±IQR (Q1–Q3)</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FE28DE" w:rsidRDefault="00FE28DE" w:rsidP="00F820CF">
            <w:pPr>
              <w:rPr>
                <w:rFonts w:ascii="Times New Roman" w:hAnsi="Times New Roman"/>
                <w:sz w:val="28"/>
                <w:szCs w:val="28"/>
              </w:rPr>
            </w:pPr>
          </w:p>
        </w:tc>
      </w:tr>
      <w:tr w:rsidR="00FE28DE" w:rsidTr="00F14602">
        <w:trPr>
          <w:trHeight w:val="323"/>
        </w:trPr>
        <w:tc>
          <w:tcPr>
            <w:tcW w:w="3263" w:type="dxa"/>
            <w:tcBorders>
              <w:top w:val="single" w:sz="4" w:space="0" w:color="auto"/>
              <w:left w:val="single" w:sz="4" w:space="0" w:color="auto"/>
              <w:bottom w:val="single" w:sz="4" w:space="0" w:color="auto"/>
              <w:right w:val="single" w:sz="4" w:space="0" w:color="auto"/>
            </w:tcBorders>
            <w:vAlign w:val="center"/>
            <w:hideMark/>
          </w:tcPr>
          <w:p w:rsidR="00FE28DE" w:rsidRDefault="00FE28DE" w:rsidP="00F820CF">
            <w:pPr>
              <w:jc w:val="center"/>
              <w:rPr>
                <w:rFonts w:ascii="Times New Roman" w:hAnsi="Times New Roman"/>
                <w:sz w:val="28"/>
                <w:szCs w:val="28"/>
              </w:rPr>
            </w:pPr>
            <w:r>
              <w:rPr>
                <w:rFonts w:ascii="Times New Roman" w:hAnsi="Times New Roman"/>
                <w:sz w:val="28"/>
                <w:szCs w:val="28"/>
              </w:rPr>
              <w:t>Возраст</w:t>
            </w:r>
            <w:r w:rsidRPr="00512E36">
              <w:rPr>
                <w:rFonts w:ascii="Century" w:hAnsi="Century"/>
                <w:sz w:val="28"/>
                <w:szCs w:val="28"/>
              </w:rPr>
              <w:t xml:space="preserve">, </w:t>
            </w:r>
            <w:r>
              <w:rPr>
                <w:rFonts w:ascii="Times New Roman" w:hAnsi="Times New Roman"/>
                <w:sz w:val="28"/>
                <w:szCs w:val="28"/>
              </w:rPr>
              <w:t>лет</w:t>
            </w:r>
          </w:p>
        </w:tc>
        <w:tc>
          <w:tcPr>
            <w:tcW w:w="2552" w:type="dxa"/>
            <w:tcBorders>
              <w:top w:val="nil"/>
              <w:left w:val="single" w:sz="4" w:space="0" w:color="auto"/>
              <w:bottom w:val="single" w:sz="4" w:space="0" w:color="auto"/>
              <w:right w:val="single" w:sz="4" w:space="0" w:color="auto"/>
            </w:tcBorders>
            <w:vAlign w:val="center"/>
            <w:hideMark/>
          </w:tcPr>
          <w:p w:rsidR="00FE28DE" w:rsidRDefault="00FE28DE" w:rsidP="00F820CF">
            <w:pPr>
              <w:jc w:val="center"/>
              <w:rPr>
                <w:rFonts w:ascii="Times New Roman" w:hAnsi="Times New Roman"/>
                <w:sz w:val="28"/>
                <w:szCs w:val="28"/>
              </w:rPr>
            </w:pPr>
            <w:r>
              <w:rPr>
                <w:rFonts w:ascii="Times New Roman" w:hAnsi="Times New Roman"/>
                <w:sz w:val="28"/>
                <w:szCs w:val="28"/>
              </w:rPr>
              <w:t>46</w:t>
            </w:r>
            <w:r w:rsidRPr="00512E36">
              <w:rPr>
                <w:rFonts w:ascii="Century" w:hAnsi="Century"/>
                <w:sz w:val="28"/>
                <w:szCs w:val="28"/>
              </w:rPr>
              <w:t>±</w:t>
            </w:r>
            <w:r>
              <w:rPr>
                <w:rFonts w:ascii="Times New Roman" w:hAnsi="Times New Roman"/>
                <w:sz w:val="28"/>
                <w:szCs w:val="28"/>
              </w:rPr>
              <w:t>17 (39-56)</w:t>
            </w:r>
          </w:p>
        </w:tc>
        <w:tc>
          <w:tcPr>
            <w:tcW w:w="2553" w:type="dxa"/>
            <w:tcBorders>
              <w:top w:val="nil"/>
              <w:left w:val="single" w:sz="4" w:space="0" w:color="auto"/>
              <w:bottom w:val="single" w:sz="4" w:space="0" w:color="auto"/>
              <w:right w:val="single" w:sz="4" w:space="0" w:color="auto"/>
            </w:tcBorders>
            <w:vAlign w:val="center"/>
            <w:hideMark/>
          </w:tcPr>
          <w:p w:rsidR="00FE28DE" w:rsidRDefault="00FE28DE" w:rsidP="00F820CF">
            <w:pPr>
              <w:jc w:val="center"/>
              <w:rPr>
                <w:rFonts w:ascii="Times New Roman" w:hAnsi="Times New Roman"/>
                <w:sz w:val="28"/>
                <w:szCs w:val="28"/>
              </w:rPr>
            </w:pPr>
            <w:r>
              <w:rPr>
                <w:rFonts w:ascii="Times New Roman" w:hAnsi="Times New Roman"/>
                <w:sz w:val="28"/>
                <w:szCs w:val="28"/>
              </w:rPr>
              <w:t>46</w:t>
            </w:r>
            <w:r w:rsidRPr="00512E36">
              <w:rPr>
                <w:rFonts w:ascii="Century" w:hAnsi="Century"/>
                <w:sz w:val="28"/>
                <w:szCs w:val="28"/>
              </w:rPr>
              <w:t>±</w:t>
            </w:r>
            <w:r>
              <w:rPr>
                <w:rFonts w:ascii="Times New Roman" w:hAnsi="Times New Roman"/>
                <w:sz w:val="28"/>
                <w:szCs w:val="28"/>
              </w:rPr>
              <w:t>19 (36-55)</w:t>
            </w:r>
          </w:p>
        </w:tc>
        <w:tc>
          <w:tcPr>
            <w:tcW w:w="992" w:type="dxa"/>
            <w:tcBorders>
              <w:top w:val="single" w:sz="4" w:space="0" w:color="auto"/>
              <w:left w:val="single" w:sz="4" w:space="0" w:color="auto"/>
              <w:bottom w:val="single" w:sz="4" w:space="0" w:color="auto"/>
              <w:right w:val="single" w:sz="4" w:space="0" w:color="auto"/>
            </w:tcBorders>
            <w:hideMark/>
          </w:tcPr>
          <w:p w:rsidR="00FE28DE" w:rsidRDefault="00FE28DE" w:rsidP="00F820CF">
            <w:pPr>
              <w:jc w:val="center"/>
              <w:rPr>
                <w:rFonts w:ascii="Times New Roman" w:hAnsi="Times New Roman"/>
                <w:sz w:val="28"/>
                <w:szCs w:val="28"/>
              </w:rPr>
            </w:pPr>
            <w:r>
              <w:rPr>
                <w:rFonts w:ascii="Times New Roman" w:hAnsi="Times New Roman"/>
                <w:sz w:val="28"/>
                <w:szCs w:val="28"/>
              </w:rPr>
              <w:t>0</w:t>
            </w:r>
            <w:r w:rsidRPr="00512E36">
              <w:rPr>
                <w:rFonts w:ascii="Century" w:hAnsi="Century"/>
                <w:sz w:val="28"/>
                <w:szCs w:val="28"/>
              </w:rPr>
              <w:t>,</w:t>
            </w:r>
            <w:r>
              <w:rPr>
                <w:rFonts w:ascii="Times New Roman" w:hAnsi="Times New Roman"/>
                <w:sz w:val="28"/>
                <w:szCs w:val="28"/>
              </w:rPr>
              <w:t>36</w:t>
            </w:r>
          </w:p>
        </w:tc>
      </w:tr>
      <w:tr w:rsidR="005D64C6" w:rsidTr="003F0171">
        <w:trPr>
          <w:trHeight w:val="323"/>
        </w:trPr>
        <w:tc>
          <w:tcPr>
            <w:tcW w:w="3263"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Окружность талии (см)</w:t>
            </w:r>
          </w:p>
        </w:tc>
        <w:tc>
          <w:tcPr>
            <w:tcW w:w="2552" w:type="dxa"/>
            <w:tcBorders>
              <w:top w:val="nil"/>
              <w:left w:val="single" w:sz="4" w:space="0" w:color="auto"/>
              <w:bottom w:val="single" w:sz="4" w:space="0" w:color="auto"/>
              <w:right w:val="single" w:sz="4" w:space="0" w:color="auto"/>
            </w:tcBorders>
            <w:hideMark/>
          </w:tcPr>
          <w:p w:rsidR="005D64C6" w:rsidRDefault="005D64C6" w:rsidP="003F0171">
            <w:pPr>
              <w:jc w:val="center"/>
            </w:pPr>
            <w:r>
              <w:rPr>
                <w:rFonts w:ascii="Times New Roman" w:hAnsi="Times New Roman"/>
                <w:sz w:val="28"/>
                <w:szCs w:val="28"/>
              </w:rPr>
              <w:t>96</w:t>
            </w:r>
            <w:r w:rsidRPr="00512E36">
              <w:rPr>
                <w:rFonts w:ascii="Century" w:hAnsi="Century"/>
                <w:sz w:val="28"/>
                <w:szCs w:val="28"/>
              </w:rPr>
              <w:t>±</w:t>
            </w:r>
            <w:r>
              <w:rPr>
                <w:rFonts w:ascii="Times New Roman" w:hAnsi="Times New Roman"/>
                <w:sz w:val="28"/>
                <w:szCs w:val="28"/>
              </w:rPr>
              <w:t>15 (90-105)</w:t>
            </w:r>
          </w:p>
        </w:tc>
        <w:tc>
          <w:tcPr>
            <w:tcW w:w="2553" w:type="dxa"/>
            <w:tcBorders>
              <w:top w:val="nil"/>
              <w:left w:val="single" w:sz="4" w:space="0" w:color="auto"/>
              <w:bottom w:val="single" w:sz="4" w:space="0" w:color="auto"/>
              <w:right w:val="single" w:sz="4" w:space="0" w:color="auto"/>
            </w:tcBorders>
            <w:hideMark/>
          </w:tcPr>
          <w:p w:rsidR="005D64C6" w:rsidRDefault="005D64C6" w:rsidP="003F0171">
            <w:pPr>
              <w:jc w:val="center"/>
            </w:pPr>
            <w:r>
              <w:rPr>
                <w:rFonts w:ascii="Times New Roman" w:hAnsi="Times New Roman"/>
                <w:sz w:val="28"/>
                <w:szCs w:val="28"/>
              </w:rPr>
              <w:t>96</w:t>
            </w:r>
            <w:r w:rsidRPr="00512E36">
              <w:rPr>
                <w:rFonts w:ascii="Century" w:hAnsi="Century"/>
                <w:sz w:val="28"/>
                <w:szCs w:val="28"/>
              </w:rPr>
              <w:t>±</w:t>
            </w:r>
            <w:r>
              <w:rPr>
                <w:rFonts w:ascii="Times New Roman" w:hAnsi="Times New Roman"/>
                <w:sz w:val="28"/>
                <w:szCs w:val="28"/>
              </w:rPr>
              <w:t>15 (90-105)</w:t>
            </w:r>
          </w:p>
        </w:tc>
        <w:tc>
          <w:tcPr>
            <w:tcW w:w="992"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0</w:t>
            </w:r>
            <w:r w:rsidRPr="00512E36">
              <w:rPr>
                <w:rFonts w:ascii="Century" w:hAnsi="Century"/>
                <w:sz w:val="28"/>
                <w:szCs w:val="28"/>
              </w:rPr>
              <w:t>,</w:t>
            </w:r>
            <w:r>
              <w:rPr>
                <w:rFonts w:ascii="Times New Roman" w:hAnsi="Times New Roman"/>
                <w:sz w:val="28"/>
                <w:szCs w:val="28"/>
              </w:rPr>
              <w:t>87</w:t>
            </w:r>
          </w:p>
        </w:tc>
      </w:tr>
      <w:tr w:rsidR="00FE28DE" w:rsidTr="00F14602">
        <w:trPr>
          <w:trHeight w:val="323"/>
        </w:trPr>
        <w:tc>
          <w:tcPr>
            <w:tcW w:w="3263" w:type="dxa"/>
            <w:tcBorders>
              <w:top w:val="single" w:sz="4" w:space="0" w:color="auto"/>
              <w:left w:val="single" w:sz="4" w:space="0" w:color="auto"/>
              <w:bottom w:val="single" w:sz="4" w:space="0" w:color="auto"/>
              <w:right w:val="single" w:sz="4" w:space="0" w:color="auto"/>
            </w:tcBorders>
            <w:vAlign w:val="center"/>
            <w:hideMark/>
          </w:tcPr>
          <w:p w:rsidR="00FE28DE" w:rsidRDefault="00FE28DE" w:rsidP="00F820CF">
            <w:pPr>
              <w:jc w:val="center"/>
              <w:rPr>
                <w:rFonts w:ascii="Times New Roman" w:hAnsi="Times New Roman"/>
                <w:sz w:val="28"/>
                <w:szCs w:val="28"/>
              </w:rPr>
            </w:pPr>
            <w:r>
              <w:rPr>
                <w:rFonts w:ascii="Times New Roman" w:hAnsi="Times New Roman"/>
                <w:sz w:val="28"/>
                <w:szCs w:val="28"/>
              </w:rPr>
              <w:t>ИМТ (кг</w:t>
            </w:r>
            <w:r w:rsidRPr="00512E36">
              <w:rPr>
                <w:rFonts w:ascii="Century" w:hAnsi="Century"/>
                <w:sz w:val="28"/>
                <w:szCs w:val="28"/>
              </w:rPr>
              <w:t>/</w:t>
            </w:r>
            <w:r>
              <w:rPr>
                <w:rFonts w:ascii="Times New Roman" w:hAnsi="Times New Roman"/>
                <w:sz w:val="28"/>
                <w:szCs w:val="28"/>
              </w:rPr>
              <w:t>м</w:t>
            </w:r>
            <w:r>
              <w:rPr>
                <w:rFonts w:ascii="Times New Roman" w:hAnsi="Times New Roman"/>
                <w:sz w:val="28"/>
                <w:szCs w:val="28"/>
                <w:vertAlign w:val="superscript"/>
              </w:rPr>
              <w:t>2</w:t>
            </w:r>
            <w:r>
              <w:rPr>
                <w:rFonts w:ascii="Times New Roman" w:hAnsi="Times New Roman"/>
                <w:sz w:val="28"/>
                <w:szCs w:val="28"/>
              </w:rPr>
              <w:t>)</w:t>
            </w:r>
          </w:p>
        </w:tc>
        <w:tc>
          <w:tcPr>
            <w:tcW w:w="2552" w:type="dxa"/>
            <w:tcBorders>
              <w:top w:val="nil"/>
              <w:left w:val="single" w:sz="4" w:space="0" w:color="auto"/>
              <w:bottom w:val="single" w:sz="4" w:space="0" w:color="auto"/>
              <w:right w:val="single" w:sz="4" w:space="0" w:color="auto"/>
            </w:tcBorders>
            <w:hideMark/>
          </w:tcPr>
          <w:p w:rsidR="00FE28DE" w:rsidRDefault="00FE28DE" w:rsidP="00F820CF">
            <w:pPr>
              <w:jc w:val="center"/>
              <w:rPr>
                <w:rFonts w:ascii="Times New Roman" w:hAnsi="Times New Roman"/>
                <w:sz w:val="28"/>
                <w:szCs w:val="28"/>
              </w:rPr>
            </w:pPr>
            <w:r>
              <w:rPr>
                <w:rFonts w:ascii="Times New Roman" w:hAnsi="Times New Roman"/>
                <w:sz w:val="28"/>
                <w:szCs w:val="28"/>
              </w:rPr>
              <w:t>26</w:t>
            </w:r>
            <w:r w:rsidRPr="00512E36">
              <w:rPr>
                <w:rFonts w:ascii="Century" w:hAnsi="Century"/>
                <w:sz w:val="28"/>
                <w:szCs w:val="28"/>
              </w:rPr>
              <w:t>,</w:t>
            </w:r>
            <w:r>
              <w:rPr>
                <w:rFonts w:ascii="Times New Roman" w:hAnsi="Times New Roman"/>
                <w:sz w:val="28"/>
                <w:szCs w:val="28"/>
              </w:rPr>
              <w:t>07</w:t>
            </w:r>
            <w:r w:rsidRPr="00512E36">
              <w:rPr>
                <w:rFonts w:ascii="Century" w:hAnsi="Century"/>
                <w:sz w:val="28"/>
                <w:szCs w:val="28"/>
              </w:rPr>
              <w:t>±</w:t>
            </w:r>
            <w:r>
              <w:rPr>
                <w:rFonts w:ascii="Times New Roman" w:hAnsi="Times New Roman"/>
                <w:sz w:val="28"/>
                <w:szCs w:val="28"/>
              </w:rPr>
              <w:t>5</w:t>
            </w:r>
            <w:r w:rsidRPr="00512E36">
              <w:rPr>
                <w:rFonts w:ascii="Century" w:hAnsi="Century"/>
                <w:sz w:val="28"/>
                <w:szCs w:val="28"/>
              </w:rPr>
              <w:t>,</w:t>
            </w:r>
            <w:r>
              <w:rPr>
                <w:rFonts w:ascii="Times New Roman" w:hAnsi="Times New Roman"/>
                <w:sz w:val="28"/>
                <w:szCs w:val="28"/>
              </w:rPr>
              <w:t xml:space="preserve">76 </w:t>
            </w:r>
          </w:p>
          <w:p w:rsidR="00FE28DE" w:rsidRDefault="00FE28DE" w:rsidP="00F820CF">
            <w:pPr>
              <w:jc w:val="center"/>
            </w:pPr>
            <w:r>
              <w:rPr>
                <w:rFonts w:ascii="Times New Roman" w:hAnsi="Times New Roman"/>
                <w:sz w:val="28"/>
                <w:szCs w:val="28"/>
              </w:rPr>
              <w:t>(23</w:t>
            </w:r>
            <w:r w:rsidRPr="00512E36">
              <w:rPr>
                <w:rFonts w:ascii="Century" w:hAnsi="Century"/>
                <w:sz w:val="28"/>
                <w:szCs w:val="28"/>
              </w:rPr>
              <w:t>,</w:t>
            </w:r>
            <w:r>
              <w:rPr>
                <w:rFonts w:ascii="Times New Roman" w:hAnsi="Times New Roman"/>
                <w:sz w:val="28"/>
                <w:szCs w:val="28"/>
              </w:rPr>
              <w:t>23-28</w:t>
            </w:r>
            <w:r w:rsidRPr="00512E36">
              <w:rPr>
                <w:rFonts w:ascii="Century" w:hAnsi="Century"/>
                <w:sz w:val="28"/>
                <w:szCs w:val="28"/>
              </w:rPr>
              <w:t>,</w:t>
            </w:r>
            <w:r>
              <w:rPr>
                <w:rFonts w:ascii="Times New Roman" w:hAnsi="Times New Roman"/>
                <w:sz w:val="28"/>
                <w:szCs w:val="28"/>
              </w:rPr>
              <w:t>99)</w:t>
            </w:r>
          </w:p>
        </w:tc>
        <w:tc>
          <w:tcPr>
            <w:tcW w:w="2553" w:type="dxa"/>
            <w:tcBorders>
              <w:top w:val="nil"/>
              <w:left w:val="single" w:sz="4" w:space="0" w:color="auto"/>
              <w:bottom w:val="single" w:sz="4" w:space="0" w:color="auto"/>
              <w:right w:val="single" w:sz="4" w:space="0" w:color="auto"/>
            </w:tcBorders>
            <w:hideMark/>
          </w:tcPr>
          <w:p w:rsidR="00FE28DE" w:rsidRDefault="00FE28DE" w:rsidP="00F820CF">
            <w:pPr>
              <w:jc w:val="center"/>
              <w:rPr>
                <w:rFonts w:ascii="Times New Roman" w:hAnsi="Times New Roman"/>
                <w:sz w:val="28"/>
                <w:szCs w:val="28"/>
              </w:rPr>
            </w:pPr>
            <w:r>
              <w:rPr>
                <w:rFonts w:ascii="Times New Roman" w:hAnsi="Times New Roman"/>
                <w:sz w:val="28"/>
                <w:szCs w:val="28"/>
              </w:rPr>
              <w:t>26</w:t>
            </w:r>
            <w:r w:rsidRPr="00512E36">
              <w:rPr>
                <w:rFonts w:ascii="Century" w:hAnsi="Century"/>
                <w:sz w:val="28"/>
                <w:szCs w:val="28"/>
              </w:rPr>
              <w:t>,</w:t>
            </w:r>
            <w:r>
              <w:rPr>
                <w:rFonts w:ascii="Times New Roman" w:hAnsi="Times New Roman"/>
                <w:sz w:val="28"/>
                <w:szCs w:val="28"/>
              </w:rPr>
              <w:t>23</w:t>
            </w:r>
            <w:r w:rsidRPr="00512E36">
              <w:rPr>
                <w:rFonts w:ascii="Century" w:hAnsi="Century"/>
                <w:sz w:val="28"/>
                <w:szCs w:val="28"/>
              </w:rPr>
              <w:t>±</w:t>
            </w:r>
            <w:r>
              <w:rPr>
                <w:rFonts w:ascii="Times New Roman" w:hAnsi="Times New Roman"/>
                <w:sz w:val="28"/>
                <w:szCs w:val="28"/>
              </w:rPr>
              <w:t>5</w:t>
            </w:r>
            <w:r w:rsidRPr="00512E36">
              <w:rPr>
                <w:rFonts w:ascii="Century" w:hAnsi="Century"/>
                <w:sz w:val="28"/>
                <w:szCs w:val="28"/>
              </w:rPr>
              <w:t>,</w:t>
            </w:r>
            <w:r>
              <w:rPr>
                <w:rFonts w:ascii="Times New Roman" w:hAnsi="Times New Roman"/>
                <w:sz w:val="28"/>
                <w:szCs w:val="28"/>
              </w:rPr>
              <w:t>69</w:t>
            </w:r>
          </w:p>
          <w:p w:rsidR="00FE28DE" w:rsidRDefault="00FE28DE" w:rsidP="00F820CF">
            <w:pPr>
              <w:jc w:val="center"/>
            </w:pPr>
            <w:r>
              <w:rPr>
                <w:rFonts w:ascii="Times New Roman" w:hAnsi="Times New Roman"/>
                <w:sz w:val="28"/>
                <w:szCs w:val="28"/>
              </w:rPr>
              <w:t>(23</w:t>
            </w:r>
            <w:r w:rsidRPr="00512E36">
              <w:rPr>
                <w:rFonts w:ascii="Century" w:hAnsi="Century"/>
                <w:sz w:val="28"/>
                <w:szCs w:val="28"/>
              </w:rPr>
              <w:t>,</w:t>
            </w:r>
            <w:r>
              <w:rPr>
                <w:rFonts w:ascii="Times New Roman" w:hAnsi="Times New Roman"/>
                <w:sz w:val="28"/>
                <w:szCs w:val="28"/>
              </w:rPr>
              <w:t>71-29</w:t>
            </w:r>
            <w:r w:rsidRPr="00512E36">
              <w:rPr>
                <w:rFonts w:ascii="Century" w:hAnsi="Century"/>
                <w:sz w:val="28"/>
                <w:szCs w:val="28"/>
              </w:rPr>
              <w:t>,</w:t>
            </w:r>
            <w:r>
              <w:rPr>
                <w:rFonts w:ascii="Times New Roman" w:hAnsi="Times New Roman"/>
                <w:sz w:val="28"/>
                <w:szCs w:val="28"/>
              </w:rPr>
              <w:t>4)</w:t>
            </w:r>
          </w:p>
        </w:tc>
        <w:tc>
          <w:tcPr>
            <w:tcW w:w="992" w:type="dxa"/>
            <w:tcBorders>
              <w:top w:val="single" w:sz="4" w:space="0" w:color="auto"/>
              <w:left w:val="single" w:sz="4" w:space="0" w:color="auto"/>
              <w:bottom w:val="single" w:sz="4" w:space="0" w:color="auto"/>
              <w:right w:val="single" w:sz="4" w:space="0" w:color="auto"/>
            </w:tcBorders>
            <w:hideMark/>
          </w:tcPr>
          <w:p w:rsidR="00FE28DE" w:rsidRDefault="00FE28DE" w:rsidP="00F820CF">
            <w:pPr>
              <w:jc w:val="center"/>
              <w:rPr>
                <w:rFonts w:ascii="Times New Roman" w:hAnsi="Times New Roman"/>
                <w:sz w:val="28"/>
                <w:szCs w:val="28"/>
              </w:rPr>
            </w:pPr>
            <w:r>
              <w:rPr>
                <w:rFonts w:ascii="Times New Roman" w:hAnsi="Times New Roman"/>
                <w:sz w:val="28"/>
                <w:szCs w:val="28"/>
              </w:rPr>
              <w:t>0</w:t>
            </w:r>
            <w:r w:rsidRPr="004249C9">
              <w:rPr>
                <w:rFonts w:ascii="Century" w:hAnsi="Century"/>
                <w:sz w:val="28"/>
                <w:szCs w:val="28"/>
              </w:rPr>
              <w:t>,</w:t>
            </w:r>
            <w:r>
              <w:rPr>
                <w:rFonts w:ascii="Times New Roman" w:hAnsi="Times New Roman"/>
                <w:sz w:val="28"/>
                <w:szCs w:val="28"/>
              </w:rPr>
              <w:t>52</w:t>
            </w:r>
          </w:p>
        </w:tc>
      </w:tr>
      <w:tr w:rsidR="00FE28DE" w:rsidTr="00F14602">
        <w:trPr>
          <w:trHeight w:val="323"/>
        </w:trPr>
        <w:tc>
          <w:tcPr>
            <w:tcW w:w="3263" w:type="dxa"/>
            <w:tcBorders>
              <w:top w:val="single" w:sz="4" w:space="0" w:color="auto"/>
              <w:left w:val="single" w:sz="4" w:space="0" w:color="auto"/>
              <w:bottom w:val="single" w:sz="4" w:space="0" w:color="auto"/>
              <w:right w:val="single" w:sz="4" w:space="0" w:color="auto"/>
            </w:tcBorders>
            <w:vAlign w:val="center"/>
            <w:hideMark/>
          </w:tcPr>
          <w:p w:rsidR="00FE28DE" w:rsidRDefault="00FE28DE" w:rsidP="00F820CF">
            <w:pPr>
              <w:jc w:val="center"/>
              <w:rPr>
                <w:rFonts w:ascii="Times New Roman" w:hAnsi="Times New Roman"/>
                <w:sz w:val="28"/>
                <w:szCs w:val="28"/>
              </w:rPr>
            </w:pPr>
            <w:r>
              <w:rPr>
                <w:rFonts w:ascii="Times New Roman" w:hAnsi="Times New Roman"/>
                <w:sz w:val="28"/>
                <w:szCs w:val="28"/>
              </w:rPr>
              <w:t>САД (мм рт.ст.)</w:t>
            </w:r>
          </w:p>
        </w:tc>
        <w:tc>
          <w:tcPr>
            <w:tcW w:w="2552" w:type="dxa"/>
            <w:tcBorders>
              <w:top w:val="nil"/>
              <w:left w:val="single" w:sz="4" w:space="0" w:color="auto"/>
              <w:bottom w:val="single" w:sz="4" w:space="0" w:color="auto"/>
              <w:right w:val="single" w:sz="4" w:space="0" w:color="auto"/>
            </w:tcBorders>
            <w:hideMark/>
          </w:tcPr>
          <w:p w:rsidR="00FE28DE" w:rsidRDefault="00FE28DE" w:rsidP="00F820CF">
            <w:pPr>
              <w:jc w:val="center"/>
            </w:pPr>
            <w:r>
              <w:rPr>
                <w:rFonts w:ascii="Times New Roman" w:hAnsi="Times New Roman"/>
                <w:sz w:val="28"/>
                <w:szCs w:val="28"/>
              </w:rPr>
              <w:t>120±20 (110-130)</w:t>
            </w:r>
          </w:p>
        </w:tc>
        <w:tc>
          <w:tcPr>
            <w:tcW w:w="2553" w:type="dxa"/>
            <w:tcBorders>
              <w:top w:val="nil"/>
              <w:left w:val="single" w:sz="4" w:space="0" w:color="auto"/>
              <w:bottom w:val="single" w:sz="4" w:space="0" w:color="auto"/>
              <w:right w:val="single" w:sz="4" w:space="0" w:color="auto"/>
            </w:tcBorders>
            <w:hideMark/>
          </w:tcPr>
          <w:p w:rsidR="00FE28DE" w:rsidRDefault="00FE28DE" w:rsidP="00F820CF">
            <w:pPr>
              <w:jc w:val="center"/>
            </w:pPr>
            <w:r>
              <w:rPr>
                <w:rFonts w:ascii="Times New Roman" w:hAnsi="Times New Roman"/>
                <w:sz w:val="28"/>
                <w:szCs w:val="28"/>
              </w:rPr>
              <w:t>120±20 (110-130)</w:t>
            </w:r>
          </w:p>
        </w:tc>
        <w:tc>
          <w:tcPr>
            <w:tcW w:w="992" w:type="dxa"/>
            <w:tcBorders>
              <w:top w:val="single" w:sz="4" w:space="0" w:color="auto"/>
              <w:left w:val="single" w:sz="4" w:space="0" w:color="auto"/>
              <w:bottom w:val="single" w:sz="4" w:space="0" w:color="auto"/>
              <w:right w:val="single" w:sz="4" w:space="0" w:color="auto"/>
            </w:tcBorders>
            <w:hideMark/>
          </w:tcPr>
          <w:p w:rsidR="00FE28DE" w:rsidRDefault="00FE28DE" w:rsidP="00F820CF">
            <w:pPr>
              <w:jc w:val="center"/>
              <w:rPr>
                <w:rFonts w:ascii="Times New Roman" w:hAnsi="Times New Roman"/>
                <w:sz w:val="28"/>
                <w:szCs w:val="28"/>
              </w:rPr>
            </w:pPr>
            <w:r>
              <w:rPr>
                <w:rFonts w:ascii="Times New Roman" w:hAnsi="Times New Roman"/>
                <w:sz w:val="28"/>
                <w:szCs w:val="28"/>
              </w:rPr>
              <w:t>0,51</w:t>
            </w:r>
          </w:p>
        </w:tc>
      </w:tr>
      <w:tr w:rsidR="00FE28DE" w:rsidTr="00F14602">
        <w:trPr>
          <w:trHeight w:val="323"/>
        </w:trPr>
        <w:tc>
          <w:tcPr>
            <w:tcW w:w="3263" w:type="dxa"/>
            <w:tcBorders>
              <w:top w:val="single" w:sz="4" w:space="0" w:color="auto"/>
              <w:left w:val="single" w:sz="4" w:space="0" w:color="auto"/>
              <w:bottom w:val="single" w:sz="4" w:space="0" w:color="auto"/>
              <w:right w:val="single" w:sz="4" w:space="0" w:color="auto"/>
            </w:tcBorders>
            <w:vAlign w:val="center"/>
            <w:hideMark/>
          </w:tcPr>
          <w:p w:rsidR="00FE28DE" w:rsidRDefault="00FE28DE" w:rsidP="00F820CF">
            <w:pPr>
              <w:jc w:val="center"/>
              <w:rPr>
                <w:rFonts w:ascii="Times New Roman" w:hAnsi="Times New Roman"/>
                <w:sz w:val="28"/>
                <w:szCs w:val="28"/>
              </w:rPr>
            </w:pPr>
            <w:r>
              <w:rPr>
                <w:rFonts w:ascii="Times New Roman" w:hAnsi="Times New Roman"/>
                <w:sz w:val="28"/>
                <w:szCs w:val="28"/>
              </w:rPr>
              <w:t>ДАД (мм рт.ст.)</w:t>
            </w:r>
          </w:p>
        </w:tc>
        <w:tc>
          <w:tcPr>
            <w:tcW w:w="2552" w:type="dxa"/>
            <w:tcBorders>
              <w:top w:val="nil"/>
              <w:left w:val="single" w:sz="4" w:space="0" w:color="auto"/>
              <w:bottom w:val="single" w:sz="4" w:space="0" w:color="auto"/>
              <w:right w:val="single" w:sz="4" w:space="0" w:color="auto"/>
            </w:tcBorders>
            <w:hideMark/>
          </w:tcPr>
          <w:p w:rsidR="00FE28DE" w:rsidRDefault="00FE28DE" w:rsidP="00F820CF">
            <w:pPr>
              <w:jc w:val="center"/>
            </w:pPr>
            <w:r>
              <w:rPr>
                <w:rFonts w:ascii="Times New Roman" w:hAnsi="Times New Roman"/>
                <w:sz w:val="28"/>
                <w:szCs w:val="28"/>
              </w:rPr>
              <w:t>80±20 (70-90)</w:t>
            </w:r>
          </w:p>
        </w:tc>
        <w:tc>
          <w:tcPr>
            <w:tcW w:w="2553" w:type="dxa"/>
            <w:tcBorders>
              <w:top w:val="nil"/>
              <w:left w:val="single" w:sz="4" w:space="0" w:color="auto"/>
              <w:bottom w:val="single" w:sz="4" w:space="0" w:color="auto"/>
              <w:right w:val="single" w:sz="4" w:space="0" w:color="auto"/>
            </w:tcBorders>
            <w:hideMark/>
          </w:tcPr>
          <w:p w:rsidR="00FE28DE" w:rsidRDefault="00FE28DE" w:rsidP="00F820CF">
            <w:pPr>
              <w:jc w:val="center"/>
            </w:pPr>
            <w:r>
              <w:rPr>
                <w:rFonts w:ascii="Times New Roman" w:hAnsi="Times New Roman"/>
                <w:sz w:val="28"/>
                <w:szCs w:val="28"/>
              </w:rPr>
              <w:t>80±10 (70-80)</w:t>
            </w:r>
          </w:p>
        </w:tc>
        <w:tc>
          <w:tcPr>
            <w:tcW w:w="992" w:type="dxa"/>
            <w:tcBorders>
              <w:top w:val="single" w:sz="4" w:space="0" w:color="auto"/>
              <w:left w:val="single" w:sz="4" w:space="0" w:color="auto"/>
              <w:bottom w:val="single" w:sz="4" w:space="0" w:color="auto"/>
              <w:right w:val="single" w:sz="4" w:space="0" w:color="auto"/>
            </w:tcBorders>
            <w:hideMark/>
          </w:tcPr>
          <w:p w:rsidR="00FE28DE" w:rsidRDefault="00FE28DE" w:rsidP="00F820CF">
            <w:pPr>
              <w:jc w:val="center"/>
              <w:rPr>
                <w:rFonts w:ascii="Times New Roman" w:hAnsi="Times New Roman"/>
                <w:sz w:val="28"/>
                <w:szCs w:val="28"/>
              </w:rPr>
            </w:pPr>
            <w:r>
              <w:rPr>
                <w:rFonts w:ascii="Times New Roman" w:hAnsi="Times New Roman"/>
                <w:sz w:val="28"/>
                <w:szCs w:val="28"/>
              </w:rPr>
              <w:t>0,21</w:t>
            </w:r>
          </w:p>
        </w:tc>
      </w:tr>
      <w:tr w:rsidR="00FE28DE" w:rsidTr="00F14602">
        <w:trPr>
          <w:trHeight w:val="442"/>
        </w:trPr>
        <w:tc>
          <w:tcPr>
            <w:tcW w:w="9360" w:type="dxa"/>
            <w:gridSpan w:val="4"/>
            <w:tcBorders>
              <w:top w:val="single" w:sz="4" w:space="0" w:color="auto"/>
              <w:left w:val="single" w:sz="4" w:space="0" w:color="auto"/>
              <w:bottom w:val="single" w:sz="4" w:space="0" w:color="auto"/>
              <w:right w:val="single" w:sz="4" w:space="0" w:color="auto"/>
            </w:tcBorders>
            <w:hideMark/>
          </w:tcPr>
          <w:p w:rsidR="009B2F35" w:rsidRDefault="009B2F35" w:rsidP="009B2F35">
            <w:pPr>
              <w:jc w:val="both"/>
              <w:rPr>
                <w:rFonts w:ascii="Times New Roman" w:hAnsi="Times New Roman"/>
                <w:szCs w:val="24"/>
              </w:rPr>
            </w:pPr>
            <w:r>
              <w:rPr>
                <w:rFonts w:ascii="Times New Roman" w:hAnsi="Times New Roman"/>
                <w:szCs w:val="24"/>
              </w:rPr>
              <w:t xml:space="preserve">Примечание ИМТ – индекс массы тела; САД – систолическое артериальное давление; ДАД – диастолическое артериальное давление; *Критерий Манна-Уитни; </w:t>
            </w:r>
          </w:p>
          <w:p w:rsidR="00FE28DE" w:rsidRDefault="009B2F35" w:rsidP="009B2F35">
            <w:pPr>
              <w:jc w:val="both"/>
              <w:rPr>
                <w:rFonts w:ascii="Times New Roman" w:hAnsi="Times New Roman"/>
                <w:sz w:val="20"/>
                <w:szCs w:val="20"/>
              </w:rPr>
            </w:pPr>
            <w:r>
              <w:rPr>
                <w:rFonts w:ascii="Times New Roman" w:hAnsi="Times New Roman"/>
                <w:szCs w:val="24"/>
              </w:rPr>
              <w:t>Ме±IQR (Q1 – Q3) – Медиана ± межквартильный диапазон (1 квартиль – 3 квартиль);</w:t>
            </w:r>
          </w:p>
        </w:tc>
      </w:tr>
    </w:tbl>
    <w:p w:rsidR="00B324BD" w:rsidRDefault="00B324BD" w:rsidP="00AB12B3">
      <w:pPr>
        <w:spacing w:after="0" w:line="240" w:lineRule="auto"/>
        <w:jc w:val="both"/>
        <w:rPr>
          <w:rFonts w:ascii="Times New Roman" w:hAnsi="Times New Roman" w:cs="Times New Roman"/>
          <w:sz w:val="28"/>
          <w:szCs w:val="28"/>
          <w:lang w:val="kk-KZ"/>
        </w:rPr>
      </w:pPr>
    </w:p>
    <w:p w:rsidR="00AB12B3" w:rsidRDefault="00AB12B3" w:rsidP="00AB12B3">
      <w:pPr>
        <w:spacing w:after="0" w:line="240" w:lineRule="auto"/>
        <w:jc w:val="both"/>
        <w:rPr>
          <w:rFonts w:ascii="Times New Roman" w:hAnsi="Times New Roman"/>
          <w:sz w:val="28"/>
          <w:szCs w:val="28"/>
          <w:lang w:val="kk-KZ"/>
        </w:rPr>
      </w:pPr>
      <w:r>
        <w:rPr>
          <w:rFonts w:ascii="Times New Roman" w:hAnsi="Times New Roman" w:cs="Times New Roman"/>
          <w:sz w:val="28"/>
          <w:szCs w:val="28"/>
        </w:rPr>
        <w:t>Таблица 33</w:t>
      </w:r>
      <w:r w:rsidR="004621D6">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факторов рисков по группам апо</w:t>
      </w:r>
      <w:r w:rsidR="004913FB">
        <w:rPr>
          <w:rFonts w:ascii="Times New Roman" w:hAnsi="Times New Roman" w:cs="Times New Roman"/>
          <w:sz w:val="28"/>
          <w:szCs w:val="28"/>
        </w:rPr>
        <w:t xml:space="preserve">липопротеин </w:t>
      </w:r>
      <w:r>
        <w:rPr>
          <w:rFonts w:ascii="Times New Roman" w:hAnsi="Times New Roman" w:cs="Times New Roman"/>
          <w:sz w:val="28"/>
          <w:szCs w:val="28"/>
        </w:rPr>
        <w:t>В/апо</w:t>
      </w:r>
      <w:r w:rsidR="004913FB">
        <w:rPr>
          <w:rFonts w:ascii="Times New Roman" w:hAnsi="Times New Roman" w:cs="Times New Roman"/>
          <w:sz w:val="28"/>
          <w:szCs w:val="28"/>
        </w:rPr>
        <w:t xml:space="preserve">липопротеин </w:t>
      </w:r>
      <w:r>
        <w:rPr>
          <w:rFonts w:ascii="Times New Roman" w:hAnsi="Times New Roman" w:cs="Times New Roman"/>
          <w:sz w:val="28"/>
          <w:szCs w:val="28"/>
        </w:rPr>
        <w:t>А1</w:t>
      </w:r>
      <w:r w:rsidR="002030EE">
        <w:rPr>
          <w:rFonts w:ascii="Times New Roman" w:hAnsi="Times New Roman" w:cs="Times New Roman"/>
          <w:sz w:val="28"/>
          <w:szCs w:val="28"/>
        </w:rPr>
        <w:t xml:space="preserve"> </w:t>
      </w:r>
      <w:r w:rsidR="00051F4F">
        <w:rPr>
          <w:rFonts w:ascii="Times New Roman" w:hAnsi="Times New Roman" w:cs="Times New Roman"/>
          <w:sz w:val="28"/>
          <w:szCs w:val="28"/>
        </w:rPr>
        <w:t>(</w:t>
      </w:r>
      <w:r>
        <w:rPr>
          <w:rFonts w:ascii="Times New Roman" w:hAnsi="Times New Roman"/>
          <w:sz w:val="28"/>
          <w:szCs w:val="28"/>
        </w:rPr>
        <w:t>n=507</w:t>
      </w:r>
      <w:r w:rsidR="00051F4F">
        <w:rPr>
          <w:rFonts w:ascii="Times New Roman" w:hAnsi="Times New Roman"/>
          <w:sz w:val="28"/>
          <w:szCs w:val="28"/>
        </w:rPr>
        <w:t>)</w:t>
      </w:r>
    </w:p>
    <w:p w:rsidR="00AD11CD" w:rsidRPr="00AD11CD" w:rsidRDefault="00AD11CD" w:rsidP="00AB12B3">
      <w:pPr>
        <w:spacing w:after="0" w:line="240" w:lineRule="auto"/>
        <w:jc w:val="both"/>
        <w:rPr>
          <w:rFonts w:ascii="Times New Roman" w:hAnsi="Times New Roman" w:cs="Times New Roman"/>
          <w:sz w:val="28"/>
          <w:szCs w:val="28"/>
          <w:lang w:val="kk-KZ"/>
        </w:rPr>
      </w:pPr>
    </w:p>
    <w:tbl>
      <w:tblPr>
        <w:tblStyle w:val="af7"/>
        <w:tblW w:w="9210" w:type="dxa"/>
        <w:tblInd w:w="108" w:type="dxa"/>
        <w:tblLayout w:type="fixed"/>
        <w:tblLook w:val="04A0" w:firstRow="1" w:lastRow="0" w:firstColumn="1" w:lastColumn="0" w:noHBand="0" w:noVBand="1"/>
      </w:tblPr>
      <w:tblGrid>
        <w:gridCol w:w="1416"/>
        <w:gridCol w:w="1842"/>
        <w:gridCol w:w="1134"/>
        <w:gridCol w:w="1134"/>
        <w:gridCol w:w="2550"/>
        <w:gridCol w:w="1134"/>
      </w:tblGrid>
      <w:tr w:rsidR="00AB12B3" w:rsidTr="00AE197A">
        <w:trPr>
          <w:trHeight w:val="377"/>
        </w:trPr>
        <w:tc>
          <w:tcPr>
            <w:tcW w:w="3258"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2268"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апоВ/апоА1</w:t>
            </w:r>
          </w:p>
        </w:tc>
        <w:tc>
          <w:tcPr>
            <w:tcW w:w="2550"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ОШ (95% ДИ)</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AE197A">
        <w:trPr>
          <w:trHeight w:val="379"/>
        </w:trPr>
        <w:tc>
          <w:tcPr>
            <w:tcW w:w="3258" w:type="dxa"/>
            <w:gridSpan w:val="2"/>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≤0,85 n</w:t>
            </w:r>
          </w:p>
        </w:tc>
        <w:tc>
          <w:tcPr>
            <w:tcW w:w="113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&gt;0,85 n</w:t>
            </w:r>
          </w:p>
        </w:tc>
        <w:tc>
          <w:tcPr>
            <w:tcW w:w="2550"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E197A">
        <w:trPr>
          <w:trHeight w:val="317"/>
        </w:trPr>
        <w:tc>
          <w:tcPr>
            <w:tcW w:w="1416"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Пол</w:t>
            </w:r>
          </w:p>
        </w:tc>
        <w:tc>
          <w:tcPr>
            <w:tcW w:w="184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Жен</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206</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56</w:t>
            </w:r>
          </w:p>
        </w:tc>
        <w:tc>
          <w:tcPr>
            <w:tcW w:w="2550"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0,77</w:t>
            </w:r>
          </w:p>
        </w:tc>
      </w:tr>
      <w:tr w:rsidR="00AB12B3" w:rsidTr="00AE197A">
        <w:trPr>
          <w:trHeight w:val="323"/>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Муж</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190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55</w:t>
            </w:r>
          </w:p>
        </w:tc>
        <w:tc>
          <w:tcPr>
            <w:tcW w:w="2550"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1,06 (0,7-1,62)</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E197A">
        <w:trPr>
          <w:trHeight w:val="323"/>
        </w:trPr>
        <w:tc>
          <w:tcPr>
            <w:tcW w:w="1416"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Возраст, лет</w:t>
            </w:r>
          </w:p>
        </w:tc>
        <w:tc>
          <w:tcPr>
            <w:tcW w:w="184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18 – 35</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62</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24</w:t>
            </w:r>
          </w:p>
        </w:tc>
        <w:tc>
          <w:tcPr>
            <w:tcW w:w="2550"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0,45</w:t>
            </w:r>
          </w:p>
        </w:tc>
      </w:tr>
      <w:tr w:rsidR="00AB12B3" w:rsidTr="00AE197A">
        <w:trPr>
          <w:trHeight w:val="323"/>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36 – 45</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119</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28</w:t>
            </w:r>
          </w:p>
        </w:tc>
        <w:tc>
          <w:tcPr>
            <w:tcW w:w="2550"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0,61 (0,32-1,14)</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E197A">
        <w:trPr>
          <w:trHeight w:val="323"/>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46 – 55</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112</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32</w:t>
            </w:r>
          </w:p>
        </w:tc>
        <w:tc>
          <w:tcPr>
            <w:tcW w:w="2550"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0,74 (0,4-1,36)</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E197A">
        <w:trPr>
          <w:trHeight w:val="323"/>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56 – 65</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103</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27</w:t>
            </w:r>
          </w:p>
        </w:tc>
        <w:tc>
          <w:tcPr>
            <w:tcW w:w="2550"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0,68 (0,36-1,28)</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5D64C6" w:rsidTr="003F0171">
        <w:trPr>
          <w:trHeight w:val="323"/>
        </w:trPr>
        <w:tc>
          <w:tcPr>
            <w:tcW w:w="1416" w:type="dxa"/>
            <w:vMerge w:val="restart"/>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Окружность талии (см)</w:t>
            </w:r>
          </w:p>
        </w:tc>
        <w:tc>
          <w:tcPr>
            <w:tcW w:w="1842"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муж &lt;102</w:t>
            </w:r>
          </w:p>
          <w:p w:rsidR="005D64C6" w:rsidRDefault="005D64C6" w:rsidP="003F0171">
            <w:pPr>
              <w:jc w:val="center"/>
              <w:rPr>
                <w:rFonts w:ascii="Times New Roman" w:hAnsi="Times New Roman"/>
                <w:sz w:val="28"/>
                <w:szCs w:val="28"/>
              </w:rPr>
            </w:pPr>
            <w:r>
              <w:rPr>
                <w:rFonts w:ascii="Times New Roman" w:hAnsi="Times New Roman"/>
                <w:sz w:val="28"/>
                <w:szCs w:val="28"/>
              </w:rPr>
              <w:t xml:space="preserve">жен &lt;88 </w:t>
            </w:r>
          </w:p>
        </w:tc>
        <w:tc>
          <w:tcPr>
            <w:tcW w:w="1134"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148</w:t>
            </w:r>
          </w:p>
        </w:tc>
        <w:tc>
          <w:tcPr>
            <w:tcW w:w="1134"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43</w:t>
            </w:r>
          </w:p>
        </w:tc>
        <w:tc>
          <w:tcPr>
            <w:tcW w:w="2550"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0,79</w:t>
            </w:r>
          </w:p>
        </w:tc>
      </w:tr>
      <w:tr w:rsidR="005D64C6" w:rsidTr="003F0171">
        <w:trPr>
          <w:trHeight w:val="323"/>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rPr>
                <w:rFonts w:ascii="Times New Roman" w:hAnsi="Times New Roman"/>
                <w:sz w:val="28"/>
                <w:szCs w:val="28"/>
              </w:rPr>
            </w:pPr>
          </w:p>
        </w:tc>
        <w:tc>
          <w:tcPr>
            <w:tcW w:w="1842"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муж ≥102</w:t>
            </w:r>
          </w:p>
          <w:p w:rsidR="005D64C6" w:rsidRDefault="005D64C6" w:rsidP="003F0171">
            <w:pPr>
              <w:jc w:val="center"/>
              <w:rPr>
                <w:rFonts w:ascii="Times New Roman" w:hAnsi="Times New Roman"/>
                <w:sz w:val="28"/>
                <w:szCs w:val="28"/>
              </w:rPr>
            </w:pPr>
            <w:r>
              <w:rPr>
                <w:rFonts w:ascii="Times New Roman" w:hAnsi="Times New Roman"/>
                <w:sz w:val="28"/>
                <w:szCs w:val="28"/>
              </w:rPr>
              <w:t xml:space="preserve">жен ≥88 </w:t>
            </w:r>
          </w:p>
        </w:tc>
        <w:tc>
          <w:tcPr>
            <w:tcW w:w="1134"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248</w:t>
            </w:r>
          </w:p>
        </w:tc>
        <w:tc>
          <w:tcPr>
            <w:tcW w:w="1134"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68</w:t>
            </w:r>
          </w:p>
        </w:tc>
        <w:tc>
          <w:tcPr>
            <w:tcW w:w="2550"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0,94 (0,61-1,45)</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rPr>
                <w:rFonts w:ascii="Times New Roman" w:hAnsi="Times New Roman"/>
                <w:sz w:val="28"/>
                <w:szCs w:val="28"/>
              </w:rPr>
            </w:pPr>
          </w:p>
        </w:tc>
      </w:tr>
      <w:tr w:rsidR="00AB12B3" w:rsidTr="00AE197A">
        <w:trPr>
          <w:trHeight w:val="323"/>
        </w:trPr>
        <w:tc>
          <w:tcPr>
            <w:tcW w:w="1416"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ИМТ (кг/м</w:t>
            </w:r>
            <w:r>
              <w:rPr>
                <w:rFonts w:ascii="Times New Roman" w:hAnsi="Times New Roman"/>
                <w:sz w:val="28"/>
                <w:szCs w:val="28"/>
                <w:vertAlign w:val="superscript"/>
              </w:rPr>
              <w:t>2</w:t>
            </w:r>
            <w:r>
              <w:rPr>
                <w:rFonts w:ascii="Times New Roman" w:hAnsi="Times New Roman"/>
                <w:sz w:val="28"/>
                <w:szCs w:val="28"/>
              </w:rPr>
              <w:t>)</w:t>
            </w:r>
          </w:p>
        </w:tc>
        <w:tc>
          <w:tcPr>
            <w:tcW w:w="184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НВ</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163</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38</w:t>
            </w:r>
          </w:p>
        </w:tc>
        <w:tc>
          <w:tcPr>
            <w:tcW w:w="2550"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0,28</w:t>
            </w:r>
          </w:p>
        </w:tc>
      </w:tr>
      <w:tr w:rsidR="00AB12B3" w:rsidTr="00AE197A">
        <w:trPr>
          <w:trHeight w:val="323"/>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2"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ИВ</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160</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54</w:t>
            </w:r>
          </w:p>
        </w:tc>
        <w:tc>
          <w:tcPr>
            <w:tcW w:w="2550"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1,42 (0,91-2,31)</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E197A">
        <w:trPr>
          <w:trHeight w:val="323"/>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2"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Ож</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73</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19</w:t>
            </w:r>
          </w:p>
        </w:tc>
        <w:tc>
          <w:tcPr>
            <w:tcW w:w="2550"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1,12 (0,6-2,07)</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E197A">
        <w:trPr>
          <w:trHeight w:val="323"/>
        </w:trPr>
        <w:tc>
          <w:tcPr>
            <w:tcW w:w="1416"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Статус курения</w:t>
            </w:r>
          </w:p>
        </w:tc>
        <w:tc>
          <w:tcPr>
            <w:tcW w:w="1842"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Не курит</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270</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70</w:t>
            </w:r>
          </w:p>
        </w:tc>
        <w:tc>
          <w:tcPr>
            <w:tcW w:w="2550"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1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0,59</w:t>
            </w:r>
          </w:p>
        </w:tc>
      </w:tr>
      <w:tr w:rsidR="00AB12B3" w:rsidTr="00AE197A">
        <w:trPr>
          <w:trHeight w:val="323"/>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Курит</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106</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35</w:t>
            </w:r>
          </w:p>
        </w:tc>
        <w:tc>
          <w:tcPr>
            <w:tcW w:w="2550"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1,27 (0,8-2,02)</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E197A">
        <w:trPr>
          <w:trHeight w:val="323"/>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Бросил</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20</w:t>
            </w:r>
          </w:p>
        </w:tc>
        <w:tc>
          <w:tcPr>
            <w:tcW w:w="1134"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6</w:t>
            </w:r>
          </w:p>
        </w:tc>
        <w:tc>
          <w:tcPr>
            <w:tcW w:w="2550"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1,16 (0,45-2,99)</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AE197A">
        <w:trPr>
          <w:trHeight w:val="442"/>
        </w:trPr>
        <w:tc>
          <w:tcPr>
            <w:tcW w:w="9210" w:type="dxa"/>
            <w:gridSpan w:val="6"/>
            <w:tcBorders>
              <w:top w:val="single" w:sz="4" w:space="0" w:color="auto"/>
              <w:left w:val="single" w:sz="4" w:space="0" w:color="auto"/>
              <w:bottom w:val="single" w:sz="4" w:space="0" w:color="auto"/>
              <w:right w:val="single" w:sz="4" w:space="0" w:color="auto"/>
            </w:tcBorders>
            <w:hideMark/>
          </w:tcPr>
          <w:p w:rsidR="00AB12B3" w:rsidRDefault="00AB12B3">
            <w:pPr>
              <w:jc w:val="both"/>
              <w:rPr>
                <w:rFonts w:ascii="Times New Roman" w:hAnsi="Times New Roman"/>
                <w:sz w:val="20"/>
                <w:szCs w:val="20"/>
              </w:rPr>
            </w:pPr>
            <w:r>
              <w:rPr>
                <w:rFonts w:ascii="Times New Roman" w:hAnsi="Times New Roman"/>
                <w:szCs w:val="24"/>
              </w:rPr>
              <w:t xml:space="preserve">Примечание </w:t>
            </w:r>
            <w:r w:rsidR="009B2F35">
              <w:rPr>
                <w:rFonts w:ascii="Times New Roman" w:hAnsi="Times New Roman"/>
                <w:szCs w:val="20"/>
              </w:rPr>
              <w:t xml:space="preserve">НВ – нормальный вес; ИВ – избыточный вес; Ож – ожирение; </w:t>
            </w:r>
            <w:r>
              <w:rPr>
                <w:rFonts w:ascii="Times New Roman" w:hAnsi="Times New Roman"/>
                <w:szCs w:val="24"/>
              </w:rPr>
              <w:t>* - χ</w:t>
            </w:r>
            <w:r>
              <w:rPr>
                <w:rFonts w:ascii="Times New Roman" w:hAnsi="Times New Roman"/>
                <w:szCs w:val="24"/>
                <w:vertAlign w:val="superscript"/>
              </w:rPr>
              <w:t>2</w:t>
            </w:r>
            <w:r>
              <w:rPr>
                <w:rFonts w:ascii="Times New Roman" w:hAnsi="Times New Roman"/>
                <w:szCs w:val="24"/>
              </w:rPr>
              <w:t xml:space="preserve"> – хи квадрат Пирсона; ОШ (95% ДИ) – Отношение шансов (95% Доверительный интервал)</w:t>
            </w:r>
          </w:p>
        </w:tc>
      </w:tr>
    </w:tbl>
    <w:p w:rsidR="00AD11CD" w:rsidRDefault="00AD11CD" w:rsidP="00AD11C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Также не удалось обнаружить связи между группами апоВ/апоА1 и факторами риска (таблица 33).</w:t>
      </w:r>
    </w:p>
    <w:p w:rsidR="00AD11CD" w:rsidRDefault="00AD11CD" w:rsidP="00AD11C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 сравнении средних величин биохимических показателей по группам апоВ/апоА1 были выявлены различия средних величин ОХС, ТГ, ЛПВП, апоВ, апоА1 и глюкозы (таблица 34). Высокие показатели апоВ/апоА1 чаще сопровождались гиперхолестеринемией, гипертриглицеридемией, гипераполипопротеинемией В и гипергликемией. Высокие уровни ЛПВП чаще встречались при повышенных показателях апоВ/апоА1.</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sz w:val="28"/>
          <w:szCs w:val="28"/>
          <w:lang w:val="kk-KZ"/>
        </w:rPr>
      </w:pPr>
      <w:r>
        <w:rPr>
          <w:rFonts w:ascii="Times New Roman" w:hAnsi="Times New Roman" w:cs="Times New Roman"/>
          <w:sz w:val="28"/>
          <w:szCs w:val="28"/>
        </w:rPr>
        <w:t>Таблица 34</w:t>
      </w:r>
      <w:r w:rsidR="004621D6">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средних величин биохимических показателей по группам апо</w:t>
      </w:r>
      <w:r w:rsidR="0086030A">
        <w:rPr>
          <w:rFonts w:ascii="Times New Roman" w:hAnsi="Times New Roman" w:cs="Times New Roman"/>
          <w:sz w:val="28"/>
          <w:szCs w:val="28"/>
        </w:rPr>
        <w:t xml:space="preserve">липопротеин </w:t>
      </w:r>
      <w:r>
        <w:rPr>
          <w:rFonts w:ascii="Times New Roman" w:hAnsi="Times New Roman" w:cs="Times New Roman"/>
          <w:sz w:val="28"/>
          <w:szCs w:val="28"/>
        </w:rPr>
        <w:t>В/апо</w:t>
      </w:r>
      <w:r w:rsidR="0086030A">
        <w:rPr>
          <w:rFonts w:ascii="Times New Roman" w:hAnsi="Times New Roman" w:cs="Times New Roman"/>
          <w:sz w:val="28"/>
          <w:szCs w:val="28"/>
        </w:rPr>
        <w:t xml:space="preserve">липопротеин </w:t>
      </w:r>
      <w:r>
        <w:rPr>
          <w:rFonts w:ascii="Times New Roman" w:hAnsi="Times New Roman" w:cs="Times New Roman"/>
          <w:sz w:val="28"/>
          <w:szCs w:val="28"/>
        </w:rPr>
        <w:t>А1</w:t>
      </w:r>
      <w:r w:rsidR="002030EE">
        <w:rPr>
          <w:rFonts w:ascii="Times New Roman" w:hAnsi="Times New Roman" w:cs="Times New Roman"/>
          <w:sz w:val="28"/>
          <w:szCs w:val="28"/>
        </w:rPr>
        <w:t xml:space="preserve"> </w:t>
      </w:r>
      <w:r w:rsidR="00051F4F">
        <w:rPr>
          <w:rFonts w:ascii="Times New Roman" w:hAnsi="Times New Roman" w:cs="Times New Roman"/>
          <w:sz w:val="28"/>
          <w:szCs w:val="28"/>
        </w:rPr>
        <w:t>(</w:t>
      </w:r>
      <w:r>
        <w:rPr>
          <w:rFonts w:ascii="Times New Roman" w:hAnsi="Times New Roman"/>
          <w:sz w:val="28"/>
          <w:szCs w:val="28"/>
        </w:rPr>
        <w:t>n=507</w:t>
      </w:r>
      <w:r w:rsidR="00051F4F">
        <w:rPr>
          <w:rFonts w:ascii="Times New Roman" w:hAnsi="Times New Roman"/>
          <w:sz w:val="28"/>
          <w:szCs w:val="28"/>
        </w:rPr>
        <w:t>)</w:t>
      </w:r>
      <w:r>
        <w:rPr>
          <w:rFonts w:ascii="Times New Roman" w:hAnsi="Times New Roman"/>
          <w:sz w:val="28"/>
          <w:szCs w:val="28"/>
        </w:rPr>
        <w:t xml:space="preserve"> </w:t>
      </w:r>
    </w:p>
    <w:p w:rsidR="00AD11CD" w:rsidRPr="00AD11CD" w:rsidRDefault="00AD11CD" w:rsidP="00AB12B3">
      <w:pPr>
        <w:spacing w:after="0" w:line="240" w:lineRule="auto"/>
        <w:jc w:val="both"/>
        <w:rPr>
          <w:rFonts w:ascii="Times New Roman" w:hAnsi="Times New Roman"/>
          <w:sz w:val="28"/>
          <w:szCs w:val="28"/>
          <w:lang w:val="kk-KZ"/>
        </w:rPr>
      </w:pPr>
    </w:p>
    <w:tbl>
      <w:tblPr>
        <w:tblStyle w:val="af7"/>
        <w:tblW w:w="9214" w:type="dxa"/>
        <w:tblInd w:w="137" w:type="dxa"/>
        <w:tblLayout w:type="fixed"/>
        <w:tblLook w:val="04A0" w:firstRow="1" w:lastRow="0" w:firstColumn="1" w:lastColumn="0" w:noHBand="0" w:noVBand="1"/>
      </w:tblPr>
      <w:tblGrid>
        <w:gridCol w:w="2381"/>
        <w:gridCol w:w="2835"/>
        <w:gridCol w:w="2864"/>
        <w:gridCol w:w="1134"/>
      </w:tblGrid>
      <w:tr w:rsidR="00AB12B3" w:rsidTr="004249C9">
        <w:trPr>
          <w:trHeight w:val="377"/>
        </w:trPr>
        <w:tc>
          <w:tcPr>
            <w:tcW w:w="2381"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5699"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апоВ/апоА1</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4249C9">
        <w:trPr>
          <w:trHeight w:val="379"/>
        </w:trPr>
        <w:tc>
          <w:tcPr>
            <w:tcW w:w="238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≤0,85</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286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&gt;0,85</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4249C9">
        <w:trPr>
          <w:trHeight w:val="323"/>
        </w:trPr>
        <w:tc>
          <w:tcPr>
            <w:tcW w:w="238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ОХС, ммоль/л</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3,29±1,86 (2,49-4,35)</w:t>
            </w:r>
          </w:p>
        </w:tc>
        <w:tc>
          <w:tcPr>
            <w:tcW w:w="286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3,92±2,39 (2,59-4,98)</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0,001</w:t>
            </w:r>
          </w:p>
        </w:tc>
      </w:tr>
      <w:tr w:rsidR="00AB12B3" w:rsidTr="004249C9">
        <w:trPr>
          <w:trHeight w:val="323"/>
        </w:trPr>
        <w:tc>
          <w:tcPr>
            <w:tcW w:w="238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ТГ, ммоль/л</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1,1±0,77 (0,78-1,55)</w:t>
            </w:r>
          </w:p>
        </w:tc>
        <w:tc>
          <w:tcPr>
            <w:tcW w:w="286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1,67±0,75 (1,34-2,09)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4249C9">
        <w:trPr>
          <w:trHeight w:val="323"/>
        </w:trPr>
        <w:tc>
          <w:tcPr>
            <w:tcW w:w="238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ЛПНП, ммоль/л</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1,83±1,12 (1,38-2,5)</w:t>
            </w:r>
          </w:p>
        </w:tc>
        <w:tc>
          <w:tcPr>
            <w:tcW w:w="286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1,89±1,33 (1,37-2,7)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0,66</w:t>
            </w:r>
          </w:p>
        </w:tc>
      </w:tr>
      <w:tr w:rsidR="00AB12B3" w:rsidTr="004249C9">
        <w:trPr>
          <w:trHeight w:val="323"/>
        </w:trPr>
        <w:tc>
          <w:tcPr>
            <w:tcW w:w="238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ЛПВП, ммоль/л</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0,9±0,66 (0,64-1,3)</w:t>
            </w:r>
          </w:p>
        </w:tc>
        <w:tc>
          <w:tcPr>
            <w:tcW w:w="286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1,1±0,83 (0,8-1,63)</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4249C9">
        <w:trPr>
          <w:trHeight w:val="323"/>
        </w:trPr>
        <w:tc>
          <w:tcPr>
            <w:tcW w:w="238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 г/л</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0,9±0,31 (0,75-1,06)</w:t>
            </w:r>
          </w:p>
        </w:tc>
        <w:tc>
          <w:tcPr>
            <w:tcW w:w="286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1,3±0,46 (1,15-1,61)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4249C9">
              <w:rPr>
                <w:rFonts w:ascii="Century" w:hAnsi="Century"/>
                <w:sz w:val="28"/>
                <w:szCs w:val="28"/>
              </w:rPr>
              <w:t>,</w:t>
            </w:r>
            <w:r>
              <w:rPr>
                <w:rFonts w:ascii="Times New Roman" w:hAnsi="Times New Roman"/>
                <w:sz w:val="28"/>
                <w:szCs w:val="28"/>
              </w:rPr>
              <w:t>0001</w:t>
            </w:r>
          </w:p>
        </w:tc>
      </w:tr>
      <w:tr w:rsidR="00AB12B3" w:rsidTr="004249C9">
        <w:trPr>
          <w:trHeight w:val="323"/>
        </w:trPr>
        <w:tc>
          <w:tcPr>
            <w:tcW w:w="238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апоА1 г/л</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w:t>
            </w:r>
            <w:r w:rsidRPr="004249C9">
              <w:rPr>
                <w:rFonts w:ascii="Century" w:hAnsi="Century"/>
                <w:sz w:val="28"/>
                <w:szCs w:val="28"/>
              </w:rPr>
              <w:t>,</w:t>
            </w:r>
            <w:r>
              <w:rPr>
                <w:rFonts w:ascii="Times New Roman" w:hAnsi="Times New Roman"/>
                <w:sz w:val="28"/>
                <w:szCs w:val="28"/>
              </w:rPr>
              <w:t>54</w:t>
            </w:r>
            <w:r w:rsidRPr="004249C9">
              <w:rPr>
                <w:rFonts w:ascii="Century" w:hAnsi="Century"/>
                <w:sz w:val="28"/>
                <w:szCs w:val="28"/>
              </w:rPr>
              <w:t>±</w:t>
            </w:r>
            <w:r>
              <w:rPr>
                <w:rFonts w:ascii="Times New Roman" w:hAnsi="Times New Roman"/>
                <w:sz w:val="28"/>
                <w:szCs w:val="28"/>
              </w:rPr>
              <w:t>0,37 (1</w:t>
            </w:r>
            <w:r w:rsidRPr="004249C9">
              <w:rPr>
                <w:rFonts w:ascii="Century" w:hAnsi="Century"/>
                <w:sz w:val="28"/>
                <w:szCs w:val="28"/>
              </w:rPr>
              <w:t>,</w:t>
            </w:r>
            <w:r>
              <w:rPr>
                <w:rFonts w:ascii="Times New Roman" w:hAnsi="Times New Roman"/>
                <w:sz w:val="28"/>
                <w:szCs w:val="28"/>
              </w:rPr>
              <w:t>39-1</w:t>
            </w:r>
            <w:r w:rsidRPr="004249C9">
              <w:rPr>
                <w:rFonts w:ascii="Century" w:hAnsi="Century"/>
                <w:sz w:val="28"/>
                <w:szCs w:val="28"/>
              </w:rPr>
              <w:t>,</w:t>
            </w:r>
            <w:r>
              <w:rPr>
                <w:rFonts w:ascii="Times New Roman" w:hAnsi="Times New Roman"/>
                <w:sz w:val="28"/>
                <w:szCs w:val="28"/>
              </w:rPr>
              <w:t>76)</w:t>
            </w:r>
          </w:p>
        </w:tc>
        <w:tc>
          <w:tcPr>
            <w:tcW w:w="286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w:t>
            </w:r>
            <w:r w:rsidRPr="004249C9">
              <w:rPr>
                <w:rFonts w:ascii="Century" w:hAnsi="Century"/>
                <w:sz w:val="28"/>
                <w:szCs w:val="28"/>
              </w:rPr>
              <w:t>,</w:t>
            </w:r>
            <w:r>
              <w:rPr>
                <w:rFonts w:ascii="Times New Roman" w:hAnsi="Times New Roman"/>
                <w:sz w:val="28"/>
                <w:szCs w:val="28"/>
              </w:rPr>
              <w:t>28</w:t>
            </w:r>
            <w:r w:rsidRPr="004249C9">
              <w:rPr>
                <w:rFonts w:ascii="Century" w:hAnsi="Century"/>
                <w:sz w:val="28"/>
                <w:szCs w:val="28"/>
              </w:rPr>
              <w:t>±</w:t>
            </w:r>
            <w:r>
              <w:rPr>
                <w:rFonts w:ascii="Times New Roman" w:hAnsi="Times New Roman"/>
                <w:sz w:val="28"/>
                <w:szCs w:val="28"/>
              </w:rPr>
              <w:t>0</w:t>
            </w:r>
            <w:r w:rsidRPr="004249C9">
              <w:rPr>
                <w:rFonts w:ascii="Century" w:hAnsi="Century"/>
                <w:sz w:val="28"/>
                <w:szCs w:val="28"/>
              </w:rPr>
              <w:t>,</w:t>
            </w:r>
            <w:r>
              <w:rPr>
                <w:rFonts w:ascii="Times New Roman" w:hAnsi="Times New Roman"/>
                <w:sz w:val="28"/>
                <w:szCs w:val="28"/>
              </w:rPr>
              <w:t>33 (1</w:t>
            </w:r>
            <w:r w:rsidRPr="004249C9">
              <w:rPr>
                <w:rFonts w:ascii="Century" w:hAnsi="Century"/>
                <w:sz w:val="28"/>
                <w:szCs w:val="28"/>
              </w:rPr>
              <w:t>,</w:t>
            </w:r>
            <w:r>
              <w:rPr>
                <w:rFonts w:ascii="Times New Roman" w:hAnsi="Times New Roman"/>
                <w:sz w:val="28"/>
                <w:szCs w:val="28"/>
              </w:rPr>
              <w:t>15-1</w:t>
            </w:r>
            <w:r w:rsidRPr="004249C9">
              <w:rPr>
                <w:rFonts w:ascii="Century" w:hAnsi="Century"/>
                <w:sz w:val="28"/>
                <w:szCs w:val="28"/>
              </w:rPr>
              <w:t>,</w:t>
            </w:r>
            <w:r>
              <w:rPr>
                <w:rFonts w:ascii="Times New Roman" w:hAnsi="Times New Roman"/>
                <w:sz w:val="28"/>
                <w:szCs w:val="28"/>
              </w:rPr>
              <w:t>48)</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4249C9">
              <w:rPr>
                <w:rFonts w:ascii="Century" w:hAnsi="Century"/>
                <w:sz w:val="28"/>
                <w:szCs w:val="28"/>
              </w:rPr>
              <w:t>,</w:t>
            </w:r>
            <w:r>
              <w:rPr>
                <w:rFonts w:ascii="Times New Roman" w:hAnsi="Times New Roman"/>
                <w:sz w:val="28"/>
                <w:szCs w:val="28"/>
              </w:rPr>
              <w:t>0001</w:t>
            </w:r>
          </w:p>
        </w:tc>
      </w:tr>
      <w:tr w:rsidR="00AB12B3" w:rsidTr="004249C9">
        <w:trPr>
          <w:trHeight w:val="323"/>
        </w:trPr>
        <w:tc>
          <w:tcPr>
            <w:tcW w:w="238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Инсулин, мкМЕ/мл</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9</w:t>
            </w:r>
            <w:r w:rsidRPr="004249C9">
              <w:rPr>
                <w:rFonts w:ascii="Century" w:hAnsi="Century"/>
                <w:sz w:val="28"/>
                <w:szCs w:val="28"/>
              </w:rPr>
              <w:t>,</w:t>
            </w:r>
            <w:r>
              <w:rPr>
                <w:rFonts w:ascii="Times New Roman" w:hAnsi="Times New Roman"/>
                <w:sz w:val="28"/>
                <w:szCs w:val="28"/>
              </w:rPr>
              <w:t>15±9</w:t>
            </w:r>
            <w:r w:rsidRPr="004249C9">
              <w:rPr>
                <w:rFonts w:ascii="Century" w:hAnsi="Century"/>
                <w:sz w:val="28"/>
                <w:szCs w:val="28"/>
              </w:rPr>
              <w:t>,</w:t>
            </w:r>
            <w:r>
              <w:rPr>
                <w:rFonts w:ascii="Times New Roman" w:hAnsi="Times New Roman"/>
                <w:sz w:val="28"/>
                <w:szCs w:val="28"/>
              </w:rPr>
              <w:t>2 (5</w:t>
            </w:r>
            <w:r w:rsidRPr="004249C9">
              <w:rPr>
                <w:rFonts w:ascii="Century" w:hAnsi="Century"/>
                <w:sz w:val="28"/>
                <w:szCs w:val="28"/>
              </w:rPr>
              <w:t>,</w:t>
            </w:r>
            <w:r>
              <w:rPr>
                <w:rFonts w:ascii="Times New Roman" w:hAnsi="Times New Roman"/>
                <w:sz w:val="28"/>
                <w:szCs w:val="28"/>
              </w:rPr>
              <w:t>7-14</w:t>
            </w:r>
            <w:r w:rsidRPr="004249C9">
              <w:rPr>
                <w:rFonts w:ascii="Century" w:hAnsi="Century"/>
                <w:sz w:val="28"/>
                <w:szCs w:val="28"/>
              </w:rPr>
              <w:t>,</w:t>
            </w:r>
            <w:r>
              <w:rPr>
                <w:rFonts w:ascii="Times New Roman" w:hAnsi="Times New Roman"/>
                <w:sz w:val="28"/>
                <w:szCs w:val="28"/>
              </w:rPr>
              <w:t>9)</w:t>
            </w:r>
          </w:p>
        </w:tc>
        <w:tc>
          <w:tcPr>
            <w:tcW w:w="286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9</w:t>
            </w:r>
            <w:r w:rsidRPr="004249C9">
              <w:rPr>
                <w:rFonts w:ascii="Century" w:hAnsi="Century"/>
                <w:sz w:val="28"/>
                <w:szCs w:val="28"/>
              </w:rPr>
              <w:t>,</w:t>
            </w:r>
            <w:r>
              <w:rPr>
                <w:rFonts w:ascii="Times New Roman" w:hAnsi="Times New Roman"/>
                <w:sz w:val="28"/>
                <w:szCs w:val="28"/>
              </w:rPr>
              <w:t>9±7</w:t>
            </w:r>
            <w:r w:rsidRPr="004249C9">
              <w:rPr>
                <w:rFonts w:ascii="Century" w:hAnsi="Century"/>
                <w:sz w:val="28"/>
                <w:szCs w:val="28"/>
              </w:rPr>
              <w:t>,</w:t>
            </w:r>
            <w:r>
              <w:rPr>
                <w:rFonts w:ascii="Times New Roman" w:hAnsi="Times New Roman"/>
                <w:sz w:val="28"/>
                <w:szCs w:val="28"/>
              </w:rPr>
              <w:t>4 (6</w:t>
            </w:r>
            <w:r w:rsidRPr="004249C9">
              <w:rPr>
                <w:rFonts w:ascii="Century" w:hAnsi="Century"/>
                <w:sz w:val="28"/>
                <w:szCs w:val="28"/>
              </w:rPr>
              <w:t>,</w:t>
            </w:r>
            <w:r>
              <w:rPr>
                <w:rFonts w:ascii="Times New Roman" w:hAnsi="Times New Roman"/>
                <w:sz w:val="28"/>
                <w:szCs w:val="28"/>
              </w:rPr>
              <w:t>6-14)</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4249C9">
              <w:rPr>
                <w:rFonts w:ascii="Century" w:hAnsi="Century"/>
                <w:sz w:val="28"/>
                <w:szCs w:val="28"/>
              </w:rPr>
              <w:t>,</w:t>
            </w:r>
            <w:r>
              <w:rPr>
                <w:rFonts w:ascii="Times New Roman" w:hAnsi="Times New Roman"/>
                <w:sz w:val="28"/>
                <w:szCs w:val="28"/>
              </w:rPr>
              <w:t>28</w:t>
            </w:r>
          </w:p>
        </w:tc>
      </w:tr>
      <w:tr w:rsidR="00AB12B3" w:rsidTr="004249C9">
        <w:trPr>
          <w:trHeight w:val="323"/>
        </w:trPr>
        <w:tc>
          <w:tcPr>
            <w:tcW w:w="238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глюкоза, моль/л</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5,45±2,06 (4,28-6,33)</w:t>
            </w:r>
          </w:p>
        </w:tc>
        <w:tc>
          <w:tcPr>
            <w:tcW w:w="286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5,74±1,75 (4,72-6,47)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0,038</w:t>
            </w:r>
          </w:p>
        </w:tc>
      </w:tr>
      <w:tr w:rsidR="00AB12B3" w:rsidTr="004249C9">
        <w:trPr>
          <w:trHeight w:val="323"/>
        </w:trPr>
        <w:tc>
          <w:tcPr>
            <w:tcW w:w="2381"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HOMA-IR</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2,04±2,43 (1,27-3,7)</w:t>
            </w:r>
          </w:p>
        </w:tc>
        <w:tc>
          <w:tcPr>
            <w:tcW w:w="2864"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2,51±2,21 (1,58-3,79)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0,088</w:t>
            </w:r>
          </w:p>
        </w:tc>
      </w:tr>
      <w:tr w:rsidR="00AB12B3" w:rsidTr="007A1B24">
        <w:trPr>
          <w:trHeight w:val="442"/>
        </w:trPr>
        <w:tc>
          <w:tcPr>
            <w:tcW w:w="9214" w:type="dxa"/>
            <w:gridSpan w:val="4"/>
            <w:tcBorders>
              <w:top w:val="single" w:sz="4" w:space="0" w:color="auto"/>
              <w:left w:val="single" w:sz="4" w:space="0" w:color="auto"/>
              <w:bottom w:val="single" w:sz="4" w:space="0" w:color="auto"/>
              <w:right w:val="single" w:sz="4" w:space="0" w:color="auto"/>
            </w:tcBorders>
            <w:hideMark/>
          </w:tcPr>
          <w:p w:rsidR="0068327E" w:rsidRDefault="00AB12B3">
            <w:pPr>
              <w:jc w:val="both"/>
              <w:rPr>
                <w:rFonts w:ascii="Times New Roman" w:hAnsi="Times New Roman"/>
                <w:szCs w:val="20"/>
                <w:lang w:val="kk-KZ"/>
              </w:rPr>
            </w:pPr>
            <w:r>
              <w:rPr>
                <w:rFonts w:ascii="Times New Roman" w:hAnsi="Times New Roman"/>
                <w:szCs w:val="20"/>
              </w:rPr>
              <w:t xml:space="preserve">Примечание *Критерий Манна-Уитни; </w:t>
            </w:r>
          </w:p>
          <w:p w:rsidR="00AB12B3" w:rsidRDefault="00AB12B3">
            <w:pPr>
              <w:jc w:val="both"/>
              <w:rPr>
                <w:rFonts w:ascii="Times New Roman" w:hAnsi="Times New Roman"/>
                <w:sz w:val="20"/>
                <w:szCs w:val="20"/>
              </w:rPr>
            </w:pPr>
            <w:r>
              <w:rPr>
                <w:rFonts w:ascii="Times New Roman" w:hAnsi="Times New Roman"/>
                <w:szCs w:val="20"/>
              </w:rPr>
              <w:t>Ме±IQR (Q1 – Q3) – Медиана ± межквартильный диапазон (1 квартиль – 3 квартиль)</w:t>
            </w:r>
          </w:p>
        </w:tc>
      </w:tr>
    </w:tbl>
    <w:p w:rsidR="000A6036" w:rsidRDefault="000A6036" w:rsidP="000A6036">
      <w:pPr>
        <w:spacing w:after="0" w:line="240" w:lineRule="auto"/>
        <w:ind w:firstLine="708"/>
        <w:jc w:val="both"/>
        <w:rPr>
          <w:rFonts w:ascii="Times New Roman" w:hAnsi="Times New Roman" w:cs="Times New Roman"/>
          <w:sz w:val="28"/>
          <w:szCs w:val="28"/>
        </w:rPr>
      </w:pPr>
    </w:p>
    <w:p w:rsidR="00FE28DE" w:rsidRDefault="00FE28DE" w:rsidP="00FE28D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Похожие результаты были </w:t>
      </w:r>
      <w:r w:rsidR="00051F4F">
        <w:rPr>
          <w:rFonts w:ascii="Times New Roman" w:hAnsi="Times New Roman" w:cs="Times New Roman"/>
          <w:sz w:val="28"/>
          <w:szCs w:val="28"/>
        </w:rPr>
        <w:t xml:space="preserve">выявлены </w:t>
      </w:r>
      <w:r>
        <w:rPr>
          <w:rFonts w:ascii="Times New Roman" w:hAnsi="Times New Roman" w:cs="Times New Roman"/>
          <w:sz w:val="28"/>
          <w:szCs w:val="28"/>
        </w:rPr>
        <w:t>в исследовании Zheng S. и соавторов (2017), где изучал</w:t>
      </w:r>
      <w:r w:rsidR="00051F4F">
        <w:rPr>
          <w:rFonts w:ascii="Times New Roman" w:hAnsi="Times New Roman" w:cs="Times New Roman"/>
          <w:sz w:val="28"/>
          <w:szCs w:val="28"/>
        </w:rPr>
        <w:t>ось</w:t>
      </w:r>
      <w:r>
        <w:rPr>
          <w:rFonts w:ascii="Times New Roman" w:hAnsi="Times New Roman" w:cs="Times New Roman"/>
          <w:sz w:val="28"/>
          <w:szCs w:val="28"/>
        </w:rPr>
        <w:t xml:space="preserve"> связь между соотношением апоВ/апоА1 и риском развития СД 2 типа </w:t>
      </w:r>
      <w:r w:rsidR="00EA0E64">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{"citationItems":[{"id":"ITEM-1","itemData":{"DOI":"10.1136/bmjopen-2016-014038","ISSN":"2044-6055","abstract":"Background: Apolipoprotein B/apolipoprotein A-I (ApoB/ApoA-I) ratio is a useful predictor of cardiovascular risk. However, the association between the ApoB/ApoA-I ratio and the risk of type 2 diabetes mellitus (T2DM) is still obscure. Aims: To investigate the associations between the ApoB/ApoA-I ratio and the risk of T2DM and prediabetes in a Chinese population, and to assess the role of gender in these associations. Methods: A stratified random sampling design was used in this cross-sectional study which included 264 men and 465 women with normal glucose tolerance (NGT), pre-diabetes or T2DM. Serum ApoB, ApoA-I and other lipid and glycaemic traits were measured. Pearson's partial correlation and multivariable logistic analysis were used to evaluate the associations between ApoB/ApoA-I ratio and the risk of T2DM and pre-diabetes. Results: The ApoB/ApoA-I ratios were significantly increased across the spectrum of NGT, pre-diabetes and T2DM. Women showed higher levels of ApoB/ApoA-I ratio and ApoB than men in the pre-diabetic and T2DM groups, but not in the NGT group. The ApoB/ApoA-I ratio was closely related with triglyceride, total cholesterol, high-density lipoprotein cholesterol, low-density lipoprotein cholesterol and other glycaemic traits. Moreover, in women, the risk of diabetes and pre-diabetes in the top and middle tertiles of the ApoB/ApoA-I ratio were 3.65-fold (95% CI 1.69 to 6.10) and 2.19-fold (95% CI 1.38 to 2.84) higher than in the bottom tertile, respectively, after adjusting for potential confounding factors. However, the associations disappeared in men after adjusting for other factors. Conclusions: The ApoB/ApoA-I ratio showed positive associations with the risk of diabetes and pre-diabetes in Chinese women.","author":[{"dropping-particle":"","family":"Zheng","given":"Shuang","non-dropping-particle":"","parse-names":false,"suffix":""},{"dropping-particle":"","family":"Han","given":"Tingting","non-dropping-particle":"","parse-names":false,"suffix":""},{"dropping-particle":"","family":"Xu","given":"Hua","non-dropping-particle":"","parse-names":false,"suffix":""},{"dropping-particle":"","family":"Zhou","given":"Huan","non-dropping-particle":"","parse-names":false,"suffix":""},{"dropping-particle":"","family":"Ren","given":"Xingxing","non-dropping-particle":"","parse-names":false,"suffix":""},{"dropping-particle":"","family":"Wu","given":"Peihong","non-dropping-particle":"","parse-names":false,"suffix":""},{"dropping-particle":"","family":"Zheng","given":"Jun","non-dropping-particle":"","parse-names":false,"suffix":""},{"dropping-particle":"","family":"Wang","given":"Lihua","non-dropping-particle":"","parse-names":false,"suffix":""},{"dropping-particle":"","family":"Zhang","given":"Ming","non-dropping-particle":"","parse-names":false,"suffix":""},{"dropping-particle":"","family":"Jiang","given":"Yihong","non-dropping-particle":"","parse-names":false,"suffix":""},{"dropping-particle":"","family":"Chen","given":"Yawen","non-dropping-particle":"","parse-names":false,"suffix":""},{"dropping-particle":"","family":"Qiu","given":"Huiying","non-dropping-particle":"","parse-names":false,"suffix":""},{"dropping-particle":"","family":"Liu","given":"Wei","non-dropping-particle":"","parse-names":false,"suffix":""},{"dropping-particle":"","family":"Hu","given":"Yaomin","non-dropping-particle":"","parse-names":false,"suffix":""}],"container-title":"BMJ Open","id":"ITEM-1","issue":"1","issued":{"date-parts":[["2017","1","20"]]},"page":"e014038","title":"Associations of apolipoprotein B/apolipoprotein A-I ratio with pre-diabetes and diabetes risks: a cross-sectional study in Chinese adults","type":"article-journal","volume":"7"},"uris":["http://www.mendeley.com/documents/?uuid=9ec31680-99c2-44d5-a705-576e85247f69"]}],"mendeley":{"formattedCitation":"[182]","plainTextFormattedCitation":"[182]","previouslyFormattedCitation":"[182]"},"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[182]</w:t>
      </w:r>
      <w:r w:rsidR="00EA0E64">
        <w:rPr>
          <w:rFonts w:ascii="Times New Roman" w:hAnsi="Times New Roman" w:cs="Times New Roman"/>
          <w:sz w:val="28"/>
          <w:szCs w:val="28"/>
        </w:rPr>
        <w:fldChar w:fldCharType="end"/>
      </w:r>
      <w:r w:rsidR="008230B3">
        <w:rPr>
          <w:rFonts w:ascii="Times New Roman" w:hAnsi="Times New Roman" w:cs="Times New Roman"/>
          <w:sz w:val="28"/>
          <w:szCs w:val="28"/>
        </w:rPr>
        <w:t>. Данная группа ученых</w:t>
      </w:r>
      <w:r>
        <w:rPr>
          <w:rFonts w:ascii="Times New Roman" w:hAnsi="Times New Roman" w:cs="Times New Roman"/>
          <w:sz w:val="28"/>
          <w:szCs w:val="28"/>
        </w:rPr>
        <w:t xml:space="preserve"> пришли к выводу, что соотношение апоВ/апоА1 тесно связан</w:t>
      </w:r>
      <w:r w:rsidR="008230B3">
        <w:rPr>
          <w:rFonts w:ascii="Times New Roman" w:hAnsi="Times New Roman" w:cs="Times New Roman"/>
          <w:sz w:val="28"/>
          <w:szCs w:val="28"/>
        </w:rPr>
        <w:t>о</w:t>
      </w:r>
      <w:r>
        <w:rPr>
          <w:rFonts w:ascii="Times New Roman" w:hAnsi="Times New Roman" w:cs="Times New Roman"/>
          <w:sz w:val="28"/>
          <w:szCs w:val="28"/>
        </w:rPr>
        <w:t xml:space="preserve"> с </w:t>
      </w:r>
      <w:r w:rsidR="008230B3">
        <w:rPr>
          <w:rFonts w:ascii="Times New Roman" w:hAnsi="Times New Roman" w:cs="Times New Roman"/>
          <w:sz w:val="28"/>
          <w:szCs w:val="28"/>
        </w:rPr>
        <w:t xml:space="preserve">показателями </w:t>
      </w:r>
      <w:r w:rsidR="006110A8">
        <w:rPr>
          <w:rFonts w:ascii="Times New Roman" w:hAnsi="Times New Roman" w:cs="Times New Roman"/>
          <w:sz w:val="28"/>
          <w:szCs w:val="28"/>
        </w:rPr>
        <w:t>ТГ</w:t>
      </w:r>
      <w:r>
        <w:rPr>
          <w:rFonts w:ascii="Times New Roman" w:hAnsi="Times New Roman" w:cs="Times New Roman"/>
          <w:sz w:val="28"/>
          <w:szCs w:val="28"/>
        </w:rPr>
        <w:t>, ОХ</w:t>
      </w:r>
      <w:r w:rsidR="00B32C5A">
        <w:rPr>
          <w:rFonts w:ascii="Times New Roman" w:hAnsi="Times New Roman" w:cs="Times New Roman"/>
          <w:sz w:val="28"/>
          <w:szCs w:val="28"/>
        </w:rPr>
        <w:t>С, ЛПВП, ЛПНП и высокие значения</w:t>
      </w:r>
      <w:r>
        <w:rPr>
          <w:rFonts w:ascii="Times New Roman" w:hAnsi="Times New Roman" w:cs="Times New Roman"/>
          <w:sz w:val="28"/>
          <w:szCs w:val="28"/>
        </w:rPr>
        <w:t xml:space="preserve"> соотношени</w:t>
      </w:r>
      <w:r w:rsidR="00B32C5A">
        <w:rPr>
          <w:rFonts w:ascii="Times New Roman" w:hAnsi="Times New Roman" w:cs="Times New Roman"/>
          <w:sz w:val="28"/>
          <w:szCs w:val="28"/>
        </w:rPr>
        <w:t>я</w:t>
      </w:r>
      <w:r w:rsidR="00CE2566">
        <w:rPr>
          <w:rFonts w:ascii="Times New Roman" w:hAnsi="Times New Roman" w:cs="Times New Roman"/>
          <w:sz w:val="28"/>
          <w:szCs w:val="28"/>
        </w:rPr>
        <w:t xml:space="preserve"> </w:t>
      </w:r>
      <w:r>
        <w:rPr>
          <w:rFonts w:ascii="Times New Roman" w:hAnsi="Times New Roman" w:cs="Times New Roman"/>
          <w:sz w:val="28"/>
          <w:szCs w:val="28"/>
        </w:rPr>
        <w:t>апоВ/апоА1 ассоциирован</w:t>
      </w:r>
      <w:r w:rsidR="00B32C5A">
        <w:rPr>
          <w:rFonts w:ascii="Times New Roman" w:hAnsi="Times New Roman" w:cs="Times New Roman"/>
          <w:sz w:val="28"/>
          <w:szCs w:val="28"/>
        </w:rPr>
        <w:t>ы</w:t>
      </w:r>
      <w:r>
        <w:rPr>
          <w:rFonts w:ascii="Times New Roman" w:hAnsi="Times New Roman" w:cs="Times New Roman"/>
          <w:sz w:val="28"/>
          <w:szCs w:val="28"/>
        </w:rPr>
        <w:t xml:space="preserve"> с риском развития преддиабета и СД 2 типа у женщин по сравнению с мужчинами. </w:t>
      </w:r>
    </w:p>
    <w:p w:rsidR="00401FC2" w:rsidRDefault="00401FC2" w:rsidP="00401FC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оценке взаимосвязи между группами апоВ/апоА1 и биохимическими показателями </w:t>
      </w:r>
      <w:r w:rsidR="008230B3">
        <w:rPr>
          <w:rFonts w:ascii="Times New Roman" w:hAnsi="Times New Roman" w:cs="Times New Roman"/>
          <w:sz w:val="28"/>
          <w:szCs w:val="28"/>
        </w:rPr>
        <w:t xml:space="preserve">наиболее </w:t>
      </w:r>
      <w:r>
        <w:rPr>
          <w:rFonts w:ascii="Times New Roman" w:hAnsi="Times New Roman" w:cs="Times New Roman"/>
          <w:sz w:val="28"/>
          <w:szCs w:val="28"/>
        </w:rPr>
        <w:t xml:space="preserve">значимые </w:t>
      </w:r>
      <w:r w:rsidR="008230B3">
        <w:rPr>
          <w:rFonts w:ascii="Times New Roman" w:hAnsi="Times New Roman" w:cs="Times New Roman"/>
          <w:sz w:val="28"/>
          <w:szCs w:val="28"/>
        </w:rPr>
        <w:t>ассоциации</w:t>
      </w:r>
      <w:r>
        <w:rPr>
          <w:rFonts w:ascii="Times New Roman" w:hAnsi="Times New Roman" w:cs="Times New Roman"/>
          <w:sz w:val="28"/>
          <w:szCs w:val="28"/>
        </w:rPr>
        <w:t xml:space="preserve"> были обнаружены с</w:t>
      </w:r>
      <w:r w:rsidR="008230B3">
        <w:rPr>
          <w:rFonts w:ascii="Times New Roman" w:hAnsi="Times New Roman" w:cs="Times New Roman"/>
          <w:sz w:val="28"/>
          <w:szCs w:val="28"/>
        </w:rPr>
        <w:t xml:space="preserve"> показателями</w:t>
      </w:r>
      <w:r>
        <w:rPr>
          <w:rFonts w:ascii="Times New Roman" w:hAnsi="Times New Roman" w:cs="Times New Roman"/>
          <w:sz w:val="28"/>
          <w:szCs w:val="28"/>
        </w:rPr>
        <w:t xml:space="preserve"> уровня ОХС, ТГ, ЛПВП, апоВ и глюкозой (таблица 35). При </w:t>
      </w:r>
      <w:r w:rsidR="00EB6FAB">
        <w:rPr>
          <w:rFonts w:ascii="Times New Roman" w:hAnsi="Times New Roman" w:cs="Times New Roman"/>
          <w:sz w:val="28"/>
          <w:szCs w:val="28"/>
        </w:rPr>
        <w:t>высок</w:t>
      </w:r>
      <w:r w:rsidR="008D68E8">
        <w:rPr>
          <w:rFonts w:ascii="Times New Roman" w:hAnsi="Times New Roman" w:cs="Times New Roman"/>
          <w:sz w:val="28"/>
          <w:szCs w:val="28"/>
        </w:rPr>
        <w:t>их</w:t>
      </w:r>
      <w:r w:rsidR="00EB6FAB">
        <w:rPr>
          <w:rFonts w:ascii="Times New Roman" w:hAnsi="Times New Roman" w:cs="Times New Roman"/>
          <w:sz w:val="28"/>
          <w:szCs w:val="28"/>
        </w:rPr>
        <w:t xml:space="preserve"> </w:t>
      </w:r>
      <w:r w:rsidR="00316C00">
        <w:rPr>
          <w:rFonts w:ascii="Times New Roman" w:hAnsi="Times New Roman" w:cs="Times New Roman"/>
          <w:sz w:val="28"/>
          <w:szCs w:val="28"/>
          <w:lang w:val="kk-KZ"/>
        </w:rPr>
        <w:t>значени</w:t>
      </w:r>
      <w:r w:rsidR="008D68E8">
        <w:rPr>
          <w:rFonts w:ascii="Times New Roman" w:hAnsi="Times New Roman" w:cs="Times New Roman"/>
          <w:sz w:val="28"/>
          <w:szCs w:val="28"/>
        </w:rPr>
        <w:t>ях</w:t>
      </w:r>
      <w:r w:rsidR="00EB6FAB">
        <w:rPr>
          <w:rFonts w:ascii="Times New Roman" w:hAnsi="Times New Roman" w:cs="Times New Roman"/>
          <w:sz w:val="28"/>
          <w:szCs w:val="28"/>
        </w:rPr>
        <w:t xml:space="preserve"> апоВ/апоА1 </w:t>
      </w:r>
      <w:r>
        <w:rPr>
          <w:rFonts w:ascii="Times New Roman" w:hAnsi="Times New Roman" w:cs="Times New Roman"/>
          <w:sz w:val="28"/>
          <w:szCs w:val="28"/>
        </w:rPr>
        <w:t xml:space="preserve">шанс развития </w:t>
      </w:r>
      <w:r w:rsidR="00EB6FAB">
        <w:rPr>
          <w:rFonts w:ascii="Times New Roman" w:hAnsi="Times New Roman" w:cs="Times New Roman"/>
          <w:sz w:val="28"/>
          <w:szCs w:val="28"/>
        </w:rPr>
        <w:t>гиперхолестеринемии и гипертриглицеридемии</w:t>
      </w:r>
      <w:r w:rsidR="008D68E8">
        <w:rPr>
          <w:rFonts w:ascii="Times New Roman" w:hAnsi="Times New Roman" w:cs="Times New Roman"/>
          <w:sz w:val="28"/>
          <w:szCs w:val="28"/>
        </w:rPr>
        <w:t xml:space="preserve"> был</w:t>
      </w:r>
      <w:r w:rsidR="00A841D4">
        <w:rPr>
          <w:rFonts w:ascii="Times New Roman" w:hAnsi="Times New Roman" w:cs="Times New Roman"/>
          <w:sz w:val="28"/>
          <w:szCs w:val="28"/>
        </w:rPr>
        <w:t>и</w:t>
      </w:r>
      <w:r w:rsidR="00EB6FAB">
        <w:rPr>
          <w:rFonts w:ascii="Times New Roman" w:hAnsi="Times New Roman" w:cs="Times New Roman"/>
          <w:sz w:val="28"/>
          <w:szCs w:val="28"/>
        </w:rPr>
        <w:t xml:space="preserve"> </w:t>
      </w:r>
      <w:r w:rsidR="008230B3">
        <w:rPr>
          <w:rFonts w:ascii="Times New Roman" w:hAnsi="Times New Roman" w:cs="Times New Roman"/>
          <w:sz w:val="28"/>
          <w:szCs w:val="28"/>
        </w:rPr>
        <w:t>в</w:t>
      </w:r>
      <w:r>
        <w:rPr>
          <w:rFonts w:ascii="Times New Roman" w:hAnsi="Times New Roman" w:cs="Times New Roman"/>
          <w:sz w:val="28"/>
          <w:szCs w:val="28"/>
        </w:rPr>
        <w:t xml:space="preserve"> 3,42 и 3,43 раз</w:t>
      </w:r>
      <w:r w:rsidR="008230B3">
        <w:rPr>
          <w:rFonts w:ascii="Times New Roman" w:hAnsi="Times New Roman" w:cs="Times New Roman"/>
          <w:sz w:val="28"/>
          <w:szCs w:val="28"/>
        </w:rPr>
        <w:t>а соответственно</w:t>
      </w:r>
      <w:r>
        <w:rPr>
          <w:rFonts w:ascii="Times New Roman" w:hAnsi="Times New Roman" w:cs="Times New Roman"/>
          <w:sz w:val="28"/>
          <w:szCs w:val="28"/>
        </w:rPr>
        <w:t xml:space="preserve"> выше, чем при нормальн</w:t>
      </w:r>
      <w:r w:rsidR="008D68E8">
        <w:rPr>
          <w:rFonts w:ascii="Times New Roman" w:hAnsi="Times New Roman" w:cs="Times New Roman"/>
          <w:sz w:val="28"/>
          <w:szCs w:val="28"/>
        </w:rPr>
        <w:t>ых</w:t>
      </w:r>
      <w:r>
        <w:rPr>
          <w:rFonts w:ascii="Times New Roman" w:hAnsi="Times New Roman" w:cs="Times New Roman"/>
          <w:sz w:val="28"/>
          <w:szCs w:val="28"/>
        </w:rPr>
        <w:t xml:space="preserve"> показател</w:t>
      </w:r>
      <w:r w:rsidR="008D68E8">
        <w:rPr>
          <w:rFonts w:ascii="Times New Roman" w:hAnsi="Times New Roman" w:cs="Times New Roman"/>
          <w:sz w:val="28"/>
          <w:szCs w:val="28"/>
        </w:rPr>
        <w:t>ях апоВ/апоА1</w:t>
      </w:r>
      <w:r>
        <w:rPr>
          <w:rFonts w:ascii="Times New Roman" w:hAnsi="Times New Roman" w:cs="Times New Roman"/>
          <w:sz w:val="28"/>
          <w:szCs w:val="28"/>
        </w:rPr>
        <w:t xml:space="preserve">. Соотношение апоВ/апоА1 вероятно указывает на то, </w:t>
      </w:r>
      <w:r w:rsidR="008230B3">
        <w:rPr>
          <w:rFonts w:ascii="Times New Roman" w:hAnsi="Times New Roman" w:cs="Times New Roman"/>
          <w:sz w:val="28"/>
          <w:szCs w:val="28"/>
        </w:rPr>
        <w:t>какое количество</w:t>
      </w:r>
      <w:r>
        <w:rPr>
          <w:rFonts w:ascii="Times New Roman" w:hAnsi="Times New Roman" w:cs="Times New Roman"/>
          <w:sz w:val="28"/>
          <w:szCs w:val="28"/>
        </w:rPr>
        <w:t xml:space="preserve"> </w:t>
      </w:r>
      <w:r>
        <w:rPr>
          <w:rFonts w:ascii="Times New Roman" w:hAnsi="Times New Roman" w:cs="Times New Roman"/>
          <w:sz w:val="28"/>
          <w:szCs w:val="28"/>
        </w:rPr>
        <w:lastRenderedPageBreak/>
        <w:t>атерогенных частиц циркулируют в плазме, которые в дальнейшем привод</w:t>
      </w:r>
      <w:r w:rsidR="008230B3">
        <w:rPr>
          <w:rFonts w:ascii="Times New Roman" w:hAnsi="Times New Roman" w:cs="Times New Roman"/>
          <w:sz w:val="28"/>
          <w:szCs w:val="28"/>
        </w:rPr>
        <w:t>и</w:t>
      </w:r>
      <w:r>
        <w:rPr>
          <w:rFonts w:ascii="Times New Roman" w:hAnsi="Times New Roman" w:cs="Times New Roman"/>
          <w:sz w:val="28"/>
          <w:szCs w:val="28"/>
        </w:rPr>
        <w:t xml:space="preserve">т к образованию атеросклеротических изменении в сосудах </w:t>
      </w:r>
      <w:r w:rsidR="00EA0E64">
        <w:rPr>
          <w:rFonts w:ascii="Times New Roman" w:hAnsi="Times New Roman" w:cs="Times New Roman"/>
          <w:sz w:val="28"/>
          <w:szCs w:val="28"/>
        </w:rPr>
        <w:fldChar w:fldCharType="begin" w:fldLock="1"/>
      </w:r>
      <w:r w:rsidR="00375D69">
        <w:rPr>
          <w:rFonts w:ascii="Times New Roman" w:hAnsi="Times New Roman" w:cs="Times New Roman"/>
          <w:sz w:val="28"/>
          <w:szCs w:val="28"/>
        </w:rPr>
        <w:instrText>ADDIN CSL_CITATION {"citationItems":[{"id":"ITEM-1","itemData":{"DOI":"10.1177/0004563219827620","ISSN":"17581001","abstract":"An elevated low-density lipoprotein cholesterol concentration is a classical risk factor for cardiovascular disease. This has led to pharmacotherapy in patients with atherosclerotic heart disease or high heart disease risk with statins to reduce serum low-density lipoprotein cholesterol. Even in patients in whom the target levels of low-density lipoprotein cholesterol are reached, there remains a significant residual cardiovascular risk; this is due, in part, to a focus on low-density lipoprotein cholesterol alone and neglect of other important aspects of lipoprotein metabolism. A more refined lipoprotein analysis will provide additional information on the accumulation of very low-density lipoproteins, intermediate density lipoproteins, chylomicrons, chylomicron-remnants and Lp(a) concentrations. Instead of measuring the cholesterol and triglyceride content of the lipoproteins, measurement of their apolipoproteins (apos) is more informative. Apos are either specific for a particular lipoprotein or for a group of lipoproteins. In particular measurement of apos in atherogenic particles is more biologically meaningful than the measurement of the cholesterol concentration contained in these particles. Applying apo profiling will not only improve characterization of the lipoprotein abnormality, but will also improve definition of therapeutic targets. Apo profiling aligns with the concept of precision medicine by which an individual patient is not treated as ‘average’ patient by the average (dose of) therapy. This concept of precision medicine fits the unmet clinical need for stratified cardiovascular medicine. The requirements for clinical application of proteomics, including apo profiling, can now be met using robust mass spectrometry technology which offers desirable analytical performance and standardization.","author":[{"dropping-particle":"","family":"Renee Ruhaak","given":"L.","non-dropping-particle":"","parse-names":false,"suffix":""},{"dropping-particle":"","family":"Laarse","given":"Arnoud","non-dropping-particle":"van der","parse-names":false,"suffix":""},{"dropping-particle":"","family":"Cobbaert","given":"Christa M.","non-dropping-particle":"","parse-names":false,"suffix":""}],"container-title":"Annals of Clinical Biochemistry","id":"ITEM-1","issue":"3","issued":{"date-parts":[["2019"]]},"page":"338-356","title":"Apolipoprotein profiling as a personalized approach to the diagnosis and treatment of dyslipidaemia","type":"article-journal","volume":"56"},"uris":["http://www.mendeley.com/documents/?uuid=9d29395d-90a9-4250-ba7f-a6c24fd91f65"]}],"mendeley":{"formattedCitation":"[30]","manualFormatting":"[30, р. 347]","plainTextFormattedCitation":"[30]","previouslyFormattedCitation":"[30]"},"properties":{"noteIndex":0},"schema":"https://github.com/citation-style-language/schema/raw/master/csl-citation.json"}</w:instrText>
      </w:r>
      <w:r w:rsidR="00EA0E64">
        <w:rPr>
          <w:rFonts w:ascii="Times New Roman" w:hAnsi="Times New Roman" w:cs="Times New Roman"/>
          <w:sz w:val="28"/>
          <w:szCs w:val="28"/>
        </w:rPr>
        <w:fldChar w:fldCharType="separate"/>
      </w:r>
      <w:r w:rsidR="00375D69" w:rsidRPr="00375D69">
        <w:rPr>
          <w:rFonts w:ascii="Times New Roman" w:hAnsi="Times New Roman" w:cs="Times New Roman"/>
          <w:noProof/>
          <w:sz w:val="28"/>
          <w:szCs w:val="28"/>
        </w:rPr>
        <w:t>[30</w:t>
      </w:r>
      <w:r w:rsidR="00375D69">
        <w:rPr>
          <w:rFonts w:ascii="Times New Roman" w:hAnsi="Times New Roman" w:cs="Times New Roman"/>
          <w:noProof/>
          <w:sz w:val="28"/>
          <w:szCs w:val="28"/>
        </w:rPr>
        <w:t>, р. 347</w:t>
      </w:r>
      <w:r w:rsidR="00375D69" w:rsidRPr="00375D69">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201AC5" w:rsidRDefault="00201AC5"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sz w:val="28"/>
          <w:szCs w:val="28"/>
          <w:lang w:val="kk-KZ"/>
        </w:rPr>
      </w:pPr>
      <w:r>
        <w:rPr>
          <w:rFonts w:ascii="Times New Roman" w:hAnsi="Times New Roman" w:cs="Times New Roman"/>
          <w:sz w:val="28"/>
          <w:szCs w:val="28"/>
        </w:rPr>
        <w:t>Таблица 35</w:t>
      </w:r>
      <w:r w:rsidR="004621D6">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биохимических показателей по группам апо</w:t>
      </w:r>
      <w:r w:rsidR="00CE2566">
        <w:rPr>
          <w:rFonts w:ascii="Times New Roman" w:hAnsi="Times New Roman" w:cs="Times New Roman"/>
          <w:sz w:val="28"/>
          <w:szCs w:val="28"/>
        </w:rPr>
        <w:t xml:space="preserve">липопротеин </w:t>
      </w:r>
      <w:r>
        <w:rPr>
          <w:rFonts w:ascii="Times New Roman" w:hAnsi="Times New Roman" w:cs="Times New Roman"/>
          <w:sz w:val="28"/>
          <w:szCs w:val="28"/>
        </w:rPr>
        <w:t>В/апо</w:t>
      </w:r>
      <w:r w:rsidR="00CE2566">
        <w:rPr>
          <w:rFonts w:ascii="Times New Roman" w:hAnsi="Times New Roman" w:cs="Times New Roman"/>
          <w:sz w:val="28"/>
          <w:szCs w:val="28"/>
        </w:rPr>
        <w:t xml:space="preserve">липопротеин </w:t>
      </w:r>
      <w:r>
        <w:rPr>
          <w:rFonts w:ascii="Times New Roman" w:hAnsi="Times New Roman" w:cs="Times New Roman"/>
          <w:sz w:val="28"/>
          <w:szCs w:val="28"/>
        </w:rPr>
        <w:t>А1</w:t>
      </w:r>
      <w:r w:rsidR="00CE2566">
        <w:rPr>
          <w:rFonts w:ascii="Times New Roman" w:hAnsi="Times New Roman" w:cs="Times New Roman"/>
          <w:sz w:val="28"/>
          <w:szCs w:val="28"/>
        </w:rPr>
        <w:t xml:space="preserve"> </w:t>
      </w:r>
      <w:r w:rsidR="008230B3">
        <w:rPr>
          <w:rFonts w:ascii="Times New Roman" w:hAnsi="Times New Roman" w:cs="Times New Roman"/>
          <w:sz w:val="28"/>
          <w:szCs w:val="28"/>
        </w:rPr>
        <w:t>(</w:t>
      </w:r>
      <w:r>
        <w:rPr>
          <w:rFonts w:ascii="Times New Roman" w:hAnsi="Times New Roman"/>
          <w:sz w:val="28"/>
          <w:szCs w:val="28"/>
        </w:rPr>
        <w:t>n=507</w:t>
      </w:r>
      <w:r w:rsidR="008230B3">
        <w:rPr>
          <w:rFonts w:ascii="Times New Roman" w:hAnsi="Times New Roman"/>
          <w:sz w:val="28"/>
          <w:szCs w:val="28"/>
        </w:rPr>
        <w:t>)</w:t>
      </w:r>
    </w:p>
    <w:p w:rsidR="00AD11CD" w:rsidRPr="00AD11CD" w:rsidRDefault="00AD11CD" w:rsidP="00AB12B3">
      <w:pPr>
        <w:spacing w:after="0" w:line="240" w:lineRule="auto"/>
        <w:jc w:val="both"/>
        <w:rPr>
          <w:rFonts w:ascii="Times New Roman" w:hAnsi="Times New Roman" w:cs="Times New Roman"/>
          <w:sz w:val="28"/>
          <w:szCs w:val="28"/>
          <w:lang w:val="kk-KZ"/>
        </w:rPr>
      </w:pPr>
    </w:p>
    <w:tbl>
      <w:tblPr>
        <w:tblStyle w:val="af7"/>
        <w:tblW w:w="9243" w:type="dxa"/>
        <w:tblInd w:w="108" w:type="dxa"/>
        <w:tblLayout w:type="fixed"/>
        <w:tblLook w:val="04A0" w:firstRow="1" w:lastRow="0" w:firstColumn="1" w:lastColumn="0" w:noHBand="0" w:noVBand="1"/>
      </w:tblPr>
      <w:tblGrid>
        <w:gridCol w:w="1588"/>
        <w:gridCol w:w="1843"/>
        <w:gridCol w:w="1134"/>
        <w:gridCol w:w="1134"/>
        <w:gridCol w:w="2523"/>
        <w:gridCol w:w="1021"/>
      </w:tblGrid>
      <w:tr w:rsidR="00AB12B3" w:rsidTr="003A78D0">
        <w:trPr>
          <w:trHeight w:val="385"/>
        </w:trPr>
        <w:tc>
          <w:tcPr>
            <w:tcW w:w="343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2268"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апоВ/апоА1</w:t>
            </w:r>
          </w:p>
        </w:tc>
        <w:tc>
          <w:tcPr>
            <w:tcW w:w="252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ОШ (95% ДИ)</w:t>
            </w:r>
          </w:p>
        </w:tc>
        <w:tc>
          <w:tcPr>
            <w:tcW w:w="1021"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3A78D0">
        <w:trPr>
          <w:trHeight w:val="387"/>
        </w:trPr>
        <w:tc>
          <w:tcPr>
            <w:tcW w:w="3431" w:type="dxa"/>
            <w:gridSpan w:val="2"/>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≤0,85 n</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&gt;0,85 n</w:t>
            </w:r>
          </w:p>
        </w:tc>
        <w:tc>
          <w:tcPr>
            <w:tcW w:w="252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3A78D0">
        <w:trPr>
          <w:trHeight w:val="330"/>
        </w:trPr>
        <w:tc>
          <w:tcPr>
            <w:tcW w:w="1588"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ОХС, ммоль/л</w:t>
            </w:r>
          </w:p>
        </w:tc>
        <w:tc>
          <w:tcPr>
            <w:tcW w:w="184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≤4,9 </w:t>
            </w:r>
          </w:p>
        </w:tc>
        <w:tc>
          <w:tcPr>
            <w:tcW w:w="1134" w:type="dxa"/>
            <w:tcBorders>
              <w:top w:val="single" w:sz="4" w:space="0" w:color="auto"/>
              <w:left w:val="single" w:sz="4" w:space="0" w:color="auto"/>
              <w:bottom w:val="single" w:sz="4" w:space="0" w:color="auto"/>
              <w:right w:val="single" w:sz="4" w:space="0" w:color="auto"/>
            </w:tcBorders>
            <w:hideMark/>
          </w:tcPr>
          <w:p w:rsidR="00AB12B3" w:rsidRPr="00AD36ED" w:rsidRDefault="00AB12B3">
            <w:pPr>
              <w:jc w:val="center"/>
              <w:rPr>
                <w:rFonts w:ascii="Times New Roman" w:hAnsi="Times New Roman"/>
                <w:color w:val="000000" w:themeColor="text1"/>
                <w:sz w:val="28"/>
                <w:szCs w:val="28"/>
              </w:rPr>
            </w:pPr>
            <w:r w:rsidRPr="00AD36ED">
              <w:rPr>
                <w:rFonts w:ascii="Times New Roman" w:hAnsi="Times New Roman"/>
                <w:color w:val="000000" w:themeColor="text1"/>
                <w:sz w:val="28"/>
                <w:szCs w:val="28"/>
              </w:rPr>
              <w:t>362</w:t>
            </w:r>
          </w:p>
        </w:tc>
        <w:tc>
          <w:tcPr>
            <w:tcW w:w="1134" w:type="dxa"/>
            <w:tcBorders>
              <w:top w:val="single" w:sz="4" w:space="0" w:color="auto"/>
              <w:left w:val="single" w:sz="4" w:space="0" w:color="auto"/>
              <w:bottom w:val="single" w:sz="4" w:space="0" w:color="auto"/>
              <w:right w:val="single" w:sz="4" w:space="0" w:color="auto"/>
            </w:tcBorders>
            <w:hideMark/>
          </w:tcPr>
          <w:p w:rsidR="00AB12B3" w:rsidRPr="00AD36ED" w:rsidRDefault="00AB12B3">
            <w:pPr>
              <w:jc w:val="center"/>
              <w:rPr>
                <w:rFonts w:ascii="Times New Roman" w:hAnsi="Times New Roman"/>
                <w:color w:val="000000" w:themeColor="text1"/>
                <w:sz w:val="28"/>
                <w:szCs w:val="28"/>
              </w:rPr>
            </w:pPr>
            <w:r w:rsidRPr="00AD36ED">
              <w:rPr>
                <w:rFonts w:ascii="Times New Roman" w:hAnsi="Times New Roman"/>
                <w:color w:val="000000" w:themeColor="text1"/>
                <w:sz w:val="28"/>
                <w:szCs w:val="28"/>
              </w:rPr>
              <w:t>84</w:t>
            </w:r>
          </w:p>
        </w:tc>
        <w:tc>
          <w:tcPr>
            <w:tcW w:w="252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3A78D0">
        <w:trPr>
          <w:trHeight w:val="330"/>
        </w:trPr>
        <w:tc>
          <w:tcPr>
            <w:tcW w:w="158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&gt;4,9 </w:t>
            </w:r>
          </w:p>
        </w:tc>
        <w:tc>
          <w:tcPr>
            <w:tcW w:w="1134" w:type="dxa"/>
            <w:tcBorders>
              <w:top w:val="single" w:sz="4" w:space="0" w:color="auto"/>
              <w:left w:val="single" w:sz="4" w:space="0" w:color="auto"/>
              <w:bottom w:val="single" w:sz="4" w:space="0" w:color="auto"/>
              <w:right w:val="single" w:sz="4" w:space="0" w:color="auto"/>
            </w:tcBorders>
            <w:hideMark/>
          </w:tcPr>
          <w:p w:rsidR="00AB12B3" w:rsidRPr="00AD36ED" w:rsidRDefault="00AD36ED">
            <w:pPr>
              <w:jc w:val="center"/>
              <w:rPr>
                <w:rFonts w:ascii="Times New Roman" w:hAnsi="Times New Roman"/>
                <w:color w:val="000000" w:themeColor="text1"/>
                <w:sz w:val="28"/>
                <w:szCs w:val="28"/>
              </w:rPr>
            </w:pPr>
            <w:r w:rsidRPr="00AD36ED">
              <w:rPr>
                <w:rFonts w:ascii="Times New Roman" w:hAnsi="Times New Roman"/>
                <w:color w:val="000000" w:themeColor="text1"/>
                <w:sz w:val="28"/>
                <w:szCs w:val="28"/>
              </w:rPr>
              <w:t>34</w:t>
            </w:r>
          </w:p>
        </w:tc>
        <w:tc>
          <w:tcPr>
            <w:tcW w:w="1134" w:type="dxa"/>
            <w:tcBorders>
              <w:top w:val="single" w:sz="4" w:space="0" w:color="auto"/>
              <w:left w:val="single" w:sz="4" w:space="0" w:color="auto"/>
              <w:bottom w:val="single" w:sz="4" w:space="0" w:color="auto"/>
              <w:right w:val="single" w:sz="4" w:space="0" w:color="auto"/>
            </w:tcBorders>
            <w:hideMark/>
          </w:tcPr>
          <w:p w:rsidR="00AB12B3" w:rsidRPr="00AD36ED" w:rsidRDefault="00AD36ED">
            <w:pPr>
              <w:jc w:val="center"/>
              <w:rPr>
                <w:rFonts w:ascii="Times New Roman" w:hAnsi="Times New Roman"/>
                <w:color w:val="000000" w:themeColor="text1"/>
                <w:sz w:val="28"/>
                <w:szCs w:val="28"/>
              </w:rPr>
            </w:pPr>
            <w:r w:rsidRPr="00AD36ED">
              <w:rPr>
                <w:rFonts w:ascii="Times New Roman" w:hAnsi="Times New Roman"/>
                <w:color w:val="000000" w:themeColor="text1"/>
                <w:sz w:val="28"/>
                <w:szCs w:val="28"/>
              </w:rPr>
              <w:t>27</w:t>
            </w:r>
          </w:p>
        </w:tc>
        <w:tc>
          <w:tcPr>
            <w:tcW w:w="252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3,42 (1,96-5,98)</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3A78D0">
        <w:trPr>
          <w:trHeight w:val="330"/>
        </w:trPr>
        <w:tc>
          <w:tcPr>
            <w:tcW w:w="1588"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ТГ</w:t>
            </w:r>
            <w:r w:rsidRPr="003A78D0">
              <w:rPr>
                <w:rFonts w:ascii="Century" w:hAnsi="Century"/>
                <w:sz w:val="28"/>
                <w:szCs w:val="28"/>
              </w:rPr>
              <w:t>,</w:t>
            </w:r>
            <w:r>
              <w:rPr>
                <w:rFonts w:ascii="Times New Roman" w:hAnsi="Times New Roman"/>
                <w:sz w:val="28"/>
                <w:szCs w:val="28"/>
              </w:rPr>
              <w:t xml:space="preserve"> ммоль</w:t>
            </w:r>
            <w:r w:rsidRPr="003A78D0">
              <w:rPr>
                <w:rFonts w:ascii="Century" w:hAnsi="Century"/>
                <w:sz w:val="28"/>
                <w:szCs w:val="28"/>
              </w:rPr>
              <w:t>/</w:t>
            </w:r>
            <w:r>
              <w:rPr>
                <w:rFonts w:ascii="Times New Roman" w:hAnsi="Times New Roman"/>
                <w:sz w:val="28"/>
                <w:szCs w:val="28"/>
              </w:rPr>
              <w:t>л</w:t>
            </w:r>
          </w:p>
        </w:tc>
        <w:tc>
          <w:tcPr>
            <w:tcW w:w="184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3A78D0">
              <w:rPr>
                <w:rFonts w:ascii="Century" w:hAnsi="Century"/>
                <w:sz w:val="28"/>
                <w:szCs w:val="28"/>
              </w:rPr>
              <w:t>≤</w:t>
            </w:r>
            <w:r>
              <w:rPr>
                <w:rFonts w:ascii="Times New Roman" w:hAnsi="Times New Roman"/>
                <w:sz w:val="28"/>
                <w:szCs w:val="28"/>
              </w:rPr>
              <w:t>1,7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315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59</w:t>
            </w:r>
          </w:p>
        </w:tc>
        <w:tc>
          <w:tcPr>
            <w:tcW w:w="252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3A78D0">
        <w:trPr>
          <w:trHeight w:val="330"/>
        </w:trPr>
        <w:tc>
          <w:tcPr>
            <w:tcW w:w="158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3"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sidRPr="003A78D0">
              <w:rPr>
                <w:rFonts w:ascii="Century" w:hAnsi="Century"/>
                <w:sz w:val="28"/>
                <w:szCs w:val="28"/>
              </w:rPr>
              <w:t>&gt;</w:t>
            </w:r>
            <w:r>
              <w:rPr>
                <w:rFonts w:ascii="Times New Roman" w:hAnsi="Times New Roman"/>
                <w:sz w:val="28"/>
                <w:szCs w:val="28"/>
              </w:rPr>
              <w:t>1,7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81</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52</w:t>
            </w:r>
          </w:p>
        </w:tc>
        <w:tc>
          <w:tcPr>
            <w:tcW w:w="252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3,43 (2,19-5,35)</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6E01DF" w:rsidTr="003A78D0">
        <w:trPr>
          <w:trHeight w:val="330"/>
        </w:trPr>
        <w:tc>
          <w:tcPr>
            <w:tcW w:w="1588" w:type="dxa"/>
            <w:vMerge w:val="restart"/>
            <w:tcBorders>
              <w:top w:val="single" w:sz="4" w:space="0" w:color="auto"/>
              <w:left w:val="single" w:sz="4" w:space="0" w:color="auto"/>
              <w:right w:val="single" w:sz="4" w:space="0" w:color="auto"/>
            </w:tcBorders>
            <w:vAlign w:val="center"/>
          </w:tcPr>
          <w:p w:rsidR="006E01DF" w:rsidRDefault="006E01DF" w:rsidP="006E01DF">
            <w:pPr>
              <w:jc w:val="center"/>
              <w:rPr>
                <w:rFonts w:ascii="Times New Roman" w:hAnsi="Times New Roman"/>
                <w:sz w:val="28"/>
                <w:szCs w:val="28"/>
              </w:rPr>
            </w:pPr>
            <w:r>
              <w:rPr>
                <w:rFonts w:ascii="Times New Roman" w:hAnsi="Times New Roman"/>
                <w:sz w:val="28"/>
                <w:szCs w:val="28"/>
              </w:rPr>
              <w:t>ЛПНП, ммоль</w:t>
            </w:r>
            <w:r w:rsidRPr="003A78D0">
              <w:rPr>
                <w:rFonts w:ascii="Century" w:hAnsi="Century"/>
                <w:sz w:val="28"/>
                <w:szCs w:val="28"/>
              </w:rPr>
              <w:t>/</w:t>
            </w:r>
            <w:r>
              <w:rPr>
                <w:rFonts w:ascii="Times New Roman" w:hAnsi="Times New Roman"/>
                <w:sz w:val="28"/>
                <w:szCs w:val="28"/>
              </w:rPr>
              <w:t>л</w:t>
            </w:r>
          </w:p>
        </w:tc>
        <w:tc>
          <w:tcPr>
            <w:tcW w:w="1843"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sidRPr="003A78D0">
              <w:rPr>
                <w:rFonts w:ascii="Century" w:hAnsi="Century"/>
                <w:sz w:val="28"/>
                <w:szCs w:val="28"/>
              </w:rPr>
              <w:t>≤</w:t>
            </w:r>
            <w:r>
              <w:rPr>
                <w:rFonts w:ascii="Times New Roman" w:hAnsi="Times New Roman"/>
                <w:sz w:val="28"/>
                <w:szCs w:val="28"/>
              </w:rPr>
              <w:t>3</w:t>
            </w:r>
            <w:r w:rsidRPr="003A78D0">
              <w:rPr>
                <w:rFonts w:ascii="Century" w:hAnsi="Century"/>
                <w:sz w:val="28"/>
                <w:szCs w:val="28"/>
              </w:rPr>
              <w:t>,</w:t>
            </w:r>
            <w:r>
              <w:rPr>
                <w:rFonts w:ascii="Times New Roman" w:hAnsi="Times New Roman"/>
                <w:sz w:val="28"/>
                <w:szCs w:val="28"/>
              </w:rPr>
              <w:t>0</w:t>
            </w:r>
          </w:p>
        </w:tc>
        <w:tc>
          <w:tcPr>
            <w:tcW w:w="1134"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347</w:t>
            </w:r>
          </w:p>
        </w:tc>
        <w:tc>
          <w:tcPr>
            <w:tcW w:w="1134"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93</w:t>
            </w:r>
          </w:p>
        </w:tc>
        <w:tc>
          <w:tcPr>
            <w:tcW w:w="2523"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1</w:t>
            </w:r>
            <w:r w:rsidRPr="003A78D0">
              <w:rPr>
                <w:rFonts w:ascii="Century" w:hAnsi="Century"/>
                <w:sz w:val="28"/>
                <w:szCs w:val="28"/>
              </w:rPr>
              <w:t>,</w:t>
            </w:r>
            <w:r>
              <w:rPr>
                <w:rFonts w:ascii="Times New Roman" w:hAnsi="Times New Roman"/>
                <w:sz w:val="28"/>
                <w:szCs w:val="28"/>
              </w:rPr>
              <w:t>0</w:t>
            </w:r>
          </w:p>
        </w:tc>
        <w:tc>
          <w:tcPr>
            <w:tcW w:w="1021" w:type="dxa"/>
            <w:vMerge w:val="restart"/>
            <w:tcBorders>
              <w:top w:val="single" w:sz="4" w:space="0" w:color="auto"/>
              <w:left w:val="single" w:sz="4" w:space="0" w:color="auto"/>
              <w:right w:val="single" w:sz="4" w:space="0" w:color="auto"/>
            </w:tcBorders>
          </w:tcPr>
          <w:p w:rsidR="006E01DF" w:rsidRDefault="006E01DF" w:rsidP="006E01DF">
            <w:pPr>
              <w:rPr>
                <w:rFonts w:ascii="Times New Roman" w:hAnsi="Times New Roman"/>
                <w:sz w:val="28"/>
                <w:szCs w:val="28"/>
              </w:rPr>
            </w:pPr>
            <w:r>
              <w:rPr>
                <w:rFonts w:ascii="Times New Roman" w:hAnsi="Times New Roman"/>
                <w:sz w:val="28"/>
                <w:szCs w:val="28"/>
              </w:rPr>
              <w:t>0</w:t>
            </w:r>
            <w:r w:rsidRPr="003A78D0">
              <w:rPr>
                <w:rFonts w:ascii="Century" w:hAnsi="Century"/>
                <w:sz w:val="28"/>
                <w:szCs w:val="28"/>
              </w:rPr>
              <w:t>,</w:t>
            </w:r>
            <w:r>
              <w:rPr>
                <w:rFonts w:ascii="Times New Roman" w:hAnsi="Times New Roman"/>
                <w:sz w:val="28"/>
                <w:szCs w:val="28"/>
              </w:rPr>
              <w:t>29</w:t>
            </w:r>
          </w:p>
        </w:tc>
      </w:tr>
      <w:tr w:rsidR="006E01DF" w:rsidTr="003A78D0">
        <w:trPr>
          <w:trHeight w:val="330"/>
        </w:trPr>
        <w:tc>
          <w:tcPr>
            <w:tcW w:w="1588" w:type="dxa"/>
            <w:vMerge/>
            <w:tcBorders>
              <w:left w:val="single" w:sz="4" w:space="0" w:color="auto"/>
              <w:bottom w:val="single" w:sz="4" w:space="0" w:color="auto"/>
              <w:right w:val="single" w:sz="4" w:space="0" w:color="auto"/>
            </w:tcBorders>
            <w:vAlign w:val="center"/>
          </w:tcPr>
          <w:p w:rsidR="006E01DF" w:rsidRDefault="006E01DF" w:rsidP="006E01DF">
            <w:pPr>
              <w:jc w:val="center"/>
              <w:rPr>
                <w:rFonts w:ascii="Times New Roman" w:hAnsi="Times New Roman"/>
                <w:sz w:val="28"/>
                <w:szCs w:val="28"/>
              </w:rPr>
            </w:pPr>
          </w:p>
        </w:tc>
        <w:tc>
          <w:tcPr>
            <w:tcW w:w="1843"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sidRPr="003A78D0">
              <w:rPr>
                <w:rFonts w:ascii="Century" w:hAnsi="Century"/>
                <w:sz w:val="28"/>
                <w:szCs w:val="28"/>
              </w:rPr>
              <w:t>&gt;</w:t>
            </w:r>
            <w:r>
              <w:rPr>
                <w:rFonts w:ascii="Times New Roman" w:hAnsi="Times New Roman"/>
                <w:sz w:val="28"/>
                <w:szCs w:val="28"/>
              </w:rPr>
              <w:t>3</w:t>
            </w:r>
            <w:r w:rsidRPr="003A78D0">
              <w:rPr>
                <w:rFonts w:ascii="Century" w:hAnsi="Century"/>
                <w:sz w:val="28"/>
                <w:szCs w:val="28"/>
              </w:rPr>
              <w:t>,</w:t>
            </w:r>
            <w:r>
              <w:rPr>
                <w:rFonts w:ascii="Times New Roman" w:hAnsi="Times New Roman"/>
                <w:sz w:val="28"/>
                <w:szCs w:val="28"/>
              </w:rPr>
              <w:t>0</w:t>
            </w:r>
          </w:p>
        </w:tc>
        <w:tc>
          <w:tcPr>
            <w:tcW w:w="1134"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49</w:t>
            </w:r>
          </w:p>
        </w:tc>
        <w:tc>
          <w:tcPr>
            <w:tcW w:w="1134"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18</w:t>
            </w:r>
          </w:p>
        </w:tc>
        <w:tc>
          <w:tcPr>
            <w:tcW w:w="2523"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1</w:t>
            </w:r>
            <w:r w:rsidRPr="003A78D0">
              <w:rPr>
                <w:rFonts w:ascii="Century" w:hAnsi="Century"/>
                <w:sz w:val="28"/>
                <w:szCs w:val="28"/>
              </w:rPr>
              <w:t>,</w:t>
            </w:r>
            <w:r>
              <w:rPr>
                <w:rFonts w:ascii="Times New Roman" w:hAnsi="Times New Roman"/>
                <w:sz w:val="28"/>
                <w:szCs w:val="28"/>
              </w:rPr>
              <w:t>37 (0</w:t>
            </w:r>
            <w:r w:rsidRPr="003A78D0">
              <w:rPr>
                <w:rFonts w:ascii="Century" w:hAnsi="Century"/>
                <w:sz w:val="28"/>
                <w:szCs w:val="28"/>
              </w:rPr>
              <w:t>,</w:t>
            </w:r>
            <w:r>
              <w:rPr>
                <w:rFonts w:ascii="Times New Roman" w:hAnsi="Times New Roman"/>
                <w:sz w:val="28"/>
                <w:szCs w:val="28"/>
              </w:rPr>
              <w:t>76-2</w:t>
            </w:r>
            <w:r w:rsidRPr="003A78D0">
              <w:rPr>
                <w:rFonts w:ascii="Times New Roman" w:hAnsi="Times New Roman"/>
                <w:sz w:val="28"/>
                <w:szCs w:val="28"/>
              </w:rPr>
              <w:t>,</w:t>
            </w:r>
            <w:r>
              <w:rPr>
                <w:rFonts w:ascii="Times New Roman" w:hAnsi="Times New Roman"/>
                <w:sz w:val="28"/>
                <w:szCs w:val="28"/>
              </w:rPr>
              <w:t>46)</w:t>
            </w:r>
          </w:p>
        </w:tc>
        <w:tc>
          <w:tcPr>
            <w:tcW w:w="1021" w:type="dxa"/>
            <w:vMerge/>
            <w:tcBorders>
              <w:left w:val="single" w:sz="4" w:space="0" w:color="auto"/>
              <w:bottom w:val="single" w:sz="4" w:space="0" w:color="auto"/>
              <w:right w:val="single" w:sz="4" w:space="0" w:color="auto"/>
            </w:tcBorders>
            <w:vAlign w:val="center"/>
          </w:tcPr>
          <w:p w:rsidR="006E01DF" w:rsidRDefault="006E01DF">
            <w:pPr>
              <w:rPr>
                <w:rFonts w:ascii="Times New Roman" w:hAnsi="Times New Roman"/>
                <w:sz w:val="28"/>
                <w:szCs w:val="28"/>
              </w:rPr>
            </w:pPr>
          </w:p>
        </w:tc>
      </w:tr>
      <w:tr w:rsidR="006E01DF" w:rsidTr="003A78D0">
        <w:trPr>
          <w:trHeight w:val="330"/>
        </w:trPr>
        <w:tc>
          <w:tcPr>
            <w:tcW w:w="1588"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ЛПВП</w:t>
            </w:r>
            <w:r w:rsidRPr="003A78D0">
              <w:rPr>
                <w:rFonts w:ascii="Century" w:hAnsi="Century"/>
                <w:sz w:val="28"/>
                <w:szCs w:val="28"/>
              </w:rPr>
              <w:t xml:space="preserve">, </w:t>
            </w:r>
            <w:r>
              <w:rPr>
                <w:rFonts w:ascii="Times New Roman" w:hAnsi="Times New Roman"/>
                <w:sz w:val="28"/>
                <w:szCs w:val="28"/>
              </w:rPr>
              <w:t>ммоль/л</w:t>
            </w:r>
          </w:p>
        </w:tc>
        <w:tc>
          <w:tcPr>
            <w:tcW w:w="184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Муж ≥1,0</w:t>
            </w:r>
          </w:p>
          <w:p w:rsidR="006E01DF" w:rsidRDefault="006E01DF">
            <w:pPr>
              <w:jc w:val="center"/>
            </w:pPr>
            <w:r>
              <w:rPr>
                <w:rFonts w:ascii="Times New Roman" w:hAnsi="Times New Roman"/>
                <w:sz w:val="28"/>
                <w:szCs w:val="28"/>
              </w:rPr>
              <w:t>Жен ≥1,2</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127</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58</w:t>
            </w:r>
          </w:p>
        </w:tc>
        <w:tc>
          <w:tcPr>
            <w:tcW w:w="252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0,0001</w:t>
            </w:r>
          </w:p>
        </w:tc>
      </w:tr>
      <w:tr w:rsidR="006E01DF" w:rsidTr="003A78D0">
        <w:trPr>
          <w:trHeight w:val="330"/>
        </w:trPr>
        <w:tc>
          <w:tcPr>
            <w:tcW w:w="1588"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84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Муж &lt;1,0</w:t>
            </w:r>
          </w:p>
          <w:p w:rsidR="006E01DF" w:rsidRDefault="006E01DF">
            <w:pPr>
              <w:jc w:val="center"/>
              <w:rPr>
                <w:rFonts w:ascii="Times New Roman" w:hAnsi="Times New Roman"/>
                <w:sz w:val="28"/>
                <w:szCs w:val="28"/>
              </w:rPr>
            </w:pPr>
            <w:r>
              <w:rPr>
                <w:rFonts w:ascii="Times New Roman" w:hAnsi="Times New Roman"/>
                <w:sz w:val="28"/>
                <w:szCs w:val="28"/>
              </w:rPr>
              <w:t>Жен &lt;1,2</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269</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53</w:t>
            </w:r>
          </w:p>
        </w:tc>
        <w:tc>
          <w:tcPr>
            <w:tcW w:w="252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0,43 (0,28-0,66)</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3A78D0">
        <w:trPr>
          <w:trHeight w:val="330"/>
        </w:trPr>
        <w:tc>
          <w:tcPr>
            <w:tcW w:w="1588"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апоВ, г/л</w:t>
            </w:r>
          </w:p>
        </w:tc>
        <w:tc>
          <w:tcPr>
            <w:tcW w:w="184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&lt;0,9</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189</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9</w:t>
            </w:r>
          </w:p>
        </w:tc>
        <w:tc>
          <w:tcPr>
            <w:tcW w:w="252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w:t>
            </w:r>
            <w:r w:rsidRPr="003A78D0">
              <w:rPr>
                <w:rFonts w:ascii="Century" w:hAnsi="Century"/>
                <w:sz w:val="28"/>
                <w:szCs w:val="28"/>
              </w:rPr>
              <w:t>,</w:t>
            </w:r>
            <w:r>
              <w:rPr>
                <w:rFonts w:ascii="Times New Roman" w:hAnsi="Times New Roman"/>
                <w:sz w:val="28"/>
                <w:szCs w:val="28"/>
              </w:rPr>
              <w:t>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w:t>
            </w:r>
            <w:r w:rsidRPr="003A78D0">
              <w:rPr>
                <w:rFonts w:ascii="Century" w:hAnsi="Century"/>
                <w:sz w:val="28"/>
                <w:szCs w:val="28"/>
              </w:rPr>
              <w:t>,</w:t>
            </w:r>
            <w:r>
              <w:rPr>
                <w:rFonts w:ascii="Times New Roman" w:hAnsi="Times New Roman"/>
                <w:sz w:val="28"/>
                <w:szCs w:val="28"/>
              </w:rPr>
              <w:t>0001</w:t>
            </w:r>
          </w:p>
        </w:tc>
      </w:tr>
      <w:tr w:rsidR="006E01DF" w:rsidTr="003A78D0">
        <w:trPr>
          <w:trHeight w:val="330"/>
        </w:trPr>
        <w:tc>
          <w:tcPr>
            <w:tcW w:w="1588"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84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≥0,9</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207</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102</w:t>
            </w:r>
          </w:p>
        </w:tc>
        <w:tc>
          <w:tcPr>
            <w:tcW w:w="252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w:t>
            </w:r>
            <w:r w:rsidRPr="003A78D0">
              <w:rPr>
                <w:rFonts w:ascii="Century" w:hAnsi="Century"/>
                <w:sz w:val="28"/>
                <w:szCs w:val="28"/>
              </w:rPr>
              <w:t>,</w:t>
            </w:r>
            <w:r>
              <w:rPr>
                <w:rFonts w:ascii="Times New Roman" w:hAnsi="Times New Roman"/>
                <w:sz w:val="28"/>
                <w:szCs w:val="28"/>
              </w:rPr>
              <w:t>35 (5</w:t>
            </w:r>
            <w:r w:rsidRPr="003A78D0">
              <w:rPr>
                <w:rFonts w:ascii="Century" w:hAnsi="Century"/>
                <w:sz w:val="28"/>
                <w:szCs w:val="28"/>
              </w:rPr>
              <w:t>,</w:t>
            </w:r>
            <w:r>
              <w:rPr>
                <w:rFonts w:ascii="Times New Roman" w:hAnsi="Times New Roman"/>
                <w:sz w:val="28"/>
                <w:szCs w:val="28"/>
              </w:rPr>
              <w:t>09-21</w:t>
            </w:r>
            <w:r w:rsidRPr="003A78D0">
              <w:rPr>
                <w:rFonts w:ascii="Century" w:hAnsi="Century"/>
                <w:sz w:val="28"/>
                <w:szCs w:val="28"/>
              </w:rPr>
              <w:t>,</w:t>
            </w:r>
            <w:r>
              <w:rPr>
                <w:rFonts w:ascii="Times New Roman" w:hAnsi="Times New Roman"/>
                <w:sz w:val="28"/>
                <w:szCs w:val="28"/>
              </w:rPr>
              <w:t>04)</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3A78D0">
        <w:trPr>
          <w:trHeight w:val="330"/>
        </w:trPr>
        <w:tc>
          <w:tcPr>
            <w:tcW w:w="1588"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 xml:space="preserve">апоА1, г/л </w:t>
            </w:r>
          </w:p>
        </w:tc>
        <w:tc>
          <w:tcPr>
            <w:tcW w:w="184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color w:val="000000"/>
                <w:sz w:val="28"/>
                <w:szCs w:val="28"/>
              </w:rPr>
            </w:pPr>
            <w:r>
              <w:rPr>
                <w:rFonts w:ascii="Times New Roman" w:hAnsi="Times New Roman"/>
                <w:color w:val="000000"/>
                <w:sz w:val="28"/>
                <w:szCs w:val="28"/>
              </w:rPr>
              <w:t xml:space="preserve">Муж </w:t>
            </w:r>
            <w:r w:rsidRPr="003A78D0">
              <w:rPr>
                <w:rFonts w:ascii="Century" w:hAnsi="Century"/>
                <w:color w:val="000000"/>
                <w:sz w:val="28"/>
                <w:szCs w:val="28"/>
              </w:rPr>
              <w:t>≥</w:t>
            </w:r>
            <w:r>
              <w:rPr>
                <w:rFonts w:ascii="Times New Roman" w:hAnsi="Times New Roman"/>
                <w:color w:val="000000"/>
                <w:sz w:val="28"/>
                <w:szCs w:val="28"/>
              </w:rPr>
              <w:t>1</w:t>
            </w:r>
            <w:r w:rsidRPr="003A78D0">
              <w:rPr>
                <w:rFonts w:ascii="Century" w:hAnsi="Century"/>
                <w:color w:val="000000"/>
                <w:sz w:val="28"/>
                <w:szCs w:val="28"/>
              </w:rPr>
              <w:t>,</w:t>
            </w:r>
            <w:r>
              <w:rPr>
                <w:rFonts w:ascii="Times New Roman" w:hAnsi="Times New Roman"/>
                <w:color w:val="000000"/>
                <w:sz w:val="28"/>
                <w:szCs w:val="28"/>
              </w:rPr>
              <w:t>04</w:t>
            </w:r>
          </w:p>
          <w:p w:rsidR="006E01DF" w:rsidRDefault="006E01DF">
            <w:pPr>
              <w:jc w:val="center"/>
              <w:rPr>
                <w:rFonts w:ascii="Times New Roman" w:hAnsi="Times New Roman"/>
                <w:sz w:val="28"/>
                <w:szCs w:val="28"/>
              </w:rPr>
            </w:pPr>
            <w:r>
              <w:rPr>
                <w:rFonts w:ascii="Times New Roman" w:hAnsi="Times New Roman"/>
                <w:color w:val="000000"/>
                <w:sz w:val="28"/>
                <w:szCs w:val="28"/>
              </w:rPr>
              <w:t xml:space="preserve">Жен </w:t>
            </w:r>
            <w:r w:rsidRPr="003A78D0">
              <w:rPr>
                <w:rFonts w:ascii="Century" w:hAnsi="Century"/>
                <w:color w:val="000000"/>
                <w:sz w:val="28"/>
                <w:szCs w:val="28"/>
              </w:rPr>
              <w:t>≥</w:t>
            </w:r>
            <w:r>
              <w:rPr>
                <w:rFonts w:ascii="Times New Roman" w:hAnsi="Times New Roman"/>
                <w:color w:val="000000"/>
                <w:sz w:val="28"/>
                <w:szCs w:val="28"/>
              </w:rPr>
              <w:t>1</w:t>
            </w:r>
            <w:r w:rsidRPr="003A78D0">
              <w:rPr>
                <w:rFonts w:ascii="Century" w:hAnsi="Century"/>
                <w:color w:val="000000"/>
                <w:sz w:val="28"/>
                <w:szCs w:val="28"/>
              </w:rPr>
              <w:t>,</w:t>
            </w:r>
            <w:r>
              <w:rPr>
                <w:rFonts w:ascii="Times New Roman" w:hAnsi="Times New Roman"/>
                <w:color w:val="000000"/>
                <w:sz w:val="28"/>
                <w:szCs w:val="28"/>
              </w:rPr>
              <w:t xml:space="preserve">08 </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375</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101</w:t>
            </w:r>
          </w:p>
        </w:tc>
        <w:tc>
          <w:tcPr>
            <w:tcW w:w="252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w:t>
            </w:r>
            <w:r w:rsidRPr="003A78D0">
              <w:rPr>
                <w:rFonts w:ascii="Century" w:hAnsi="Century"/>
                <w:sz w:val="28"/>
                <w:szCs w:val="28"/>
              </w:rPr>
              <w:t>,</w:t>
            </w:r>
            <w:r>
              <w:rPr>
                <w:rFonts w:ascii="Times New Roman" w:hAnsi="Times New Roman"/>
                <w:sz w:val="28"/>
                <w:szCs w:val="28"/>
              </w:rPr>
              <w:t>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w:t>
            </w:r>
            <w:r w:rsidRPr="003A78D0">
              <w:rPr>
                <w:rFonts w:ascii="Century" w:hAnsi="Century"/>
                <w:sz w:val="28"/>
                <w:szCs w:val="28"/>
              </w:rPr>
              <w:t>,</w:t>
            </w:r>
            <w:r>
              <w:rPr>
                <w:rFonts w:ascii="Times New Roman" w:hAnsi="Times New Roman"/>
                <w:sz w:val="28"/>
                <w:szCs w:val="28"/>
              </w:rPr>
              <w:t>15</w:t>
            </w:r>
          </w:p>
        </w:tc>
      </w:tr>
      <w:tr w:rsidR="006E01DF" w:rsidTr="003A78D0">
        <w:trPr>
          <w:trHeight w:val="330"/>
        </w:trPr>
        <w:tc>
          <w:tcPr>
            <w:tcW w:w="1588"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84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color w:val="000000"/>
                <w:sz w:val="28"/>
                <w:szCs w:val="28"/>
              </w:rPr>
            </w:pPr>
            <w:r>
              <w:rPr>
                <w:rFonts w:ascii="Times New Roman" w:hAnsi="Times New Roman"/>
                <w:color w:val="000000"/>
                <w:sz w:val="28"/>
                <w:szCs w:val="28"/>
              </w:rPr>
              <w:t xml:space="preserve">Муж </w:t>
            </w:r>
            <w:r w:rsidRPr="00AF28F9">
              <w:rPr>
                <w:rFonts w:ascii="Century" w:hAnsi="Century"/>
                <w:color w:val="000000"/>
                <w:sz w:val="28"/>
                <w:szCs w:val="28"/>
              </w:rPr>
              <w:t>&lt;</w:t>
            </w:r>
            <w:r>
              <w:rPr>
                <w:rFonts w:ascii="Times New Roman" w:hAnsi="Times New Roman"/>
                <w:color w:val="000000"/>
                <w:sz w:val="28"/>
                <w:szCs w:val="28"/>
              </w:rPr>
              <w:t>1</w:t>
            </w:r>
            <w:r w:rsidRPr="00AF28F9">
              <w:rPr>
                <w:rFonts w:ascii="Century" w:hAnsi="Century"/>
                <w:color w:val="000000"/>
                <w:sz w:val="28"/>
                <w:szCs w:val="28"/>
              </w:rPr>
              <w:t>,</w:t>
            </w:r>
            <w:r>
              <w:rPr>
                <w:rFonts w:ascii="Times New Roman" w:hAnsi="Times New Roman"/>
                <w:color w:val="000000"/>
                <w:sz w:val="28"/>
                <w:szCs w:val="28"/>
              </w:rPr>
              <w:t>04</w:t>
            </w:r>
          </w:p>
          <w:p w:rsidR="006E01DF" w:rsidRDefault="006E01DF">
            <w:pPr>
              <w:jc w:val="center"/>
              <w:rPr>
                <w:rFonts w:ascii="Times New Roman" w:hAnsi="Times New Roman"/>
                <w:color w:val="000000"/>
                <w:sz w:val="28"/>
                <w:szCs w:val="28"/>
              </w:rPr>
            </w:pPr>
            <w:r>
              <w:rPr>
                <w:rFonts w:ascii="Times New Roman" w:hAnsi="Times New Roman"/>
                <w:color w:val="000000"/>
                <w:sz w:val="28"/>
                <w:szCs w:val="28"/>
              </w:rPr>
              <w:t xml:space="preserve">Жен </w:t>
            </w:r>
            <w:r w:rsidRPr="00AF28F9">
              <w:rPr>
                <w:rFonts w:ascii="Century" w:hAnsi="Century"/>
                <w:color w:val="000000"/>
                <w:sz w:val="28"/>
                <w:szCs w:val="28"/>
              </w:rPr>
              <w:t>&lt;</w:t>
            </w:r>
            <w:r>
              <w:rPr>
                <w:rFonts w:ascii="Times New Roman" w:hAnsi="Times New Roman"/>
                <w:color w:val="000000"/>
                <w:sz w:val="28"/>
                <w:szCs w:val="28"/>
              </w:rPr>
              <w:t>1</w:t>
            </w:r>
            <w:r w:rsidRPr="00AF28F9">
              <w:rPr>
                <w:rFonts w:ascii="Century" w:hAnsi="Century"/>
                <w:color w:val="000000"/>
                <w:sz w:val="28"/>
                <w:szCs w:val="28"/>
              </w:rPr>
              <w:t>,</w:t>
            </w:r>
            <w:r>
              <w:rPr>
                <w:rFonts w:ascii="Times New Roman" w:hAnsi="Times New Roman"/>
                <w:color w:val="000000"/>
                <w:sz w:val="28"/>
                <w:szCs w:val="28"/>
              </w:rPr>
              <w:t>08</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21</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w:t>
            </w:r>
          </w:p>
        </w:tc>
        <w:tc>
          <w:tcPr>
            <w:tcW w:w="252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1,77 (0,81-3,87)</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3A78D0">
        <w:trPr>
          <w:trHeight w:val="330"/>
        </w:trPr>
        <w:tc>
          <w:tcPr>
            <w:tcW w:w="1588"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Инсулин, мкМЕ/мл</w:t>
            </w:r>
          </w:p>
        </w:tc>
        <w:tc>
          <w:tcPr>
            <w:tcW w:w="184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sidRPr="003A78D0">
              <w:rPr>
                <w:rFonts w:ascii="Century" w:hAnsi="Century"/>
                <w:sz w:val="28"/>
                <w:szCs w:val="28"/>
              </w:rPr>
              <w:t>≤</w:t>
            </w:r>
            <w:r>
              <w:rPr>
                <w:rFonts w:ascii="Times New Roman" w:hAnsi="Times New Roman"/>
                <w:sz w:val="28"/>
                <w:szCs w:val="28"/>
              </w:rPr>
              <w:t>24</w:t>
            </w:r>
            <w:r w:rsidRPr="003A78D0">
              <w:rPr>
                <w:rFonts w:ascii="Century" w:hAnsi="Century"/>
                <w:sz w:val="28"/>
                <w:szCs w:val="28"/>
              </w:rPr>
              <w:t>,</w:t>
            </w:r>
            <w:r>
              <w:rPr>
                <w:rFonts w:ascii="Times New Roman" w:hAnsi="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363</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101</w:t>
            </w:r>
          </w:p>
        </w:tc>
        <w:tc>
          <w:tcPr>
            <w:tcW w:w="252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w:t>
            </w:r>
            <w:r w:rsidRPr="003A78D0">
              <w:rPr>
                <w:rFonts w:ascii="Century" w:hAnsi="Century"/>
                <w:sz w:val="28"/>
                <w:szCs w:val="28"/>
              </w:rPr>
              <w:t>,</w:t>
            </w:r>
            <w:r>
              <w:rPr>
                <w:rFonts w:ascii="Times New Roman" w:hAnsi="Times New Roman"/>
                <w:sz w:val="28"/>
                <w:szCs w:val="28"/>
              </w:rPr>
              <w:t>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w:t>
            </w:r>
            <w:r w:rsidRPr="003A78D0">
              <w:rPr>
                <w:rFonts w:ascii="Century" w:hAnsi="Century"/>
                <w:sz w:val="28"/>
                <w:szCs w:val="28"/>
              </w:rPr>
              <w:t>,</w:t>
            </w:r>
            <w:r>
              <w:rPr>
                <w:rFonts w:ascii="Times New Roman" w:hAnsi="Times New Roman"/>
                <w:sz w:val="28"/>
                <w:szCs w:val="28"/>
              </w:rPr>
              <w:t>82</w:t>
            </w:r>
          </w:p>
        </w:tc>
      </w:tr>
      <w:tr w:rsidR="006E01DF" w:rsidTr="003A78D0">
        <w:trPr>
          <w:trHeight w:val="330"/>
        </w:trPr>
        <w:tc>
          <w:tcPr>
            <w:tcW w:w="1588"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84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sidRPr="003A78D0">
              <w:rPr>
                <w:rFonts w:ascii="Century" w:hAnsi="Century"/>
                <w:sz w:val="28"/>
                <w:szCs w:val="28"/>
              </w:rPr>
              <w:t>&gt;</w:t>
            </w:r>
            <w:r>
              <w:rPr>
                <w:rFonts w:ascii="Times New Roman" w:hAnsi="Times New Roman"/>
                <w:sz w:val="28"/>
                <w:szCs w:val="28"/>
              </w:rPr>
              <w:t>24</w:t>
            </w:r>
            <w:r w:rsidRPr="003A78D0">
              <w:rPr>
                <w:rFonts w:ascii="Century" w:hAnsi="Century"/>
                <w:sz w:val="28"/>
                <w:szCs w:val="28"/>
              </w:rPr>
              <w:t>,</w:t>
            </w:r>
            <w:r>
              <w:rPr>
                <w:rFonts w:ascii="Times New Roman" w:hAnsi="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33</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w:t>
            </w:r>
          </w:p>
        </w:tc>
        <w:tc>
          <w:tcPr>
            <w:tcW w:w="252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w:t>
            </w:r>
            <w:r w:rsidRPr="003A78D0">
              <w:rPr>
                <w:rFonts w:ascii="Century" w:hAnsi="Century"/>
                <w:sz w:val="28"/>
                <w:szCs w:val="28"/>
              </w:rPr>
              <w:t>,</w:t>
            </w:r>
            <w:r>
              <w:rPr>
                <w:rFonts w:ascii="Times New Roman" w:hAnsi="Times New Roman"/>
                <w:sz w:val="28"/>
                <w:szCs w:val="28"/>
              </w:rPr>
              <w:t>09 (0</w:t>
            </w:r>
            <w:r w:rsidRPr="003A78D0">
              <w:rPr>
                <w:rFonts w:ascii="Century" w:hAnsi="Century"/>
                <w:sz w:val="28"/>
                <w:szCs w:val="28"/>
              </w:rPr>
              <w:t>,</w:t>
            </w:r>
            <w:r>
              <w:rPr>
                <w:rFonts w:ascii="Times New Roman" w:hAnsi="Times New Roman"/>
                <w:sz w:val="28"/>
                <w:szCs w:val="28"/>
              </w:rPr>
              <w:t>52-2</w:t>
            </w:r>
            <w:r w:rsidRPr="003A78D0">
              <w:rPr>
                <w:rFonts w:ascii="Century" w:hAnsi="Century"/>
                <w:sz w:val="28"/>
                <w:szCs w:val="28"/>
              </w:rPr>
              <w:t>,</w:t>
            </w:r>
            <w:r>
              <w:rPr>
                <w:rFonts w:ascii="Times New Roman" w:hAnsi="Times New Roman"/>
                <w:sz w:val="28"/>
                <w:szCs w:val="28"/>
              </w:rPr>
              <w:t>28)</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3A78D0">
        <w:trPr>
          <w:trHeight w:val="330"/>
        </w:trPr>
        <w:tc>
          <w:tcPr>
            <w:tcW w:w="1588"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глюкоза, ммоль/л</w:t>
            </w:r>
          </w:p>
        </w:tc>
        <w:tc>
          <w:tcPr>
            <w:tcW w:w="184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≤5,59</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217</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48</w:t>
            </w:r>
          </w:p>
        </w:tc>
        <w:tc>
          <w:tcPr>
            <w:tcW w:w="252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0,03</w:t>
            </w:r>
          </w:p>
        </w:tc>
      </w:tr>
      <w:tr w:rsidR="006E01DF" w:rsidTr="003A78D0">
        <w:trPr>
          <w:trHeight w:val="330"/>
        </w:trPr>
        <w:tc>
          <w:tcPr>
            <w:tcW w:w="1588"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843" w:type="dxa"/>
            <w:tcBorders>
              <w:top w:val="single" w:sz="4" w:space="0" w:color="auto"/>
              <w:left w:val="single" w:sz="4" w:space="0" w:color="auto"/>
              <w:bottom w:val="single" w:sz="4" w:space="0" w:color="auto"/>
              <w:right w:val="single" w:sz="4" w:space="0" w:color="auto"/>
            </w:tcBorders>
            <w:hideMark/>
          </w:tcPr>
          <w:p w:rsidR="006E01DF" w:rsidRDefault="006E01DF">
            <w:pPr>
              <w:jc w:val="center"/>
            </w:pPr>
            <w:r>
              <w:rPr>
                <w:rFonts w:ascii="Times New Roman" w:hAnsi="Times New Roman"/>
                <w:sz w:val="28"/>
                <w:szCs w:val="28"/>
              </w:rPr>
              <w:t>&gt;5,59</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179</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63</w:t>
            </w:r>
          </w:p>
        </w:tc>
        <w:tc>
          <w:tcPr>
            <w:tcW w:w="252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1,59 (1,04-2,43)</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3A78D0">
        <w:trPr>
          <w:trHeight w:val="330"/>
        </w:trPr>
        <w:tc>
          <w:tcPr>
            <w:tcW w:w="1588"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HOMA-IR</w:t>
            </w:r>
          </w:p>
        </w:tc>
        <w:tc>
          <w:tcPr>
            <w:tcW w:w="184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&lt;2,7</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250</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61</w:t>
            </w:r>
          </w:p>
        </w:tc>
        <w:tc>
          <w:tcPr>
            <w:tcW w:w="252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w:t>
            </w:r>
          </w:p>
        </w:tc>
        <w:tc>
          <w:tcPr>
            <w:tcW w:w="1021"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0,12</w:t>
            </w:r>
          </w:p>
        </w:tc>
      </w:tr>
      <w:tr w:rsidR="006E01DF" w:rsidTr="003A78D0">
        <w:trPr>
          <w:trHeight w:val="330"/>
        </w:trPr>
        <w:tc>
          <w:tcPr>
            <w:tcW w:w="1588"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84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≥2,7</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146</w:t>
            </w:r>
          </w:p>
        </w:tc>
        <w:tc>
          <w:tcPr>
            <w:tcW w:w="1134"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50</w:t>
            </w:r>
          </w:p>
        </w:tc>
        <w:tc>
          <w:tcPr>
            <w:tcW w:w="252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1,4 (0,92-2,15)</w:t>
            </w: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B60573">
        <w:trPr>
          <w:trHeight w:val="451"/>
        </w:trPr>
        <w:tc>
          <w:tcPr>
            <w:tcW w:w="9243" w:type="dxa"/>
            <w:gridSpan w:val="6"/>
            <w:tcBorders>
              <w:top w:val="single" w:sz="4" w:space="0" w:color="auto"/>
              <w:left w:val="single" w:sz="4" w:space="0" w:color="auto"/>
              <w:bottom w:val="single" w:sz="4" w:space="0" w:color="auto"/>
              <w:right w:val="single" w:sz="4" w:space="0" w:color="auto"/>
            </w:tcBorders>
            <w:hideMark/>
          </w:tcPr>
          <w:p w:rsidR="0068327E" w:rsidRDefault="006E01DF">
            <w:pPr>
              <w:jc w:val="both"/>
              <w:rPr>
                <w:rFonts w:ascii="Times New Roman" w:hAnsi="Times New Roman"/>
                <w:szCs w:val="24"/>
                <w:lang w:val="kk-KZ"/>
              </w:rPr>
            </w:pPr>
            <w:r>
              <w:rPr>
                <w:rFonts w:ascii="Times New Roman" w:hAnsi="Times New Roman"/>
                <w:szCs w:val="24"/>
              </w:rPr>
              <w:t>Примечание * - χ</w:t>
            </w:r>
            <w:r>
              <w:rPr>
                <w:rFonts w:ascii="Times New Roman" w:hAnsi="Times New Roman"/>
                <w:szCs w:val="24"/>
                <w:vertAlign w:val="superscript"/>
              </w:rPr>
              <w:t>2</w:t>
            </w:r>
            <w:r>
              <w:rPr>
                <w:rFonts w:ascii="Times New Roman" w:hAnsi="Times New Roman"/>
                <w:szCs w:val="24"/>
              </w:rPr>
              <w:t xml:space="preserve"> – хи квадрат Пирсона; </w:t>
            </w:r>
          </w:p>
          <w:p w:rsidR="006E01DF" w:rsidRDefault="006E01DF">
            <w:pPr>
              <w:jc w:val="both"/>
              <w:rPr>
                <w:rFonts w:ascii="Times New Roman" w:hAnsi="Times New Roman"/>
                <w:sz w:val="20"/>
                <w:szCs w:val="20"/>
              </w:rPr>
            </w:pPr>
            <w:r>
              <w:rPr>
                <w:rFonts w:ascii="Times New Roman" w:hAnsi="Times New Roman"/>
                <w:szCs w:val="24"/>
              </w:rPr>
              <w:t>ОШ (95% ДИ) – Отношение шансов (95% Доверительный интервал)</w:t>
            </w:r>
          </w:p>
        </w:tc>
      </w:tr>
    </w:tbl>
    <w:p w:rsidR="00B32C5A" w:rsidRDefault="00B32C5A" w:rsidP="008842D1">
      <w:pPr>
        <w:spacing w:after="0" w:line="240" w:lineRule="auto"/>
        <w:ind w:firstLine="708"/>
        <w:jc w:val="both"/>
        <w:rPr>
          <w:rFonts w:ascii="Times New Roman" w:hAnsi="Times New Roman" w:cs="Times New Roman"/>
          <w:sz w:val="28"/>
          <w:szCs w:val="28"/>
        </w:rPr>
      </w:pPr>
    </w:p>
    <w:p w:rsidR="008718C2" w:rsidRDefault="004179BB"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w:t>
      </w:r>
      <w:r w:rsidR="00E4780C">
        <w:rPr>
          <w:rFonts w:ascii="Times New Roman" w:hAnsi="Times New Roman" w:cs="Times New Roman"/>
          <w:sz w:val="28"/>
          <w:szCs w:val="28"/>
        </w:rPr>
        <w:t xml:space="preserve">высоких </w:t>
      </w:r>
      <w:r w:rsidR="00316C00">
        <w:rPr>
          <w:rFonts w:ascii="Times New Roman" w:hAnsi="Times New Roman" w:cs="Times New Roman"/>
          <w:sz w:val="28"/>
          <w:szCs w:val="28"/>
          <w:lang w:val="kk-KZ"/>
        </w:rPr>
        <w:t>значения</w:t>
      </w:r>
      <w:r w:rsidR="00F830F9">
        <w:rPr>
          <w:rFonts w:ascii="Times New Roman" w:hAnsi="Times New Roman" w:cs="Times New Roman"/>
          <w:sz w:val="28"/>
          <w:szCs w:val="28"/>
        </w:rPr>
        <w:t>х</w:t>
      </w:r>
      <w:r w:rsidR="00E4780C">
        <w:rPr>
          <w:rFonts w:ascii="Times New Roman" w:hAnsi="Times New Roman" w:cs="Times New Roman"/>
          <w:sz w:val="28"/>
          <w:szCs w:val="28"/>
        </w:rPr>
        <w:t xml:space="preserve"> апоВ/апоА1 </w:t>
      </w:r>
      <w:r>
        <w:rPr>
          <w:rFonts w:ascii="Times New Roman" w:hAnsi="Times New Roman" w:cs="Times New Roman"/>
          <w:sz w:val="28"/>
          <w:szCs w:val="28"/>
        </w:rPr>
        <w:t xml:space="preserve">шанс развития </w:t>
      </w:r>
      <w:r w:rsidR="00E4780C">
        <w:rPr>
          <w:rFonts w:ascii="Times New Roman" w:hAnsi="Times New Roman" w:cs="Times New Roman"/>
          <w:sz w:val="28"/>
          <w:szCs w:val="28"/>
        </w:rPr>
        <w:t xml:space="preserve">гипергликемии </w:t>
      </w:r>
      <w:r w:rsidR="00D01F4B">
        <w:rPr>
          <w:rFonts w:ascii="Times New Roman" w:hAnsi="Times New Roman" w:cs="Times New Roman"/>
          <w:sz w:val="28"/>
          <w:szCs w:val="28"/>
        </w:rPr>
        <w:t xml:space="preserve">выше на 1,59 раз </w:t>
      </w:r>
      <w:r w:rsidR="008230B3">
        <w:rPr>
          <w:rFonts w:ascii="Times New Roman" w:hAnsi="Times New Roman" w:cs="Times New Roman"/>
          <w:sz w:val="28"/>
          <w:szCs w:val="28"/>
        </w:rPr>
        <w:t>в сравнении</w:t>
      </w:r>
      <w:r w:rsidR="00D01F4B">
        <w:rPr>
          <w:rFonts w:ascii="Times New Roman" w:hAnsi="Times New Roman" w:cs="Times New Roman"/>
          <w:sz w:val="28"/>
          <w:szCs w:val="28"/>
        </w:rPr>
        <w:t xml:space="preserve"> </w:t>
      </w:r>
      <w:r w:rsidR="008230B3">
        <w:rPr>
          <w:rFonts w:ascii="Times New Roman" w:hAnsi="Times New Roman" w:cs="Times New Roman"/>
          <w:sz w:val="28"/>
          <w:szCs w:val="28"/>
        </w:rPr>
        <w:t xml:space="preserve">с </w:t>
      </w:r>
      <w:r w:rsidR="00D01F4B">
        <w:rPr>
          <w:rFonts w:ascii="Times New Roman" w:hAnsi="Times New Roman" w:cs="Times New Roman"/>
          <w:sz w:val="28"/>
          <w:szCs w:val="28"/>
        </w:rPr>
        <w:t>норм</w:t>
      </w:r>
      <w:r w:rsidR="00D01F4B">
        <w:rPr>
          <w:rFonts w:ascii="Times New Roman" w:hAnsi="Times New Roman" w:cs="Times New Roman"/>
          <w:sz w:val="28"/>
          <w:szCs w:val="28"/>
          <w:lang w:val="kk-KZ"/>
        </w:rPr>
        <w:t>а</w:t>
      </w:r>
      <w:r w:rsidR="00E4780C">
        <w:rPr>
          <w:rFonts w:ascii="Times New Roman" w:hAnsi="Times New Roman" w:cs="Times New Roman"/>
          <w:sz w:val="28"/>
          <w:szCs w:val="28"/>
        </w:rPr>
        <w:t>льны</w:t>
      </w:r>
      <w:r w:rsidR="008230B3">
        <w:rPr>
          <w:rFonts w:ascii="Times New Roman" w:hAnsi="Times New Roman" w:cs="Times New Roman"/>
          <w:sz w:val="28"/>
          <w:szCs w:val="28"/>
        </w:rPr>
        <w:t>ми показателями</w:t>
      </w:r>
      <w:r w:rsidR="00E4780C">
        <w:rPr>
          <w:rFonts w:ascii="Times New Roman" w:hAnsi="Times New Roman" w:cs="Times New Roman"/>
          <w:sz w:val="28"/>
          <w:szCs w:val="28"/>
        </w:rPr>
        <w:t xml:space="preserve"> апоВ/апоА1</w:t>
      </w:r>
      <w:r>
        <w:rPr>
          <w:rFonts w:ascii="Times New Roman" w:hAnsi="Times New Roman" w:cs="Times New Roman"/>
          <w:sz w:val="28"/>
          <w:szCs w:val="28"/>
        </w:rPr>
        <w:t xml:space="preserve"> (таблица 35). Схожие результаты, были в исследовании Мао </w:t>
      </w:r>
      <w:r w:rsidRPr="006D5AFF">
        <w:rPr>
          <w:rFonts w:ascii="Times New Roman" w:hAnsi="Times New Roman" w:cs="Times New Roman"/>
          <w:noProof/>
          <w:sz w:val="28"/>
          <w:szCs w:val="24"/>
          <w:lang w:val="en-US"/>
        </w:rPr>
        <w:t>Y</w:t>
      </w:r>
      <w:r w:rsidRPr="00D14CC4">
        <w:rPr>
          <w:rFonts w:ascii="Times New Roman" w:hAnsi="Times New Roman" w:cs="Times New Roman"/>
          <w:noProof/>
          <w:sz w:val="28"/>
          <w:szCs w:val="24"/>
        </w:rPr>
        <w:t>.</w:t>
      </w:r>
      <w:r>
        <w:rPr>
          <w:rFonts w:ascii="Times New Roman" w:hAnsi="Times New Roman" w:cs="Times New Roman"/>
          <w:noProof/>
          <w:sz w:val="28"/>
          <w:szCs w:val="24"/>
        </w:rPr>
        <w:t xml:space="preserve"> </w:t>
      </w:r>
      <w:r>
        <w:rPr>
          <w:rFonts w:ascii="Times New Roman" w:hAnsi="Times New Roman" w:cs="Times New Roman"/>
          <w:sz w:val="28"/>
          <w:szCs w:val="28"/>
        </w:rPr>
        <w:t>(2017), где высокое значение соотношени</w:t>
      </w:r>
      <w:r w:rsidR="008230B3">
        <w:rPr>
          <w:rFonts w:ascii="Times New Roman" w:hAnsi="Times New Roman" w:cs="Times New Roman"/>
          <w:sz w:val="28"/>
          <w:szCs w:val="28"/>
        </w:rPr>
        <w:t>я</w:t>
      </w:r>
      <w:r>
        <w:rPr>
          <w:rFonts w:ascii="Times New Roman" w:hAnsi="Times New Roman" w:cs="Times New Roman"/>
          <w:sz w:val="28"/>
          <w:szCs w:val="28"/>
        </w:rPr>
        <w:t xml:space="preserve"> апоВ/апоА1 чаще встречалось у пациентов с СД 2 типа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{"citationItems":[{"id":"ITEM-1","itemData":{"DOI":"10.1097/MD.0000000000005834","ISBN":"0000000000","ISSN":"0025-7974","abstract":"The ratio of ApoB/apolipoprotein A1 (ApoA1) has been found to be associated with type 2 diabetes, and it was proposed as a new biomarker for type 2 diabetes predictions. Previous studies have assumed that the association between apoB/apoA1 and type 2 diabetes was linear. However, the linearity assumption has rarely been examined. In the present study, we aimed to examine whether this association showed a linear trend in a nationally representative population. Participants aged 18 years and over (n=8220) were selected from the China Health Nutrition Survey (CHNS). We used restricted cubic spline to model the association between ApoB/ApoA1 ratio and type 2 diabetes using logistic regression models. Additionally, we categorized the ApoB/ApoA1 ratio according to quartiles to compare with previous results. Age, gender, education, smoking status, high sensitivity C-reactive protein (hsCRP), lipid, body mass index (BMI), and hypertension were controlled as potential confounders. We found that the association between apoB/apoA1 ratio and type 2 diabetes may be nonlinear after adjusting for multiple potential confounders. Compared with the lowest quartile of apoB/apoA1 ratio, participants in the fourth quartile had a higher odds of type 2 diabetes [odds ratio (OR)=1.35, 95% confidence interval (CI)=1.01-1.81]. Our results suggest that, higher apoB/apoA1 ratio was associated with higher prevalence of type 2 diabetes. However, the association may be nonlinear.","author":[{"dropping-particle":"","family":"Mao","given":"Yong","non-dropping-particle":"","parse-names":false,"suffix":""},{"dropping-particle":"","family":"Xu","given":"Yang","non-dropping-particle":"","parse-names":false,"suffix":""},{"dropping-particle":"","family":"Lu","given":"Leihong","non-dropping-particle":"","parse-names":false,"suffix":""}],"container-title":"Medicine","id":"ITEM-1","issue":"1","issued":{"date-parts":[["2017","1"]]},"page":"e5834","title":"The nonlinear association between apolipoprotein B to apolipoprotein A1 ratio and type 2 diabetes","type":"article-journal","volume":"96"},"uris":["http://www.mendeley.com/documents/?uuid=1c16a626-3720-4e12-ae2f-7dda7c9d2436"]}],"mendeley":{"formattedCitation":"[183]","plainTextFormattedCitation":"[183]","previouslyFormattedCitation":"[183]"},"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[183]</w:t>
      </w:r>
      <w:r>
        <w:rPr>
          <w:rFonts w:ascii="Times New Roman" w:hAnsi="Times New Roman" w:cs="Times New Roman"/>
          <w:sz w:val="28"/>
          <w:szCs w:val="28"/>
        </w:rPr>
        <w:fldChar w:fldCharType="end"/>
      </w:r>
      <w:r>
        <w:rPr>
          <w:rFonts w:ascii="Times New Roman" w:hAnsi="Times New Roman" w:cs="Times New Roman"/>
          <w:sz w:val="28"/>
          <w:szCs w:val="28"/>
        </w:rPr>
        <w:t>.</w:t>
      </w:r>
    </w:p>
    <w:p w:rsidR="008718C2" w:rsidRDefault="00AD11CD" w:rsidP="00AB12B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Как видно в таблице 36 обнаружена значимая взаимосвязь между </w:t>
      </w:r>
      <w:r>
        <w:rPr>
          <w:rFonts w:ascii="Times New Roman" w:hAnsi="Times New Roman"/>
          <w:sz w:val="28"/>
          <w:szCs w:val="28"/>
        </w:rPr>
        <w:t>HOMA-IR</w:t>
      </w:r>
      <w:r>
        <w:rPr>
          <w:rFonts w:ascii="Times New Roman" w:hAnsi="Times New Roman"/>
          <w:sz w:val="28"/>
          <w:szCs w:val="28"/>
          <w:lang w:val="kk-KZ"/>
        </w:rPr>
        <w:t xml:space="preserve"> и </w:t>
      </w:r>
      <w:r>
        <w:rPr>
          <w:rFonts w:ascii="Times New Roman" w:hAnsi="Times New Roman" w:cs="Times New Roman"/>
          <w:sz w:val="28"/>
          <w:szCs w:val="28"/>
          <w:lang w:val="kk-KZ"/>
        </w:rPr>
        <w:t xml:space="preserve">соотношения апоВ/апоА1. Шанс развития риска ИР повышался в 1,49 раз при соотношении апоВ/апоА1 от 0,57 до 0,70. А при соотношении апоВ/апоА1 от 0,71 до 0,85 и выше 0,86 риск развития ИР повышался в 1,93 раза и в 1,84 раза, соответственно </w:t>
      </w:r>
      <w:r>
        <w:rPr>
          <w:rFonts w:ascii="Times New Roman" w:hAnsi="Times New Roman" w:cs="Times New Roman"/>
          <w:sz w:val="28"/>
          <w:szCs w:val="28"/>
          <w:lang w:val="kk-KZ"/>
        </w:rPr>
        <w:fldChar w:fldCharType="begin" w:fldLock="1"/>
      </w:r>
      <w:r w:rsidR="00624769">
        <w:rPr>
          <w:rFonts w:ascii="Times New Roman" w:hAnsi="Times New Roman" w:cs="Times New Roman"/>
          <w:sz w:val="28"/>
          <w:szCs w:val="28"/>
          <w:lang w:val="kk-KZ"/>
        </w:rPr>
        <w:instrText>ADDIN CSL_CITATION {"citationItems":[{"id":"ITEM-1","itemData":{"abstract":"Формула изобретения Способ прогнозирования риска развития инсулинорезистентности, включающий исследование уровней аполипопротеинов В и А1 в венозной крови пациента, расчета соотношения аполипопротеина В/аполипопротеина А1, отличающийся тем, что при повышении соотношения апоВ/апоА1 в пределах 0,57-0,70 диагностируется средний риск развития инсулинорезистентности, в промежутке 0,71-0,85 - высокий риск, и выше 0,86 диагностируется очень высокий риск развития инсулинорезистентности.","author":[{"dropping-particle":"","family":"Шаханова","given":"А.Т.","non-dropping-particle":"","parse-names":false,"suffix":""},{"dropping-particle":"","family":"Аукенов","given":"Н.Е.","non-dropping-particle":"","parse-names":false,"suffix":""},{"dropping-particle":"","family":"Нуртазина","given":"А.У.","non-dropping-particle":"","parse-names":false,"suffix":""},{"dropping-particle":"","family":"Кожахметова","given":"Д.К.","non-dropping-particle":"","parse-names":false,"suffix":""}],"id":"ITEM-1","issued":{"date-parts":[["0"]]},"publisher-place":"Инновационный патент Российской Федерации №2748034","title":"Способ прогнозирования риска развития инсулинорезистентности","type":"patent"},"uris":["http://www.mendeley.com/documents/?uuid=bb969c0d-afdf-4a8e-af25-65bb2c7a0d8d"]}],"mendeley":{"formattedCitation":"[184]","plainTextFormattedCitation":"[184]","previouslyFormattedCitation":"[184]"},"properties":{"noteIndex":0},"schema":"https://github.com/citation-style-language/schema/raw/master/csl-citation.json"}</w:instrText>
      </w:r>
      <w:r>
        <w:rPr>
          <w:rFonts w:ascii="Times New Roman" w:hAnsi="Times New Roman" w:cs="Times New Roman"/>
          <w:sz w:val="28"/>
          <w:szCs w:val="28"/>
          <w:lang w:val="kk-KZ"/>
        </w:rPr>
        <w:fldChar w:fldCharType="separate"/>
      </w:r>
      <w:r w:rsidR="00624769" w:rsidRPr="00624769">
        <w:rPr>
          <w:rFonts w:ascii="Times New Roman" w:hAnsi="Times New Roman" w:cs="Times New Roman"/>
          <w:noProof/>
          <w:sz w:val="28"/>
          <w:szCs w:val="28"/>
          <w:lang w:val="kk-KZ"/>
        </w:rPr>
        <w:t>[184]</w: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Схожие результаты получили </w:t>
      </w:r>
      <w:r>
        <w:rPr>
          <w:rFonts w:ascii="Times New Roman" w:hAnsi="Times New Roman" w:cs="Times New Roman"/>
          <w:sz w:val="28"/>
          <w:szCs w:val="28"/>
        </w:rPr>
        <w:t xml:space="preserve">Li X. и </w:t>
      </w:r>
      <w:r>
        <w:rPr>
          <w:rFonts w:ascii="Times New Roman" w:hAnsi="Times New Roman" w:cs="Times New Roman"/>
          <w:sz w:val="28"/>
          <w:szCs w:val="28"/>
        </w:rPr>
        <w:lastRenderedPageBreak/>
        <w:t xml:space="preserve">соавторы (2020), которые изучали взаимосвязь соотношение апоВ/апоА1, ИР и обструктивное апноэ во время сна, по их результатам соотношение апоВ/апоА1 был связан с риском ИР, они утверждают, что чем выше значение соотношение апоВ/апоА1, тем выше риск ИР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{"citationItems":[{"id":"ITEM-1","itemData":{"DOI":"10.1016/j.numecd.2019.07.016","ISBN":"2164834143","ISSN":"09394753","abstract":"Background and aims: The apolipoprotein B/apolipoprotein A-I (ApoB/ApoA-I) and insulin resistance has been recognized as common cardiovascular diseases (CVD) risk factors. However, whether they were biomarkers for 10-year CVD risk in obstructive sleep apnea (OSA) had been rarely studied. Besides, interrelationships between the ApoB/ApoA-I, insulin resistance and OSA remain unclear. Methods and results: A total of 4010 subjects were finally included. Anthropometric, fasting biochemical, and polysomnographic parameters were collected. 10-year Framingham CVD risk score (FRS) was calculated for each subjects. The relationships between insulin resistance, OSA risk and the ApoB/ApoA-I was evaluated through logistic regressions analysis, restricted cubic spline (RCS) analysis and mediation analysis. ApoB/ApoA-I, HOMA-IR and AHI were all risk factors for high10-year CVD risk as assessed by FRS (odds ratios (OR) = 5.365, 1.094, 1.010, respectively, all P &lt; 0.001)). The fully adjusted OR (95% confidence intervals) for both OSA [1 (reference), 1.308 (1.027–1.665), 1.517 (1.178–1.953), and 1.803 (1.371–2.372)] and insulin resistance [1 (reference), 1.457 (1.173–1.711), 1.701 (1.369–2.113), 2.051(1.645–2.558)] increased from the first to the fourth quartiles of the ApoB/ApoA-I. The RCS mapped a nonlinear dose–effect relationship between the ApoB/ApoA-I and risk of insulin resistance and OSA. Mediation analyses showed HOMA-IR explain 9.7%, 4.7% and 10.8% of the association between apnea-hypopnea index, oxygen desaturation index, micro-arousal index and ApoB/ApoA-I, respectively. Conclusions: Our study revealed that ApoB/ApoA-I, insulin resistance and OSA were risk factors for CVD. Insulin resistance may serve as a potential mediator in OSA-related lipoprotein disorders and further increase CVD risk.","author":[{"dropping-particle":"","family":"Li","given":"Xinyi","non-dropping-particle":"","parse-names":false,"suffix":""},{"dropping-particle":"","family":"Wang","given":"Fan","non-dropping-particle":"","parse-names":false,"suffix":""},{"dropping-particle":"","family":"Xu","given":"Huajun","non-dropping-particle":"","parse-names":false,"suffix":""},{"dropping-particle":"","family":"Qian","given":"Yingjun","non-dropping-particle":"","parse-names":false,"suffix":""},{"dropping-particle":"","family":"Zou","given":"Jianyin","non-dropping-particle":"","parse-names":false,"suffix":""},{"dropping-particle":"","family":"Yang","given":"Mingpo","non-dropping-particle":"","parse-names":false,"suffix":""},{"dropping-particle":"","family":"Zhu","given":"Huaming","non-dropping-particle":"","parse-names":false,"suffix":""},{"dropping-particle":"","family":"Yi","given":"Hongliang","non-dropping-particle":"","parse-names":false,"suffix":""},{"dropping-particle":"","family":"Guan","given":"Jian","non-dropping-particle":"","parse-names":false,"suffix":""},{"dropping-particle":"","family":"Yin","given":"Shankai","non-dropping-particle":"","parse-names":false,"suffix":""}],"container-title":"Nutrition, Metabolism and Cardiovascular Diseases","id":"ITEM-1","issue":"1","issued":{"date-parts":[["2020","1"]]},"page":"23-32","publisher":"Elsevier B.V","title":"Interrelationships among common predictors of cardiovascular diseases in patients of OSA: A large-scale observational study","type":"article-journal","volume":"30"},"uris":["http://www.mendeley.com/documents/?uuid=5220f288-2c7e-4780-9df6-b434aabc2b70"]}],"mendeley":{"formattedCitation":"[185]","plainTextFormattedCitation":"[185]","previouslyFormattedCitation":"[185]"},"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[185]</w:t>
      </w:r>
      <w:r>
        <w:rPr>
          <w:rFonts w:ascii="Times New Roman" w:hAnsi="Times New Roman" w:cs="Times New Roman"/>
          <w:sz w:val="28"/>
          <w:szCs w:val="28"/>
        </w:rPr>
        <w:fldChar w:fldCharType="end"/>
      </w:r>
      <w:r>
        <w:rPr>
          <w:rFonts w:ascii="Times New Roman" w:hAnsi="Times New Roman" w:cs="Times New Roman"/>
          <w:sz w:val="28"/>
          <w:szCs w:val="28"/>
        </w:rPr>
        <w:t>.</w:t>
      </w:r>
    </w:p>
    <w:p w:rsidR="00AD11CD" w:rsidRPr="00AD11CD" w:rsidRDefault="00AD11CD" w:rsidP="00AB12B3">
      <w:pPr>
        <w:spacing w:after="0" w:line="240" w:lineRule="auto"/>
        <w:ind w:firstLine="708"/>
        <w:jc w:val="both"/>
        <w:rPr>
          <w:rFonts w:ascii="Times New Roman" w:hAnsi="Times New Roman" w:cs="Times New Roman"/>
          <w:sz w:val="28"/>
          <w:szCs w:val="28"/>
          <w:lang w:val="kk-KZ"/>
        </w:rPr>
      </w:pPr>
    </w:p>
    <w:p w:rsidR="008718C2" w:rsidRDefault="008718C2" w:rsidP="008718C2">
      <w:pPr>
        <w:spacing w:after="0" w:line="240" w:lineRule="auto"/>
        <w:jc w:val="both"/>
        <w:rPr>
          <w:rFonts w:ascii="Times New Roman" w:hAnsi="Times New Roman"/>
          <w:sz w:val="28"/>
          <w:szCs w:val="28"/>
          <w:lang w:val="kk-KZ"/>
        </w:rPr>
      </w:pPr>
      <w:r>
        <w:rPr>
          <w:rFonts w:ascii="Times New Roman" w:hAnsi="Times New Roman" w:cs="Times New Roman"/>
          <w:sz w:val="28"/>
          <w:szCs w:val="28"/>
        </w:rPr>
        <w:t>Таблица 36</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w:t>
      </w:r>
      <w:r w:rsidR="000C4660">
        <w:rPr>
          <w:rFonts w:ascii="Times New Roman" w:hAnsi="Times New Roman" w:cs="Times New Roman"/>
          <w:sz w:val="28"/>
          <w:szCs w:val="28"/>
        </w:rPr>
        <w:t>соотношения апо</w:t>
      </w:r>
      <w:r w:rsidR="00F32D91">
        <w:rPr>
          <w:rFonts w:ascii="Times New Roman" w:hAnsi="Times New Roman" w:cs="Times New Roman"/>
          <w:sz w:val="28"/>
          <w:szCs w:val="28"/>
        </w:rPr>
        <w:t xml:space="preserve">липопротеин </w:t>
      </w:r>
      <w:r w:rsidR="000C4660">
        <w:rPr>
          <w:rFonts w:ascii="Times New Roman" w:hAnsi="Times New Roman" w:cs="Times New Roman"/>
          <w:sz w:val="28"/>
          <w:szCs w:val="28"/>
        </w:rPr>
        <w:t>В</w:t>
      </w:r>
      <w:r w:rsidR="0041189E">
        <w:rPr>
          <w:rFonts w:ascii="Times New Roman" w:hAnsi="Times New Roman" w:cs="Times New Roman"/>
          <w:sz w:val="28"/>
          <w:szCs w:val="28"/>
          <w:lang w:val="kk-KZ"/>
        </w:rPr>
        <w:t xml:space="preserve"> </w:t>
      </w:r>
      <w:r w:rsidR="000C4660">
        <w:rPr>
          <w:rFonts w:ascii="Times New Roman" w:hAnsi="Times New Roman" w:cs="Times New Roman"/>
          <w:sz w:val="28"/>
          <w:szCs w:val="28"/>
        </w:rPr>
        <w:t>/апо</w:t>
      </w:r>
      <w:r w:rsidR="00F32D91">
        <w:rPr>
          <w:rFonts w:ascii="Times New Roman" w:hAnsi="Times New Roman" w:cs="Times New Roman"/>
          <w:sz w:val="28"/>
          <w:szCs w:val="28"/>
        </w:rPr>
        <w:t xml:space="preserve">липопротеин </w:t>
      </w:r>
      <w:r w:rsidR="000C4660">
        <w:rPr>
          <w:rFonts w:ascii="Times New Roman" w:hAnsi="Times New Roman" w:cs="Times New Roman"/>
          <w:sz w:val="28"/>
          <w:szCs w:val="28"/>
        </w:rPr>
        <w:t xml:space="preserve">А1 </w:t>
      </w:r>
      <w:r>
        <w:rPr>
          <w:rFonts w:ascii="Times New Roman" w:hAnsi="Times New Roman" w:cs="Times New Roman"/>
          <w:sz w:val="28"/>
          <w:szCs w:val="28"/>
        </w:rPr>
        <w:t xml:space="preserve">по группам </w:t>
      </w:r>
      <w:r>
        <w:rPr>
          <w:rFonts w:ascii="Times New Roman" w:hAnsi="Times New Roman"/>
          <w:sz w:val="28"/>
          <w:szCs w:val="28"/>
        </w:rPr>
        <w:t xml:space="preserve">HOMA-IR </w:t>
      </w:r>
      <w:r w:rsidR="008230B3">
        <w:rPr>
          <w:rFonts w:ascii="Times New Roman" w:hAnsi="Times New Roman"/>
          <w:sz w:val="28"/>
          <w:szCs w:val="28"/>
        </w:rPr>
        <w:t>(</w:t>
      </w:r>
      <w:r>
        <w:rPr>
          <w:rFonts w:ascii="Times New Roman" w:hAnsi="Times New Roman"/>
          <w:sz w:val="28"/>
          <w:szCs w:val="28"/>
        </w:rPr>
        <w:t>n=507</w:t>
      </w:r>
      <w:r w:rsidR="008230B3">
        <w:rPr>
          <w:rFonts w:ascii="Times New Roman" w:hAnsi="Times New Roman"/>
          <w:sz w:val="28"/>
          <w:szCs w:val="28"/>
        </w:rPr>
        <w:t>)</w:t>
      </w:r>
    </w:p>
    <w:p w:rsidR="00AD11CD" w:rsidRPr="00AD11CD" w:rsidRDefault="00AD11CD" w:rsidP="008718C2">
      <w:pPr>
        <w:spacing w:after="0" w:line="240" w:lineRule="auto"/>
        <w:jc w:val="both"/>
        <w:rPr>
          <w:rFonts w:ascii="Times New Roman" w:hAnsi="Times New Roman" w:cs="Times New Roman"/>
          <w:sz w:val="28"/>
          <w:szCs w:val="28"/>
          <w:lang w:val="kk-KZ"/>
        </w:rPr>
      </w:pPr>
    </w:p>
    <w:tbl>
      <w:tblPr>
        <w:tblStyle w:val="af7"/>
        <w:tblW w:w="0" w:type="auto"/>
        <w:tblLayout w:type="fixed"/>
        <w:tblLook w:val="04A0" w:firstRow="1" w:lastRow="0" w:firstColumn="1" w:lastColumn="0" w:noHBand="0" w:noVBand="1"/>
      </w:tblPr>
      <w:tblGrid>
        <w:gridCol w:w="1809"/>
        <w:gridCol w:w="1560"/>
        <w:gridCol w:w="1134"/>
        <w:gridCol w:w="992"/>
        <w:gridCol w:w="2551"/>
        <w:gridCol w:w="1276"/>
      </w:tblGrid>
      <w:tr w:rsidR="008718C2" w:rsidTr="004D61AE">
        <w:tc>
          <w:tcPr>
            <w:tcW w:w="3369" w:type="dxa"/>
            <w:gridSpan w:val="2"/>
            <w:vMerge w:val="restart"/>
            <w:vAlign w:val="center"/>
          </w:tcPr>
          <w:p w:rsidR="008718C2" w:rsidRDefault="008718C2" w:rsidP="004D61AE">
            <w:pPr>
              <w:jc w:val="center"/>
              <w:rPr>
                <w:rFonts w:ascii="Times New Roman" w:hAnsi="Times New Roman"/>
                <w:sz w:val="28"/>
                <w:szCs w:val="28"/>
              </w:rPr>
            </w:pPr>
            <w:r>
              <w:rPr>
                <w:rFonts w:ascii="Times New Roman" w:hAnsi="Times New Roman"/>
                <w:sz w:val="28"/>
                <w:szCs w:val="28"/>
              </w:rPr>
              <w:t>Параметры</w:t>
            </w:r>
          </w:p>
        </w:tc>
        <w:tc>
          <w:tcPr>
            <w:tcW w:w="2126" w:type="dxa"/>
            <w:gridSpan w:val="2"/>
          </w:tcPr>
          <w:p w:rsidR="008718C2" w:rsidRDefault="008718C2" w:rsidP="004D61AE">
            <w:pPr>
              <w:jc w:val="center"/>
              <w:rPr>
                <w:rFonts w:ascii="Times New Roman" w:hAnsi="Times New Roman"/>
                <w:sz w:val="28"/>
                <w:szCs w:val="28"/>
              </w:rPr>
            </w:pPr>
            <w:r>
              <w:rPr>
                <w:rFonts w:ascii="Times New Roman" w:hAnsi="Times New Roman"/>
                <w:sz w:val="28"/>
                <w:szCs w:val="28"/>
              </w:rPr>
              <w:t>HOMA-IR</w:t>
            </w:r>
          </w:p>
        </w:tc>
        <w:tc>
          <w:tcPr>
            <w:tcW w:w="2551" w:type="dxa"/>
            <w:vMerge w:val="restart"/>
            <w:vAlign w:val="center"/>
          </w:tcPr>
          <w:p w:rsidR="008718C2" w:rsidRDefault="008718C2" w:rsidP="004D61AE">
            <w:pPr>
              <w:jc w:val="center"/>
              <w:rPr>
                <w:rFonts w:ascii="Times New Roman" w:hAnsi="Times New Roman"/>
                <w:sz w:val="28"/>
                <w:szCs w:val="28"/>
              </w:rPr>
            </w:pPr>
            <w:r>
              <w:rPr>
                <w:rFonts w:ascii="Times New Roman" w:hAnsi="Times New Roman"/>
                <w:sz w:val="28"/>
                <w:szCs w:val="28"/>
              </w:rPr>
              <w:t>ОШ (95% ДИ)</w:t>
            </w:r>
          </w:p>
        </w:tc>
        <w:tc>
          <w:tcPr>
            <w:tcW w:w="1276" w:type="dxa"/>
            <w:vMerge w:val="restart"/>
          </w:tcPr>
          <w:p w:rsidR="008718C2" w:rsidRDefault="008718C2" w:rsidP="004D61AE">
            <w:pPr>
              <w:jc w:val="center"/>
              <w:rPr>
                <w:rFonts w:ascii="Times New Roman" w:hAnsi="Times New Roman"/>
                <w:sz w:val="28"/>
                <w:szCs w:val="28"/>
                <w:lang w:val="kk-KZ"/>
              </w:rPr>
            </w:pPr>
            <w:r>
              <w:rPr>
                <w:rFonts w:ascii="Times New Roman" w:hAnsi="Times New Roman"/>
                <w:sz w:val="28"/>
                <w:szCs w:val="28"/>
              </w:rPr>
              <w:t>p*</w:t>
            </w:r>
          </w:p>
        </w:tc>
      </w:tr>
      <w:tr w:rsidR="008718C2" w:rsidTr="004D61AE">
        <w:tc>
          <w:tcPr>
            <w:tcW w:w="3369" w:type="dxa"/>
            <w:gridSpan w:val="2"/>
            <w:vMerge/>
          </w:tcPr>
          <w:p w:rsidR="008718C2" w:rsidRDefault="008718C2" w:rsidP="004D61AE">
            <w:pPr>
              <w:jc w:val="center"/>
              <w:rPr>
                <w:rFonts w:ascii="Times New Roman" w:hAnsi="Times New Roman"/>
                <w:sz w:val="28"/>
                <w:szCs w:val="28"/>
              </w:rPr>
            </w:pPr>
          </w:p>
        </w:tc>
        <w:tc>
          <w:tcPr>
            <w:tcW w:w="1134" w:type="dxa"/>
          </w:tcPr>
          <w:p w:rsidR="008718C2" w:rsidRDefault="008718C2" w:rsidP="004D61AE">
            <w:pPr>
              <w:jc w:val="center"/>
              <w:rPr>
                <w:rFonts w:ascii="Times New Roman" w:hAnsi="Times New Roman"/>
                <w:sz w:val="28"/>
                <w:szCs w:val="28"/>
              </w:rPr>
            </w:pPr>
            <w:r>
              <w:rPr>
                <w:rFonts w:ascii="Times New Roman" w:hAnsi="Times New Roman"/>
                <w:sz w:val="28"/>
                <w:szCs w:val="28"/>
              </w:rPr>
              <w:t>&lt;2,7 n</w:t>
            </w:r>
          </w:p>
        </w:tc>
        <w:tc>
          <w:tcPr>
            <w:tcW w:w="992" w:type="dxa"/>
          </w:tcPr>
          <w:p w:rsidR="008718C2" w:rsidRDefault="008718C2" w:rsidP="004D61AE">
            <w:pPr>
              <w:jc w:val="center"/>
              <w:rPr>
                <w:rFonts w:ascii="Times New Roman" w:hAnsi="Times New Roman"/>
                <w:sz w:val="28"/>
                <w:szCs w:val="28"/>
              </w:rPr>
            </w:pPr>
            <w:r>
              <w:rPr>
                <w:rFonts w:ascii="Times New Roman" w:hAnsi="Times New Roman"/>
                <w:sz w:val="28"/>
                <w:szCs w:val="28"/>
              </w:rPr>
              <w:t>≥2,7 n</w:t>
            </w:r>
          </w:p>
        </w:tc>
        <w:tc>
          <w:tcPr>
            <w:tcW w:w="2551" w:type="dxa"/>
            <w:vMerge/>
          </w:tcPr>
          <w:p w:rsidR="008718C2" w:rsidRDefault="008718C2" w:rsidP="004D61AE">
            <w:pPr>
              <w:jc w:val="center"/>
              <w:rPr>
                <w:rFonts w:ascii="Times New Roman" w:hAnsi="Times New Roman"/>
                <w:sz w:val="28"/>
                <w:szCs w:val="28"/>
                <w:lang w:val="kk-KZ"/>
              </w:rPr>
            </w:pPr>
          </w:p>
        </w:tc>
        <w:tc>
          <w:tcPr>
            <w:tcW w:w="1276" w:type="dxa"/>
            <w:vMerge/>
          </w:tcPr>
          <w:p w:rsidR="008718C2" w:rsidRDefault="008718C2" w:rsidP="004D61AE">
            <w:pPr>
              <w:jc w:val="center"/>
              <w:rPr>
                <w:rFonts w:ascii="Times New Roman" w:hAnsi="Times New Roman"/>
                <w:sz w:val="28"/>
                <w:szCs w:val="28"/>
                <w:lang w:val="kk-KZ"/>
              </w:rPr>
            </w:pPr>
          </w:p>
        </w:tc>
      </w:tr>
      <w:tr w:rsidR="008718C2" w:rsidTr="004D61AE">
        <w:tc>
          <w:tcPr>
            <w:tcW w:w="1809" w:type="dxa"/>
            <w:vMerge w:val="restart"/>
            <w:vAlign w:val="center"/>
          </w:tcPr>
          <w:p w:rsidR="008718C2" w:rsidRDefault="008718C2" w:rsidP="004D61AE">
            <w:pPr>
              <w:jc w:val="center"/>
              <w:rPr>
                <w:rFonts w:ascii="Times New Roman" w:hAnsi="Times New Roman"/>
                <w:sz w:val="28"/>
                <w:szCs w:val="28"/>
              </w:rPr>
            </w:pPr>
            <w:r>
              <w:rPr>
                <w:rFonts w:ascii="Times New Roman" w:hAnsi="Times New Roman"/>
                <w:sz w:val="28"/>
                <w:szCs w:val="28"/>
              </w:rPr>
              <w:t>апоВ/апоА1</w:t>
            </w:r>
          </w:p>
        </w:tc>
        <w:tc>
          <w:tcPr>
            <w:tcW w:w="1560" w:type="dxa"/>
          </w:tcPr>
          <w:p w:rsidR="008718C2" w:rsidRPr="004F1E50" w:rsidRDefault="008718C2" w:rsidP="004D61AE">
            <w:pPr>
              <w:jc w:val="center"/>
              <w:rPr>
                <w:rFonts w:ascii="Times New Roman" w:hAnsi="Times New Roman"/>
                <w:sz w:val="28"/>
                <w:szCs w:val="28"/>
                <w:lang w:val="kk-KZ"/>
              </w:rPr>
            </w:pPr>
            <w:r>
              <w:rPr>
                <w:rFonts w:ascii="Times New Roman" w:hAnsi="Times New Roman"/>
                <w:sz w:val="28"/>
                <w:szCs w:val="28"/>
              </w:rPr>
              <w:t>≤0,5</w:t>
            </w:r>
            <w:r>
              <w:rPr>
                <w:rFonts w:ascii="Times New Roman" w:hAnsi="Times New Roman"/>
                <w:sz w:val="28"/>
                <w:szCs w:val="28"/>
                <w:lang w:val="kk-KZ"/>
              </w:rPr>
              <w:t>6</w:t>
            </w:r>
          </w:p>
        </w:tc>
        <w:tc>
          <w:tcPr>
            <w:tcW w:w="1134" w:type="dxa"/>
          </w:tcPr>
          <w:p w:rsidR="008718C2" w:rsidRDefault="008718C2" w:rsidP="004D61AE">
            <w:pPr>
              <w:jc w:val="center"/>
              <w:rPr>
                <w:rFonts w:ascii="Times New Roman" w:hAnsi="Times New Roman"/>
                <w:sz w:val="28"/>
                <w:szCs w:val="28"/>
                <w:lang w:val="kk-KZ"/>
              </w:rPr>
            </w:pPr>
            <w:r>
              <w:rPr>
                <w:rFonts w:ascii="Times New Roman" w:hAnsi="Times New Roman"/>
                <w:sz w:val="28"/>
                <w:szCs w:val="28"/>
                <w:lang w:val="kk-KZ"/>
              </w:rPr>
              <w:t>125</w:t>
            </w:r>
          </w:p>
        </w:tc>
        <w:tc>
          <w:tcPr>
            <w:tcW w:w="992" w:type="dxa"/>
          </w:tcPr>
          <w:p w:rsidR="008718C2" w:rsidRDefault="008718C2" w:rsidP="004D61AE">
            <w:pPr>
              <w:jc w:val="center"/>
              <w:rPr>
                <w:rFonts w:ascii="Times New Roman" w:hAnsi="Times New Roman"/>
                <w:sz w:val="28"/>
                <w:szCs w:val="28"/>
                <w:lang w:val="kk-KZ"/>
              </w:rPr>
            </w:pPr>
            <w:r>
              <w:rPr>
                <w:rFonts w:ascii="Times New Roman" w:hAnsi="Times New Roman"/>
                <w:sz w:val="28"/>
                <w:szCs w:val="28"/>
                <w:lang w:val="kk-KZ"/>
              </w:rPr>
              <w:t>55</w:t>
            </w:r>
          </w:p>
        </w:tc>
        <w:tc>
          <w:tcPr>
            <w:tcW w:w="2551" w:type="dxa"/>
          </w:tcPr>
          <w:p w:rsidR="008718C2" w:rsidRDefault="008718C2" w:rsidP="004D61AE">
            <w:pPr>
              <w:jc w:val="center"/>
              <w:rPr>
                <w:rFonts w:ascii="Times New Roman" w:hAnsi="Times New Roman"/>
                <w:sz w:val="28"/>
                <w:szCs w:val="28"/>
                <w:lang w:val="kk-KZ"/>
              </w:rPr>
            </w:pPr>
            <w:r>
              <w:rPr>
                <w:rFonts w:ascii="Times New Roman" w:hAnsi="Times New Roman"/>
                <w:sz w:val="28"/>
                <w:szCs w:val="28"/>
                <w:lang w:val="kk-KZ"/>
              </w:rPr>
              <w:t>1,0</w:t>
            </w:r>
          </w:p>
        </w:tc>
        <w:tc>
          <w:tcPr>
            <w:tcW w:w="1276" w:type="dxa"/>
            <w:vMerge w:val="restart"/>
          </w:tcPr>
          <w:p w:rsidR="008718C2" w:rsidRDefault="008718C2" w:rsidP="004D61AE">
            <w:pPr>
              <w:jc w:val="center"/>
              <w:rPr>
                <w:rFonts w:ascii="Times New Roman" w:hAnsi="Times New Roman"/>
                <w:sz w:val="28"/>
                <w:szCs w:val="28"/>
                <w:lang w:val="kk-KZ"/>
              </w:rPr>
            </w:pPr>
            <w:r>
              <w:rPr>
                <w:rFonts w:ascii="Times New Roman" w:hAnsi="Times New Roman"/>
                <w:sz w:val="28"/>
                <w:szCs w:val="28"/>
                <w:lang w:val="kk-KZ"/>
              </w:rPr>
              <w:t>0,03</w:t>
            </w:r>
          </w:p>
        </w:tc>
      </w:tr>
      <w:tr w:rsidR="008718C2" w:rsidTr="004D61AE">
        <w:tc>
          <w:tcPr>
            <w:tcW w:w="1809" w:type="dxa"/>
            <w:vMerge/>
            <w:vAlign w:val="center"/>
          </w:tcPr>
          <w:p w:rsidR="008718C2" w:rsidRDefault="008718C2" w:rsidP="004D61AE">
            <w:pPr>
              <w:jc w:val="center"/>
              <w:rPr>
                <w:rFonts w:ascii="Times New Roman" w:hAnsi="Times New Roman"/>
                <w:sz w:val="28"/>
                <w:szCs w:val="28"/>
              </w:rPr>
            </w:pPr>
          </w:p>
        </w:tc>
        <w:tc>
          <w:tcPr>
            <w:tcW w:w="1560" w:type="dxa"/>
          </w:tcPr>
          <w:p w:rsidR="008718C2" w:rsidRPr="004F1E50" w:rsidRDefault="008718C2" w:rsidP="004D61AE">
            <w:pPr>
              <w:jc w:val="center"/>
              <w:rPr>
                <w:rFonts w:ascii="Times New Roman" w:hAnsi="Times New Roman"/>
                <w:sz w:val="28"/>
                <w:szCs w:val="28"/>
                <w:lang w:val="kk-KZ"/>
              </w:rPr>
            </w:pPr>
            <w:r>
              <w:rPr>
                <w:rFonts w:ascii="Times New Roman" w:hAnsi="Times New Roman"/>
                <w:sz w:val="28"/>
                <w:szCs w:val="28"/>
              </w:rPr>
              <w:t>0,5</w:t>
            </w:r>
            <w:r>
              <w:rPr>
                <w:rFonts w:ascii="Times New Roman" w:hAnsi="Times New Roman"/>
                <w:sz w:val="28"/>
                <w:szCs w:val="28"/>
                <w:lang w:val="kk-KZ"/>
              </w:rPr>
              <w:t>7≤0,70</w:t>
            </w:r>
          </w:p>
        </w:tc>
        <w:tc>
          <w:tcPr>
            <w:tcW w:w="1134" w:type="dxa"/>
          </w:tcPr>
          <w:p w:rsidR="008718C2" w:rsidRDefault="008718C2" w:rsidP="004D61AE">
            <w:pPr>
              <w:jc w:val="center"/>
              <w:rPr>
                <w:rFonts w:ascii="Times New Roman" w:hAnsi="Times New Roman"/>
                <w:sz w:val="28"/>
                <w:szCs w:val="28"/>
                <w:lang w:val="kk-KZ"/>
              </w:rPr>
            </w:pPr>
            <w:r>
              <w:rPr>
                <w:rFonts w:ascii="Times New Roman" w:hAnsi="Times New Roman"/>
                <w:sz w:val="28"/>
                <w:szCs w:val="28"/>
                <w:lang w:val="kk-KZ"/>
              </w:rPr>
              <w:t>76</w:t>
            </w:r>
          </w:p>
        </w:tc>
        <w:tc>
          <w:tcPr>
            <w:tcW w:w="992" w:type="dxa"/>
          </w:tcPr>
          <w:p w:rsidR="008718C2" w:rsidRDefault="008718C2" w:rsidP="004D61AE">
            <w:pPr>
              <w:jc w:val="center"/>
              <w:rPr>
                <w:rFonts w:ascii="Times New Roman" w:hAnsi="Times New Roman"/>
                <w:sz w:val="28"/>
                <w:szCs w:val="28"/>
                <w:lang w:val="kk-KZ"/>
              </w:rPr>
            </w:pPr>
            <w:r>
              <w:rPr>
                <w:rFonts w:ascii="Times New Roman" w:hAnsi="Times New Roman"/>
                <w:sz w:val="28"/>
                <w:szCs w:val="28"/>
                <w:lang w:val="kk-KZ"/>
              </w:rPr>
              <w:t>50</w:t>
            </w:r>
          </w:p>
        </w:tc>
        <w:tc>
          <w:tcPr>
            <w:tcW w:w="2551" w:type="dxa"/>
          </w:tcPr>
          <w:p w:rsidR="008718C2" w:rsidRDefault="008718C2" w:rsidP="004D61AE">
            <w:pPr>
              <w:jc w:val="center"/>
              <w:rPr>
                <w:rFonts w:ascii="Times New Roman" w:hAnsi="Times New Roman"/>
                <w:sz w:val="28"/>
                <w:szCs w:val="28"/>
                <w:lang w:val="kk-KZ"/>
              </w:rPr>
            </w:pPr>
            <w:r>
              <w:rPr>
                <w:rFonts w:ascii="Times New Roman" w:hAnsi="Times New Roman"/>
                <w:sz w:val="28"/>
                <w:szCs w:val="28"/>
                <w:lang w:val="kk-KZ"/>
              </w:rPr>
              <w:t>1,49 (0,93-2,41)</w:t>
            </w:r>
          </w:p>
        </w:tc>
        <w:tc>
          <w:tcPr>
            <w:tcW w:w="1276" w:type="dxa"/>
            <w:vMerge/>
          </w:tcPr>
          <w:p w:rsidR="008718C2" w:rsidRDefault="008718C2" w:rsidP="004D61AE">
            <w:pPr>
              <w:jc w:val="center"/>
              <w:rPr>
                <w:rFonts w:ascii="Times New Roman" w:hAnsi="Times New Roman"/>
                <w:sz w:val="28"/>
                <w:szCs w:val="28"/>
                <w:lang w:val="kk-KZ"/>
              </w:rPr>
            </w:pPr>
          </w:p>
        </w:tc>
      </w:tr>
      <w:tr w:rsidR="008718C2" w:rsidTr="004D61AE">
        <w:tc>
          <w:tcPr>
            <w:tcW w:w="1809" w:type="dxa"/>
            <w:vMerge/>
          </w:tcPr>
          <w:p w:rsidR="008718C2" w:rsidRDefault="008718C2" w:rsidP="004D61AE">
            <w:pPr>
              <w:jc w:val="center"/>
              <w:rPr>
                <w:rFonts w:ascii="Times New Roman" w:hAnsi="Times New Roman"/>
                <w:sz w:val="28"/>
                <w:szCs w:val="28"/>
                <w:lang w:val="kk-KZ"/>
              </w:rPr>
            </w:pPr>
          </w:p>
        </w:tc>
        <w:tc>
          <w:tcPr>
            <w:tcW w:w="1560" w:type="dxa"/>
          </w:tcPr>
          <w:p w:rsidR="008718C2" w:rsidRDefault="008718C2" w:rsidP="004D61AE">
            <w:pPr>
              <w:jc w:val="center"/>
              <w:rPr>
                <w:rFonts w:ascii="Times New Roman" w:hAnsi="Times New Roman"/>
                <w:sz w:val="28"/>
                <w:szCs w:val="28"/>
                <w:lang w:val="kk-KZ"/>
              </w:rPr>
            </w:pPr>
            <w:r>
              <w:rPr>
                <w:rFonts w:ascii="Times New Roman" w:hAnsi="Times New Roman"/>
                <w:sz w:val="28"/>
                <w:szCs w:val="28"/>
                <w:lang w:val="kk-KZ"/>
              </w:rPr>
              <w:t>0,71≤0,85</w:t>
            </w:r>
          </w:p>
        </w:tc>
        <w:tc>
          <w:tcPr>
            <w:tcW w:w="1134" w:type="dxa"/>
          </w:tcPr>
          <w:p w:rsidR="008718C2" w:rsidRDefault="008718C2" w:rsidP="004D61AE">
            <w:pPr>
              <w:jc w:val="center"/>
              <w:rPr>
                <w:rFonts w:ascii="Times New Roman" w:hAnsi="Times New Roman"/>
                <w:sz w:val="28"/>
                <w:szCs w:val="28"/>
                <w:lang w:val="kk-KZ"/>
              </w:rPr>
            </w:pPr>
            <w:r>
              <w:rPr>
                <w:rFonts w:ascii="Times New Roman" w:hAnsi="Times New Roman"/>
                <w:sz w:val="28"/>
                <w:szCs w:val="28"/>
                <w:lang w:val="kk-KZ"/>
              </w:rPr>
              <w:t>47</w:t>
            </w:r>
          </w:p>
        </w:tc>
        <w:tc>
          <w:tcPr>
            <w:tcW w:w="992" w:type="dxa"/>
          </w:tcPr>
          <w:p w:rsidR="008718C2" w:rsidRDefault="008718C2" w:rsidP="004D61AE">
            <w:pPr>
              <w:jc w:val="center"/>
              <w:rPr>
                <w:rFonts w:ascii="Times New Roman" w:hAnsi="Times New Roman"/>
                <w:sz w:val="28"/>
                <w:szCs w:val="28"/>
                <w:lang w:val="kk-KZ"/>
              </w:rPr>
            </w:pPr>
            <w:r>
              <w:rPr>
                <w:rFonts w:ascii="Times New Roman" w:hAnsi="Times New Roman"/>
                <w:sz w:val="28"/>
                <w:szCs w:val="28"/>
                <w:lang w:val="kk-KZ"/>
              </w:rPr>
              <w:t>40</w:t>
            </w:r>
          </w:p>
        </w:tc>
        <w:tc>
          <w:tcPr>
            <w:tcW w:w="2551" w:type="dxa"/>
          </w:tcPr>
          <w:p w:rsidR="008718C2" w:rsidRDefault="008718C2" w:rsidP="004D61AE">
            <w:pPr>
              <w:jc w:val="center"/>
              <w:rPr>
                <w:rFonts w:ascii="Times New Roman" w:hAnsi="Times New Roman"/>
                <w:sz w:val="28"/>
                <w:szCs w:val="28"/>
                <w:lang w:val="kk-KZ"/>
              </w:rPr>
            </w:pPr>
            <w:r>
              <w:rPr>
                <w:rFonts w:ascii="Times New Roman" w:hAnsi="Times New Roman"/>
                <w:sz w:val="28"/>
                <w:szCs w:val="28"/>
                <w:lang w:val="kk-KZ"/>
              </w:rPr>
              <w:t>1,93 (1,14-3,28)</w:t>
            </w:r>
          </w:p>
        </w:tc>
        <w:tc>
          <w:tcPr>
            <w:tcW w:w="1276" w:type="dxa"/>
            <w:vMerge/>
          </w:tcPr>
          <w:p w:rsidR="008718C2" w:rsidRDefault="008718C2" w:rsidP="004D61AE">
            <w:pPr>
              <w:jc w:val="center"/>
              <w:rPr>
                <w:rFonts w:ascii="Times New Roman" w:hAnsi="Times New Roman"/>
                <w:sz w:val="28"/>
                <w:szCs w:val="28"/>
                <w:lang w:val="kk-KZ"/>
              </w:rPr>
            </w:pPr>
          </w:p>
        </w:tc>
      </w:tr>
      <w:tr w:rsidR="008718C2" w:rsidTr="004D61AE">
        <w:tc>
          <w:tcPr>
            <w:tcW w:w="1809" w:type="dxa"/>
            <w:vMerge/>
          </w:tcPr>
          <w:p w:rsidR="008718C2" w:rsidRDefault="008718C2" w:rsidP="004D61AE">
            <w:pPr>
              <w:jc w:val="center"/>
              <w:rPr>
                <w:rFonts w:ascii="Times New Roman" w:hAnsi="Times New Roman"/>
                <w:sz w:val="28"/>
                <w:szCs w:val="28"/>
                <w:lang w:val="kk-KZ"/>
              </w:rPr>
            </w:pPr>
          </w:p>
        </w:tc>
        <w:tc>
          <w:tcPr>
            <w:tcW w:w="1560" w:type="dxa"/>
          </w:tcPr>
          <w:p w:rsidR="008718C2" w:rsidRDefault="008718C2" w:rsidP="004D61AE">
            <w:pPr>
              <w:jc w:val="center"/>
              <w:rPr>
                <w:rFonts w:ascii="Times New Roman" w:hAnsi="Times New Roman"/>
                <w:sz w:val="28"/>
                <w:szCs w:val="28"/>
                <w:lang w:val="kk-KZ"/>
              </w:rPr>
            </w:pPr>
            <w:r>
              <w:rPr>
                <w:rFonts w:ascii="Times New Roman" w:hAnsi="Times New Roman"/>
                <w:sz w:val="28"/>
                <w:szCs w:val="28"/>
                <w:lang w:val="kk-KZ"/>
              </w:rPr>
              <w:t>≥0,86</w:t>
            </w:r>
          </w:p>
        </w:tc>
        <w:tc>
          <w:tcPr>
            <w:tcW w:w="1134" w:type="dxa"/>
          </w:tcPr>
          <w:p w:rsidR="008718C2" w:rsidRDefault="008718C2" w:rsidP="004D61AE">
            <w:pPr>
              <w:jc w:val="center"/>
              <w:rPr>
                <w:rFonts w:ascii="Times New Roman" w:hAnsi="Times New Roman"/>
                <w:sz w:val="28"/>
                <w:szCs w:val="28"/>
                <w:lang w:val="kk-KZ"/>
              </w:rPr>
            </w:pPr>
            <w:r>
              <w:rPr>
                <w:rFonts w:ascii="Times New Roman" w:hAnsi="Times New Roman"/>
                <w:sz w:val="28"/>
                <w:szCs w:val="28"/>
                <w:lang w:val="kk-KZ"/>
              </w:rPr>
              <w:t>63</w:t>
            </w:r>
          </w:p>
        </w:tc>
        <w:tc>
          <w:tcPr>
            <w:tcW w:w="992" w:type="dxa"/>
          </w:tcPr>
          <w:p w:rsidR="008718C2" w:rsidRDefault="008718C2" w:rsidP="004D61AE">
            <w:pPr>
              <w:jc w:val="center"/>
              <w:rPr>
                <w:rFonts w:ascii="Times New Roman" w:hAnsi="Times New Roman"/>
                <w:sz w:val="28"/>
                <w:szCs w:val="28"/>
                <w:lang w:val="kk-KZ"/>
              </w:rPr>
            </w:pPr>
            <w:r>
              <w:rPr>
                <w:rFonts w:ascii="Times New Roman" w:hAnsi="Times New Roman"/>
                <w:sz w:val="28"/>
                <w:szCs w:val="28"/>
                <w:lang w:val="kk-KZ"/>
              </w:rPr>
              <w:t>51</w:t>
            </w:r>
          </w:p>
        </w:tc>
        <w:tc>
          <w:tcPr>
            <w:tcW w:w="2551" w:type="dxa"/>
          </w:tcPr>
          <w:p w:rsidR="008718C2" w:rsidRDefault="008718C2" w:rsidP="004D61AE">
            <w:pPr>
              <w:jc w:val="center"/>
              <w:rPr>
                <w:rFonts w:ascii="Times New Roman" w:hAnsi="Times New Roman"/>
                <w:sz w:val="28"/>
                <w:szCs w:val="28"/>
                <w:lang w:val="kk-KZ"/>
              </w:rPr>
            </w:pPr>
            <w:r>
              <w:rPr>
                <w:rFonts w:ascii="Times New Roman" w:hAnsi="Times New Roman"/>
                <w:sz w:val="28"/>
                <w:szCs w:val="28"/>
                <w:lang w:val="kk-KZ"/>
              </w:rPr>
              <w:t>1,84 (1,31-2,99)</w:t>
            </w:r>
          </w:p>
        </w:tc>
        <w:tc>
          <w:tcPr>
            <w:tcW w:w="1276" w:type="dxa"/>
            <w:vMerge/>
          </w:tcPr>
          <w:p w:rsidR="008718C2" w:rsidRDefault="008718C2" w:rsidP="004D61AE">
            <w:pPr>
              <w:jc w:val="center"/>
              <w:rPr>
                <w:rFonts w:ascii="Times New Roman" w:hAnsi="Times New Roman"/>
                <w:sz w:val="28"/>
                <w:szCs w:val="28"/>
                <w:lang w:val="kk-KZ"/>
              </w:rPr>
            </w:pPr>
          </w:p>
        </w:tc>
      </w:tr>
      <w:tr w:rsidR="00B27FF5" w:rsidTr="00EB6FAB">
        <w:tc>
          <w:tcPr>
            <w:tcW w:w="9322" w:type="dxa"/>
            <w:gridSpan w:val="6"/>
          </w:tcPr>
          <w:p w:rsidR="0068327E" w:rsidRDefault="00A37B94" w:rsidP="00A37B94">
            <w:pPr>
              <w:jc w:val="both"/>
              <w:rPr>
                <w:rFonts w:ascii="Times New Roman" w:hAnsi="Times New Roman"/>
                <w:szCs w:val="24"/>
                <w:lang w:val="kk-KZ"/>
              </w:rPr>
            </w:pPr>
            <w:r>
              <w:rPr>
                <w:rFonts w:ascii="Times New Roman" w:hAnsi="Times New Roman"/>
                <w:szCs w:val="24"/>
              </w:rPr>
              <w:t xml:space="preserve">Примечание </w:t>
            </w:r>
            <w:r w:rsidR="00B27FF5">
              <w:rPr>
                <w:rFonts w:ascii="Times New Roman" w:hAnsi="Times New Roman"/>
                <w:szCs w:val="24"/>
              </w:rPr>
              <w:t>* - χ</w:t>
            </w:r>
            <w:r w:rsidR="00B27FF5">
              <w:rPr>
                <w:rFonts w:ascii="Times New Roman" w:hAnsi="Times New Roman"/>
                <w:szCs w:val="24"/>
                <w:vertAlign w:val="superscript"/>
              </w:rPr>
              <w:t>2</w:t>
            </w:r>
            <w:r w:rsidR="00B27FF5">
              <w:rPr>
                <w:rFonts w:ascii="Times New Roman" w:hAnsi="Times New Roman"/>
                <w:szCs w:val="24"/>
              </w:rPr>
              <w:t xml:space="preserve"> – хи квадрат Пирсона; </w:t>
            </w:r>
          </w:p>
          <w:p w:rsidR="00B27FF5" w:rsidRDefault="00B27FF5" w:rsidP="00A37B94">
            <w:pPr>
              <w:jc w:val="both"/>
              <w:rPr>
                <w:rFonts w:ascii="Times New Roman" w:hAnsi="Times New Roman"/>
                <w:sz w:val="28"/>
                <w:szCs w:val="28"/>
                <w:lang w:val="kk-KZ"/>
              </w:rPr>
            </w:pPr>
            <w:r>
              <w:rPr>
                <w:rFonts w:ascii="Times New Roman" w:hAnsi="Times New Roman"/>
                <w:szCs w:val="24"/>
              </w:rPr>
              <w:t>ОШ (95% ДИ) – Отношение шансов (95% Доверительный интервал)</w:t>
            </w:r>
          </w:p>
        </w:tc>
      </w:tr>
    </w:tbl>
    <w:p w:rsidR="008718C2" w:rsidRDefault="008718C2" w:rsidP="008718C2">
      <w:pPr>
        <w:spacing w:after="0" w:line="240" w:lineRule="auto"/>
        <w:ind w:firstLine="708"/>
        <w:jc w:val="center"/>
        <w:rPr>
          <w:rFonts w:ascii="Times New Roman" w:hAnsi="Times New Roman" w:cs="Times New Roman"/>
          <w:sz w:val="28"/>
          <w:szCs w:val="28"/>
          <w:lang w:val="kk-KZ"/>
        </w:rPr>
      </w:pPr>
    </w:p>
    <w:p w:rsidR="00B10AF4" w:rsidRDefault="00B10AF4" w:rsidP="00B10A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 xml:space="preserve">Наши результаты показали, что </w:t>
      </w:r>
      <w:r w:rsidR="00332BD3">
        <w:rPr>
          <w:rFonts w:ascii="Times New Roman" w:hAnsi="Times New Roman" w:cs="Times New Roman"/>
          <w:sz w:val="28"/>
          <w:szCs w:val="28"/>
          <w:lang w:val="kk-KZ"/>
        </w:rPr>
        <w:t xml:space="preserve">анализ </w:t>
      </w:r>
      <w:r>
        <w:rPr>
          <w:rFonts w:ascii="Times New Roman" w:hAnsi="Times New Roman" w:cs="Times New Roman"/>
          <w:sz w:val="28"/>
          <w:szCs w:val="28"/>
        </w:rPr>
        <w:t>у</w:t>
      </w:r>
      <w:r w:rsidR="00332BD3">
        <w:rPr>
          <w:rFonts w:ascii="Times New Roman" w:hAnsi="Times New Roman" w:cs="Times New Roman"/>
          <w:sz w:val="28"/>
          <w:szCs w:val="28"/>
        </w:rPr>
        <w:t>ровн</w:t>
      </w:r>
      <w:r w:rsidR="008230B3">
        <w:rPr>
          <w:rFonts w:ascii="Times New Roman" w:hAnsi="Times New Roman" w:cs="Times New Roman"/>
          <w:sz w:val="28"/>
          <w:szCs w:val="28"/>
        </w:rPr>
        <w:t>я</w:t>
      </w:r>
      <w:r w:rsidRPr="00EC3B40">
        <w:rPr>
          <w:rFonts w:ascii="Times New Roman" w:hAnsi="Times New Roman" w:cs="Times New Roman"/>
          <w:sz w:val="28"/>
          <w:szCs w:val="28"/>
        </w:rPr>
        <w:t xml:space="preserve"> ТГ</w:t>
      </w:r>
      <w:r>
        <w:rPr>
          <w:rFonts w:ascii="Times New Roman" w:hAnsi="Times New Roman" w:cs="Times New Roman"/>
          <w:sz w:val="28"/>
          <w:szCs w:val="28"/>
        </w:rPr>
        <w:t>,</w:t>
      </w:r>
      <w:r w:rsidRPr="00EC3B40">
        <w:rPr>
          <w:rFonts w:ascii="Times New Roman" w:hAnsi="Times New Roman" w:cs="Times New Roman"/>
          <w:sz w:val="28"/>
          <w:szCs w:val="28"/>
        </w:rPr>
        <w:t xml:space="preserve"> апоВ </w:t>
      </w:r>
      <w:r>
        <w:rPr>
          <w:rFonts w:ascii="Times New Roman" w:hAnsi="Times New Roman" w:cs="Times New Roman"/>
          <w:sz w:val="28"/>
          <w:szCs w:val="28"/>
        </w:rPr>
        <w:t xml:space="preserve">и </w:t>
      </w:r>
      <w:r w:rsidR="00332BD3">
        <w:rPr>
          <w:rFonts w:ascii="Times New Roman" w:hAnsi="Times New Roman" w:cs="Times New Roman"/>
          <w:sz w:val="28"/>
          <w:szCs w:val="28"/>
          <w:lang w:val="kk-KZ"/>
        </w:rPr>
        <w:t xml:space="preserve">значения </w:t>
      </w:r>
      <w:r>
        <w:rPr>
          <w:rFonts w:ascii="Times New Roman" w:hAnsi="Times New Roman" w:cs="Times New Roman"/>
          <w:sz w:val="28"/>
          <w:szCs w:val="28"/>
        </w:rPr>
        <w:t>соотношени</w:t>
      </w:r>
      <w:r w:rsidR="00332BD3">
        <w:rPr>
          <w:rFonts w:ascii="Times New Roman" w:hAnsi="Times New Roman" w:cs="Times New Roman"/>
          <w:sz w:val="28"/>
          <w:szCs w:val="28"/>
          <w:lang w:val="kk-KZ"/>
        </w:rPr>
        <w:t>я</w:t>
      </w:r>
      <w:r>
        <w:rPr>
          <w:rFonts w:ascii="Times New Roman" w:hAnsi="Times New Roman" w:cs="Times New Roman"/>
          <w:sz w:val="28"/>
          <w:szCs w:val="28"/>
        </w:rPr>
        <w:t xml:space="preserve"> апоВ/апоА1 </w:t>
      </w:r>
      <w:r w:rsidRPr="00EC3B40">
        <w:rPr>
          <w:rFonts w:ascii="Times New Roman" w:hAnsi="Times New Roman" w:cs="Times New Roman"/>
          <w:sz w:val="28"/>
          <w:szCs w:val="28"/>
        </w:rPr>
        <w:t>могут быть рекомендованы как ранние</w:t>
      </w:r>
      <w:r>
        <w:rPr>
          <w:rFonts w:ascii="Times New Roman" w:hAnsi="Times New Roman" w:cs="Times New Roman"/>
          <w:sz w:val="28"/>
          <w:szCs w:val="28"/>
        </w:rPr>
        <w:t xml:space="preserve"> предикторы риска </w:t>
      </w:r>
      <w:r w:rsidR="007E3B72">
        <w:rPr>
          <w:rFonts w:ascii="Times New Roman" w:hAnsi="Times New Roman" w:cs="Times New Roman"/>
          <w:sz w:val="28"/>
          <w:szCs w:val="28"/>
        </w:rPr>
        <w:t>ИР</w:t>
      </w:r>
      <w:r>
        <w:rPr>
          <w:rFonts w:ascii="Times New Roman" w:hAnsi="Times New Roman" w:cs="Times New Roman"/>
          <w:sz w:val="28"/>
          <w:szCs w:val="28"/>
        </w:rPr>
        <w:t xml:space="preserve"> в казахской популяции.</w:t>
      </w:r>
    </w:p>
    <w:p w:rsidR="00AB12B3" w:rsidRDefault="00AB12B3" w:rsidP="00AB12B3">
      <w:pPr>
        <w:spacing w:after="0" w:line="240" w:lineRule="auto"/>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Глюкоза</w:t>
      </w:r>
    </w:p>
    <w:p w:rsidR="00314936" w:rsidRDefault="00DB0D0E" w:rsidP="0031493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 изучении средних величин факторов риска по группам глюкозы различий не выявлено</w:t>
      </w:r>
      <w:r w:rsidR="00314936">
        <w:rPr>
          <w:rFonts w:ascii="Times New Roman" w:hAnsi="Times New Roman" w:cs="Times New Roman"/>
          <w:sz w:val="28"/>
          <w:szCs w:val="28"/>
        </w:rPr>
        <w:t xml:space="preserve"> (таблица 3</w:t>
      </w:r>
      <w:r w:rsidR="008718C2">
        <w:rPr>
          <w:rFonts w:ascii="Times New Roman" w:hAnsi="Times New Roman" w:cs="Times New Roman"/>
          <w:sz w:val="28"/>
          <w:szCs w:val="28"/>
        </w:rPr>
        <w:t>7</w:t>
      </w:r>
      <w:r w:rsidR="00314936">
        <w:rPr>
          <w:rFonts w:ascii="Times New Roman" w:hAnsi="Times New Roman" w:cs="Times New Roman"/>
          <w:sz w:val="28"/>
          <w:szCs w:val="28"/>
        </w:rPr>
        <w:t>).</w:t>
      </w:r>
    </w:p>
    <w:p w:rsidR="0014539C" w:rsidRDefault="00DB0D0E" w:rsidP="0014539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Также при оценке</w:t>
      </w:r>
      <w:r w:rsidR="0014539C">
        <w:rPr>
          <w:rFonts w:ascii="Times New Roman" w:hAnsi="Times New Roman" w:cs="Times New Roman"/>
          <w:sz w:val="28"/>
          <w:szCs w:val="28"/>
        </w:rPr>
        <w:t xml:space="preserve"> взаимосвязи между </w:t>
      </w:r>
      <w:r>
        <w:rPr>
          <w:rFonts w:ascii="Times New Roman" w:hAnsi="Times New Roman" w:cs="Times New Roman"/>
          <w:sz w:val="28"/>
          <w:szCs w:val="28"/>
        </w:rPr>
        <w:t>факторами</w:t>
      </w:r>
      <w:r w:rsidR="0014539C">
        <w:rPr>
          <w:rFonts w:ascii="Times New Roman" w:hAnsi="Times New Roman" w:cs="Times New Roman"/>
          <w:sz w:val="28"/>
          <w:szCs w:val="28"/>
        </w:rPr>
        <w:t xml:space="preserve"> риска и</w:t>
      </w:r>
      <w:r>
        <w:rPr>
          <w:rFonts w:ascii="Times New Roman" w:hAnsi="Times New Roman" w:cs="Times New Roman"/>
          <w:sz w:val="28"/>
          <w:szCs w:val="28"/>
        </w:rPr>
        <w:t xml:space="preserve"> уровня</w:t>
      </w:r>
      <w:r w:rsidR="0014539C">
        <w:rPr>
          <w:rFonts w:ascii="Times New Roman" w:hAnsi="Times New Roman" w:cs="Times New Roman"/>
          <w:sz w:val="28"/>
          <w:szCs w:val="28"/>
        </w:rPr>
        <w:t xml:space="preserve"> глюкозы </w:t>
      </w:r>
      <w:r>
        <w:rPr>
          <w:rFonts w:ascii="Times New Roman" w:hAnsi="Times New Roman" w:cs="Times New Roman"/>
          <w:sz w:val="28"/>
          <w:szCs w:val="28"/>
        </w:rPr>
        <w:t>ассоциация не было обнаружена</w:t>
      </w:r>
      <w:r w:rsidR="0014539C">
        <w:rPr>
          <w:rFonts w:ascii="Times New Roman" w:hAnsi="Times New Roman" w:cs="Times New Roman"/>
          <w:sz w:val="28"/>
          <w:szCs w:val="28"/>
        </w:rPr>
        <w:t xml:space="preserve"> (таблица 38). В наше</w:t>
      </w:r>
      <w:r w:rsidR="002743A0">
        <w:rPr>
          <w:rFonts w:ascii="Times New Roman" w:hAnsi="Times New Roman" w:cs="Times New Roman"/>
          <w:sz w:val="28"/>
          <w:szCs w:val="28"/>
        </w:rPr>
        <w:t>й</w:t>
      </w:r>
      <w:r w:rsidR="0014539C">
        <w:rPr>
          <w:rFonts w:ascii="Times New Roman" w:hAnsi="Times New Roman" w:cs="Times New Roman"/>
          <w:sz w:val="28"/>
          <w:szCs w:val="28"/>
        </w:rPr>
        <w:t xml:space="preserve"> </w:t>
      </w:r>
      <w:r w:rsidR="002743A0">
        <w:rPr>
          <w:rFonts w:ascii="Times New Roman" w:hAnsi="Times New Roman" w:cs="Times New Roman"/>
          <w:sz w:val="28"/>
          <w:szCs w:val="28"/>
        </w:rPr>
        <w:t>работе</w:t>
      </w:r>
      <w:r w:rsidR="0014539C">
        <w:rPr>
          <w:rFonts w:ascii="Times New Roman" w:hAnsi="Times New Roman" w:cs="Times New Roman"/>
          <w:sz w:val="28"/>
          <w:szCs w:val="28"/>
        </w:rPr>
        <w:t xml:space="preserve"> уровень глюкозы не был связан с </w:t>
      </w:r>
      <w:r w:rsidR="002743A0">
        <w:rPr>
          <w:rFonts w:ascii="Times New Roman" w:hAnsi="Times New Roman" w:cs="Times New Roman"/>
          <w:sz w:val="28"/>
          <w:szCs w:val="28"/>
        </w:rPr>
        <w:t xml:space="preserve">такими факторами, как </w:t>
      </w:r>
      <w:r w:rsidR="0014539C">
        <w:rPr>
          <w:rFonts w:ascii="Times New Roman" w:hAnsi="Times New Roman" w:cs="Times New Roman"/>
          <w:sz w:val="28"/>
          <w:szCs w:val="28"/>
        </w:rPr>
        <w:t>возраст, ИМТ, окружность</w:t>
      </w:r>
      <w:r w:rsidR="002743A0">
        <w:rPr>
          <w:rFonts w:ascii="Times New Roman" w:hAnsi="Times New Roman" w:cs="Times New Roman"/>
          <w:sz w:val="28"/>
          <w:szCs w:val="28"/>
        </w:rPr>
        <w:t xml:space="preserve"> талии, статус</w:t>
      </w:r>
      <w:r w:rsidR="0014539C">
        <w:rPr>
          <w:rFonts w:ascii="Times New Roman" w:hAnsi="Times New Roman" w:cs="Times New Roman"/>
          <w:sz w:val="28"/>
          <w:szCs w:val="28"/>
        </w:rPr>
        <w:t xml:space="preserve"> курени</w:t>
      </w:r>
      <w:r w:rsidR="002743A0">
        <w:rPr>
          <w:rFonts w:ascii="Times New Roman" w:hAnsi="Times New Roman" w:cs="Times New Roman"/>
          <w:sz w:val="28"/>
          <w:szCs w:val="28"/>
        </w:rPr>
        <w:t>я</w:t>
      </w:r>
      <w:r w:rsidR="0014539C">
        <w:rPr>
          <w:rFonts w:ascii="Times New Roman" w:hAnsi="Times New Roman" w:cs="Times New Roman"/>
          <w:sz w:val="28"/>
          <w:szCs w:val="28"/>
        </w:rPr>
        <w:t xml:space="preserve"> и уров</w:t>
      </w:r>
      <w:r w:rsidR="002743A0">
        <w:rPr>
          <w:rFonts w:ascii="Times New Roman" w:hAnsi="Times New Roman" w:cs="Times New Roman"/>
          <w:sz w:val="28"/>
          <w:szCs w:val="28"/>
        </w:rPr>
        <w:t>е</w:t>
      </w:r>
      <w:r w:rsidR="0014539C">
        <w:rPr>
          <w:rFonts w:ascii="Times New Roman" w:hAnsi="Times New Roman" w:cs="Times New Roman"/>
          <w:sz w:val="28"/>
          <w:szCs w:val="28"/>
        </w:rPr>
        <w:t>н</w:t>
      </w:r>
      <w:r w:rsidR="002743A0">
        <w:rPr>
          <w:rFonts w:ascii="Times New Roman" w:hAnsi="Times New Roman" w:cs="Times New Roman"/>
          <w:sz w:val="28"/>
          <w:szCs w:val="28"/>
        </w:rPr>
        <w:t>ь</w:t>
      </w:r>
      <w:r w:rsidR="0014539C">
        <w:rPr>
          <w:rFonts w:ascii="Times New Roman" w:hAnsi="Times New Roman" w:cs="Times New Roman"/>
          <w:sz w:val="28"/>
          <w:szCs w:val="28"/>
        </w:rPr>
        <w:t xml:space="preserve"> АД в </w:t>
      </w:r>
      <w:r w:rsidR="001C26B0">
        <w:rPr>
          <w:rFonts w:ascii="Times New Roman" w:hAnsi="Times New Roman" w:cs="Times New Roman"/>
          <w:sz w:val="28"/>
          <w:szCs w:val="28"/>
        </w:rPr>
        <w:t>данной выборке</w:t>
      </w:r>
      <w:r w:rsidR="0014539C">
        <w:rPr>
          <w:rFonts w:ascii="Times New Roman" w:hAnsi="Times New Roman" w:cs="Times New Roman"/>
          <w:sz w:val="28"/>
          <w:szCs w:val="28"/>
        </w:rPr>
        <w:t>.</w:t>
      </w:r>
    </w:p>
    <w:p w:rsidR="00AD11CD" w:rsidRDefault="00AD11CD" w:rsidP="00AB12B3">
      <w:pPr>
        <w:spacing w:after="0" w:line="240" w:lineRule="auto"/>
        <w:jc w:val="both"/>
        <w:rPr>
          <w:rFonts w:ascii="Times New Roman" w:hAnsi="Times New Roman" w:cs="Times New Roman"/>
          <w:sz w:val="28"/>
          <w:szCs w:val="28"/>
          <w:lang w:val="kk-KZ"/>
        </w:rPr>
      </w:pPr>
    </w:p>
    <w:p w:rsidR="00AB12B3" w:rsidRDefault="00AB12B3" w:rsidP="00AB12B3">
      <w:pPr>
        <w:spacing w:after="0" w:line="240" w:lineRule="auto"/>
        <w:jc w:val="both"/>
        <w:rPr>
          <w:rFonts w:ascii="Times New Roman" w:hAnsi="Times New Roman"/>
          <w:sz w:val="28"/>
          <w:szCs w:val="28"/>
          <w:lang w:val="kk-KZ"/>
        </w:rPr>
      </w:pPr>
      <w:r>
        <w:rPr>
          <w:rFonts w:ascii="Times New Roman" w:hAnsi="Times New Roman" w:cs="Times New Roman"/>
          <w:sz w:val="28"/>
          <w:szCs w:val="28"/>
        </w:rPr>
        <w:t>Таблица 3</w:t>
      </w:r>
      <w:r w:rsidR="008718C2">
        <w:rPr>
          <w:rFonts w:ascii="Times New Roman" w:hAnsi="Times New Roman" w:cs="Times New Roman"/>
          <w:sz w:val="28"/>
          <w:szCs w:val="28"/>
        </w:rPr>
        <w:t>7</w:t>
      </w:r>
      <w:r>
        <w:rPr>
          <w:rFonts w:ascii="Times New Roman" w:hAnsi="Times New Roman" w:cs="Times New Roman"/>
          <w:sz w:val="28"/>
          <w:szCs w:val="28"/>
        </w:rPr>
        <w:t xml:space="preserve"> </w:t>
      </w:r>
      <w:r w:rsidR="00D058C8">
        <w:rPr>
          <w:rFonts w:ascii="Times New Roman" w:hAnsi="Times New Roman" w:cs="Times New Roman"/>
          <w:sz w:val="28"/>
          <w:szCs w:val="28"/>
          <w:lang w:val="kk-KZ"/>
        </w:rPr>
        <w:t xml:space="preserve">- </w:t>
      </w:r>
      <w:r>
        <w:rPr>
          <w:rFonts w:ascii="Times New Roman" w:hAnsi="Times New Roman" w:cs="Times New Roman"/>
          <w:sz w:val="28"/>
          <w:szCs w:val="28"/>
        </w:rPr>
        <w:t xml:space="preserve">Распределение средних величин факторов рисков по группам глюкозы </w:t>
      </w:r>
      <w:r w:rsidR="00383BAA">
        <w:rPr>
          <w:rFonts w:ascii="Times New Roman" w:hAnsi="Times New Roman" w:cs="Times New Roman"/>
          <w:sz w:val="28"/>
          <w:szCs w:val="28"/>
        </w:rPr>
        <w:t>(</w:t>
      </w:r>
      <w:r>
        <w:rPr>
          <w:rFonts w:ascii="Times New Roman" w:hAnsi="Times New Roman"/>
          <w:sz w:val="28"/>
          <w:szCs w:val="28"/>
        </w:rPr>
        <w:t>n=580</w:t>
      </w:r>
      <w:r w:rsidR="00383BAA">
        <w:rPr>
          <w:rFonts w:ascii="Times New Roman" w:hAnsi="Times New Roman"/>
          <w:sz w:val="28"/>
          <w:szCs w:val="28"/>
        </w:rPr>
        <w:t>)</w:t>
      </w:r>
    </w:p>
    <w:p w:rsidR="00AD11CD" w:rsidRPr="00AD11CD" w:rsidRDefault="00AD11CD" w:rsidP="00AB12B3">
      <w:pPr>
        <w:spacing w:after="0" w:line="240" w:lineRule="auto"/>
        <w:jc w:val="both"/>
        <w:rPr>
          <w:rFonts w:ascii="Times New Roman" w:hAnsi="Times New Roman" w:cs="Times New Roman"/>
          <w:sz w:val="28"/>
          <w:szCs w:val="28"/>
          <w:lang w:val="kk-KZ"/>
        </w:rPr>
      </w:pPr>
    </w:p>
    <w:tbl>
      <w:tblPr>
        <w:tblStyle w:val="af7"/>
        <w:tblW w:w="9243" w:type="dxa"/>
        <w:tblInd w:w="108" w:type="dxa"/>
        <w:tblLayout w:type="fixed"/>
        <w:tblLook w:val="04A0" w:firstRow="1" w:lastRow="0" w:firstColumn="1" w:lastColumn="0" w:noHBand="0" w:noVBand="1"/>
      </w:tblPr>
      <w:tblGrid>
        <w:gridCol w:w="3006"/>
        <w:gridCol w:w="2693"/>
        <w:gridCol w:w="2806"/>
        <w:gridCol w:w="738"/>
      </w:tblGrid>
      <w:tr w:rsidR="00AB12B3" w:rsidTr="0014539C">
        <w:trPr>
          <w:trHeight w:val="377"/>
        </w:trPr>
        <w:tc>
          <w:tcPr>
            <w:tcW w:w="3006"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5499"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Глюкоза, ммоль/л</w:t>
            </w:r>
          </w:p>
        </w:tc>
        <w:tc>
          <w:tcPr>
            <w:tcW w:w="738"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14539C">
        <w:trPr>
          <w:trHeight w:val="379"/>
        </w:trPr>
        <w:tc>
          <w:tcPr>
            <w:tcW w:w="300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69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≤5,59</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280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&gt;5,59</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73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14539C">
        <w:trPr>
          <w:trHeight w:val="323"/>
        </w:trPr>
        <w:tc>
          <w:tcPr>
            <w:tcW w:w="300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Возраст</w:t>
            </w:r>
            <w:r w:rsidRPr="0014539C">
              <w:rPr>
                <w:rFonts w:ascii="Century" w:hAnsi="Century"/>
                <w:sz w:val="28"/>
                <w:szCs w:val="28"/>
              </w:rPr>
              <w:t>,</w:t>
            </w:r>
            <w:r>
              <w:rPr>
                <w:rFonts w:ascii="Times New Roman" w:hAnsi="Times New Roman"/>
                <w:sz w:val="28"/>
                <w:szCs w:val="28"/>
              </w:rPr>
              <w:t xml:space="preserve"> лет</w:t>
            </w:r>
          </w:p>
        </w:tc>
        <w:tc>
          <w:tcPr>
            <w:tcW w:w="2693"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46</w:t>
            </w:r>
            <w:r w:rsidRPr="0014539C">
              <w:rPr>
                <w:rFonts w:ascii="Century" w:hAnsi="Century"/>
                <w:sz w:val="28"/>
                <w:szCs w:val="28"/>
              </w:rPr>
              <w:t>±</w:t>
            </w:r>
            <w:r>
              <w:rPr>
                <w:rFonts w:ascii="Times New Roman" w:hAnsi="Times New Roman"/>
                <w:sz w:val="28"/>
                <w:szCs w:val="28"/>
              </w:rPr>
              <w:t>16 (39</w:t>
            </w:r>
            <w:r w:rsidRPr="0014539C">
              <w:rPr>
                <w:rFonts w:ascii="Century" w:hAnsi="Century"/>
                <w:sz w:val="28"/>
                <w:szCs w:val="28"/>
              </w:rPr>
              <w:t>-</w:t>
            </w:r>
            <w:r>
              <w:rPr>
                <w:rFonts w:ascii="Times New Roman" w:hAnsi="Times New Roman"/>
                <w:sz w:val="28"/>
                <w:szCs w:val="28"/>
              </w:rPr>
              <w:t>55)</w:t>
            </w:r>
          </w:p>
        </w:tc>
        <w:tc>
          <w:tcPr>
            <w:tcW w:w="2806"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46</w:t>
            </w:r>
            <w:r w:rsidRPr="0014539C">
              <w:rPr>
                <w:rFonts w:ascii="Century" w:hAnsi="Century"/>
                <w:sz w:val="28"/>
                <w:szCs w:val="28"/>
              </w:rPr>
              <w:t>±</w:t>
            </w:r>
            <w:r>
              <w:rPr>
                <w:rFonts w:ascii="Times New Roman" w:hAnsi="Times New Roman"/>
                <w:sz w:val="28"/>
                <w:szCs w:val="28"/>
              </w:rPr>
              <w:t>17 (38</w:t>
            </w:r>
            <w:r w:rsidRPr="0014539C">
              <w:rPr>
                <w:rFonts w:ascii="Century" w:hAnsi="Century"/>
                <w:sz w:val="28"/>
                <w:szCs w:val="28"/>
              </w:rPr>
              <w:t>,</w:t>
            </w:r>
            <w:r>
              <w:rPr>
                <w:rFonts w:ascii="Times New Roman" w:hAnsi="Times New Roman"/>
                <w:sz w:val="28"/>
                <w:szCs w:val="28"/>
              </w:rPr>
              <w:t>75</w:t>
            </w:r>
            <w:r w:rsidRPr="0014539C">
              <w:rPr>
                <w:rFonts w:ascii="Century" w:hAnsi="Century"/>
                <w:sz w:val="28"/>
                <w:szCs w:val="28"/>
              </w:rPr>
              <w:t>-</w:t>
            </w:r>
            <w:r>
              <w:rPr>
                <w:rFonts w:ascii="Times New Roman" w:hAnsi="Times New Roman"/>
                <w:sz w:val="28"/>
                <w:szCs w:val="28"/>
              </w:rPr>
              <w:t>56)</w:t>
            </w:r>
          </w:p>
        </w:tc>
        <w:tc>
          <w:tcPr>
            <w:tcW w:w="73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14539C">
              <w:rPr>
                <w:rFonts w:ascii="Century" w:hAnsi="Century"/>
                <w:sz w:val="28"/>
                <w:szCs w:val="28"/>
              </w:rPr>
              <w:t>,</w:t>
            </w:r>
            <w:r>
              <w:rPr>
                <w:rFonts w:ascii="Times New Roman" w:hAnsi="Times New Roman"/>
                <w:sz w:val="28"/>
                <w:szCs w:val="28"/>
              </w:rPr>
              <w:t>8</w:t>
            </w:r>
          </w:p>
        </w:tc>
      </w:tr>
      <w:tr w:rsidR="005D64C6" w:rsidTr="0014539C">
        <w:trPr>
          <w:trHeight w:val="323"/>
        </w:trPr>
        <w:tc>
          <w:tcPr>
            <w:tcW w:w="3006"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Окружность талии (см)</w:t>
            </w:r>
          </w:p>
        </w:tc>
        <w:tc>
          <w:tcPr>
            <w:tcW w:w="2693" w:type="dxa"/>
            <w:tcBorders>
              <w:top w:val="nil"/>
              <w:left w:val="single" w:sz="4" w:space="0" w:color="auto"/>
              <w:bottom w:val="single" w:sz="4" w:space="0" w:color="auto"/>
              <w:right w:val="single" w:sz="4" w:space="0" w:color="auto"/>
            </w:tcBorders>
            <w:hideMark/>
          </w:tcPr>
          <w:p w:rsidR="005D64C6" w:rsidRDefault="005D64C6" w:rsidP="003F0171">
            <w:pPr>
              <w:jc w:val="center"/>
            </w:pPr>
            <w:r>
              <w:rPr>
                <w:rFonts w:ascii="Times New Roman" w:hAnsi="Times New Roman"/>
                <w:sz w:val="28"/>
                <w:szCs w:val="28"/>
              </w:rPr>
              <w:t>96</w:t>
            </w:r>
            <w:r w:rsidRPr="0014539C">
              <w:rPr>
                <w:rFonts w:ascii="Century" w:hAnsi="Century"/>
                <w:sz w:val="28"/>
                <w:szCs w:val="28"/>
              </w:rPr>
              <w:t>±</w:t>
            </w:r>
            <w:r>
              <w:rPr>
                <w:rFonts w:ascii="Times New Roman" w:hAnsi="Times New Roman"/>
                <w:sz w:val="28"/>
                <w:szCs w:val="28"/>
              </w:rPr>
              <w:t>15 (90</w:t>
            </w:r>
            <w:r w:rsidRPr="0014539C">
              <w:rPr>
                <w:rFonts w:ascii="Century" w:hAnsi="Century"/>
                <w:sz w:val="28"/>
                <w:szCs w:val="28"/>
              </w:rPr>
              <w:t>-</w:t>
            </w:r>
            <w:r>
              <w:rPr>
                <w:rFonts w:ascii="Times New Roman" w:hAnsi="Times New Roman"/>
                <w:sz w:val="28"/>
                <w:szCs w:val="28"/>
              </w:rPr>
              <w:t>105</w:t>
            </w:r>
            <w:r w:rsidRPr="0014539C">
              <w:rPr>
                <w:rFonts w:ascii="Century" w:hAnsi="Century"/>
                <w:sz w:val="28"/>
                <w:szCs w:val="28"/>
              </w:rPr>
              <w:t>,</w:t>
            </w:r>
            <w:r>
              <w:rPr>
                <w:rFonts w:ascii="Times New Roman" w:hAnsi="Times New Roman"/>
                <w:sz w:val="28"/>
                <w:szCs w:val="28"/>
              </w:rPr>
              <w:t>2)</w:t>
            </w:r>
          </w:p>
        </w:tc>
        <w:tc>
          <w:tcPr>
            <w:tcW w:w="2806" w:type="dxa"/>
            <w:tcBorders>
              <w:top w:val="nil"/>
              <w:left w:val="single" w:sz="4" w:space="0" w:color="auto"/>
              <w:bottom w:val="single" w:sz="4" w:space="0" w:color="auto"/>
              <w:right w:val="single" w:sz="4" w:space="0" w:color="auto"/>
            </w:tcBorders>
            <w:hideMark/>
          </w:tcPr>
          <w:p w:rsidR="005D64C6" w:rsidRDefault="005D64C6" w:rsidP="003F0171">
            <w:pPr>
              <w:jc w:val="center"/>
            </w:pPr>
            <w:r>
              <w:rPr>
                <w:rFonts w:ascii="Times New Roman" w:hAnsi="Times New Roman"/>
                <w:sz w:val="28"/>
                <w:szCs w:val="28"/>
              </w:rPr>
              <w:t>95</w:t>
            </w:r>
            <w:r w:rsidRPr="0014539C">
              <w:rPr>
                <w:rFonts w:ascii="Century" w:hAnsi="Century"/>
                <w:sz w:val="28"/>
                <w:szCs w:val="28"/>
              </w:rPr>
              <w:t>,</w:t>
            </w:r>
            <w:r>
              <w:rPr>
                <w:rFonts w:ascii="Times New Roman" w:hAnsi="Times New Roman"/>
                <w:sz w:val="28"/>
                <w:szCs w:val="28"/>
              </w:rPr>
              <w:t>5</w:t>
            </w:r>
            <w:r w:rsidRPr="0014539C">
              <w:rPr>
                <w:rFonts w:ascii="Century" w:hAnsi="Century"/>
                <w:sz w:val="28"/>
                <w:szCs w:val="28"/>
              </w:rPr>
              <w:t>±</w:t>
            </w:r>
            <w:r>
              <w:rPr>
                <w:rFonts w:ascii="Times New Roman" w:hAnsi="Times New Roman"/>
                <w:sz w:val="28"/>
                <w:szCs w:val="28"/>
              </w:rPr>
              <w:t>17 (90-107</w:t>
            </w:r>
            <w:r w:rsidRPr="0014539C">
              <w:rPr>
                <w:rFonts w:ascii="Century" w:hAnsi="Century"/>
                <w:sz w:val="28"/>
                <w:szCs w:val="28"/>
              </w:rPr>
              <w:t>,</w:t>
            </w:r>
            <w:r>
              <w:rPr>
                <w:rFonts w:ascii="Times New Roman" w:hAnsi="Times New Roman"/>
                <w:sz w:val="28"/>
                <w:szCs w:val="28"/>
              </w:rPr>
              <w:t>2)</w:t>
            </w:r>
          </w:p>
        </w:tc>
        <w:tc>
          <w:tcPr>
            <w:tcW w:w="738"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0</w:t>
            </w:r>
            <w:r w:rsidRPr="0014539C">
              <w:rPr>
                <w:rFonts w:ascii="Century" w:hAnsi="Century"/>
                <w:sz w:val="28"/>
                <w:szCs w:val="28"/>
              </w:rPr>
              <w:t>,</w:t>
            </w:r>
            <w:r>
              <w:rPr>
                <w:rFonts w:ascii="Times New Roman" w:hAnsi="Times New Roman"/>
                <w:sz w:val="28"/>
                <w:szCs w:val="28"/>
              </w:rPr>
              <w:t>88</w:t>
            </w:r>
          </w:p>
        </w:tc>
      </w:tr>
      <w:tr w:rsidR="00AB12B3" w:rsidTr="0014539C">
        <w:trPr>
          <w:trHeight w:val="323"/>
        </w:trPr>
        <w:tc>
          <w:tcPr>
            <w:tcW w:w="300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ИМТ (кг</w:t>
            </w:r>
            <w:r w:rsidRPr="0014539C">
              <w:rPr>
                <w:rFonts w:ascii="Century" w:hAnsi="Century"/>
                <w:sz w:val="28"/>
                <w:szCs w:val="28"/>
              </w:rPr>
              <w:t>/</w:t>
            </w:r>
            <w:r>
              <w:rPr>
                <w:rFonts w:ascii="Times New Roman" w:hAnsi="Times New Roman"/>
                <w:sz w:val="28"/>
                <w:szCs w:val="28"/>
              </w:rPr>
              <w:t>м</w:t>
            </w:r>
            <w:r>
              <w:rPr>
                <w:rFonts w:ascii="Times New Roman" w:hAnsi="Times New Roman"/>
                <w:sz w:val="28"/>
                <w:szCs w:val="28"/>
                <w:vertAlign w:val="superscript"/>
              </w:rPr>
              <w:t>2</w:t>
            </w:r>
            <w:r>
              <w:rPr>
                <w:rFonts w:ascii="Times New Roman" w:hAnsi="Times New Roman"/>
                <w:sz w:val="28"/>
                <w:szCs w:val="28"/>
              </w:rPr>
              <w:t>)</w:t>
            </w:r>
          </w:p>
        </w:tc>
        <w:tc>
          <w:tcPr>
            <w:tcW w:w="2693"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25</w:t>
            </w:r>
            <w:r w:rsidRPr="0014539C">
              <w:rPr>
                <w:rFonts w:ascii="Century" w:hAnsi="Century"/>
                <w:sz w:val="28"/>
                <w:szCs w:val="28"/>
              </w:rPr>
              <w:t>,</w:t>
            </w:r>
            <w:r>
              <w:rPr>
                <w:rFonts w:ascii="Times New Roman" w:hAnsi="Times New Roman"/>
                <w:sz w:val="28"/>
                <w:szCs w:val="28"/>
              </w:rPr>
              <w:t>95</w:t>
            </w:r>
            <w:r w:rsidRPr="0014539C">
              <w:rPr>
                <w:rFonts w:ascii="Century" w:hAnsi="Century"/>
                <w:sz w:val="28"/>
                <w:szCs w:val="28"/>
              </w:rPr>
              <w:t>±</w:t>
            </w:r>
            <w:r>
              <w:rPr>
                <w:rFonts w:ascii="Times New Roman" w:hAnsi="Times New Roman"/>
                <w:sz w:val="28"/>
                <w:szCs w:val="28"/>
              </w:rPr>
              <w:t>5</w:t>
            </w:r>
            <w:r w:rsidRPr="0014539C">
              <w:rPr>
                <w:rFonts w:ascii="Century" w:hAnsi="Century"/>
                <w:sz w:val="28"/>
                <w:szCs w:val="28"/>
              </w:rPr>
              <w:t>,</w:t>
            </w:r>
            <w:r>
              <w:rPr>
                <w:rFonts w:ascii="Times New Roman" w:hAnsi="Times New Roman"/>
                <w:sz w:val="28"/>
                <w:szCs w:val="28"/>
              </w:rPr>
              <w:t xml:space="preserve">16 </w:t>
            </w:r>
          </w:p>
          <w:p w:rsidR="00AB12B3" w:rsidRDefault="00AB12B3">
            <w:pPr>
              <w:jc w:val="center"/>
            </w:pPr>
            <w:r>
              <w:rPr>
                <w:rFonts w:ascii="Times New Roman" w:hAnsi="Times New Roman"/>
                <w:sz w:val="28"/>
                <w:szCs w:val="28"/>
              </w:rPr>
              <w:t>(23</w:t>
            </w:r>
            <w:r w:rsidRPr="0014539C">
              <w:rPr>
                <w:rFonts w:ascii="Century" w:hAnsi="Century"/>
                <w:sz w:val="28"/>
                <w:szCs w:val="28"/>
              </w:rPr>
              <w:t>,</w:t>
            </w:r>
            <w:r>
              <w:rPr>
                <w:rFonts w:ascii="Times New Roman" w:hAnsi="Times New Roman"/>
                <w:sz w:val="28"/>
                <w:szCs w:val="28"/>
              </w:rPr>
              <w:t>53</w:t>
            </w:r>
            <w:r w:rsidRPr="0014539C">
              <w:rPr>
                <w:rFonts w:ascii="Century" w:hAnsi="Century"/>
                <w:sz w:val="28"/>
                <w:szCs w:val="28"/>
              </w:rPr>
              <w:t>-</w:t>
            </w:r>
            <w:r>
              <w:rPr>
                <w:rFonts w:ascii="Times New Roman" w:hAnsi="Times New Roman"/>
                <w:sz w:val="28"/>
                <w:szCs w:val="28"/>
              </w:rPr>
              <w:t>28</w:t>
            </w:r>
            <w:r w:rsidRPr="0014539C">
              <w:rPr>
                <w:rFonts w:ascii="Century" w:hAnsi="Century"/>
                <w:sz w:val="28"/>
                <w:szCs w:val="28"/>
              </w:rPr>
              <w:t>,</w:t>
            </w:r>
            <w:r>
              <w:rPr>
                <w:rFonts w:ascii="Times New Roman" w:hAnsi="Times New Roman"/>
                <w:sz w:val="28"/>
                <w:szCs w:val="28"/>
              </w:rPr>
              <w:t>69)</w:t>
            </w:r>
          </w:p>
        </w:tc>
        <w:tc>
          <w:tcPr>
            <w:tcW w:w="2806" w:type="dxa"/>
            <w:tcBorders>
              <w:top w:val="nil"/>
              <w:left w:val="single" w:sz="4" w:space="0" w:color="auto"/>
              <w:bottom w:val="single" w:sz="4" w:space="0" w:color="auto"/>
              <w:right w:val="single" w:sz="4" w:space="0" w:color="auto"/>
            </w:tcBorders>
            <w:hideMark/>
          </w:tcPr>
          <w:p w:rsidR="0014539C" w:rsidRDefault="00AB12B3" w:rsidP="0014539C">
            <w:pPr>
              <w:jc w:val="center"/>
              <w:rPr>
                <w:rFonts w:ascii="Times New Roman" w:hAnsi="Times New Roman"/>
                <w:sz w:val="28"/>
                <w:szCs w:val="28"/>
              </w:rPr>
            </w:pPr>
            <w:r>
              <w:rPr>
                <w:rFonts w:ascii="Times New Roman" w:hAnsi="Times New Roman"/>
                <w:sz w:val="28"/>
                <w:szCs w:val="28"/>
              </w:rPr>
              <w:t>26</w:t>
            </w:r>
            <w:r w:rsidRPr="0014539C">
              <w:rPr>
                <w:rFonts w:ascii="Century" w:hAnsi="Century"/>
                <w:sz w:val="28"/>
                <w:szCs w:val="28"/>
              </w:rPr>
              <w:t>,</w:t>
            </w:r>
            <w:r>
              <w:rPr>
                <w:rFonts w:ascii="Times New Roman" w:hAnsi="Times New Roman"/>
                <w:sz w:val="28"/>
                <w:szCs w:val="28"/>
              </w:rPr>
              <w:t>42</w:t>
            </w:r>
            <w:r w:rsidRPr="0014539C">
              <w:rPr>
                <w:rFonts w:ascii="Century" w:hAnsi="Century"/>
                <w:sz w:val="28"/>
                <w:szCs w:val="28"/>
              </w:rPr>
              <w:t>±</w:t>
            </w:r>
            <w:r>
              <w:rPr>
                <w:rFonts w:ascii="Times New Roman" w:hAnsi="Times New Roman"/>
                <w:sz w:val="28"/>
                <w:szCs w:val="28"/>
              </w:rPr>
              <w:t>6</w:t>
            </w:r>
            <w:r w:rsidRPr="0014539C">
              <w:rPr>
                <w:rFonts w:ascii="Century" w:hAnsi="Century"/>
                <w:sz w:val="28"/>
                <w:szCs w:val="28"/>
              </w:rPr>
              <w:t>,</w:t>
            </w:r>
            <w:r>
              <w:rPr>
                <w:rFonts w:ascii="Times New Roman" w:hAnsi="Times New Roman"/>
                <w:sz w:val="28"/>
                <w:szCs w:val="28"/>
              </w:rPr>
              <w:t>05</w:t>
            </w:r>
          </w:p>
          <w:p w:rsidR="00AB12B3" w:rsidRDefault="00AB12B3" w:rsidP="0014539C">
            <w:pPr>
              <w:jc w:val="center"/>
            </w:pPr>
            <w:r>
              <w:rPr>
                <w:rFonts w:ascii="Times New Roman" w:hAnsi="Times New Roman"/>
                <w:sz w:val="28"/>
                <w:szCs w:val="28"/>
              </w:rPr>
              <w:t xml:space="preserve"> (23</w:t>
            </w:r>
            <w:r w:rsidRPr="0014539C">
              <w:rPr>
                <w:rFonts w:ascii="Century" w:hAnsi="Century"/>
                <w:sz w:val="28"/>
                <w:szCs w:val="28"/>
              </w:rPr>
              <w:t>,</w:t>
            </w:r>
            <w:r>
              <w:rPr>
                <w:rFonts w:ascii="Times New Roman" w:hAnsi="Times New Roman"/>
                <w:sz w:val="28"/>
                <w:szCs w:val="28"/>
              </w:rPr>
              <w:t>03-29</w:t>
            </w:r>
            <w:r w:rsidRPr="0014539C">
              <w:rPr>
                <w:rFonts w:ascii="Century" w:hAnsi="Century"/>
                <w:sz w:val="28"/>
                <w:szCs w:val="28"/>
              </w:rPr>
              <w:t>,</w:t>
            </w:r>
            <w:r>
              <w:rPr>
                <w:rFonts w:ascii="Times New Roman" w:hAnsi="Times New Roman"/>
                <w:sz w:val="28"/>
                <w:szCs w:val="28"/>
              </w:rPr>
              <w:t>08)</w:t>
            </w:r>
          </w:p>
        </w:tc>
        <w:tc>
          <w:tcPr>
            <w:tcW w:w="73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F751CE">
              <w:rPr>
                <w:rFonts w:ascii="Century" w:hAnsi="Century"/>
                <w:sz w:val="28"/>
                <w:szCs w:val="28"/>
              </w:rPr>
              <w:t>,</w:t>
            </w:r>
            <w:r>
              <w:rPr>
                <w:rFonts w:ascii="Times New Roman" w:hAnsi="Times New Roman"/>
                <w:sz w:val="28"/>
                <w:szCs w:val="28"/>
              </w:rPr>
              <w:t>54</w:t>
            </w:r>
          </w:p>
        </w:tc>
      </w:tr>
      <w:tr w:rsidR="00AB12B3" w:rsidTr="0014539C">
        <w:trPr>
          <w:trHeight w:val="323"/>
        </w:trPr>
        <w:tc>
          <w:tcPr>
            <w:tcW w:w="300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САД (мм рт.ст.)</w:t>
            </w:r>
          </w:p>
        </w:tc>
        <w:tc>
          <w:tcPr>
            <w:tcW w:w="2693"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120</w:t>
            </w:r>
            <w:r w:rsidRPr="00F751CE">
              <w:rPr>
                <w:rFonts w:ascii="Century" w:hAnsi="Century"/>
                <w:sz w:val="28"/>
                <w:szCs w:val="28"/>
              </w:rPr>
              <w:t>±</w:t>
            </w:r>
            <w:r>
              <w:rPr>
                <w:rFonts w:ascii="Times New Roman" w:hAnsi="Times New Roman"/>
                <w:sz w:val="28"/>
                <w:szCs w:val="28"/>
              </w:rPr>
              <w:t>16 (110</w:t>
            </w:r>
            <w:r w:rsidRPr="00F751CE">
              <w:rPr>
                <w:rFonts w:ascii="Century" w:hAnsi="Century"/>
                <w:sz w:val="28"/>
                <w:szCs w:val="28"/>
              </w:rPr>
              <w:t>-</w:t>
            </w:r>
            <w:r>
              <w:rPr>
                <w:rFonts w:ascii="Times New Roman" w:hAnsi="Times New Roman"/>
                <w:sz w:val="28"/>
                <w:szCs w:val="28"/>
              </w:rPr>
              <w:t>126</w:t>
            </w:r>
            <w:r w:rsidRPr="00F751CE">
              <w:rPr>
                <w:rFonts w:ascii="Century" w:hAnsi="Century"/>
                <w:sz w:val="28"/>
                <w:szCs w:val="28"/>
              </w:rPr>
              <w:t>,</w:t>
            </w:r>
            <w:r>
              <w:rPr>
                <w:rFonts w:ascii="Times New Roman" w:hAnsi="Times New Roman"/>
                <w:sz w:val="28"/>
                <w:szCs w:val="28"/>
              </w:rPr>
              <w:t>2)</w:t>
            </w:r>
          </w:p>
        </w:tc>
        <w:tc>
          <w:tcPr>
            <w:tcW w:w="2806"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120</w:t>
            </w:r>
            <w:r w:rsidRPr="00F751CE">
              <w:rPr>
                <w:rFonts w:ascii="Century" w:hAnsi="Century"/>
                <w:sz w:val="28"/>
                <w:szCs w:val="28"/>
              </w:rPr>
              <w:t>±</w:t>
            </w:r>
            <w:r>
              <w:rPr>
                <w:rFonts w:ascii="Times New Roman" w:hAnsi="Times New Roman"/>
                <w:sz w:val="28"/>
                <w:szCs w:val="28"/>
              </w:rPr>
              <w:t>20 (110</w:t>
            </w:r>
            <w:r w:rsidRPr="00F751CE">
              <w:rPr>
                <w:rFonts w:ascii="Century" w:hAnsi="Century"/>
                <w:sz w:val="28"/>
                <w:szCs w:val="28"/>
              </w:rPr>
              <w:t>-</w:t>
            </w:r>
            <w:r>
              <w:rPr>
                <w:rFonts w:ascii="Times New Roman" w:hAnsi="Times New Roman"/>
                <w:sz w:val="28"/>
                <w:szCs w:val="28"/>
              </w:rPr>
              <w:t>130)</w:t>
            </w:r>
          </w:p>
        </w:tc>
        <w:tc>
          <w:tcPr>
            <w:tcW w:w="73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F751CE">
              <w:rPr>
                <w:rFonts w:ascii="Century" w:hAnsi="Century"/>
                <w:sz w:val="28"/>
                <w:szCs w:val="28"/>
              </w:rPr>
              <w:t>,</w:t>
            </w:r>
            <w:r>
              <w:rPr>
                <w:rFonts w:ascii="Times New Roman" w:hAnsi="Times New Roman"/>
                <w:sz w:val="28"/>
                <w:szCs w:val="28"/>
              </w:rPr>
              <w:t>27</w:t>
            </w:r>
          </w:p>
        </w:tc>
      </w:tr>
      <w:tr w:rsidR="00AB12B3" w:rsidTr="0014539C">
        <w:trPr>
          <w:trHeight w:val="323"/>
        </w:trPr>
        <w:tc>
          <w:tcPr>
            <w:tcW w:w="300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ДАД (мм рт.ст.)</w:t>
            </w:r>
          </w:p>
        </w:tc>
        <w:tc>
          <w:tcPr>
            <w:tcW w:w="2693"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80±10 (70-80)</w:t>
            </w:r>
          </w:p>
        </w:tc>
        <w:tc>
          <w:tcPr>
            <w:tcW w:w="2806"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80±20 (70-90)</w:t>
            </w:r>
          </w:p>
        </w:tc>
        <w:tc>
          <w:tcPr>
            <w:tcW w:w="73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0,19</w:t>
            </w:r>
          </w:p>
        </w:tc>
      </w:tr>
      <w:tr w:rsidR="00AB12B3" w:rsidTr="00B60573">
        <w:trPr>
          <w:trHeight w:val="442"/>
        </w:trPr>
        <w:tc>
          <w:tcPr>
            <w:tcW w:w="9243" w:type="dxa"/>
            <w:gridSpan w:val="4"/>
            <w:tcBorders>
              <w:top w:val="single" w:sz="4" w:space="0" w:color="auto"/>
              <w:left w:val="single" w:sz="4" w:space="0" w:color="auto"/>
              <w:bottom w:val="single" w:sz="4" w:space="0" w:color="auto"/>
              <w:right w:val="single" w:sz="4" w:space="0" w:color="auto"/>
            </w:tcBorders>
            <w:hideMark/>
          </w:tcPr>
          <w:p w:rsidR="009B2F35" w:rsidRDefault="00AB12B3">
            <w:pPr>
              <w:jc w:val="both"/>
              <w:rPr>
                <w:rFonts w:ascii="Times New Roman" w:hAnsi="Times New Roman"/>
                <w:szCs w:val="20"/>
              </w:rPr>
            </w:pPr>
            <w:r>
              <w:rPr>
                <w:rFonts w:ascii="Times New Roman" w:hAnsi="Times New Roman"/>
                <w:szCs w:val="20"/>
              </w:rPr>
              <w:t xml:space="preserve">Примечание </w:t>
            </w:r>
            <w:r w:rsidR="009B2F35">
              <w:rPr>
                <w:rFonts w:ascii="Times New Roman" w:hAnsi="Times New Roman"/>
                <w:szCs w:val="20"/>
              </w:rPr>
              <w:t>ИМТ</w:t>
            </w:r>
            <w:r>
              <w:rPr>
                <w:rFonts w:ascii="Times New Roman" w:hAnsi="Times New Roman"/>
                <w:szCs w:val="20"/>
              </w:rPr>
              <w:t xml:space="preserve"> </w:t>
            </w:r>
            <w:r w:rsidR="00C16F07">
              <w:rPr>
                <w:rFonts w:ascii="Times New Roman" w:hAnsi="Times New Roman"/>
                <w:szCs w:val="20"/>
              </w:rPr>
              <w:t>–</w:t>
            </w:r>
            <w:r>
              <w:rPr>
                <w:rFonts w:ascii="Times New Roman" w:hAnsi="Times New Roman"/>
                <w:szCs w:val="20"/>
              </w:rPr>
              <w:t xml:space="preserve"> </w:t>
            </w:r>
            <w:r w:rsidR="009B2F35">
              <w:rPr>
                <w:rFonts w:ascii="Times New Roman" w:hAnsi="Times New Roman"/>
                <w:szCs w:val="20"/>
              </w:rPr>
              <w:t>индекс массы тела</w:t>
            </w:r>
            <w:r>
              <w:rPr>
                <w:rFonts w:ascii="Times New Roman" w:hAnsi="Times New Roman"/>
                <w:szCs w:val="20"/>
              </w:rPr>
              <w:t xml:space="preserve">; </w:t>
            </w:r>
            <w:r w:rsidR="009B2F35">
              <w:rPr>
                <w:rFonts w:ascii="Times New Roman" w:hAnsi="Times New Roman"/>
                <w:szCs w:val="20"/>
              </w:rPr>
              <w:t>САД</w:t>
            </w:r>
            <w:r>
              <w:rPr>
                <w:rFonts w:ascii="Times New Roman" w:hAnsi="Times New Roman"/>
                <w:szCs w:val="20"/>
              </w:rPr>
              <w:t xml:space="preserve"> – </w:t>
            </w:r>
            <w:r w:rsidR="009B2F35">
              <w:rPr>
                <w:rFonts w:ascii="Times New Roman" w:hAnsi="Times New Roman"/>
                <w:szCs w:val="20"/>
              </w:rPr>
              <w:t>систолическое давление</w:t>
            </w:r>
            <w:r>
              <w:rPr>
                <w:rFonts w:ascii="Times New Roman" w:hAnsi="Times New Roman"/>
                <w:szCs w:val="20"/>
              </w:rPr>
              <w:t xml:space="preserve">; </w:t>
            </w:r>
            <w:r w:rsidR="009B2F35">
              <w:rPr>
                <w:rFonts w:ascii="Times New Roman" w:hAnsi="Times New Roman"/>
                <w:szCs w:val="20"/>
              </w:rPr>
              <w:t xml:space="preserve">ДАД </w:t>
            </w:r>
            <w:r>
              <w:rPr>
                <w:rFonts w:ascii="Times New Roman" w:hAnsi="Times New Roman"/>
                <w:szCs w:val="20"/>
              </w:rPr>
              <w:t xml:space="preserve">– </w:t>
            </w:r>
            <w:r w:rsidR="009B2F35">
              <w:rPr>
                <w:rFonts w:ascii="Times New Roman" w:hAnsi="Times New Roman"/>
                <w:szCs w:val="20"/>
              </w:rPr>
              <w:t>диастолическое давление</w:t>
            </w:r>
            <w:r>
              <w:rPr>
                <w:rFonts w:ascii="Times New Roman" w:hAnsi="Times New Roman"/>
                <w:szCs w:val="20"/>
              </w:rPr>
              <w:t xml:space="preserve">; *Критерий Манна-Уитни; </w:t>
            </w:r>
          </w:p>
          <w:p w:rsidR="00AB12B3" w:rsidRDefault="00AB12B3">
            <w:pPr>
              <w:jc w:val="both"/>
              <w:rPr>
                <w:rFonts w:ascii="Times New Roman" w:hAnsi="Times New Roman"/>
                <w:sz w:val="20"/>
                <w:szCs w:val="20"/>
              </w:rPr>
            </w:pPr>
            <w:r>
              <w:rPr>
                <w:rFonts w:ascii="Times New Roman" w:hAnsi="Times New Roman"/>
                <w:szCs w:val="20"/>
              </w:rPr>
              <w:t xml:space="preserve">Ме±IQR (Q1 – Q3) </w:t>
            </w:r>
            <w:r w:rsidR="00C16F07">
              <w:rPr>
                <w:rFonts w:ascii="Times New Roman" w:hAnsi="Times New Roman"/>
                <w:szCs w:val="20"/>
              </w:rPr>
              <w:t>–</w:t>
            </w:r>
            <w:r>
              <w:rPr>
                <w:rFonts w:ascii="Times New Roman" w:hAnsi="Times New Roman"/>
                <w:szCs w:val="20"/>
              </w:rPr>
              <w:t xml:space="preserve"> Медиана ± межквартильный диапазон (1 квартиль – 3 квартиль)</w:t>
            </w:r>
          </w:p>
        </w:tc>
      </w:tr>
    </w:tbl>
    <w:p w:rsidR="00A13EC3" w:rsidRDefault="00A13EC3" w:rsidP="00A13EC3">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jc w:val="both"/>
        <w:rPr>
          <w:rFonts w:ascii="Times New Roman" w:hAnsi="Times New Roman"/>
          <w:sz w:val="28"/>
          <w:szCs w:val="28"/>
          <w:lang w:val="kk-KZ"/>
        </w:rPr>
      </w:pPr>
      <w:r>
        <w:rPr>
          <w:rFonts w:ascii="Times New Roman" w:hAnsi="Times New Roman" w:cs="Times New Roman"/>
          <w:sz w:val="28"/>
          <w:szCs w:val="28"/>
        </w:rPr>
        <w:lastRenderedPageBreak/>
        <w:t>Таблица 3</w:t>
      </w:r>
      <w:r w:rsidR="008718C2">
        <w:rPr>
          <w:rFonts w:ascii="Times New Roman" w:hAnsi="Times New Roman" w:cs="Times New Roman"/>
          <w:sz w:val="28"/>
          <w:szCs w:val="28"/>
        </w:rPr>
        <w:t>8</w:t>
      </w:r>
      <w:r w:rsidR="00D058C8">
        <w:rPr>
          <w:rFonts w:ascii="Times New Roman" w:hAnsi="Times New Roman" w:cs="Times New Roman"/>
          <w:sz w:val="28"/>
          <w:szCs w:val="28"/>
          <w:lang w:val="kk-KZ"/>
        </w:rPr>
        <w:t xml:space="preserve"> -</w:t>
      </w:r>
      <w:r w:rsidR="00383BAA">
        <w:rPr>
          <w:rFonts w:ascii="Times New Roman" w:hAnsi="Times New Roman" w:cs="Times New Roman"/>
          <w:sz w:val="28"/>
          <w:szCs w:val="28"/>
        </w:rPr>
        <w:t xml:space="preserve"> Распределение </w:t>
      </w:r>
      <w:r>
        <w:rPr>
          <w:rFonts w:ascii="Times New Roman" w:hAnsi="Times New Roman" w:cs="Times New Roman"/>
          <w:sz w:val="28"/>
          <w:szCs w:val="28"/>
        </w:rPr>
        <w:t xml:space="preserve">факторов рисков по группам глюкозы </w:t>
      </w:r>
      <w:r w:rsidR="00383BAA">
        <w:rPr>
          <w:rFonts w:ascii="Times New Roman" w:hAnsi="Times New Roman" w:cs="Times New Roman"/>
          <w:sz w:val="28"/>
          <w:szCs w:val="28"/>
        </w:rPr>
        <w:t>(</w:t>
      </w:r>
      <w:r>
        <w:rPr>
          <w:rFonts w:ascii="Times New Roman" w:hAnsi="Times New Roman"/>
          <w:sz w:val="28"/>
          <w:szCs w:val="28"/>
        </w:rPr>
        <w:t>n=580</w:t>
      </w:r>
      <w:r w:rsidR="00383BAA">
        <w:rPr>
          <w:rFonts w:ascii="Times New Roman" w:hAnsi="Times New Roman"/>
          <w:sz w:val="28"/>
          <w:szCs w:val="28"/>
        </w:rPr>
        <w:t>)</w:t>
      </w:r>
    </w:p>
    <w:p w:rsidR="00AD11CD" w:rsidRPr="00AD11CD" w:rsidRDefault="00AD11CD" w:rsidP="00AB12B3">
      <w:pPr>
        <w:spacing w:after="0" w:line="240" w:lineRule="auto"/>
        <w:jc w:val="both"/>
        <w:rPr>
          <w:rFonts w:ascii="Times New Roman" w:hAnsi="Times New Roman"/>
          <w:sz w:val="28"/>
          <w:szCs w:val="28"/>
          <w:lang w:val="kk-KZ"/>
        </w:rPr>
      </w:pPr>
    </w:p>
    <w:tbl>
      <w:tblPr>
        <w:tblStyle w:val="af7"/>
        <w:tblW w:w="9360" w:type="dxa"/>
        <w:tblInd w:w="108" w:type="dxa"/>
        <w:tblLayout w:type="fixed"/>
        <w:tblLook w:val="04A0" w:firstRow="1" w:lastRow="0" w:firstColumn="1" w:lastColumn="0" w:noHBand="0" w:noVBand="1"/>
      </w:tblPr>
      <w:tblGrid>
        <w:gridCol w:w="1418"/>
        <w:gridCol w:w="1844"/>
        <w:gridCol w:w="1418"/>
        <w:gridCol w:w="1277"/>
        <w:gridCol w:w="2411"/>
        <w:gridCol w:w="992"/>
      </w:tblGrid>
      <w:tr w:rsidR="00AB12B3" w:rsidTr="00463ECE">
        <w:trPr>
          <w:trHeight w:val="377"/>
        </w:trPr>
        <w:tc>
          <w:tcPr>
            <w:tcW w:w="326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2695"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Глюкоза, ммоль/л</w:t>
            </w:r>
          </w:p>
        </w:tc>
        <w:tc>
          <w:tcPr>
            <w:tcW w:w="241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ОШ (95% ДИ)</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463ECE">
        <w:trPr>
          <w:trHeight w:val="379"/>
        </w:trPr>
        <w:tc>
          <w:tcPr>
            <w:tcW w:w="3262" w:type="dxa"/>
            <w:gridSpan w:val="2"/>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≤5,59 n</w:t>
            </w:r>
          </w:p>
        </w:tc>
        <w:tc>
          <w:tcPr>
            <w:tcW w:w="1277"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&gt;5,59 n</w:t>
            </w:r>
          </w:p>
        </w:tc>
        <w:tc>
          <w:tcPr>
            <w:tcW w:w="241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463ECE">
        <w:trPr>
          <w:trHeight w:val="317"/>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Пол</w:t>
            </w:r>
          </w:p>
        </w:tc>
        <w:tc>
          <w:tcPr>
            <w:tcW w:w="184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Жен</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162</w:t>
            </w:r>
          </w:p>
        </w:tc>
        <w:tc>
          <w:tcPr>
            <w:tcW w:w="127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137</w:t>
            </w:r>
          </w:p>
        </w:tc>
        <w:tc>
          <w:tcPr>
            <w:tcW w:w="241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0,48</w:t>
            </w:r>
          </w:p>
        </w:tc>
      </w:tr>
      <w:tr w:rsidR="00AB12B3" w:rsidTr="00463ECE">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Муж</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 xml:space="preserve">144 </w:t>
            </w:r>
          </w:p>
        </w:tc>
        <w:tc>
          <w:tcPr>
            <w:tcW w:w="127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137</w:t>
            </w:r>
          </w:p>
        </w:tc>
        <w:tc>
          <w:tcPr>
            <w:tcW w:w="241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1,12 (0,81-1,56)</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463ECE">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Возраст, лет</w:t>
            </w:r>
          </w:p>
        </w:tc>
        <w:tc>
          <w:tcPr>
            <w:tcW w:w="184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18 – 35</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32</w:t>
            </w:r>
          </w:p>
        </w:tc>
        <w:tc>
          <w:tcPr>
            <w:tcW w:w="1277"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40</w:t>
            </w:r>
          </w:p>
        </w:tc>
        <w:tc>
          <w:tcPr>
            <w:tcW w:w="241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0,86</w:t>
            </w:r>
          </w:p>
        </w:tc>
      </w:tr>
      <w:tr w:rsidR="00AB12B3" w:rsidTr="00463ECE">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36 – 45</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56</w:t>
            </w:r>
          </w:p>
        </w:tc>
        <w:tc>
          <w:tcPr>
            <w:tcW w:w="1277"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56</w:t>
            </w:r>
          </w:p>
        </w:tc>
        <w:tc>
          <w:tcPr>
            <w:tcW w:w="241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0,88 (0,44-1,45)</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463ECE">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46 – 55</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62</w:t>
            </w:r>
          </w:p>
        </w:tc>
        <w:tc>
          <w:tcPr>
            <w:tcW w:w="1277"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62</w:t>
            </w:r>
          </w:p>
        </w:tc>
        <w:tc>
          <w:tcPr>
            <w:tcW w:w="241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0,88 (0,44-1,43)</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463ECE">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56 – 65</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56</w:t>
            </w:r>
          </w:p>
        </w:tc>
        <w:tc>
          <w:tcPr>
            <w:tcW w:w="1277"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62</w:t>
            </w:r>
          </w:p>
        </w:tc>
        <w:tc>
          <w:tcPr>
            <w:tcW w:w="241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0,89 (0,49-1,6)</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5D64C6" w:rsidTr="003F0171">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Окружность талии (см)</w:t>
            </w:r>
          </w:p>
        </w:tc>
        <w:tc>
          <w:tcPr>
            <w:tcW w:w="1844"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муж &lt;102</w:t>
            </w:r>
          </w:p>
          <w:p w:rsidR="005D64C6" w:rsidRDefault="005D64C6" w:rsidP="003F0171">
            <w:pPr>
              <w:jc w:val="center"/>
              <w:rPr>
                <w:rFonts w:ascii="Times New Roman" w:hAnsi="Times New Roman"/>
                <w:sz w:val="28"/>
                <w:szCs w:val="28"/>
              </w:rPr>
            </w:pPr>
            <w:r>
              <w:rPr>
                <w:rFonts w:ascii="Times New Roman" w:hAnsi="Times New Roman"/>
                <w:sz w:val="28"/>
                <w:szCs w:val="28"/>
              </w:rPr>
              <w:t xml:space="preserve">жен &lt;88 </w:t>
            </w:r>
          </w:p>
        </w:tc>
        <w:tc>
          <w:tcPr>
            <w:tcW w:w="1418"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112</w:t>
            </w:r>
          </w:p>
        </w:tc>
        <w:tc>
          <w:tcPr>
            <w:tcW w:w="1277"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194</w:t>
            </w:r>
          </w:p>
        </w:tc>
        <w:tc>
          <w:tcPr>
            <w:tcW w:w="2411"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1,0</w:t>
            </w:r>
          </w:p>
        </w:tc>
        <w:tc>
          <w:tcPr>
            <w:tcW w:w="992" w:type="dxa"/>
            <w:vMerge w:val="restart"/>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0,67</w:t>
            </w:r>
          </w:p>
        </w:tc>
      </w:tr>
      <w:tr w:rsidR="005D64C6" w:rsidTr="003F0171">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rPr>
                <w:rFonts w:ascii="Times New Roman" w:hAnsi="Times New Roman"/>
                <w:sz w:val="28"/>
                <w:szCs w:val="28"/>
              </w:rPr>
            </w:pPr>
          </w:p>
        </w:tc>
        <w:tc>
          <w:tcPr>
            <w:tcW w:w="1844"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муж ≥102</w:t>
            </w:r>
          </w:p>
          <w:p w:rsidR="005D64C6" w:rsidRDefault="005D64C6" w:rsidP="003F0171">
            <w:pPr>
              <w:jc w:val="center"/>
              <w:rPr>
                <w:rFonts w:ascii="Times New Roman" w:hAnsi="Times New Roman"/>
                <w:sz w:val="28"/>
                <w:szCs w:val="28"/>
              </w:rPr>
            </w:pPr>
            <w:r>
              <w:rPr>
                <w:rFonts w:ascii="Times New Roman" w:hAnsi="Times New Roman"/>
                <w:sz w:val="28"/>
                <w:szCs w:val="28"/>
              </w:rPr>
              <w:t xml:space="preserve">жен ≥88 </w:t>
            </w:r>
          </w:p>
        </w:tc>
        <w:tc>
          <w:tcPr>
            <w:tcW w:w="1418"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105</w:t>
            </w:r>
          </w:p>
        </w:tc>
        <w:tc>
          <w:tcPr>
            <w:tcW w:w="1277"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169</w:t>
            </w:r>
          </w:p>
        </w:tc>
        <w:tc>
          <w:tcPr>
            <w:tcW w:w="2411"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0,93 (0,66-1,3)</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rPr>
                <w:rFonts w:ascii="Times New Roman" w:hAnsi="Times New Roman"/>
                <w:sz w:val="28"/>
                <w:szCs w:val="28"/>
              </w:rPr>
            </w:pPr>
          </w:p>
        </w:tc>
      </w:tr>
      <w:tr w:rsidR="00AB12B3" w:rsidTr="00463ECE">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ИМТ (кг/м</w:t>
            </w:r>
            <w:r>
              <w:rPr>
                <w:rFonts w:ascii="Times New Roman" w:hAnsi="Times New Roman"/>
                <w:sz w:val="28"/>
                <w:szCs w:val="28"/>
                <w:vertAlign w:val="superscript"/>
              </w:rPr>
              <w:t>2</w:t>
            </w:r>
            <w:r>
              <w:rPr>
                <w:rFonts w:ascii="Times New Roman" w:hAnsi="Times New Roman"/>
                <w:sz w:val="28"/>
                <w:szCs w:val="28"/>
              </w:rPr>
              <w:t>)</w:t>
            </w:r>
          </w:p>
        </w:tc>
        <w:tc>
          <w:tcPr>
            <w:tcW w:w="184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НВ</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128</w:t>
            </w:r>
          </w:p>
        </w:tc>
        <w:tc>
          <w:tcPr>
            <w:tcW w:w="1277"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104</w:t>
            </w:r>
          </w:p>
        </w:tc>
        <w:tc>
          <w:tcPr>
            <w:tcW w:w="241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0,55</w:t>
            </w:r>
          </w:p>
        </w:tc>
      </w:tr>
      <w:tr w:rsidR="00AB12B3" w:rsidTr="00463ECE">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4"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ИВ</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123</w:t>
            </w:r>
          </w:p>
        </w:tc>
        <w:tc>
          <w:tcPr>
            <w:tcW w:w="1277"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122</w:t>
            </w:r>
          </w:p>
        </w:tc>
        <w:tc>
          <w:tcPr>
            <w:tcW w:w="241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1,22 (0,85-1,75)</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463ECE">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4"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Ож</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55</w:t>
            </w:r>
          </w:p>
        </w:tc>
        <w:tc>
          <w:tcPr>
            <w:tcW w:w="1277"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48</w:t>
            </w:r>
          </w:p>
        </w:tc>
        <w:tc>
          <w:tcPr>
            <w:tcW w:w="241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1,07 (0,67-1,71)</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463ECE">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Статус курения</w:t>
            </w:r>
          </w:p>
        </w:tc>
        <w:tc>
          <w:tcPr>
            <w:tcW w:w="1844"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Не курит</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216</w:t>
            </w:r>
          </w:p>
        </w:tc>
        <w:tc>
          <w:tcPr>
            <w:tcW w:w="1277"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174</w:t>
            </w:r>
          </w:p>
        </w:tc>
        <w:tc>
          <w:tcPr>
            <w:tcW w:w="241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0,18</w:t>
            </w:r>
          </w:p>
        </w:tc>
      </w:tr>
      <w:tr w:rsidR="00AB12B3" w:rsidTr="00463ECE">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Курит</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77</w:t>
            </w:r>
          </w:p>
        </w:tc>
        <w:tc>
          <w:tcPr>
            <w:tcW w:w="1277"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84</w:t>
            </w:r>
          </w:p>
        </w:tc>
        <w:tc>
          <w:tcPr>
            <w:tcW w:w="241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1,35 (0,94-1,96)</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463ECE">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844"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Бросил</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13</w:t>
            </w:r>
          </w:p>
        </w:tc>
        <w:tc>
          <w:tcPr>
            <w:tcW w:w="1277"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16</w:t>
            </w:r>
          </w:p>
        </w:tc>
        <w:tc>
          <w:tcPr>
            <w:tcW w:w="241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1,53 (0,72-3,26)</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463ECE">
        <w:trPr>
          <w:trHeight w:val="442"/>
        </w:trPr>
        <w:tc>
          <w:tcPr>
            <w:tcW w:w="9360" w:type="dxa"/>
            <w:gridSpan w:val="6"/>
            <w:tcBorders>
              <w:top w:val="single" w:sz="4" w:space="0" w:color="auto"/>
              <w:left w:val="single" w:sz="4" w:space="0" w:color="auto"/>
              <w:bottom w:val="single" w:sz="4" w:space="0" w:color="auto"/>
              <w:right w:val="single" w:sz="4" w:space="0" w:color="auto"/>
            </w:tcBorders>
            <w:hideMark/>
          </w:tcPr>
          <w:p w:rsidR="00AD1011" w:rsidRDefault="00AB12B3">
            <w:pPr>
              <w:jc w:val="both"/>
              <w:rPr>
                <w:rFonts w:ascii="Times New Roman" w:hAnsi="Times New Roman"/>
                <w:szCs w:val="20"/>
              </w:rPr>
            </w:pPr>
            <w:r>
              <w:rPr>
                <w:rFonts w:ascii="Times New Roman" w:hAnsi="Times New Roman"/>
                <w:szCs w:val="24"/>
              </w:rPr>
              <w:t xml:space="preserve">Примечание </w:t>
            </w:r>
            <w:r w:rsidR="009B2F35">
              <w:rPr>
                <w:rFonts w:ascii="Times New Roman" w:hAnsi="Times New Roman"/>
                <w:szCs w:val="20"/>
              </w:rPr>
              <w:t xml:space="preserve">НВ – нормальный вес; ИВ – избыточный вес; Ож – ожирение; </w:t>
            </w:r>
          </w:p>
          <w:p w:rsidR="00AB12B3" w:rsidRDefault="00AB12B3">
            <w:pPr>
              <w:jc w:val="both"/>
              <w:rPr>
                <w:rFonts w:ascii="Times New Roman" w:hAnsi="Times New Roman"/>
                <w:sz w:val="20"/>
                <w:szCs w:val="20"/>
              </w:rPr>
            </w:pPr>
            <w:r>
              <w:rPr>
                <w:rFonts w:ascii="Times New Roman" w:hAnsi="Times New Roman"/>
                <w:szCs w:val="24"/>
              </w:rPr>
              <w:t>* - χ</w:t>
            </w:r>
            <w:r>
              <w:rPr>
                <w:rFonts w:ascii="Times New Roman" w:hAnsi="Times New Roman"/>
                <w:szCs w:val="24"/>
                <w:vertAlign w:val="superscript"/>
              </w:rPr>
              <w:t>2</w:t>
            </w:r>
            <w:r>
              <w:rPr>
                <w:rFonts w:ascii="Times New Roman" w:hAnsi="Times New Roman"/>
                <w:szCs w:val="24"/>
              </w:rPr>
              <w:t xml:space="preserve"> – хи квадрат Пирсона; ОШ (95% ДИ) – Отношение шансов (95% Доверительный интервал)</w:t>
            </w:r>
          </w:p>
        </w:tc>
      </w:tr>
    </w:tbl>
    <w:p w:rsidR="0014539C" w:rsidRDefault="0014539C" w:rsidP="0014539C">
      <w:pPr>
        <w:spacing w:after="0" w:line="240" w:lineRule="auto"/>
        <w:ind w:firstLine="708"/>
        <w:jc w:val="both"/>
        <w:rPr>
          <w:rFonts w:ascii="Times New Roman" w:hAnsi="Times New Roman" w:cs="Times New Roman"/>
          <w:sz w:val="28"/>
          <w:szCs w:val="28"/>
        </w:rPr>
      </w:pPr>
    </w:p>
    <w:p w:rsidR="00A13EC3" w:rsidRDefault="00A13EC3" w:rsidP="00A13EC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Таблица 39 </w:t>
      </w:r>
      <w:r>
        <w:rPr>
          <w:rFonts w:ascii="Times New Roman" w:hAnsi="Times New Roman" w:cs="Times New Roman"/>
          <w:sz w:val="28"/>
          <w:szCs w:val="28"/>
          <w:lang w:val="kk-KZ"/>
        </w:rPr>
        <w:t xml:space="preserve">- </w:t>
      </w:r>
      <w:r>
        <w:rPr>
          <w:rFonts w:ascii="Times New Roman" w:hAnsi="Times New Roman" w:cs="Times New Roman"/>
          <w:sz w:val="28"/>
          <w:szCs w:val="28"/>
        </w:rPr>
        <w:t>Распределение средних величин биохимических показателей по группам глюкозы</w:t>
      </w:r>
    </w:p>
    <w:p w:rsidR="00AD11CD" w:rsidRPr="00AD11CD" w:rsidRDefault="00AD11CD" w:rsidP="00A13EC3">
      <w:pPr>
        <w:spacing w:after="0" w:line="240" w:lineRule="auto"/>
        <w:jc w:val="both"/>
        <w:rPr>
          <w:rFonts w:ascii="Times New Roman" w:hAnsi="Times New Roman"/>
          <w:sz w:val="28"/>
          <w:szCs w:val="28"/>
          <w:lang w:val="kk-KZ"/>
        </w:rPr>
      </w:pPr>
    </w:p>
    <w:tbl>
      <w:tblPr>
        <w:tblStyle w:val="af7"/>
        <w:tblW w:w="9360" w:type="dxa"/>
        <w:tblInd w:w="108" w:type="dxa"/>
        <w:tblLayout w:type="fixed"/>
        <w:tblLook w:val="04A0" w:firstRow="1" w:lastRow="0" w:firstColumn="1" w:lastColumn="0" w:noHBand="0" w:noVBand="1"/>
      </w:tblPr>
      <w:tblGrid>
        <w:gridCol w:w="2979"/>
        <w:gridCol w:w="2694"/>
        <w:gridCol w:w="2832"/>
        <w:gridCol w:w="855"/>
      </w:tblGrid>
      <w:tr w:rsidR="00A13EC3" w:rsidTr="00F751CE">
        <w:trPr>
          <w:trHeight w:val="377"/>
        </w:trPr>
        <w:tc>
          <w:tcPr>
            <w:tcW w:w="2979" w:type="dxa"/>
            <w:vMerge w:val="restart"/>
            <w:tcBorders>
              <w:top w:val="single" w:sz="4" w:space="0" w:color="auto"/>
              <w:left w:val="single" w:sz="4" w:space="0" w:color="auto"/>
              <w:bottom w:val="single" w:sz="4" w:space="0" w:color="auto"/>
              <w:right w:val="single" w:sz="4" w:space="0" w:color="auto"/>
            </w:tcBorders>
            <w:vAlign w:val="center"/>
            <w:hideMark/>
          </w:tcPr>
          <w:p w:rsidR="00A13EC3" w:rsidRDefault="00A13EC3" w:rsidP="004D61AE">
            <w:pPr>
              <w:jc w:val="center"/>
              <w:rPr>
                <w:rFonts w:ascii="Times New Roman" w:hAnsi="Times New Roman"/>
                <w:sz w:val="28"/>
                <w:szCs w:val="28"/>
              </w:rPr>
            </w:pPr>
            <w:r>
              <w:rPr>
                <w:rFonts w:ascii="Times New Roman" w:hAnsi="Times New Roman"/>
                <w:sz w:val="28"/>
                <w:szCs w:val="28"/>
              </w:rPr>
              <w:t>Параметры</w:t>
            </w:r>
          </w:p>
        </w:tc>
        <w:tc>
          <w:tcPr>
            <w:tcW w:w="5526" w:type="dxa"/>
            <w:gridSpan w:val="2"/>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rPr>
                <w:rFonts w:ascii="Times New Roman" w:hAnsi="Times New Roman"/>
                <w:sz w:val="28"/>
                <w:szCs w:val="28"/>
              </w:rPr>
            </w:pPr>
            <w:r>
              <w:rPr>
                <w:rFonts w:ascii="Times New Roman" w:hAnsi="Times New Roman"/>
                <w:sz w:val="28"/>
                <w:szCs w:val="28"/>
              </w:rPr>
              <w:t>Глюкоза, ммоль/л</w:t>
            </w:r>
          </w:p>
        </w:tc>
        <w:tc>
          <w:tcPr>
            <w:tcW w:w="855" w:type="dxa"/>
            <w:vMerge w:val="restart"/>
            <w:tcBorders>
              <w:top w:val="single" w:sz="4" w:space="0" w:color="auto"/>
              <w:left w:val="single" w:sz="4" w:space="0" w:color="auto"/>
              <w:bottom w:val="single" w:sz="4" w:space="0" w:color="auto"/>
              <w:right w:val="single" w:sz="4" w:space="0" w:color="auto"/>
            </w:tcBorders>
            <w:vAlign w:val="center"/>
            <w:hideMark/>
          </w:tcPr>
          <w:p w:rsidR="00A13EC3" w:rsidRDefault="00A13EC3" w:rsidP="004D61AE">
            <w:pPr>
              <w:jc w:val="center"/>
              <w:rPr>
                <w:rFonts w:ascii="Times New Roman" w:hAnsi="Times New Roman"/>
                <w:sz w:val="28"/>
                <w:szCs w:val="28"/>
              </w:rPr>
            </w:pPr>
            <w:r>
              <w:rPr>
                <w:rFonts w:ascii="Times New Roman" w:hAnsi="Times New Roman"/>
                <w:sz w:val="28"/>
                <w:szCs w:val="28"/>
              </w:rPr>
              <w:t>p*</w:t>
            </w:r>
          </w:p>
        </w:tc>
      </w:tr>
      <w:tr w:rsidR="00A13EC3" w:rsidTr="00F751CE">
        <w:trPr>
          <w:trHeight w:val="379"/>
        </w:trPr>
        <w:tc>
          <w:tcPr>
            <w:tcW w:w="2979" w:type="dxa"/>
            <w:vMerge/>
            <w:tcBorders>
              <w:top w:val="single" w:sz="4" w:space="0" w:color="auto"/>
              <w:left w:val="single" w:sz="4" w:space="0" w:color="auto"/>
              <w:bottom w:val="single" w:sz="4" w:space="0" w:color="auto"/>
              <w:right w:val="single" w:sz="4" w:space="0" w:color="auto"/>
            </w:tcBorders>
            <w:vAlign w:val="center"/>
            <w:hideMark/>
          </w:tcPr>
          <w:p w:rsidR="00A13EC3" w:rsidRDefault="00A13EC3" w:rsidP="004D61AE">
            <w:pPr>
              <w:rPr>
                <w:rFonts w:ascii="Times New Roman" w:hAnsi="Times New Roman"/>
                <w:sz w:val="28"/>
                <w:szCs w:val="28"/>
              </w:rPr>
            </w:pPr>
          </w:p>
        </w:tc>
        <w:tc>
          <w:tcPr>
            <w:tcW w:w="2694"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rPr>
                <w:rFonts w:ascii="Times New Roman" w:hAnsi="Times New Roman"/>
                <w:sz w:val="28"/>
                <w:szCs w:val="28"/>
              </w:rPr>
            </w:pPr>
            <w:r>
              <w:rPr>
                <w:rFonts w:ascii="Times New Roman" w:hAnsi="Times New Roman"/>
                <w:sz w:val="28"/>
                <w:szCs w:val="28"/>
              </w:rPr>
              <w:t>≤5,59</w:t>
            </w:r>
          </w:p>
          <w:p w:rsidR="00A13EC3" w:rsidRDefault="00A13EC3" w:rsidP="004D61AE">
            <w:pPr>
              <w:jc w:val="center"/>
              <w:rPr>
                <w:rFonts w:ascii="Times New Roman" w:hAnsi="Times New Roman"/>
                <w:sz w:val="28"/>
                <w:szCs w:val="28"/>
              </w:rPr>
            </w:pPr>
            <w:r>
              <w:rPr>
                <w:rFonts w:ascii="Times New Roman" w:hAnsi="Times New Roman"/>
                <w:sz w:val="28"/>
                <w:szCs w:val="28"/>
              </w:rPr>
              <w:t>Ме±IQR (Q1–Q3)</w:t>
            </w:r>
          </w:p>
        </w:tc>
        <w:tc>
          <w:tcPr>
            <w:tcW w:w="2832" w:type="dxa"/>
            <w:tcBorders>
              <w:top w:val="single" w:sz="4" w:space="0" w:color="auto"/>
              <w:left w:val="single" w:sz="4" w:space="0" w:color="auto"/>
              <w:bottom w:val="single" w:sz="4" w:space="0" w:color="auto"/>
              <w:right w:val="single" w:sz="4" w:space="0" w:color="auto"/>
            </w:tcBorders>
            <w:vAlign w:val="center"/>
            <w:hideMark/>
          </w:tcPr>
          <w:p w:rsidR="00A13EC3" w:rsidRDefault="00A13EC3" w:rsidP="004D61AE">
            <w:pPr>
              <w:jc w:val="center"/>
              <w:rPr>
                <w:rFonts w:ascii="Times New Roman" w:hAnsi="Times New Roman"/>
                <w:sz w:val="28"/>
                <w:szCs w:val="28"/>
              </w:rPr>
            </w:pPr>
            <w:r>
              <w:rPr>
                <w:rFonts w:ascii="Times New Roman" w:hAnsi="Times New Roman"/>
                <w:sz w:val="28"/>
                <w:szCs w:val="28"/>
              </w:rPr>
              <w:t>&gt;5,59</w:t>
            </w:r>
          </w:p>
          <w:p w:rsidR="00A13EC3" w:rsidRDefault="00A13EC3" w:rsidP="004D61AE">
            <w:pPr>
              <w:jc w:val="center"/>
              <w:rPr>
                <w:rFonts w:ascii="Times New Roman" w:hAnsi="Times New Roman"/>
                <w:sz w:val="28"/>
                <w:szCs w:val="28"/>
              </w:rPr>
            </w:pPr>
            <w:r>
              <w:rPr>
                <w:rFonts w:ascii="Times New Roman" w:hAnsi="Times New Roman"/>
                <w:sz w:val="28"/>
                <w:szCs w:val="28"/>
              </w:rPr>
              <w:t>Ме±IQR (Q1–Q3)</w:t>
            </w:r>
          </w:p>
        </w:tc>
        <w:tc>
          <w:tcPr>
            <w:tcW w:w="855" w:type="dxa"/>
            <w:vMerge/>
            <w:tcBorders>
              <w:top w:val="single" w:sz="4" w:space="0" w:color="auto"/>
              <w:left w:val="single" w:sz="4" w:space="0" w:color="auto"/>
              <w:bottom w:val="single" w:sz="4" w:space="0" w:color="auto"/>
              <w:right w:val="single" w:sz="4" w:space="0" w:color="auto"/>
            </w:tcBorders>
            <w:vAlign w:val="center"/>
            <w:hideMark/>
          </w:tcPr>
          <w:p w:rsidR="00A13EC3" w:rsidRDefault="00A13EC3" w:rsidP="004D61AE">
            <w:pPr>
              <w:rPr>
                <w:rFonts w:ascii="Times New Roman" w:hAnsi="Times New Roman"/>
                <w:sz w:val="28"/>
                <w:szCs w:val="28"/>
              </w:rPr>
            </w:pPr>
          </w:p>
        </w:tc>
      </w:tr>
      <w:tr w:rsidR="00A13EC3" w:rsidTr="00F751CE">
        <w:trPr>
          <w:trHeight w:val="323"/>
        </w:trPr>
        <w:tc>
          <w:tcPr>
            <w:tcW w:w="2979" w:type="dxa"/>
            <w:tcBorders>
              <w:top w:val="single" w:sz="4" w:space="0" w:color="auto"/>
              <w:left w:val="single" w:sz="4" w:space="0" w:color="auto"/>
              <w:bottom w:val="single" w:sz="4" w:space="0" w:color="auto"/>
              <w:right w:val="single" w:sz="4" w:space="0" w:color="auto"/>
            </w:tcBorders>
            <w:vAlign w:val="center"/>
            <w:hideMark/>
          </w:tcPr>
          <w:p w:rsidR="00A13EC3" w:rsidRDefault="00A13EC3" w:rsidP="004D61AE">
            <w:pPr>
              <w:jc w:val="center"/>
              <w:rPr>
                <w:rFonts w:ascii="Times New Roman" w:hAnsi="Times New Roman"/>
                <w:sz w:val="28"/>
                <w:szCs w:val="28"/>
              </w:rPr>
            </w:pPr>
            <w:r>
              <w:rPr>
                <w:rFonts w:ascii="Times New Roman" w:hAnsi="Times New Roman"/>
                <w:sz w:val="28"/>
                <w:szCs w:val="28"/>
              </w:rPr>
              <w:t>ОХС, ммоль/л, n=580</w:t>
            </w:r>
          </w:p>
        </w:tc>
        <w:tc>
          <w:tcPr>
            <w:tcW w:w="2694"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pPr>
            <w:r>
              <w:rPr>
                <w:rFonts w:ascii="Times New Roman" w:hAnsi="Times New Roman"/>
                <w:sz w:val="28"/>
                <w:szCs w:val="28"/>
              </w:rPr>
              <w:t>3,59±1,97 (2,61-4,58)</w:t>
            </w:r>
          </w:p>
        </w:tc>
        <w:tc>
          <w:tcPr>
            <w:tcW w:w="2832"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pPr>
            <w:r>
              <w:rPr>
                <w:rFonts w:ascii="Times New Roman" w:hAnsi="Times New Roman"/>
                <w:sz w:val="28"/>
                <w:szCs w:val="28"/>
              </w:rPr>
              <w:t>3,7±1,99 (2,73-4,71)</w:t>
            </w:r>
          </w:p>
        </w:tc>
        <w:tc>
          <w:tcPr>
            <w:tcW w:w="855"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rPr>
                <w:rFonts w:ascii="Times New Roman" w:hAnsi="Times New Roman"/>
                <w:sz w:val="28"/>
                <w:szCs w:val="28"/>
              </w:rPr>
            </w:pPr>
            <w:r>
              <w:rPr>
                <w:rFonts w:ascii="Times New Roman" w:hAnsi="Times New Roman"/>
                <w:sz w:val="28"/>
                <w:szCs w:val="28"/>
              </w:rPr>
              <w:t>0,41</w:t>
            </w:r>
          </w:p>
        </w:tc>
      </w:tr>
      <w:tr w:rsidR="00A13EC3" w:rsidTr="00F751CE">
        <w:trPr>
          <w:trHeight w:val="323"/>
        </w:trPr>
        <w:tc>
          <w:tcPr>
            <w:tcW w:w="2979" w:type="dxa"/>
            <w:tcBorders>
              <w:top w:val="single" w:sz="4" w:space="0" w:color="auto"/>
              <w:left w:val="single" w:sz="4" w:space="0" w:color="auto"/>
              <w:bottom w:val="single" w:sz="4" w:space="0" w:color="auto"/>
              <w:right w:val="single" w:sz="4" w:space="0" w:color="auto"/>
            </w:tcBorders>
            <w:vAlign w:val="center"/>
            <w:hideMark/>
          </w:tcPr>
          <w:p w:rsidR="00A13EC3" w:rsidRDefault="00A13EC3" w:rsidP="004D61AE">
            <w:pPr>
              <w:jc w:val="center"/>
              <w:rPr>
                <w:rFonts w:ascii="Times New Roman" w:hAnsi="Times New Roman"/>
                <w:sz w:val="28"/>
                <w:szCs w:val="28"/>
              </w:rPr>
            </w:pPr>
            <w:r>
              <w:rPr>
                <w:rFonts w:ascii="Times New Roman" w:hAnsi="Times New Roman"/>
                <w:sz w:val="28"/>
                <w:szCs w:val="28"/>
              </w:rPr>
              <w:t>ТГ, ммоль/л, n=580</w:t>
            </w:r>
          </w:p>
        </w:tc>
        <w:tc>
          <w:tcPr>
            <w:tcW w:w="2694"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pPr>
            <w:r>
              <w:rPr>
                <w:rFonts w:ascii="Times New Roman" w:hAnsi="Times New Roman"/>
                <w:sz w:val="28"/>
                <w:szCs w:val="28"/>
              </w:rPr>
              <w:t>1,17±0,82 (0,83-1,65)</w:t>
            </w:r>
          </w:p>
        </w:tc>
        <w:tc>
          <w:tcPr>
            <w:tcW w:w="2832"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pPr>
            <w:r>
              <w:rPr>
                <w:rFonts w:ascii="Times New Roman" w:hAnsi="Times New Roman"/>
                <w:sz w:val="28"/>
                <w:szCs w:val="28"/>
              </w:rPr>
              <w:t>1,3±0,94 (0,91-1,85)</w:t>
            </w:r>
          </w:p>
        </w:tc>
        <w:tc>
          <w:tcPr>
            <w:tcW w:w="855"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rPr>
                <w:rFonts w:ascii="Times New Roman" w:hAnsi="Times New Roman"/>
                <w:sz w:val="28"/>
                <w:szCs w:val="28"/>
              </w:rPr>
            </w:pPr>
            <w:r>
              <w:rPr>
                <w:rFonts w:ascii="Times New Roman" w:hAnsi="Times New Roman"/>
                <w:sz w:val="28"/>
                <w:szCs w:val="28"/>
              </w:rPr>
              <w:t>0,03</w:t>
            </w:r>
          </w:p>
        </w:tc>
      </w:tr>
      <w:tr w:rsidR="00A13EC3" w:rsidTr="00F751CE">
        <w:trPr>
          <w:trHeight w:val="323"/>
        </w:trPr>
        <w:tc>
          <w:tcPr>
            <w:tcW w:w="2979" w:type="dxa"/>
            <w:tcBorders>
              <w:top w:val="single" w:sz="4" w:space="0" w:color="auto"/>
              <w:left w:val="single" w:sz="4" w:space="0" w:color="auto"/>
              <w:bottom w:val="single" w:sz="4" w:space="0" w:color="auto"/>
              <w:right w:val="single" w:sz="4" w:space="0" w:color="auto"/>
            </w:tcBorders>
            <w:vAlign w:val="center"/>
            <w:hideMark/>
          </w:tcPr>
          <w:p w:rsidR="00A13EC3" w:rsidRDefault="00A13EC3" w:rsidP="004D61AE">
            <w:pPr>
              <w:jc w:val="center"/>
              <w:rPr>
                <w:rFonts w:ascii="Times New Roman" w:hAnsi="Times New Roman"/>
                <w:sz w:val="28"/>
                <w:szCs w:val="28"/>
              </w:rPr>
            </w:pPr>
            <w:r>
              <w:rPr>
                <w:rFonts w:ascii="Times New Roman" w:hAnsi="Times New Roman"/>
                <w:sz w:val="28"/>
                <w:szCs w:val="28"/>
              </w:rPr>
              <w:t>ЛПНП, ммоль/л, n=580</w:t>
            </w:r>
          </w:p>
        </w:tc>
        <w:tc>
          <w:tcPr>
            <w:tcW w:w="2694"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pPr>
            <w:r>
              <w:rPr>
                <w:rFonts w:ascii="Times New Roman" w:hAnsi="Times New Roman"/>
                <w:sz w:val="28"/>
                <w:szCs w:val="28"/>
              </w:rPr>
              <w:t>1,88±1,18 (1,42-2,6)</w:t>
            </w:r>
          </w:p>
        </w:tc>
        <w:tc>
          <w:tcPr>
            <w:tcW w:w="2832"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pPr>
            <w:r>
              <w:rPr>
                <w:rFonts w:ascii="Times New Roman" w:hAnsi="Times New Roman"/>
                <w:sz w:val="28"/>
                <w:szCs w:val="28"/>
              </w:rPr>
              <w:t>1,89±1,16 (1,41-2,57)</w:t>
            </w:r>
          </w:p>
        </w:tc>
        <w:tc>
          <w:tcPr>
            <w:tcW w:w="855"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rPr>
                <w:rFonts w:ascii="Times New Roman" w:hAnsi="Times New Roman"/>
                <w:sz w:val="28"/>
                <w:szCs w:val="28"/>
              </w:rPr>
            </w:pPr>
            <w:r>
              <w:rPr>
                <w:rFonts w:ascii="Times New Roman" w:hAnsi="Times New Roman"/>
                <w:sz w:val="28"/>
                <w:szCs w:val="28"/>
              </w:rPr>
              <w:t>0,85</w:t>
            </w:r>
          </w:p>
        </w:tc>
      </w:tr>
      <w:tr w:rsidR="00A13EC3" w:rsidTr="00F751CE">
        <w:trPr>
          <w:trHeight w:val="323"/>
        </w:trPr>
        <w:tc>
          <w:tcPr>
            <w:tcW w:w="2979" w:type="dxa"/>
            <w:tcBorders>
              <w:top w:val="single" w:sz="4" w:space="0" w:color="auto"/>
              <w:left w:val="single" w:sz="4" w:space="0" w:color="auto"/>
              <w:bottom w:val="single" w:sz="4" w:space="0" w:color="auto"/>
              <w:right w:val="single" w:sz="4" w:space="0" w:color="auto"/>
            </w:tcBorders>
            <w:vAlign w:val="center"/>
            <w:hideMark/>
          </w:tcPr>
          <w:p w:rsidR="00A13EC3" w:rsidRDefault="00A13EC3" w:rsidP="004D61AE">
            <w:pPr>
              <w:jc w:val="center"/>
              <w:rPr>
                <w:rFonts w:ascii="Times New Roman" w:hAnsi="Times New Roman"/>
                <w:sz w:val="28"/>
                <w:szCs w:val="28"/>
              </w:rPr>
            </w:pPr>
            <w:r>
              <w:rPr>
                <w:rFonts w:ascii="Times New Roman" w:hAnsi="Times New Roman"/>
                <w:sz w:val="28"/>
                <w:szCs w:val="28"/>
              </w:rPr>
              <w:t>ЛПВП, ммоль/л, n=580</w:t>
            </w:r>
          </w:p>
        </w:tc>
        <w:tc>
          <w:tcPr>
            <w:tcW w:w="2694"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pPr>
            <w:r>
              <w:rPr>
                <w:rFonts w:ascii="Times New Roman" w:hAnsi="Times New Roman"/>
                <w:sz w:val="28"/>
                <w:szCs w:val="28"/>
              </w:rPr>
              <w:t>0,93±0,8 (0,7-1,5)</w:t>
            </w:r>
          </w:p>
        </w:tc>
        <w:tc>
          <w:tcPr>
            <w:tcW w:w="2832"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pPr>
            <w:r>
              <w:rPr>
                <w:rFonts w:ascii="Times New Roman" w:hAnsi="Times New Roman"/>
                <w:sz w:val="28"/>
                <w:szCs w:val="28"/>
              </w:rPr>
              <w:t>0,96±0,78 (0,74-1,52)</w:t>
            </w:r>
          </w:p>
        </w:tc>
        <w:tc>
          <w:tcPr>
            <w:tcW w:w="855"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rPr>
                <w:rFonts w:ascii="Times New Roman" w:hAnsi="Times New Roman"/>
                <w:sz w:val="28"/>
                <w:szCs w:val="28"/>
              </w:rPr>
            </w:pPr>
            <w:r>
              <w:rPr>
                <w:rFonts w:ascii="Times New Roman" w:hAnsi="Times New Roman"/>
                <w:sz w:val="28"/>
                <w:szCs w:val="28"/>
              </w:rPr>
              <w:t>0,19</w:t>
            </w:r>
          </w:p>
        </w:tc>
      </w:tr>
      <w:tr w:rsidR="00A13EC3" w:rsidTr="00F751CE">
        <w:trPr>
          <w:trHeight w:val="323"/>
        </w:trPr>
        <w:tc>
          <w:tcPr>
            <w:tcW w:w="2979" w:type="dxa"/>
            <w:tcBorders>
              <w:top w:val="single" w:sz="4" w:space="0" w:color="auto"/>
              <w:left w:val="single" w:sz="4" w:space="0" w:color="auto"/>
              <w:bottom w:val="single" w:sz="4" w:space="0" w:color="auto"/>
              <w:right w:val="single" w:sz="4" w:space="0" w:color="auto"/>
            </w:tcBorders>
            <w:vAlign w:val="center"/>
            <w:hideMark/>
          </w:tcPr>
          <w:p w:rsidR="00A13EC3" w:rsidRDefault="00A13EC3" w:rsidP="004D61AE">
            <w:pPr>
              <w:jc w:val="center"/>
              <w:rPr>
                <w:rFonts w:ascii="Times New Roman" w:hAnsi="Times New Roman"/>
                <w:sz w:val="28"/>
                <w:szCs w:val="28"/>
              </w:rPr>
            </w:pPr>
            <w:r>
              <w:rPr>
                <w:rFonts w:ascii="Times New Roman" w:hAnsi="Times New Roman"/>
                <w:sz w:val="28"/>
                <w:szCs w:val="28"/>
              </w:rPr>
              <w:t>апоВ, г/л, n=507</w:t>
            </w:r>
          </w:p>
        </w:tc>
        <w:tc>
          <w:tcPr>
            <w:tcW w:w="2694"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pPr>
            <w:r>
              <w:rPr>
                <w:rFonts w:ascii="Times New Roman" w:hAnsi="Times New Roman"/>
                <w:sz w:val="28"/>
                <w:szCs w:val="28"/>
              </w:rPr>
              <w:t>0,96±0,39 (0,76-1,15)</w:t>
            </w:r>
          </w:p>
        </w:tc>
        <w:tc>
          <w:tcPr>
            <w:tcW w:w="2832"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pPr>
            <w:r>
              <w:rPr>
                <w:rFonts w:ascii="Times New Roman" w:hAnsi="Times New Roman"/>
                <w:sz w:val="28"/>
                <w:szCs w:val="28"/>
              </w:rPr>
              <w:t>0,99±0,37 (0,82-1,19)</w:t>
            </w:r>
          </w:p>
        </w:tc>
        <w:tc>
          <w:tcPr>
            <w:tcW w:w="855"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rPr>
                <w:rFonts w:ascii="Times New Roman" w:hAnsi="Times New Roman"/>
                <w:sz w:val="28"/>
                <w:szCs w:val="28"/>
              </w:rPr>
            </w:pPr>
            <w:r>
              <w:rPr>
                <w:rFonts w:ascii="Times New Roman" w:hAnsi="Times New Roman"/>
                <w:sz w:val="28"/>
                <w:szCs w:val="28"/>
              </w:rPr>
              <w:t>0,16</w:t>
            </w:r>
          </w:p>
        </w:tc>
      </w:tr>
      <w:tr w:rsidR="00A13EC3" w:rsidTr="00F751CE">
        <w:trPr>
          <w:trHeight w:val="323"/>
        </w:trPr>
        <w:tc>
          <w:tcPr>
            <w:tcW w:w="2979" w:type="dxa"/>
            <w:tcBorders>
              <w:top w:val="single" w:sz="4" w:space="0" w:color="auto"/>
              <w:left w:val="single" w:sz="4" w:space="0" w:color="auto"/>
              <w:bottom w:val="single" w:sz="4" w:space="0" w:color="auto"/>
              <w:right w:val="single" w:sz="4" w:space="0" w:color="auto"/>
            </w:tcBorders>
            <w:vAlign w:val="center"/>
            <w:hideMark/>
          </w:tcPr>
          <w:p w:rsidR="00A13EC3" w:rsidRDefault="00A13EC3" w:rsidP="004D61AE">
            <w:pPr>
              <w:jc w:val="center"/>
              <w:rPr>
                <w:rFonts w:ascii="Times New Roman" w:hAnsi="Times New Roman"/>
                <w:sz w:val="28"/>
                <w:szCs w:val="28"/>
              </w:rPr>
            </w:pPr>
            <w:r>
              <w:rPr>
                <w:rFonts w:ascii="Times New Roman" w:hAnsi="Times New Roman"/>
                <w:sz w:val="28"/>
                <w:szCs w:val="28"/>
              </w:rPr>
              <w:t>апоА1 г/л, n=507</w:t>
            </w:r>
          </w:p>
        </w:tc>
        <w:tc>
          <w:tcPr>
            <w:tcW w:w="2694"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pPr>
            <w:r>
              <w:rPr>
                <w:rFonts w:ascii="Times New Roman" w:hAnsi="Times New Roman"/>
                <w:sz w:val="28"/>
                <w:szCs w:val="28"/>
              </w:rPr>
              <w:t>1,52±0,4 (1</w:t>
            </w:r>
            <w:r w:rsidRPr="00F751CE">
              <w:rPr>
                <w:rFonts w:ascii="Century" w:hAnsi="Century"/>
                <w:sz w:val="28"/>
                <w:szCs w:val="28"/>
              </w:rPr>
              <w:t>,</w:t>
            </w:r>
            <w:r>
              <w:rPr>
                <w:rFonts w:ascii="Times New Roman" w:hAnsi="Times New Roman"/>
                <w:sz w:val="28"/>
                <w:szCs w:val="28"/>
              </w:rPr>
              <w:t>33-1</w:t>
            </w:r>
            <w:r w:rsidRPr="00F751CE">
              <w:rPr>
                <w:rFonts w:ascii="Century" w:hAnsi="Century"/>
                <w:sz w:val="28"/>
                <w:szCs w:val="28"/>
              </w:rPr>
              <w:t>,</w:t>
            </w:r>
            <w:r>
              <w:rPr>
                <w:rFonts w:ascii="Times New Roman" w:hAnsi="Times New Roman"/>
                <w:sz w:val="28"/>
                <w:szCs w:val="28"/>
              </w:rPr>
              <w:t>73)</w:t>
            </w:r>
          </w:p>
        </w:tc>
        <w:tc>
          <w:tcPr>
            <w:tcW w:w="2832"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pPr>
            <w:r>
              <w:rPr>
                <w:rFonts w:ascii="Times New Roman" w:hAnsi="Times New Roman"/>
                <w:sz w:val="28"/>
                <w:szCs w:val="28"/>
              </w:rPr>
              <w:t>1</w:t>
            </w:r>
            <w:r w:rsidRPr="00F751CE">
              <w:rPr>
                <w:rFonts w:ascii="Century" w:hAnsi="Century"/>
                <w:sz w:val="28"/>
                <w:szCs w:val="28"/>
              </w:rPr>
              <w:t>,</w:t>
            </w:r>
            <w:r>
              <w:rPr>
                <w:rFonts w:ascii="Times New Roman" w:hAnsi="Times New Roman"/>
                <w:sz w:val="28"/>
                <w:szCs w:val="28"/>
              </w:rPr>
              <w:t>47±0</w:t>
            </w:r>
            <w:r w:rsidRPr="00F751CE">
              <w:rPr>
                <w:rFonts w:ascii="Century" w:hAnsi="Century"/>
                <w:sz w:val="28"/>
                <w:szCs w:val="28"/>
              </w:rPr>
              <w:t>,</w:t>
            </w:r>
            <w:r>
              <w:rPr>
                <w:rFonts w:ascii="Times New Roman" w:hAnsi="Times New Roman"/>
                <w:sz w:val="28"/>
                <w:szCs w:val="28"/>
              </w:rPr>
              <w:t>42 (1</w:t>
            </w:r>
            <w:r w:rsidRPr="00F751CE">
              <w:rPr>
                <w:rFonts w:ascii="Century" w:hAnsi="Century"/>
                <w:sz w:val="28"/>
                <w:szCs w:val="28"/>
              </w:rPr>
              <w:t>,</w:t>
            </w:r>
            <w:r>
              <w:rPr>
                <w:rFonts w:ascii="Times New Roman" w:hAnsi="Times New Roman"/>
                <w:sz w:val="28"/>
                <w:szCs w:val="28"/>
              </w:rPr>
              <w:t>28-1</w:t>
            </w:r>
            <w:r w:rsidRPr="00F751CE">
              <w:rPr>
                <w:rFonts w:ascii="Century" w:hAnsi="Century"/>
                <w:sz w:val="28"/>
                <w:szCs w:val="28"/>
              </w:rPr>
              <w:t>,</w:t>
            </w:r>
            <w:r>
              <w:rPr>
                <w:rFonts w:ascii="Times New Roman" w:hAnsi="Times New Roman"/>
                <w:sz w:val="28"/>
                <w:szCs w:val="28"/>
              </w:rPr>
              <w:t>7)</w:t>
            </w:r>
          </w:p>
        </w:tc>
        <w:tc>
          <w:tcPr>
            <w:tcW w:w="855"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rPr>
                <w:rFonts w:ascii="Times New Roman" w:hAnsi="Times New Roman"/>
                <w:sz w:val="28"/>
                <w:szCs w:val="28"/>
              </w:rPr>
            </w:pPr>
            <w:r>
              <w:rPr>
                <w:rFonts w:ascii="Times New Roman" w:hAnsi="Times New Roman"/>
                <w:sz w:val="28"/>
                <w:szCs w:val="28"/>
              </w:rPr>
              <w:t>0</w:t>
            </w:r>
            <w:r w:rsidRPr="00F751CE">
              <w:rPr>
                <w:rFonts w:ascii="Century" w:hAnsi="Century"/>
                <w:sz w:val="28"/>
                <w:szCs w:val="28"/>
              </w:rPr>
              <w:t>,</w:t>
            </w:r>
            <w:r>
              <w:rPr>
                <w:rFonts w:ascii="Times New Roman" w:hAnsi="Times New Roman"/>
                <w:sz w:val="28"/>
                <w:szCs w:val="28"/>
              </w:rPr>
              <w:t>08</w:t>
            </w:r>
          </w:p>
        </w:tc>
      </w:tr>
      <w:tr w:rsidR="00A13EC3" w:rsidTr="00F751CE">
        <w:trPr>
          <w:trHeight w:val="323"/>
        </w:trPr>
        <w:tc>
          <w:tcPr>
            <w:tcW w:w="2979" w:type="dxa"/>
            <w:tcBorders>
              <w:top w:val="single" w:sz="4" w:space="0" w:color="auto"/>
              <w:left w:val="single" w:sz="4" w:space="0" w:color="auto"/>
              <w:bottom w:val="single" w:sz="4" w:space="0" w:color="auto"/>
              <w:right w:val="single" w:sz="4" w:space="0" w:color="auto"/>
            </w:tcBorders>
            <w:vAlign w:val="center"/>
            <w:hideMark/>
          </w:tcPr>
          <w:p w:rsidR="00A13EC3" w:rsidRDefault="00A13EC3" w:rsidP="004D61AE">
            <w:pPr>
              <w:jc w:val="center"/>
              <w:rPr>
                <w:rFonts w:ascii="Times New Roman" w:hAnsi="Times New Roman"/>
                <w:sz w:val="28"/>
                <w:szCs w:val="28"/>
              </w:rPr>
            </w:pPr>
            <w:r>
              <w:rPr>
                <w:rFonts w:ascii="Times New Roman" w:hAnsi="Times New Roman"/>
                <w:sz w:val="28"/>
                <w:szCs w:val="28"/>
              </w:rPr>
              <w:t>апоВ</w:t>
            </w:r>
            <w:r w:rsidRPr="00F751CE">
              <w:rPr>
                <w:rFonts w:ascii="Century" w:hAnsi="Century"/>
                <w:sz w:val="28"/>
                <w:szCs w:val="28"/>
              </w:rPr>
              <w:t>/</w:t>
            </w:r>
            <w:r>
              <w:rPr>
                <w:rFonts w:ascii="Times New Roman" w:hAnsi="Times New Roman"/>
                <w:sz w:val="28"/>
                <w:szCs w:val="28"/>
              </w:rPr>
              <w:t>апоА1</w:t>
            </w:r>
            <w:r w:rsidRPr="00F751CE">
              <w:rPr>
                <w:rFonts w:ascii="Century" w:hAnsi="Century"/>
                <w:sz w:val="28"/>
                <w:szCs w:val="28"/>
              </w:rPr>
              <w:t>,</w:t>
            </w:r>
            <w:r>
              <w:rPr>
                <w:rFonts w:ascii="Times New Roman" w:hAnsi="Times New Roman"/>
                <w:sz w:val="28"/>
                <w:szCs w:val="28"/>
              </w:rPr>
              <w:t xml:space="preserve"> n</w:t>
            </w:r>
            <w:r w:rsidRPr="00F751CE">
              <w:rPr>
                <w:rFonts w:ascii="Century" w:hAnsi="Century"/>
                <w:sz w:val="28"/>
                <w:szCs w:val="28"/>
              </w:rPr>
              <w:t>=</w:t>
            </w:r>
            <w:r>
              <w:rPr>
                <w:rFonts w:ascii="Times New Roman" w:hAnsi="Times New Roman"/>
                <w:sz w:val="28"/>
                <w:szCs w:val="28"/>
              </w:rPr>
              <w:t>507</w:t>
            </w:r>
          </w:p>
        </w:tc>
        <w:tc>
          <w:tcPr>
            <w:tcW w:w="2694"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rPr>
                <w:rFonts w:ascii="Times New Roman" w:hAnsi="Times New Roman"/>
                <w:sz w:val="28"/>
                <w:szCs w:val="28"/>
              </w:rPr>
            </w:pPr>
            <w:r>
              <w:rPr>
                <w:rFonts w:ascii="Times New Roman" w:hAnsi="Times New Roman"/>
                <w:sz w:val="28"/>
                <w:szCs w:val="28"/>
              </w:rPr>
              <w:t>0</w:t>
            </w:r>
            <w:r w:rsidRPr="00F751CE">
              <w:rPr>
                <w:rFonts w:ascii="Century" w:hAnsi="Century"/>
                <w:sz w:val="28"/>
                <w:szCs w:val="28"/>
              </w:rPr>
              <w:t>,</w:t>
            </w:r>
            <w:r>
              <w:rPr>
                <w:rFonts w:ascii="Times New Roman" w:hAnsi="Times New Roman"/>
                <w:sz w:val="28"/>
                <w:szCs w:val="28"/>
              </w:rPr>
              <w:t>62±0</w:t>
            </w:r>
            <w:r w:rsidRPr="00F751CE">
              <w:rPr>
                <w:rFonts w:ascii="Century" w:hAnsi="Century"/>
                <w:sz w:val="28"/>
                <w:szCs w:val="28"/>
              </w:rPr>
              <w:t>,</w:t>
            </w:r>
            <w:r>
              <w:rPr>
                <w:rFonts w:ascii="Times New Roman" w:hAnsi="Times New Roman"/>
                <w:sz w:val="28"/>
                <w:szCs w:val="28"/>
              </w:rPr>
              <w:t>3 (0</w:t>
            </w:r>
            <w:r w:rsidRPr="00F751CE">
              <w:rPr>
                <w:rFonts w:ascii="Century" w:hAnsi="Century"/>
                <w:sz w:val="28"/>
                <w:szCs w:val="28"/>
              </w:rPr>
              <w:t>,</w:t>
            </w:r>
            <w:r>
              <w:rPr>
                <w:rFonts w:ascii="Times New Roman" w:hAnsi="Times New Roman"/>
                <w:sz w:val="28"/>
                <w:szCs w:val="28"/>
              </w:rPr>
              <w:t>49-0</w:t>
            </w:r>
            <w:r w:rsidRPr="00F751CE">
              <w:rPr>
                <w:rFonts w:ascii="Century" w:hAnsi="Century"/>
                <w:sz w:val="28"/>
                <w:szCs w:val="28"/>
              </w:rPr>
              <w:t>,</w:t>
            </w:r>
            <w:r>
              <w:rPr>
                <w:rFonts w:ascii="Times New Roman" w:hAnsi="Times New Roman"/>
                <w:sz w:val="28"/>
                <w:szCs w:val="28"/>
              </w:rPr>
              <w:t>79)</w:t>
            </w:r>
          </w:p>
        </w:tc>
        <w:tc>
          <w:tcPr>
            <w:tcW w:w="2832"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rPr>
                <w:rFonts w:ascii="Times New Roman" w:hAnsi="Times New Roman"/>
                <w:sz w:val="28"/>
                <w:szCs w:val="28"/>
              </w:rPr>
            </w:pPr>
            <w:r>
              <w:rPr>
                <w:rFonts w:ascii="Times New Roman" w:hAnsi="Times New Roman"/>
                <w:sz w:val="28"/>
                <w:szCs w:val="28"/>
              </w:rPr>
              <w:t>0</w:t>
            </w:r>
            <w:r w:rsidRPr="00F751CE">
              <w:rPr>
                <w:rFonts w:ascii="Century" w:hAnsi="Century"/>
                <w:sz w:val="28"/>
                <w:szCs w:val="28"/>
              </w:rPr>
              <w:t>,</w:t>
            </w:r>
            <w:r>
              <w:rPr>
                <w:rFonts w:ascii="Times New Roman" w:hAnsi="Times New Roman"/>
                <w:sz w:val="28"/>
                <w:szCs w:val="28"/>
              </w:rPr>
              <w:t>67±0</w:t>
            </w:r>
            <w:r w:rsidRPr="00F751CE">
              <w:rPr>
                <w:rFonts w:ascii="Century" w:hAnsi="Century"/>
                <w:sz w:val="28"/>
                <w:szCs w:val="28"/>
              </w:rPr>
              <w:t>,</w:t>
            </w:r>
            <w:r>
              <w:rPr>
                <w:rFonts w:ascii="Times New Roman" w:hAnsi="Times New Roman"/>
                <w:sz w:val="28"/>
                <w:szCs w:val="28"/>
              </w:rPr>
              <w:t>33 (0</w:t>
            </w:r>
            <w:r w:rsidRPr="00F751CE">
              <w:rPr>
                <w:rFonts w:ascii="Century" w:hAnsi="Century"/>
                <w:sz w:val="28"/>
                <w:szCs w:val="28"/>
              </w:rPr>
              <w:t>,</w:t>
            </w:r>
            <w:r>
              <w:rPr>
                <w:rFonts w:ascii="Times New Roman" w:hAnsi="Times New Roman"/>
                <w:sz w:val="28"/>
                <w:szCs w:val="28"/>
              </w:rPr>
              <w:t>53-0</w:t>
            </w:r>
            <w:r w:rsidRPr="00F751CE">
              <w:rPr>
                <w:rFonts w:ascii="Century" w:hAnsi="Century"/>
                <w:sz w:val="28"/>
                <w:szCs w:val="28"/>
              </w:rPr>
              <w:t>,</w:t>
            </w:r>
            <w:r>
              <w:rPr>
                <w:rFonts w:ascii="Times New Roman" w:hAnsi="Times New Roman"/>
                <w:sz w:val="28"/>
                <w:szCs w:val="28"/>
              </w:rPr>
              <w:t>87)</w:t>
            </w:r>
          </w:p>
        </w:tc>
        <w:tc>
          <w:tcPr>
            <w:tcW w:w="855"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rPr>
                <w:rFonts w:ascii="Times New Roman" w:hAnsi="Times New Roman"/>
                <w:sz w:val="28"/>
                <w:szCs w:val="28"/>
              </w:rPr>
            </w:pPr>
            <w:r>
              <w:rPr>
                <w:rFonts w:ascii="Times New Roman" w:hAnsi="Times New Roman"/>
                <w:sz w:val="28"/>
                <w:szCs w:val="28"/>
              </w:rPr>
              <w:t>0</w:t>
            </w:r>
            <w:r w:rsidRPr="00E54C32">
              <w:rPr>
                <w:rFonts w:ascii="Century" w:hAnsi="Century"/>
                <w:sz w:val="28"/>
                <w:szCs w:val="28"/>
              </w:rPr>
              <w:t>,</w:t>
            </w:r>
            <w:r>
              <w:rPr>
                <w:rFonts w:ascii="Times New Roman" w:hAnsi="Times New Roman"/>
                <w:sz w:val="28"/>
                <w:szCs w:val="28"/>
              </w:rPr>
              <w:t>008</w:t>
            </w:r>
          </w:p>
        </w:tc>
      </w:tr>
      <w:tr w:rsidR="00A13EC3" w:rsidTr="00F751CE">
        <w:trPr>
          <w:trHeight w:val="323"/>
        </w:trPr>
        <w:tc>
          <w:tcPr>
            <w:tcW w:w="2979" w:type="dxa"/>
            <w:tcBorders>
              <w:top w:val="single" w:sz="4" w:space="0" w:color="auto"/>
              <w:left w:val="single" w:sz="4" w:space="0" w:color="auto"/>
              <w:bottom w:val="single" w:sz="4" w:space="0" w:color="auto"/>
              <w:right w:val="single" w:sz="4" w:space="0" w:color="auto"/>
            </w:tcBorders>
            <w:vAlign w:val="center"/>
            <w:hideMark/>
          </w:tcPr>
          <w:p w:rsidR="00A13EC3" w:rsidRDefault="00A13EC3" w:rsidP="004D61AE">
            <w:pPr>
              <w:jc w:val="center"/>
              <w:rPr>
                <w:rFonts w:ascii="Times New Roman" w:hAnsi="Times New Roman"/>
                <w:sz w:val="28"/>
                <w:szCs w:val="28"/>
              </w:rPr>
            </w:pPr>
            <w:r>
              <w:rPr>
                <w:rFonts w:ascii="Times New Roman" w:hAnsi="Times New Roman"/>
                <w:sz w:val="28"/>
                <w:szCs w:val="28"/>
              </w:rPr>
              <w:t>Инсулин</w:t>
            </w:r>
            <w:r w:rsidRPr="00E54C32">
              <w:rPr>
                <w:rFonts w:ascii="Century" w:hAnsi="Century"/>
                <w:sz w:val="28"/>
                <w:szCs w:val="28"/>
              </w:rPr>
              <w:t xml:space="preserve">, </w:t>
            </w:r>
            <w:r>
              <w:rPr>
                <w:rFonts w:ascii="Times New Roman" w:hAnsi="Times New Roman"/>
                <w:sz w:val="28"/>
                <w:szCs w:val="28"/>
              </w:rPr>
              <w:t>мкМЕ</w:t>
            </w:r>
            <w:r w:rsidRPr="00E54C32">
              <w:rPr>
                <w:rFonts w:ascii="Century" w:hAnsi="Century"/>
                <w:sz w:val="28"/>
                <w:szCs w:val="28"/>
              </w:rPr>
              <w:t>/</w:t>
            </w:r>
            <w:r>
              <w:rPr>
                <w:rFonts w:ascii="Times New Roman" w:hAnsi="Times New Roman"/>
                <w:sz w:val="28"/>
                <w:szCs w:val="28"/>
              </w:rPr>
              <w:t>мл, n</w:t>
            </w:r>
            <w:r w:rsidRPr="00E54C32">
              <w:rPr>
                <w:rFonts w:ascii="Century" w:hAnsi="Century"/>
                <w:sz w:val="28"/>
                <w:szCs w:val="28"/>
              </w:rPr>
              <w:t>=</w:t>
            </w:r>
            <w:r>
              <w:rPr>
                <w:rFonts w:ascii="Times New Roman" w:hAnsi="Times New Roman"/>
                <w:sz w:val="28"/>
                <w:szCs w:val="28"/>
              </w:rPr>
              <w:t>507</w:t>
            </w:r>
          </w:p>
        </w:tc>
        <w:tc>
          <w:tcPr>
            <w:tcW w:w="2694"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pPr>
            <w:r>
              <w:rPr>
                <w:rFonts w:ascii="Times New Roman" w:hAnsi="Times New Roman"/>
                <w:sz w:val="28"/>
                <w:szCs w:val="28"/>
              </w:rPr>
              <w:t>8,8±8,4 (5,7-14,1)</w:t>
            </w:r>
          </w:p>
        </w:tc>
        <w:tc>
          <w:tcPr>
            <w:tcW w:w="2832"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pPr>
            <w:r>
              <w:rPr>
                <w:rFonts w:ascii="Times New Roman" w:hAnsi="Times New Roman"/>
                <w:sz w:val="28"/>
                <w:szCs w:val="28"/>
              </w:rPr>
              <w:t>9,4±9,45 (5,9-15,3)</w:t>
            </w:r>
          </w:p>
        </w:tc>
        <w:tc>
          <w:tcPr>
            <w:tcW w:w="855"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rPr>
                <w:rFonts w:ascii="Times New Roman" w:hAnsi="Times New Roman"/>
                <w:sz w:val="28"/>
                <w:szCs w:val="28"/>
              </w:rPr>
            </w:pPr>
            <w:r>
              <w:rPr>
                <w:rFonts w:ascii="Times New Roman" w:hAnsi="Times New Roman"/>
                <w:sz w:val="28"/>
                <w:szCs w:val="28"/>
              </w:rPr>
              <w:t>0,63</w:t>
            </w:r>
          </w:p>
        </w:tc>
      </w:tr>
      <w:tr w:rsidR="00A13EC3" w:rsidTr="00F751CE">
        <w:trPr>
          <w:trHeight w:val="323"/>
        </w:trPr>
        <w:tc>
          <w:tcPr>
            <w:tcW w:w="2979" w:type="dxa"/>
            <w:tcBorders>
              <w:top w:val="single" w:sz="4" w:space="0" w:color="auto"/>
              <w:left w:val="single" w:sz="4" w:space="0" w:color="auto"/>
              <w:bottom w:val="single" w:sz="4" w:space="0" w:color="auto"/>
              <w:right w:val="single" w:sz="4" w:space="0" w:color="auto"/>
            </w:tcBorders>
            <w:vAlign w:val="center"/>
            <w:hideMark/>
          </w:tcPr>
          <w:p w:rsidR="00A13EC3" w:rsidRDefault="00A13EC3" w:rsidP="004D61AE">
            <w:pPr>
              <w:jc w:val="center"/>
              <w:rPr>
                <w:rFonts w:ascii="Times New Roman" w:hAnsi="Times New Roman"/>
                <w:sz w:val="28"/>
                <w:szCs w:val="28"/>
              </w:rPr>
            </w:pPr>
            <w:r>
              <w:rPr>
                <w:rFonts w:ascii="Times New Roman" w:hAnsi="Times New Roman"/>
                <w:sz w:val="28"/>
                <w:szCs w:val="28"/>
              </w:rPr>
              <w:t>HOMA-IR, n=507</w:t>
            </w:r>
          </w:p>
        </w:tc>
        <w:tc>
          <w:tcPr>
            <w:tcW w:w="2694"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rPr>
                <w:rFonts w:ascii="Times New Roman" w:hAnsi="Times New Roman"/>
                <w:sz w:val="28"/>
                <w:szCs w:val="28"/>
              </w:rPr>
            </w:pPr>
            <w:r>
              <w:rPr>
                <w:rFonts w:ascii="Times New Roman" w:hAnsi="Times New Roman"/>
                <w:sz w:val="28"/>
                <w:szCs w:val="28"/>
              </w:rPr>
              <w:t>1,72±1,86 (1,0-2,87)</w:t>
            </w:r>
          </w:p>
        </w:tc>
        <w:tc>
          <w:tcPr>
            <w:tcW w:w="2832"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rPr>
                <w:rFonts w:ascii="Times New Roman" w:hAnsi="Times New Roman"/>
                <w:sz w:val="28"/>
                <w:szCs w:val="28"/>
              </w:rPr>
            </w:pPr>
            <w:r>
              <w:rPr>
                <w:rFonts w:ascii="Times New Roman" w:hAnsi="Times New Roman"/>
                <w:sz w:val="28"/>
                <w:szCs w:val="28"/>
              </w:rPr>
              <w:t>2,75±2,98 (1,65-4,63)</w:t>
            </w:r>
          </w:p>
        </w:tc>
        <w:tc>
          <w:tcPr>
            <w:tcW w:w="855" w:type="dxa"/>
            <w:tcBorders>
              <w:top w:val="single" w:sz="4" w:space="0" w:color="auto"/>
              <w:left w:val="single" w:sz="4" w:space="0" w:color="auto"/>
              <w:bottom w:val="single" w:sz="4" w:space="0" w:color="auto"/>
              <w:right w:val="single" w:sz="4" w:space="0" w:color="auto"/>
            </w:tcBorders>
            <w:hideMark/>
          </w:tcPr>
          <w:p w:rsidR="00A13EC3" w:rsidRDefault="00A13EC3" w:rsidP="004D61AE">
            <w:pPr>
              <w:jc w:val="center"/>
              <w:rPr>
                <w:rFonts w:ascii="Times New Roman" w:hAnsi="Times New Roman"/>
                <w:sz w:val="28"/>
                <w:szCs w:val="28"/>
              </w:rPr>
            </w:pPr>
            <w:r>
              <w:rPr>
                <w:rFonts w:ascii="Times New Roman" w:hAnsi="Times New Roman"/>
                <w:sz w:val="28"/>
                <w:szCs w:val="28"/>
              </w:rPr>
              <w:t>0,0001</w:t>
            </w:r>
          </w:p>
        </w:tc>
      </w:tr>
      <w:tr w:rsidR="00A13EC3" w:rsidTr="004D61AE">
        <w:trPr>
          <w:trHeight w:val="442"/>
        </w:trPr>
        <w:tc>
          <w:tcPr>
            <w:tcW w:w="9360" w:type="dxa"/>
            <w:gridSpan w:val="4"/>
            <w:tcBorders>
              <w:top w:val="single" w:sz="4" w:space="0" w:color="auto"/>
              <w:left w:val="single" w:sz="4" w:space="0" w:color="auto"/>
              <w:bottom w:val="single" w:sz="4" w:space="0" w:color="auto"/>
              <w:right w:val="single" w:sz="4" w:space="0" w:color="auto"/>
            </w:tcBorders>
            <w:hideMark/>
          </w:tcPr>
          <w:p w:rsidR="00542BA9" w:rsidRDefault="00A13EC3" w:rsidP="004D61AE">
            <w:pPr>
              <w:jc w:val="both"/>
              <w:rPr>
                <w:rFonts w:ascii="Times New Roman" w:hAnsi="Times New Roman"/>
                <w:szCs w:val="20"/>
                <w:lang w:val="kk-KZ"/>
              </w:rPr>
            </w:pPr>
            <w:r>
              <w:rPr>
                <w:rFonts w:ascii="Times New Roman" w:hAnsi="Times New Roman"/>
                <w:szCs w:val="20"/>
              </w:rPr>
              <w:t xml:space="preserve">Примечание *Критерий Манна-Уитни; </w:t>
            </w:r>
          </w:p>
          <w:p w:rsidR="00A13EC3" w:rsidRDefault="00A13EC3" w:rsidP="004D61AE">
            <w:pPr>
              <w:jc w:val="both"/>
              <w:rPr>
                <w:rFonts w:ascii="Times New Roman" w:hAnsi="Times New Roman"/>
                <w:sz w:val="20"/>
                <w:szCs w:val="20"/>
              </w:rPr>
            </w:pPr>
            <w:r>
              <w:rPr>
                <w:rFonts w:ascii="Times New Roman" w:hAnsi="Times New Roman"/>
                <w:szCs w:val="20"/>
              </w:rPr>
              <w:t>Ме±IQR (Q1 – Q3) – Медиана ± межквартильный диапазон (1 квартиль – 3 квартиль)</w:t>
            </w:r>
          </w:p>
        </w:tc>
      </w:tr>
    </w:tbl>
    <w:p w:rsidR="0014539C" w:rsidRDefault="0014539C" w:rsidP="00A13EC3">
      <w:pPr>
        <w:spacing w:after="0" w:line="240" w:lineRule="auto"/>
        <w:ind w:firstLine="708"/>
        <w:jc w:val="both"/>
        <w:rPr>
          <w:rFonts w:ascii="Times New Roman" w:hAnsi="Times New Roman" w:cs="Times New Roman"/>
          <w:sz w:val="28"/>
          <w:szCs w:val="28"/>
        </w:rPr>
      </w:pPr>
    </w:p>
    <w:p w:rsidR="00AD11CD" w:rsidRDefault="00AD11CD" w:rsidP="00AD11C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При сравнении средних величин биохимических показателей только уровни ТГ, апоВ/апоА1 и </w:t>
      </w:r>
      <w:r>
        <w:rPr>
          <w:rFonts w:ascii="Times New Roman" w:hAnsi="Times New Roman"/>
          <w:sz w:val="28"/>
          <w:szCs w:val="28"/>
        </w:rPr>
        <w:t>HOMA-IR</w:t>
      </w:r>
      <w:r>
        <w:rPr>
          <w:rFonts w:ascii="Times New Roman" w:hAnsi="Times New Roman" w:cs="Times New Roman"/>
          <w:sz w:val="28"/>
          <w:szCs w:val="28"/>
        </w:rPr>
        <w:t xml:space="preserve"> отличались по группам уровня глюкозы (таблица 39). Гипергликемия чаще сопровождалась с высоким уровнем ТГ и апоВ/апоА1.</w:t>
      </w:r>
    </w:p>
    <w:p w:rsidR="00A13EC3" w:rsidRDefault="00DA4067" w:rsidP="00A13EC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 изучении ассоциации уровня</w:t>
      </w:r>
      <w:r w:rsidR="0014539C">
        <w:rPr>
          <w:rFonts w:ascii="Times New Roman" w:hAnsi="Times New Roman" w:cs="Times New Roman"/>
          <w:sz w:val="28"/>
          <w:szCs w:val="28"/>
        </w:rPr>
        <w:t xml:space="preserve"> глюкозы с другими биохимическими показателями мы обнаружили значимую связь уровня глюкозы с уровн</w:t>
      </w:r>
      <w:r>
        <w:rPr>
          <w:rFonts w:ascii="Times New Roman" w:hAnsi="Times New Roman" w:cs="Times New Roman"/>
          <w:sz w:val="28"/>
          <w:szCs w:val="28"/>
        </w:rPr>
        <w:t>е</w:t>
      </w:r>
      <w:r w:rsidR="0014539C">
        <w:rPr>
          <w:rFonts w:ascii="Times New Roman" w:hAnsi="Times New Roman" w:cs="Times New Roman"/>
          <w:sz w:val="28"/>
          <w:szCs w:val="28"/>
        </w:rPr>
        <w:t xml:space="preserve">м ТГ, апоВ/апоА1 и </w:t>
      </w:r>
      <w:r w:rsidR="0014539C">
        <w:rPr>
          <w:rFonts w:ascii="Times New Roman" w:hAnsi="Times New Roman"/>
          <w:sz w:val="28"/>
          <w:szCs w:val="28"/>
        </w:rPr>
        <w:t>HOMA-IR</w:t>
      </w:r>
      <w:r w:rsidR="0014539C">
        <w:rPr>
          <w:rFonts w:ascii="Times New Roman" w:hAnsi="Times New Roman" w:cs="Times New Roman"/>
          <w:sz w:val="28"/>
          <w:szCs w:val="28"/>
        </w:rPr>
        <w:t xml:space="preserve"> (таблица 40). Шанс развития гипергликемии при гипертриглицеридемии повышался в 1,58 раз, в сравнении с нормальным уровн</w:t>
      </w:r>
      <w:r>
        <w:rPr>
          <w:rFonts w:ascii="Times New Roman" w:hAnsi="Times New Roman" w:cs="Times New Roman"/>
          <w:sz w:val="28"/>
          <w:szCs w:val="28"/>
        </w:rPr>
        <w:t>е</w:t>
      </w:r>
      <w:r w:rsidR="0014539C">
        <w:rPr>
          <w:rFonts w:ascii="Times New Roman" w:hAnsi="Times New Roman" w:cs="Times New Roman"/>
          <w:sz w:val="28"/>
          <w:szCs w:val="28"/>
        </w:rPr>
        <w:t xml:space="preserve">м ТГ. При высоких уровнях апоВ/апоА1 шанс развития гипергликемии повышался </w:t>
      </w:r>
      <w:r>
        <w:rPr>
          <w:rFonts w:ascii="Times New Roman" w:hAnsi="Times New Roman" w:cs="Times New Roman"/>
          <w:sz w:val="28"/>
          <w:szCs w:val="28"/>
        </w:rPr>
        <w:t xml:space="preserve">в </w:t>
      </w:r>
      <w:r w:rsidR="0014539C">
        <w:rPr>
          <w:rFonts w:ascii="Times New Roman" w:hAnsi="Times New Roman" w:cs="Times New Roman"/>
          <w:sz w:val="28"/>
          <w:szCs w:val="28"/>
        </w:rPr>
        <w:t>1,59 раз. Ряд авторов, изучавших уров</w:t>
      </w:r>
      <w:r w:rsidR="001420EF">
        <w:rPr>
          <w:rFonts w:ascii="Times New Roman" w:hAnsi="Times New Roman" w:cs="Times New Roman"/>
          <w:sz w:val="28"/>
          <w:szCs w:val="28"/>
        </w:rPr>
        <w:t>е</w:t>
      </w:r>
      <w:r w:rsidR="0014539C">
        <w:rPr>
          <w:rFonts w:ascii="Times New Roman" w:hAnsi="Times New Roman" w:cs="Times New Roman"/>
          <w:sz w:val="28"/>
          <w:szCs w:val="28"/>
        </w:rPr>
        <w:t>н</w:t>
      </w:r>
      <w:r w:rsidR="001420EF">
        <w:rPr>
          <w:rFonts w:ascii="Times New Roman" w:hAnsi="Times New Roman" w:cs="Times New Roman"/>
          <w:sz w:val="28"/>
          <w:szCs w:val="28"/>
        </w:rPr>
        <w:t>ь</w:t>
      </w:r>
      <w:r w:rsidR="0014539C">
        <w:rPr>
          <w:rFonts w:ascii="Times New Roman" w:hAnsi="Times New Roman" w:cs="Times New Roman"/>
          <w:sz w:val="28"/>
          <w:szCs w:val="28"/>
        </w:rPr>
        <w:t xml:space="preserve"> углеводного и липидного обменов, пришли к мнению, что уровень глюкозы может быть независимым фактором риска </w:t>
      </w:r>
      <w:r w:rsidR="001420EF">
        <w:rPr>
          <w:rFonts w:ascii="Times New Roman" w:hAnsi="Times New Roman" w:cs="Times New Roman"/>
          <w:sz w:val="28"/>
          <w:szCs w:val="28"/>
        </w:rPr>
        <w:t xml:space="preserve">развития </w:t>
      </w:r>
      <w:r w:rsidR="0014539C">
        <w:rPr>
          <w:rFonts w:ascii="Times New Roman" w:hAnsi="Times New Roman" w:cs="Times New Roman"/>
          <w:sz w:val="28"/>
          <w:szCs w:val="28"/>
        </w:rPr>
        <w:t xml:space="preserve">атеросклероза у казахской популяции </w:t>
      </w:r>
      <w:r w:rsidR="0014539C">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{"citationItems":[{"id":"ITEM-1","itemData":{"DOI":"10.3760/cma.j.issn.0253-9624.2014.10.007","PMID":"25573126","abstract":"To analyze the relationship between different levels of fasting blood glucose over 35-year old and carotid intima-media thickness (IMT) in Han, Uygur and Kazak adult population from Xinjiang Uygur Autonomous Region. METHODS: From October 2007 to April 2010, the present study was performed in 13 935 inhabitants among Han, Uygur and Kazak adult population of aged 35 years old and over by multi-stage stratified cluster random sampling principles from 7 regions in Xinjiang Uygur Autonomous and we excluded the IMT over 0.9 millimeter, long-term out and the floating population. All subjects were measured fasting blood glucose and IMT values of carotid artery. The subjects were divided into three groups according to different fasting blood glucose levels: normal, impaired fasting glucose (IFG) and diabetes mellitus (DM) and we used the analysis of variance to compare the differences among groups of IMT. Multiple linear regression model was used to explore factors of carotid IMT. RESULTS: The IMT of males of Han, Uygur and Kazak were (0.81 ± 0.29), (0.71 ± 0.27) and (0.79 ± 0.21) mm respectively, the differences were significant (F = 88.50, P &lt; 0.05) . The IMT in DM group ((0.82 ± 0.29) mm) was significantly higher than the normal ((0.77 ± 0.26) mm) and the IFG groups ((0.79 ± 0.27) mm) (F = 7.49, P &lt; 0.05). The IMT of females of Han, Uygur and Kazak were (0.72 ± 0.27), (0.63 ± 0.25) and (0.77 ± 0.22) mm, respectively, the differences were significant (F = 173.93, P &lt; 0.05) . The IMT in DM group ((0.75 ± 0.29) mm) and the IFG groups ((0.74 ± 0.26) mm) were significantly higher than the normal group ((0.70 ± 0.25) mm) (F = 10.46, P &lt; 0.05). Multivariate regression analysis showed that diastolic blood pressure (β = 0.101, P &lt; 0.01) , total cholesterol (β = 0.056, P &lt; 0.05) and fasting blood glucose (β = 0.023, P = 0.009) were independent risk factors of IMT. CONCLUSION: The level of fasting blood glucose was an independent influence factor of carotid IMT and had a positive correlation in Han, Uygur and Kazak population of Xinjiang Autonomous Region","author":[{"dropping-particle":"","family":"Li","given":"X.","non-dropping-particle":"","parse-names":false,"suffix":""},{"dropping-particle":"","family":"Li","given":"H.","non-dropping-particle":"","parse-names":false,"suffix":""},{"dropping-particle":"","family":"Liu","given":"F.","non-dropping-particle":"","parse-names":false,"suffix":""},{"dropping-particle":"","family":"Chen","given":"B.","non-dropping-particle":"","parse-names":false,"suffix":""},{"dropping-particle":"","family":"Yang","given":"Y.","non-dropping-particle":"","parse-names":false,"suffix":""},{"dropping-particle":"","family":"Ma","given":"Y.","non-dropping-particle":"","parse-names":false,"suffix":""}],"container-title":"Chin J Prev Med","id":"ITEM-1","issued":{"date-parts":[["2014"]]},"page":"878-882","title":"Association between the level of fasting blood glucose over 35-year-old and carotid intima-media thickness in Han, Uygur and Kazak population from Xinjiang Uygur Autonomous Region from 2007 to 2010","type":"article-journal","volume":"48(10)"},"uris":["http://www.mendeley.com/documents/?uuid=2a12f47b-41a2-4f91-bfbc-6ea9a145af7d"]}],"mendeley":{"formattedCitation":"[186]","plainTextFormattedCitation":"[186]","previouslyFormattedCitation":"[186]"},"properties":{"noteIndex":0},"schema":"https://github.com/citation-style-language/schema/raw/master/csl-citation.json"}</w:instrText>
      </w:r>
      <w:r w:rsidR="0014539C">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[186]</w:t>
      </w:r>
      <w:r w:rsidR="0014539C">
        <w:rPr>
          <w:rFonts w:ascii="Times New Roman" w:hAnsi="Times New Roman" w:cs="Times New Roman"/>
          <w:sz w:val="28"/>
          <w:szCs w:val="28"/>
        </w:rPr>
        <w:fldChar w:fldCharType="end"/>
      </w:r>
      <w:r w:rsidR="0014539C" w:rsidRPr="00294BFC">
        <w:rPr>
          <w:rFonts w:ascii="Times New Roman" w:hAnsi="Times New Roman" w:cs="Times New Roman"/>
          <w:sz w:val="28"/>
          <w:szCs w:val="28"/>
        </w:rPr>
        <w:t>.</w:t>
      </w:r>
    </w:p>
    <w:p w:rsidR="00AD11CD" w:rsidRDefault="00AD11CD" w:rsidP="00AB12B3">
      <w:pPr>
        <w:spacing w:after="0" w:line="240" w:lineRule="auto"/>
        <w:jc w:val="both"/>
        <w:rPr>
          <w:rFonts w:ascii="Times New Roman" w:hAnsi="Times New Roman" w:cs="Times New Roman"/>
          <w:sz w:val="28"/>
          <w:szCs w:val="28"/>
          <w:lang w:val="kk-KZ"/>
        </w:rPr>
      </w:pPr>
    </w:p>
    <w:p w:rsidR="00AB12B3" w:rsidRDefault="00AB12B3" w:rsidP="00AB12B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Таблица </w:t>
      </w:r>
      <w:r w:rsidR="008718C2">
        <w:rPr>
          <w:rFonts w:ascii="Times New Roman" w:hAnsi="Times New Roman" w:cs="Times New Roman"/>
          <w:sz w:val="28"/>
          <w:szCs w:val="28"/>
        </w:rPr>
        <w:t>40</w:t>
      </w:r>
      <w:r w:rsidR="00D058C8">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биохимических показателей по группам глюкозы</w:t>
      </w:r>
    </w:p>
    <w:p w:rsidR="00AD11CD" w:rsidRPr="00AD11CD" w:rsidRDefault="00AD11CD" w:rsidP="00AB12B3">
      <w:pPr>
        <w:spacing w:after="0" w:line="240" w:lineRule="auto"/>
        <w:jc w:val="both"/>
        <w:rPr>
          <w:rFonts w:ascii="Times New Roman" w:hAnsi="Times New Roman" w:cs="Times New Roman"/>
          <w:sz w:val="28"/>
          <w:szCs w:val="28"/>
          <w:lang w:val="kk-KZ"/>
        </w:rPr>
      </w:pPr>
    </w:p>
    <w:tbl>
      <w:tblPr>
        <w:tblStyle w:val="af7"/>
        <w:tblW w:w="9495" w:type="dxa"/>
        <w:tblInd w:w="108" w:type="dxa"/>
        <w:tblLayout w:type="fixed"/>
        <w:tblLook w:val="04A0" w:firstRow="1" w:lastRow="0" w:firstColumn="1" w:lastColumn="0" w:noHBand="0" w:noVBand="1"/>
      </w:tblPr>
      <w:tblGrid>
        <w:gridCol w:w="2550"/>
        <w:gridCol w:w="1559"/>
        <w:gridCol w:w="992"/>
        <w:gridCol w:w="993"/>
        <w:gridCol w:w="2408"/>
        <w:gridCol w:w="993"/>
      </w:tblGrid>
      <w:tr w:rsidR="00AB12B3" w:rsidTr="00204BFD">
        <w:trPr>
          <w:trHeight w:val="385"/>
        </w:trPr>
        <w:tc>
          <w:tcPr>
            <w:tcW w:w="410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1985"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глюкоза, ммоль/л</w:t>
            </w:r>
          </w:p>
        </w:tc>
        <w:tc>
          <w:tcPr>
            <w:tcW w:w="2408"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ОШ (95% ДИ)</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204BFD">
        <w:trPr>
          <w:trHeight w:val="387"/>
        </w:trPr>
        <w:tc>
          <w:tcPr>
            <w:tcW w:w="4109" w:type="dxa"/>
            <w:gridSpan w:val="2"/>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≤5,59</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&gt;5,59</w:t>
            </w:r>
          </w:p>
        </w:tc>
        <w:tc>
          <w:tcPr>
            <w:tcW w:w="2408"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204BFD">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ОХС, ммоль/л</w:t>
            </w:r>
          </w:p>
          <w:p w:rsidR="00AB12B3" w:rsidRDefault="00AB12B3">
            <w:pPr>
              <w:jc w:val="center"/>
              <w:rPr>
                <w:rFonts w:ascii="Times New Roman" w:hAnsi="Times New Roman"/>
                <w:sz w:val="28"/>
                <w:szCs w:val="28"/>
              </w:rPr>
            </w:pPr>
            <w:r>
              <w:rPr>
                <w:rFonts w:ascii="Times New Roman" w:hAnsi="Times New Roman"/>
                <w:sz w:val="28"/>
                <w:szCs w:val="28"/>
              </w:rPr>
              <w:t>n=580</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≤4,9 </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256</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232</w:t>
            </w:r>
          </w:p>
        </w:tc>
        <w:tc>
          <w:tcPr>
            <w:tcW w:w="240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0,74</w:t>
            </w:r>
          </w:p>
        </w:tc>
      </w:tr>
      <w:tr w:rsidR="00AB12B3" w:rsidTr="00204BFD">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&gt;4,9 </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50</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42</w:t>
            </w:r>
          </w:p>
        </w:tc>
        <w:tc>
          <w:tcPr>
            <w:tcW w:w="240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0,93 (0,59-1,45)</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204BFD">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ТГ, ммоль/л</w:t>
            </w:r>
          </w:p>
          <w:p w:rsidR="00AB12B3" w:rsidRDefault="00AB12B3">
            <w:pPr>
              <w:jc w:val="center"/>
              <w:rPr>
                <w:rFonts w:ascii="Times New Roman" w:hAnsi="Times New Roman"/>
                <w:sz w:val="28"/>
                <w:szCs w:val="28"/>
              </w:rPr>
            </w:pPr>
            <w:r>
              <w:rPr>
                <w:rFonts w:ascii="Times New Roman" w:hAnsi="Times New Roman"/>
                <w:sz w:val="28"/>
                <w:szCs w:val="28"/>
              </w:rPr>
              <w:t>n=580</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239</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190</w:t>
            </w:r>
          </w:p>
        </w:tc>
        <w:tc>
          <w:tcPr>
            <w:tcW w:w="240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0,016</w:t>
            </w:r>
          </w:p>
        </w:tc>
      </w:tr>
      <w:tr w:rsidR="00AB12B3" w:rsidTr="00204BFD">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&gt;1,7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67</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84</w:t>
            </w:r>
          </w:p>
        </w:tc>
        <w:tc>
          <w:tcPr>
            <w:tcW w:w="240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1,58 (1,09-2,29)</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6E01DF" w:rsidTr="00F66CAF">
        <w:trPr>
          <w:trHeight w:val="330"/>
        </w:trPr>
        <w:tc>
          <w:tcPr>
            <w:tcW w:w="2550" w:type="dxa"/>
            <w:vMerge w:val="restart"/>
            <w:tcBorders>
              <w:top w:val="single" w:sz="4" w:space="0" w:color="auto"/>
              <w:left w:val="single" w:sz="4" w:space="0" w:color="auto"/>
              <w:right w:val="single" w:sz="4" w:space="0" w:color="auto"/>
            </w:tcBorders>
            <w:vAlign w:val="center"/>
          </w:tcPr>
          <w:p w:rsidR="006E01DF" w:rsidRDefault="006E01DF" w:rsidP="00F66CAF">
            <w:pPr>
              <w:jc w:val="center"/>
              <w:rPr>
                <w:rFonts w:ascii="Times New Roman" w:hAnsi="Times New Roman"/>
                <w:sz w:val="28"/>
                <w:szCs w:val="28"/>
              </w:rPr>
            </w:pPr>
            <w:r>
              <w:rPr>
                <w:rFonts w:ascii="Times New Roman" w:hAnsi="Times New Roman"/>
                <w:sz w:val="28"/>
                <w:szCs w:val="28"/>
              </w:rPr>
              <w:t>ЛПНП, ммоль/л n=507</w:t>
            </w:r>
          </w:p>
        </w:tc>
        <w:tc>
          <w:tcPr>
            <w:tcW w:w="1559"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≤3,0</w:t>
            </w:r>
          </w:p>
        </w:tc>
        <w:tc>
          <w:tcPr>
            <w:tcW w:w="992"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264</w:t>
            </w:r>
          </w:p>
        </w:tc>
        <w:tc>
          <w:tcPr>
            <w:tcW w:w="993"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229</w:t>
            </w:r>
          </w:p>
        </w:tc>
        <w:tc>
          <w:tcPr>
            <w:tcW w:w="2408"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right w:val="single" w:sz="4" w:space="0" w:color="auto"/>
            </w:tcBorders>
          </w:tcPr>
          <w:p w:rsidR="006E01DF" w:rsidRDefault="006E01DF" w:rsidP="006E01DF">
            <w:pPr>
              <w:rPr>
                <w:rFonts w:ascii="Times New Roman" w:hAnsi="Times New Roman"/>
                <w:sz w:val="28"/>
                <w:szCs w:val="28"/>
              </w:rPr>
            </w:pPr>
            <w:r>
              <w:rPr>
                <w:rFonts w:ascii="Times New Roman" w:hAnsi="Times New Roman"/>
                <w:sz w:val="28"/>
                <w:szCs w:val="28"/>
              </w:rPr>
              <w:t>0,36</w:t>
            </w:r>
          </w:p>
        </w:tc>
      </w:tr>
      <w:tr w:rsidR="006E01DF" w:rsidTr="00F66CAF">
        <w:trPr>
          <w:trHeight w:val="330"/>
        </w:trPr>
        <w:tc>
          <w:tcPr>
            <w:tcW w:w="2550" w:type="dxa"/>
            <w:vMerge/>
            <w:tcBorders>
              <w:left w:val="single" w:sz="4" w:space="0" w:color="auto"/>
              <w:bottom w:val="single" w:sz="4" w:space="0" w:color="auto"/>
              <w:right w:val="single" w:sz="4" w:space="0" w:color="auto"/>
            </w:tcBorders>
            <w:vAlign w:val="center"/>
          </w:tcPr>
          <w:p w:rsidR="006E01DF" w:rsidRDefault="006E01DF" w:rsidP="00F66CAF">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&gt;3, 0</w:t>
            </w:r>
          </w:p>
        </w:tc>
        <w:tc>
          <w:tcPr>
            <w:tcW w:w="992"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42</w:t>
            </w:r>
          </w:p>
        </w:tc>
        <w:tc>
          <w:tcPr>
            <w:tcW w:w="993"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45</w:t>
            </w:r>
          </w:p>
        </w:tc>
        <w:tc>
          <w:tcPr>
            <w:tcW w:w="2408"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1,23 (0,78-1,95)</w:t>
            </w:r>
          </w:p>
        </w:tc>
        <w:tc>
          <w:tcPr>
            <w:tcW w:w="993" w:type="dxa"/>
            <w:vMerge/>
            <w:tcBorders>
              <w:left w:val="single" w:sz="4" w:space="0" w:color="auto"/>
              <w:bottom w:val="single" w:sz="4" w:space="0" w:color="auto"/>
              <w:right w:val="single" w:sz="4" w:space="0" w:color="auto"/>
            </w:tcBorders>
            <w:vAlign w:val="center"/>
          </w:tcPr>
          <w:p w:rsidR="006E01DF" w:rsidRDefault="006E01DF">
            <w:pPr>
              <w:rPr>
                <w:rFonts w:ascii="Times New Roman" w:hAnsi="Times New Roman"/>
                <w:sz w:val="28"/>
                <w:szCs w:val="28"/>
              </w:rPr>
            </w:pPr>
          </w:p>
        </w:tc>
      </w:tr>
      <w:tr w:rsidR="006E01DF" w:rsidTr="00204BFD">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ЛПВП, ммоль/л n=580</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Муж ≥1,0</w:t>
            </w:r>
          </w:p>
          <w:p w:rsidR="006E01DF" w:rsidRDefault="006E01DF">
            <w:pPr>
              <w:jc w:val="center"/>
            </w:pPr>
            <w:r>
              <w:rPr>
                <w:rFonts w:ascii="Times New Roman" w:hAnsi="Times New Roman"/>
                <w:sz w:val="28"/>
                <w:szCs w:val="28"/>
              </w:rPr>
              <w:t>Жен ≥1,2</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119</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113</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0,56</w:t>
            </w:r>
          </w:p>
        </w:tc>
      </w:tr>
      <w:tr w:rsidR="006E01DF" w:rsidTr="00204BFD">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Муж &lt;1,0</w:t>
            </w:r>
          </w:p>
          <w:p w:rsidR="006E01DF" w:rsidRDefault="006E01DF">
            <w:pPr>
              <w:jc w:val="center"/>
              <w:rPr>
                <w:rFonts w:ascii="Times New Roman" w:hAnsi="Times New Roman"/>
                <w:sz w:val="28"/>
                <w:szCs w:val="28"/>
              </w:rPr>
            </w:pPr>
            <w:r>
              <w:rPr>
                <w:rFonts w:ascii="Times New Roman" w:hAnsi="Times New Roman"/>
                <w:sz w:val="28"/>
                <w:szCs w:val="28"/>
              </w:rPr>
              <w:t>Жен &lt;1,2</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187</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161</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0,91 (0,65-1,26)</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204BFD">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апоВ, г/л</w:t>
            </w:r>
          </w:p>
          <w:p w:rsidR="006E01DF" w:rsidRDefault="006E01DF">
            <w:pPr>
              <w:jc w:val="center"/>
              <w:rPr>
                <w:rFonts w:ascii="Times New Roman" w:hAnsi="Times New Roman"/>
                <w:sz w:val="28"/>
                <w:szCs w:val="28"/>
              </w:rPr>
            </w:pPr>
            <w:r>
              <w:rPr>
                <w:rFonts w:ascii="Times New Roman" w:hAnsi="Times New Roman"/>
                <w:sz w:val="28"/>
                <w:szCs w:val="28"/>
              </w:rPr>
              <w:t>n=507</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&lt;0,9</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107</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91</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0,52</w:t>
            </w:r>
          </w:p>
        </w:tc>
      </w:tr>
      <w:tr w:rsidR="006E01DF" w:rsidTr="00204BFD">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≥0,9</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158</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151</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1,12 (0,79-1,61)</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204BFD">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 xml:space="preserve">апоА1, г/л </w:t>
            </w:r>
          </w:p>
          <w:p w:rsidR="006E01DF" w:rsidRDefault="006E01DF">
            <w:pPr>
              <w:jc w:val="center"/>
              <w:rPr>
                <w:rFonts w:ascii="Times New Roman" w:hAnsi="Times New Roman"/>
                <w:sz w:val="28"/>
                <w:szCs w:val="28"/>
              </w:rPr>
            </w:pPr>
            <w:r>
              <w:rPr>
                <w:rFonts w:ascii="Times New Roman" w:hAnsi="Times New Roman"/>
                <w:sz w:val="28"/>
                <w:szCs w:val="28"/>
              </w:rPr>
              <w:t>n=507</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color w:val="000000"/>
                <w:sz w:val="28"/>
                <w:szCs w:val="28"/>
              </w:rPr>
            </w:pPr>
            <w:r>
              <w:rPr>
                <w:rFonts w:ascii="Times New Roman" w:hAnsi="Times New Roman"/>
                <w:color w:val="000000"/>
                <w:sz w:val="28"/>
                <w:szCs w:val="28"/>
              </w:rPr>
              <w:t>Муж ≥1,04</w:t>
            </w:r>
          </w:p>
          <w:p w:rsidR="006E01DF" w:rsidRDefault="006E01DF">
            <w:pPr>
              <w:jc w:val="center"/>
              <w:rPr>
                <w:rFonts w:ascii="Times New Roman" w:hAnsi="Times New Roman"/>
                <w:sz w:val="28"/>
                <w:szCs w:val="28"/>
              </w:rPr>
            </w:pPr>
            <w:r>
              <w:rPr>
                <w:rFonts w:ascii="Times New Roman" w:hAnsi="Times New Roman"/>
                <w:color w:val="000000"/>
                <w:sz w:val="28"/>
                <w:szCs w:val="28"/>
              </w:rPr>
              <w:t xml:space="preserve">Жен ≥1,08 </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250</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226</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0,78</w:t>
            </w:r>
          </w:p>
        </w:tc>
      </w:tr>
      <w:tr w:rsidR="006E01DF" w:rsidTr="00204BFD">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color w:val="000000"/>
                <w:sz w:val="28"/>
                <w:szCs w:val="28"/>
              </w:rPr>
            </w:pPr>
            <w:r>
              <w:rPr>
                <w:rFonts w:ascii="Times New Roman" w:hAnsi="Times New Roman"/>
                <w:color w:val="000000"/>
                <w:sz w:val="28"/>
                <w:szCs w:val="28"/>
              </w:rPr>
              <w:t>Муж &lt;1,04</w:t>
            </w:r>
          </w:p>
          <w:p w:rsidR="006E01DF" w:rsidRDefault="006E01DF">
            <w:pPr>
              <w:jc w:val="center"/>
              <w:rPr>
                <w:rFonts w:ascii="Times New Roman" w:hAnsi="Times New Roman"/>
                <w:color w:val="000000"/>
                <w:sz w:val="28"/>
                <w:szCs w:val="28"/>
              </w:rPr>
            </w:pPr>
            <w:r>
              <w:rPr>
                <w:rFonts w:ascii="Times New Roman" w:hAnsi="Times New Roman"/>
                <w:color w:val="000000"/>
                <w:sz w:val="28"/>
                <w:szCs w:val="28"/>
              </w:rPr>
              <w:t>Жен &lt;1,08</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16</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16</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1,11 (0,54-2,26)</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204BFD">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апоВ/апоА1</w:t>
            </w:r>
          </w:p>
          <w:p w:rsidR="006E01DF" w:rsidRDefault="006E01DF">
            <w:pPr>
              <w:jc w:val="center"/>
              <w:rPr>
                <w:rFonts w:ascii="Times New Roman" w:hAnsi="Times New Roman"/>
                <w:sz w:val="28"/>
                <w:szCs w:val="28"/>
              </w:rPr>
            </w:pPr>
            <w:r>
              <w:rPr>
                <w:rFonts w:ascii="Times New Roman" w:hAnsi="Times New Roman"/>
                <w:sz w:val="28"/>
                <w:szCs w:val="28"/>
              </w:rPr>
              <w:t>n=507</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≤0,85</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217</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179</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0,03</w:t>
            </w:r>
          </w:p>
        </w:tc>
      </w:tr>
      <w:tr w:rsidR="006E01DF" w:rsidTr="00204BFD">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&gt;0,85</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48</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63</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1,59 (1,04-2,43)</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204BFD">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Инсулин, мкМЕ/мл n=507</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≤24,9</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243</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221</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0,88</w:t>
            </w:r>
          </w:p>
        </w:tc>
      </w:tr>
      <w:tr w:rsidR="006E01DF" w:rsidTr="00204BFD">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&gt;24,9</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22</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21</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1,05 (0,56-1,96)</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204BFD">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pPr>
              <w:jc w:val="center"/>
              <w:rPr>
                <w:rFonts w:ascii="Times New Roman" w:hAnsi="Times New Roman"/>
                <w:sz w:val="28"/>
                <w:szCs w:val="28"/>
              </w:rPr>
            </w:pPr>
            <w:r>
              <w:rPr>
                <w:rFonts w:ascii="Times New Roman" w:hAnsi="Times New Roman"/>
                <w:sz w:val="28"/>
                <w:szCs w:val="28"/>
              </w:rPr>
              <w:t>HOMA-IR</w:t>
            </w:r>
          </w:p>
          <w:p w:rsidR="006E01DF" w:rsidRDefault="006E01DF">
            <w:pPr>
              <w:jc w:val="center"/>
              <w:rPr>
                <w:rFonts w:ascii="Times New Roman" w:hAnsi="Times New Roman"/>
                <w:sz w:val="28"/>
                <w:szCs w:val="28"/>
              </w:rPr>
            </w:pPr>
            <w:r>
              <w:rPr>
                <w:rFonts w:ascii="Times New Roman" w:hAnsi="Times New Roman"/>
                <w:sz w:val="28"/>
                <w:szCs w:val="28"/>
              </w:rPr>
              <w:t>n=507</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&lt;2,7</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192</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119</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0,0001</w:t>
            </w:r>
          </w:p>
        </w:tc>
      </w:tr>
      <w:tr w:rsidR="006E01DF" w:rsidTr="00204BFD">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≥2,7</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73</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123</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pPr>
              <w:jc w:val="center"/>
              <w:rPr>
                <w:rFonts w:ascii="Times New Roman" w:hAnsi="Times New Roman"/>
                <w:sz w:val="28"/>
                <w:szCs w:val="28"/>
              </w:rPr>
            </w:pPr>
            <w:r>
              <w:rPr>
                <w:rFonts w:ascii="Times New Roman" w:hAnsi="Times New Roman"/>
                <w:sz w:val="28"/>
                <w:szCs w:val="28"/>
              </w:rPr>
              <w:t>2,72 (1,88-3,93)</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pPr>
              <w:rPr>
                <w:rFonts w:ascii="Times New Roman" w:hAnsi="Times New Roman"/>
                <w:sz w:val="28"/>
                <w:szCs w:val="28"/>
              </w:rPr>
            </w:pPr>
          </w:p>
        </w:tc>
      </w:tr>
      <w:tr w:rsidR="006E01DF" w:rsidTr="00204BFD">
        <w:trPr>
          <w:trHeight w:val="451"/>
        </w:trPr>
        <w:tc>
          <w:tcPr>
            <w:tcW w:w="9495" w:type="dxa"/>
            <w:gridSpan w:val="6"/>
            <w:tcBorders>
              <w:top w:val="single" w:sz="4" w:space="0" w:color="auto"/>
              <w:left w:val="single" w:sz="4" w:space="0" w:color="auto"/>
              <w:bottom w:val="single" w:sz="4" w:space="0" w:color="auto"/>
              <w:right w:val="single" w:sz="4" w:space="0" w:color="auto"/>
            </w:tcBorders>
            <w:hideMark/>
          </w:tcPr>
          <w:p w:rsidR="0003756F" w:rsidRDefault="006E01DF">
            <w:pPr>
              <w:jc w:val="both"/>
              <w:rPr>
                <w:rFonts w:ascii="Times New Roman" w:hAnsi="Times New Roman"/>
                <w:szCs w:val="24"/>
                <w:lang w:val="kk-KZ"/>
              </w:rPr>
            </w:pPr>
            <w:r>
              <w:rPr>
                <w:rFonts w:ascii="Times New Roman" w:hAnsi="Times New Roman"/>
                <w:szCs w:val="24"/>
              </w:rPr>
              <w:t>Примечание * - χ</w:t>
            </w:r>
            <w:r>
              <w:rPr>
                <w:rFonts w:ascii="Times New Roman" w:hAnsi="Times New Roman"/>
                <w:szCs w:val="24"/>
                <w:vertAlign w:val="superscript"/>
              </w:rPr>
              <w:t>2</w:t>
            </w:r>
            <w:r>
              <w:rPr>
                <w:rFonts w:ascii="Times New Roman" w:hAnsi="Times New Roman"/>
                <w:szCs w:val="24"/>
              </w:rPr>
              <w:t xml:space="preserve"> – хи квадрат Пирсона; </w:t>
            </w:r>
          </w:p>
          <w:p w:rsidR="006E01DF" w:rsidRDefault="006E01DF">
            <w:pPr>
              <w:jc w:val="both"/>
              <w:rPr>
                <w:rFonts w:ascii="Times New Roman" w:hAnsi="Times New Roman"/>
                <w:sz w:val="20"/>
                <w:szCs w:val="20"/>
              </w:rPr>
            </w:pPr>
            <w:r>
              <w:rPr>
                <w:rFonts w:ascii="Times New Roman" w:hAnsi="Times New Roman"/>
                <w:szCs w:val="24"/>
              </w:rPr>
              <w:t>ОШ (95% ДИ) – Отношение шансов (95% Доверительный интервал)</w:t>
            </w:r>
          </w:p>
        </w:tc>
      </w:tr>
    </w:tbl>
    <w:p w:rsidR="00AB12B3" w:rsidRDefault="00AB12B3" w:rsidP="00AB12B3">
      <w:pPr>
        <w:spacing w:after="0" w:line="240" w:lineRule="auto"/>
        <w:ind w:firstLine="708"/>
        <w:jc w:val="both"/>
        <w:rPr>
          <w:rFonts w:ascii="Times New Roman" w:hAnsi="Times New Roman" w:cs="Times New Roman"/>
          <w:sz w:val="28"/>
          <w:szCs w:val="28"/>
        </w:rPr>
      </w:pPr>
    </w:p>
    <w:p w:rsidR="00AB12B3" w:rsidRDefault="00AB12B3" w:rsidP="003B32A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Таким образом, в настоящем исследовании гипергликемия часто сопровождал</w:t>
      </w:r>
      <w:r w:rsidR="00ED5ACE">
        <w:rPr>
          <w:rFonts w:ascii="Times New Roman" w:hAnsi="Times New Roman" w:cs="Times New Roman"/>
          <w:sz w:val="28"/>
          <w:szCs w:val="28"/>
        </w:rPr>
        <w:t>а</w:t>
      </w:r>
      <w:r>
        <w:rPr>
          <w:rFonts w:ascii="Times New Roman" w:hAnsi="Times New Roman" w:cs="Times New Roman"/>
          <w:sz w:val="28"/>
          <w:szCs w:val="28"/>
        </w:rPr>
        <w:t>сь гипертриглицеридемией и высоким уровнем апоВ/апоА1.</w:t>
      </w:r>
    </w:p>
    <w:p w:rsidR="00A13EC3" w:rsidRDefault="00A13EC3" w:rsidP="00AB12B3">
      <w:pPr>
        <w:spacing w:after="0" w:line="240" w:lineRule="auto"/>
        <w:ind w:firstLine="708"/>
        <w:jc w:val="both"/>
        <w:rPr>
          <w:rFonts w:ascii="Times New Roman" w:hAnsi="Times New Roman" w:cs="Times New Roman"/>
          <w:i/>
          <w:sz w:val="28"/>
          <w:szCs w:val="28"/>
        </w:rPr>
      </w:pPr>
    </w:p>
    <w:p w:rsidR="00AB12B3" w:rsidRDefault="00AB12B3" w:rsidP="00AB12B3">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 xml:space="preserve">Инсулин </w:t>
      </w:r>
    </w:p>
    <w:p w:rsidR="00B13C0B" w:rsidRDefault="00B13C0B" w:rsidP="00B13C0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Как видно в таблице 4</w:t>
      </w:r>
      <w:r w:rsidR="008718C2">
        <w:rPr>
          <w:rFonts w:ascii="Times New Roman" w:hAnsi="Times New Roman" w:cs="Times New Roman"/>
          <w:sz w:val="28"/>
          <w:szCs w:val="28"/>
        </w:rPr>
        <w:t>1</w:t>
      </w:r>
      <w:r>
        <w:rPr>
          <w:rFonts w:ascii="Times New Roman" w:hAnsi="Times New Roman" w:cs="Times New Roman"/>
          <w:sz w:val="28"/>
          <w:szCs w:val="28"/>
        </w:rPr>
        <w:t>, при сравнении средних величин возраста, ИМТ, окружности талии и АД между группами инсулина отличи</w:t>
      </w:r>
      <w:r w:rsidR="00ED5ACE">
        <w:rPr>
          <w:rFonts w:ascii="Times New Roman" w:hAnsi="Times New Roman" w:cs="Times New Roman"/>
          <w:sz w:val="28"/>
          <w:szCs w:val="28"/>
        </w:rPr>
        <w:t>й</w:t>
      </w:r>
      <w:r>
        <w:rPr>
          <w:rFonts w:ascii="Times New Roman" w:hAnsi="Times New Roman" w:cs="Times New Roman"/>
          <w:sz w:val="28"/>
          <w:szCs w:val="28"/>
        </w:rPr>
        <w:t xml:space="preserve"> не </w:t>
      </w:r>
      <w:r w:rsidR="00ED5ACE">
        <w:rPr>
          <w:rFonts w:ascii="Times New Roman" w:hAnsi="Times New Roman" w:cs="Times New Roman"/>
          <w:sz w:val="28"/>
          <w:szCs w:val="28"/>
        </w:rPr>
        <w:t>выявлено</w:t>
      </w:r>
      <w:r>
        <w:rPr>
          <w:rFonts w:ascii="Times New Roman" w:hAnsi="Times New Roman" w:cs="Times New Roman"/>
          <w:sz w:val="28"/>
          <w:szCs w:val="28"/>
        </w:rPr>
        <w:t xml:space="preserve">. </w:t>
      </w:r>
    </w:p>
    <w:p w:rsidR="003654AE" w:rsidRDefault="003654AE" w:rsidP="003654A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выявления ассоциативной связи между уровнем инсулина с факторами риска был применен тест </w:t>
      </w:r>
      <w:r>
        <w:rPr>
          <w:rFonts w:ascii="Times New Roman" w:hAnsi="Times New Roman" w:cs="Times New Roman"/>
          <w:sz w:val="28"/>
          <w:szCs w:val="28"/>
          <w:highlight w:val="white"/>
        </w:rPr>
        <w:t>χ2</w:t>
      </w:r>
      <w:r>
        <w:rPr>
          <w:rFonts w:ascii="Times New Roman" w:hAnsi="Times New Roman" w:cs="Times New Roman"/>
          <w:sz w:val="28"/>
          <w:szCs w:val="28"/>
        </w:rPr>
        <w:t xml:space="preserve"> Пирсона, однако </w:t>
      </w:r>
      <w:r w:rsidR="00C568F2">
        <w:rPr>
          <w:rFonts w:ascii="Times New Roman" w:hAnsi="Times New Roman" w:cs="Times New Roman"/>
          <w:sz w:val="28"/>
          <w:szCs w:val="28"/>
        </w:rPr>
        <w:t xml:space="preserve">в нашем исследовании </w:t>
      </w:r>
      <w:r>
        <w:rPr>
          <w:rFonts w:ascii="Times New Roman" w:hAnsi="Times New Roman" w:cs="Times New Roman"/>
          <w:sz w:val="28"/>
          <w:szCs w:val="28"/>
        </w:rPr>
        <w:t>статистическ</w:t>
      </w:r>
      <w:r w:rsidR="00C568F2">
        <w:rPr>
          <w:rFonts w:ascii="Times New Roman" w:hAnsi="Times New Roman" w:cs="Times New Roman"/>
          <w:sz w:val="28"/>
          <w:szCs w:val="28"/>
        </w:rPr>
        <w:t>и</w:t>
      </w:r>
      <w:r>
        <w:rPr>
          <w:rFonts w:ascii="Times New Roman" w:hAnsi="Times New Roman" w:cs="Times New Roman"/>
          <w:sz w:val="28"/>
          <w:szCs w:val="28"/>
        </w:rPr>
        <w:t xml:space="preserve"> значим</w:t>
      </w:r>
      <w:r w:rsidR="00C568F2">
        <w:rPr>
          <w:rFonts w:ascii="Times New Roman" w:hAnsi="Times New Roman" w:cs="Times New Roman"/>
          <w:sz w:val="28"/>
          <w:szCs w:val="28"/>
        </w:rPr>
        <w:t>ая</w:t>
      </w:r>
      <w:r>
        <w:rPr>
          <w:rFonts w:ascii="Times New Roman" w:hAnsi="Times New Roman" w:cs="Times New Roman"/>
          <w:sz w:val="28"/>
          <w:szCs w:val="28"/>
        </w:rPr>
        <w:t xml:space="preserve"> связ</w:t>
      </w:r>
      <w:r w:rsidR="00C568F2">
        <w:rPr>
          <w:rFonts w:ascii="Times New Roman" w:hAnsi="Times New Roman" w:cs="Times New Roman"/>
          <w:sz w:val="28"/>
          <w:szCs w:val="28"/>
        </w:rPr>
        <w:t>ь</w:t>
      </w:r>
      <w:r>
        <w:rPr>
          <w:rFonts w:ascii="Times New Roman" w:hAnsi="Times New Roman" w:cs="Times New Roman"/>
          <w:sz w:val="28"/>
          <w:szCs w:val="28"/>
        </w:rPr>
        <w:t xml:space="preserve"> </w:t>
      </w:r>
      <w:r w:rsidR="00C568F2">
        <w:rPr>
          <w:rFonts w:ascii="Times New Roman" w:hAnsi="Times New Roman" w:cs="Times New Roman"/>
          <w:sz w:val="28"/>
          <w:szCs w:val="28"/>
        </w:rPr>
        <w:t xml:space="preserve">не была </w:t>
      </w:r>
      <w:r>
        <w:rPr>
          <w:rFonts w:ascii="Times New Roman" w:hAnsi="Times New Roman" w:cs="Times New Roman"/>
          <w:sz w:val="28"/>
          <w:szCs w:val="28"/>
        </w:rPr>
        <w:t>обнаружен</w:t>
      </w:r>
      <w:r w:rsidR="00C568F2">
        <w:rPr>
          <w:rFonts w:ascii="Times New Roman" w:hAnsi="Times New Roman" w:cs="Times New Roman"/>
          <w:sz w:val="28"/>
          <w:szCs w:val="28"/>
        </w:rPr>
        <w:t>а</w:t>
      </w:r>
      <w:r>
        <w:rPr>
          <w:rFonts w:ascii="Times New Roman" w:hAnsi="Times New Roman" w:cs="Times New Roman"/>
          <w:sz w:val="28"/>
          <w:szCs w:val="28"/>
        </w:rPr>
        <w:t xml:space="preserve"> (таблица 42). </w:t>
      </w:r>
    </w:p>
    <w:p w:rsidR="00AD11CD" w:rsidRDefault="00AD11CD" w:rsidP="00AB12B3">
      <w:pPr>
        <w:spacing w:after="0" w:line="240" w:lineRule="auto"/>
        <w:jc w:val="both"/>
        <w:rPr>
          <w:rFonts w:ascii="Times New Roman" w:hAnsi="Times New Roman" w:cs="Times New Roman"/>
          <w:sz w:val="28"/>
          <w:szCs w:val="28"/>
          <w:lang w:val="kk-KZ"/>
        </w:rPr>
      </w:pPr>
    </w:p>
    <w:p w:rsidR="00AB12B3" w:rsidRDefault="00AB12B3" w:rsidP="00AB12B3">
      <w:pPr>
        <w:spacing w:after="0" w:line="240" w:lineRule="auto"/>
        <w:jc w:val="both"/>
        <w:rPr>
          <w:rFonts w:ascii="Times New Roman" w:hAnsi="Times New Roman"/>
          <w:sz w:val="28"/>
          <w:szCs w:val="28"/>
          <w:lang w:val="kk-KZ"/>
        </w:rPr>
      </w:pPr>
      <w:r>
        <w:rPr>
          <w:rFonts w:ascii="Times New Roman" w:hAnsi="Times New Roman" w:cs="Times New Roman"/>
          <w:sz w:val="28"/>
          <w:szCs w:val="28"/>
        </w:rPr>
        <w:t>Таблица 4</w:t>
      </w:r>
      <w:r w:rsidR="008718C2">
        <w:rPr>
          <w:rFonts w:ascii="Times New Roman" w:hAnsi="Times New Roman" w:cs="Times New Roman"/>
          <w:sz w:val="28"/>
          <w:szCs w:val="28"/>
        </w:rPr>
        <w:t>1</w:t>
      </w:r>
      <w:r>
        <w:rPr>
          <w:rFonts w:ascii="Times New Roman" w:hAnsi="Times New Roman" w:cs="Times New Roman"/>
          <w:sz w:val="28"/>
          <w:szCs w:val="28"/>
        </w:rPr>
        <w:t xml:space="preserve"> </w:t>
      </w:r>
      <w:r w:rsidR="00D058C8">
        <w:rPr>
          <w:rFonts w:ascii="Times New Roman" w:hAnsi="Times New Roman" w:cs="Times New Roman"/>
          <w:sz w:val="28"/>
          <w:szCs w:val="28"/>
          <w:lang w:val="kk-KZ"/>
        </w:rPr>
        <w:t xml:space="preserve">- </w:t>
      </w:r>
      <w:r>
        <w:rPr>
          <w:rFonts w:ascii="Times New Roman" w:hAnsi="Times New Roman" w:cs="Times New Roman"/>
          <w:sz w:val="28"/>
          <w:szCs w:val="28"/>
        </w:rPr>
        <w:t xml:space="preserve">Распределение средних величин факторов рисков по группам инсулина </w:t>
      </w:r>
      <w:r w:rsidR="0043525B">
        <w:rPr>
          <w:rFonts w:ascii="Times New Roman" w:hAnsi="Times New Roman" w:cs="Times New Roman"/>
          <w:sz w:val="28"/>
          <w:szCs w:val="28"/>
        </w:rPr>
        <w:t>(</w:t>
      </w:r>
      <w:r>
        <w:rPr>
          <w:rFonts w:ascii="Times New Roman" w:hAnsi="Times New Roman"/>
          <w:sz w:val="28"/>
          <w:szCs w:val="28"/>
        </w:rPr>
        <w:t>n=507</w:t>
      </w:r>
      <w:r w:rsidR="0043525B">
        <w:rPr>
          <w:rFonts w:ascii="Times New Roman" w:hAnsi="Times New Roman"/>
          <w:sz w:val="28"/>
          <w:szCs w:val="28"/>
        </w:rPr>
        <w:t>)</w:t>
      </w:r>
    </w:p>
    <w:p w:rsidR="00AD11CD" w:rsidRPr="00AD11CD" w:rsidRDefault="00AD11CD" w:rsidP="00AB12B3">
      <w:pPr>
        <w:spacing w:after="0" w:line="240" w:lineRule="auto"/>
        <w:jc w:val="both"/>
        <w:rPr>
          <w:rFonts w:ascii="Times New Roman" w:hAnsi="Times New Roman" w:cs="Times New Roman"/>
          <w:sz w:val="28"/>
          <w:szCs w:val="28"/>
          <w:lang w:val="kk-KZ"/>
        </w:rPr>
      </w:pPr>
    </w:p>
    <w:tbl>
      <w:tblPr>
        <w:tblStyle w:val="af7"/>
        <w:tblW w:w="9243" w:type="dxa"/>
        <w:tblInd w:w="108" w:type="dxa"/>
        <w:tblLayout w:type="fixed"/>
        <w:tblLook w:val="04A0" w:firstRow="1" w:lastRow="0" w:firstColumn="1" w:lastColumn="0" w:noHBand="0" w:noVBand="1"/>
      </w:tblPr>
      <w:tblGrid>
        <w:gridCol w:w="3006"/>
        <w:gridCol w:w="2551"/>
        <w:gridCol w:w="2552"/>
        <w:gridCol w:w="1134"/>
      </w:tblGrid>
      <w:tr w:rsidR="00AB12B3" w:rsidTr="00571C1D">
        <w:trPr>
          <w:trHeight w:val="377"/>
        </w:trPr>
        <w:tc>
          <w:tcPr>
            <w:tcW w:w="3006"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5103"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Инсулин, мкМЕ/мл</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571C1D">
        <w:trPr>
          <w:trHeight w:val="379"/>
        </w:trPr>
        <w:tc>
          <w:tcPr>
            <w:tcW w:w="300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55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≤24,9</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&gt;24,9</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571C1D">
        <w:trPr>
          <w:trHeight w:val="323"/>
        </w:trPr>
        <w:tc>
          <w:tcPr>
            <w:tcW w:w="300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Возраст</w:t>
            </w:r>
            <w:r w:rsidRPr="00743EE4">
              <w:rPr>
                <w:rFonts w:ascii="Century" w:hAnsi="Century"/>
                <w:sz w:val="28"/>
                <w:szCs w:val="28"/>
              </w:rPr>
              <w:t xml:space="preserve">, </w:t>
            </w:r>
            <w:r>
              <w:rPr>
                <w:rFonts w:ascii="Times New Roman" w:hAnsi="Times New Roman"/>
                <w:sz w:val="28"/>
                <w:szCs w:val="28"/>
              </w:rPr>
              <w:t>лет</w:t>
            </w:r>
          </w:p>
        </w:tc>
        <w:tc>
          <w:tcPr>
            <w:tcW w:w="2551"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46</w:t>
            </w:r>
            <w:r w:rsidRPr="00743EE4">
              <w:rPr>
                <w:rFonts w:ascii="Century" w:hAnsi="Century"/>
                <w:sz w:val="28"/>
                <w:szCs w:val="28"/>
              </w:rPr>
              <w:t>±</w:t>
            </w:r>
            <w:r>
              <w:rPr>
                <w:rFonts w:ascii="Times New Roman" w:hAnsi="Times New Roman"/>
                <w:sz w:val="28"/>
                <w:szCs w:val="28"/>
              </w:rPr>
              <w:t>17 (39-56)</w:t>
            </w:r>
          </w:p>
        </w:tc>
        <w:tc>
          <w:tcPr>
            <w:tcW w:w="255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48</w:t>
            </w:r>
            <w:r w:rsidRPr="00743EE4">
              <w:rPr>
                <w:rFonts w:ascii="Century" w:hAnsi="Century"/>
                <w:sz w:val="28"/>
                <w:szCs w:val="28"/>
              </w:rPr>
              <w:t>±</w:t>
            </w:r>
            <w:r>
              <w:rPr>
                <w:rFonts w:ascii="Times New Roman" w:hAnsi="Times New Roman"/>
                <w:sz w:val="28"/>
                <w:szCs w:val="28"/>
              </w:rPr>
              <w:t>20 (36-56)</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743EE4">
              <w:rPr>
                <w:rFonts w:ascii="Century" w:hAnsi="Century"/>
                <w:sz w:val="28"/>
                <w:szCs w:val="28"/>
              </w:rPr>
              <w:t>,</w:t>
            </w:r>
            <w:r>
              <w:rPr>
                <w:rFonts w:ascii="Times New Roman" w:hAnsi="Times New Roman"/>
                <w:sz w:val="28"/>
                <w:szCs w:val="28"/>
              </w:rPr>
              <w:t>9</w:t>
            </w:r>
          </w:p>
        </w:tc>
      </w:tr>
      <w:tr w:rsidR="005D64C6" w:rsidTr="003F0171">
        <w:trPr>
          <w:trHeight w:val="323"/>
        </w:trPr>
        <w:tc>
          <w:tcPr>
            <w:tcW w:w="3006"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Окружность талии (см)</w:t>
            </w:r>
          </w:p>
        </w:tc>
        <w:tc>
          <w:tcPr>
            <w:tcW w:w="2551" w:type="dxa"/>
            <w:tcBorders>
              <w:top w:val="nil"/>
              <w:left w:val="single" w:sz="4" w:space="0" w:color="auto"/>
              <w:bottom w:val="single" w:sz="4" w:space="0" w:color="auto"/>
              <w:right w:val="single" w:sz="4" w:space="0" w:color="auto"/>
            </w:tcBorders>
            <w:hideMark/>
          </w:tcPr>
          <w:p w:rsidR="005D64C6" w:rsidRDefault="005D64C6" w:rsidP="003F0171">
            <w:pPr>
              <w:jc w:val="center"/>
            </w:pPr>
            <w:r>
              <w:rPr>
                <w:rFonts w:ascii="Times New Roman" w:hAnsi="Times New Roman"/>
                <w:sz w:val="28"/>
                <w:szCs w:val="28"/>
              </w:rPr>
              <w:t>96</w:t>
            </w:r>
            <w:r w:rsidRPr="00743EE4">
              <w:rPr>
                <w:rFonts w:ascii="Century" w:hAnsi="Century"/>
                <w:sz w:val="28"/>
                <w:szCs w:val="28"/>
              </w:rPr>
              <w:t>±</w:t>
            </w:r>
            <w:r>
              <w:rPr>
                <w:rFonts w:ascii="Times New Roman" w:hAnsi="Times New Roman"/>
                <w:sz w:val="28"/>
                <w:szCs w:val="28"/>
              </w:rPr>
              <w:t>15 (90-105)</w:t>
            </w:r>
          </w:p>
        </w:tc>
        <w:tc>
          <w:tcPr>
            <w:tcW w:w="2552" w:type="dxa"/>
            <w:tcBorders>
              <w:top w:val="nil"/>
              <w:left w:val="single" w:sz="4" w:space="0" w:color="auto"/>
              <w:bottom w:val="single" w:sz="4" w:space="0" w:color="auto"/>
              <w:right w:val="single" w:sz="4" w:space="0" w:color="auto"/>
            </w:tcBorders>
            <w:hideMark/>
          </w:tcPr>
          <w:p w:rsidR="005D64C6" w:rsidRDefault="005D64C6" w:rsidP="003F0171">
            <w:pPr>
              <w:jc w:val="center"/>
            </w:pPr>
            <w:r>
              <w:rPr>
                <w:rFonts w:ascii="Times New Roman" w:hAnsi="Times New Roman"/>
                <w:sz w:val="28"/>
                <w:szCs w:val="28"/>
              </w:rPr>
              <w:t>96</w:t>
            </w:r>
            <w:r w:rsidRPr="00743EE4">
              <w:rPr>
                <w:rFonts w:ascii="Century" w:hAnsi="Century"/>
                <w:sz w:val="28"/>
                <w:szCs w:val="28"/>
              </w:rPr>
              <w:t>±</w:t>
            </w:r>
            <w:r>
              <w:rPr>
                <w:rFonts w:ascii="Times New Roman" w:hAnsi="Times New Roman"/>
                <w:sz w:val="28"/>
                <w:szCs w:val="28"/>
              </w:rPr>
              <w:t>15 (90</w:t>
            </w:r>
            <w:r w:rsidR="00743EE4">
              <w:rPr>
                <w:rFonts w:ascii="Times New Roman" w:hAnsi="Times New Roman"/>
                <w:sz w:val="28"/>
                <w:szCs w:val="28"/>
              </w:rPr>
              <w:t>-</w:t>
            </w:r>
            <w:r>
              <w:rPr>
                <w:rFonts w:ascii="Times New Roman" w:hAnsi="Times New Roman"/>
                <w:sz w:val="28"/>
                <w:szCs w:val="28"/>
              </w:rPr>
              <w:t>105</w:t>
            </w:r>
            <w:r w:rsidR="00743EE4">
              <w:rPr>
                <w:rFonts w:ascii="Times New Roman" w:hAnsi="Times New Roman"/>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0</w:t>
            </w:r>
            <w:r w:rsidRPr="00743EE4">
              <w:rPr>
                <w:rFonts w:ascii="Century" w:hAnsi="Century"/>
                <w:sz w:val="28"/>
                <w:szCs w:val="28"/>
              </w:rPr>
              <w:t>,</w:t>
            </w:r>
            <w:r>
              <w:rPr>
                <w:rFonts w:ascii="Times New Roman" w:hAnsi="Times New Roman"/>
                <w:sz w:val="28"/>
                <w:szCs w:val="28"/>
              </w:rPr>
              <w:t>84</w:t>
            </w:r>
          </w:p>
        </w:tc>
      </w:tr>
      <w:tr w:rsidR="00AB12B3" w:rsidTr="00571C1D">
        <w:trPr>
          <w:trHeight w:val="323"/>
        </w:trPr>
        <w:tc>
          <w:tcPr>
            <w:tcW w:w="300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ИМТ (кг</w:t>
            </w:r>
            <w:r w:rsidRPr="008D4D18">
              <w:rPr>
                <w:rFonts w:ascii="Century" w:hAnsi="Century"/>
                <w:sz w:val="28"/>
                <w:szCs w:val="28"/>
              </w:rPr>
              <w:t>/</w:t>
            </w:r>
            <w:r>
              <w:rPr>
                <w:rFonts w:ascii="Times New Roman" w:hAnsi="Times New Roman"/>
                <w:sz w:val="28"/>
                <w:szCs w:val="28"/>
              </w:rPr>
              <w:t>м</w:t>
            </w:r>
            <w:r>
              <w:rPr>
                <w:rFonts w:ascii="Times New Roman" w:hAnsi="Times New Roman"/>
                <w:sz w:val="28"/>
                <w:szCs w:val="28"/>
                <w:vertAlign w:val="superscript"/>
              </w:rPr>
              <w:t>2</w:t>
            </w:r>
            <w:r>
              <w:rPr>
                <w:rFonts w:ascii="Times New Roman" w:hAnsi="Times New Roman"/>
                <w:sz w:val="28"/>
                <w:szCs w:val="28"/>
              </w:rPr>
              <w:t>)</w:t>
            </w:r>
          </w:p>
        </w:tc>
        <w:tc>
          <w:tcPr>
            <w:tcW w:w="2551"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26</w:t>
            </w:r>
            <w:r w:rsidRPr="008D4D18">
              <w:rPr>
                <w:rFonts w:ascii="Century" w:hAnsi="Century"/>
                <w:sz w:val="28"/>
                <w:szCs w:val="28"/>
              </w:rPr>
              <w:t>,</w:t>
            </w:r>
            <w:r>
              <w:rPr>
                <w:rFonts w:ascii="Times New Roman" w:hAnsi="Times New Roman"/>
                <w:sz w:val="28"/>
                <w:szCs w:val="28"/>
              </w:rPr>
              <w:t>22</w:t>
            </w:r>
            <w:r w:rsidRPr="008D4D18">
              <w:rPr>
                <w:rFonts w:ascii="Century" w:hAnsi="Century"/>
                <w:sz w:val="28"/>
                <w:szCs w:val="28"/>
              </w:rPr>
              <w:t>±</w:t>
            </w:r>
            <w:r>
              <w:rPr>
                <w:rFonts w:ascii="Times New Roman" w:hAnsi="Times New Roman"/>
                <w:sz w:val="28"/>
                <w:szCs w:val="28"/>
              </w:rPr>
              <w:t>5</w:t>
            </w:r>
            <w:r w:rsidRPr="008D4D18">
              <w:rPr>
                <w:rFonts w:ascii="Century" w:hAnsi="Century"/>
                <w:sz w:val="28"/>
                <w:szCs w:val="28"/>
              </w:rPr>
              <w:t>,</w:t>
            </w:r>
            <w:r>
              <w:rPr>
                <w:rFonts w:ascii="Times New Roman" w:hAnsi="Times New Roman"/>
                <w:sz w:val="28"/>
                <w:szCs w:val="28"/>
              </w:rPr>
              <w:t xml:space="preserve">5 </w:t>
            </w:r>
          </w:p>
          <w:p w:rsidR="00AB12B3" w:rsidRDefault="00AB12B3">
            <w:pPr>
              <w:jc w:val="center"/>
            </w:pPr>
            <w:r>
              <w:rPr>
                <w:rFonts w:ascii="Times New Roman" w:hAnsi="Times New Roman"/>
                <w:sz w:val="28"/>
                <w:szCs w:val="28"/>
              </w:rPr>
              <w:t>(23</w:t>
            </w:r>
            <w:r w:rsidRPr="008D4D18">
              <w:rPr>
                <w:rFonts w:ascii="Century" w:hAnsi="Century"/>
                <w:sz w:val="28"/>
                <w:szCs w:val="28"/>
              </w:rPr>
              <w:t>,</w:t>
            </w:r>
            <w:r>
              <w:rPr>
                <w:rFonts w:ascii="Times New Roman" w:hAnsi="Times New Roman"/>
                <w:sz w:val="28"/>
                <w:szCs w:val="28"/>
              </w:rPr>
              <w:t>53-29</w:t>
            </w:r>
            <w:r w:rsidRPr="008D4D18">
              <w:rPr>
                <w:rFonts w:ascii="Century" w:hAnsi="Century"/>
                <w:sz w:val="28"/>
                <w:szCs w:val="28"/>
              </w:rPr>
              <w:t>,</w:t>
            </w:r>
            <w:r>
              <w:rPr>
                <w:rFonts w:ascii="Times New Roman" w:hAnsi="Times New Roman"/>
                <w:sz w:val="28"/>
                <w:szCs w:val="28"/>
              </w:rPr>
              <w:t>04)</w:t>
            </w:r>
          </w:p>
        </w:tc>
        <w:tc>
          <w:tcPr>
            <w:tcW w:w="2552" w:type="dxa"/>
            <w:tcBorders>
              <w:top w:val="nil"/>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24</w:t>
            </w:r>
            <w:r w:rsidRPr="008D4D18">
              <w:rPr>
                <w:rFonts w:ascii="Century" w:hAnsi="Century"/>
                <w:sz w:val="28"/>
                <w:szCs w:val="28"/>
              </w:rPr>
              <w:t>,</w:t>
            </w:r>
            <w:r>
              <w:rPr>
                <w:rFonts w:ascii="Times New Roman" w:hAnsi="Times New Roman"/>
                <w:sz w:val="28"/>
                <w:szCs w:val="28"/>
              </w:rPr>
              <w:t>14</w:t>
            </w:r>
            <w:r w:rsidRPr="008D4D18">
              <w:rPr>
                <w:rFonts w:ascii="Century" w:hAnsi="Century"/>
                <w:sz w:val="28"/>
                <w:szCs w:val="28"/>
              </w:rPr>
              <w:t>±</w:t>
            </w:r>
            <w:r>
              <w:rPr>
                <w:rFonts w:ascii="Times New Roman" w:hAnsi="Times New Roman"/>
                <w:sz w:val="28"/>
                <w:szCs w:val="28"/>
              </w:rPr>
              <w:t>7</w:t>
            </w:r>
            <w:r w:rsidRPr="008D4D18">
              <w:rPr>
                <w:rFonts w:ascii="Century" w:hAnsi="Century"/>
                <w:sz w:val="28"/>
                <w:szCs w:val="28"/>
              </w:rPr>
              <w:t>,</w:t>
            </w:r>
            <w:r>
              <w:rPr>
                <w:rFonts w:ascii="Times New Roman" w:hAnsi="Times New Roman"/>
                <w:sz w:val="28"/>
                <w:szCs w:val="28"/>
              </w:rPr>
              <w:t xml:space="preserve">17 </w:t>
            </w:r>
          </w:p>
          <w:p w:rsidR="00AB12B3" w:rsidRDefault="00AB12B3">
            <w:pPr>
              <w:jc w:val="center"/>
            </w:pPr>
            <w:r>
              <w:rPr>
                <w:rFonts w:ascii="Times New Roman" w:hAnsi="Times New Roman"/>
                <w:sz w:val="28"/>
                <w:szCs w:val="28"/>
              </w:rPr>
              <w:t>(22</w:t>
            </w:r>
            <w:r w:rsidRPr="008D4D18">
              <w:rPr>
                <w:rFonts w:ascii="Century" w:hAnsi="Century"/>
                <w:sz w:val="28"/>
                <w:szCs w:val="28"/>
              </w:rPr>
              <w:t>,</w:t>
            </w:r>
            <w:r>
              <w:rPr>
                <w:rFonts w:ascii="Times New Roman" w:hAnsi="Times New Roman"/>
                <w:sz w:val="28"/>
                <w:szCs w:val="28"/>
              </w:rPr>
              <w:t>23-29</w:t>
            </w:r>
            <w:r w:rsidRPr="008D4D18">
              <w:rPr>
                <w:rFonts w:ascii="Century" w:hAnsi="Century"/>
                <w:sz w:val="28"/>
                <w:szCs w:val="28"/>
              </w:rPr>
              <w:t>,</w:t>
            </w:r>
            <w:r>
              <w:rPr>
                <w:rFonts w:ascii="Times New Roman" w:hAnsi="Times New Roman"/>
                <w:sz w:val="28"/>
                <w:szCs w:val="28"/>
              </w:rPr>
              <w:t>4)</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743EE4">
              <w:rPr>
                <w:rFonts w:ascii="Century" w:hAnsi="Century"/>
                <w:sz w:val="28"/>
                <w:szCs w:val="28"/>
              </w:rPr>
              <w:t>,</w:t>
            </w:r>
            <w:r>
              <w:rPr>
                <w:rFonts w:ascii="Times New Roman" w:hAnsi="Times New Roman"/>
                <w:sz w:val="28"/>
                <w:szCs w:val="28"/>
              </w:rPr>
              <w:t>09</w:t>
            </w:r>
          </w:p>
        </w:tc>
      </w:tr>
      <w:tr w:rsidR="00AB12B3" w:rsidTr="00571C1D">
        <w:trPr>
          <w:trHeight w:val="323"/>
        </w:trPr>
        <w:tc>
          <w:tcPr>
            <w:tcW w:w="300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САД (мм рт.ст.)</w:t>
            </w:r>
          </w:p>
        </w:tc>
        <w:tc>
          <w:tcPr>
            <w:tcW w:w="2551"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120±10 (110-130)</w:t>
            </w:r>
          </w:p>
        </w:tc>
        <w:tc>
          <w:tcPr>
            <w:tcW w:w="255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120±20 (110-130)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0,74</w:t>
            </w:r>
          </w:p>
        </w:tc>
      </w:tr>
      <w:tr w:rsidR="00AB12B3" w:rsidTr="00571C1D">
        <w:trPr>
          <w:trHeight w:val="323"/>
        </w:trPr>
        <w:tc>
          <w:tcPr>
            <w:tcW w:w="3006"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ДАД (мм рт.ст.)</w:t>
            </w:r>
          </w:p>
        </w:tc>
        <w:tc>
          <w:tcPr>
            <w:tcW w:w="2551"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80±20 (70-90)</w:t>
            </w:r>
          </w:p>
        </w:tc>
        <w:tc>
          <w:tcPr>
            <w:tcW w:w="2552"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80±20 (70-90)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0,9</w:t>
            </w:r>
          </w:p>
        </w:tc>
      </w:tr>
      <w:tr w:rsidR="00AB12B3" w:rsidTr="00571C1D">
        <w:trPr>
          <w:trHeight w:val="442"/>
        </w:trPr>
        <w:tc>
          <w:tcPr>
            <w:tcW w:w="9243" w:type="dxa"/>
            <w:gridSpan w:val="4"/>
            <w:tcBorders>
              <w:top w:val="single" w:sz="4" w:space="0" w:color="auto"/>
              <w:left w:val="single" w:sz="4" w:space="0" w:color="auto"/>
              <w:bottom w:val="single" w:sz="4" w:space="0" w:color="auto"/>
              <w:right w:val="single" w:sz="4" w:space="0" w:color="auto"/>
            </w:tcBorders>
            <w:hideMark/>
          </w:tcPr>
          <w:p w:rsidR="00524A45" w:rsidRDefault="00AB12B3">
            <w:pPr>
              <w:jc w:val="both"/>
              <w:rPr>
                <w:rFonts w:ascii="Times New Roman" w:hAnsi="Times New Roman"/>
                <w:szCs w:val="20"/>
              </w:rPr>
            </w:pPr>
            <w:r>
              <w:rPr>
                <w:rFonts w:ascii="Times New Roman" w:hAnsi="Times New Roman"/>
                <w:szCs w:val="20"/>
              </w:rPr>
              <w:t xml:space="preserve">Примечание </w:t>
            </w:r>
            <w:r w:rsidR="00524A45">
              <w:rPr>
                <w:rFonts w:ascii="Times New Roman" w:hAnsi="Times New Roman"/>
                <w:szCs w:val="20"/>
              </w:rPr>
              <w:t xml:space="preserve">ИМТ </w:t>
            </w:r>
            <w:r w:rsidR="00C16F07">
              <w:rPr>
                <w:rFonts w:ascii="Times New Roman" w:hAnsi="Times New Roman"/>
                <w:szCs w:val="20"/>
              </w:rPr>
              <w:t>–</w:t>
            </w:r>
            <w:r w:rsidR="00524A45">
              <w:rPr>
                <w:rFonts w:ascii="Times New Roman" w:hAnsi="Times New Roman"/>
                <w:szCs w:val="20"/>
              </w:rPr>
              <w:t xml:space="preserve"> индекс массы тела</w:t>
            </w:r>
            <w:r>
              <w:rPr>
                <w:rFonts w:ascii="Times New Roman" w:hAnsi="Times New Roman"/>
                <w:szCs w:val="20"/>
              </w:rPr>
              <w:t xml:space="preserve">; </w:t>
            </w:r>
            <w:r w:rsidR="00524A45">
              <w:rPr>
                <w:rFonts w:ascii="Times New Roman" w:hAnsi="Times New Roman"/>
                <w:szCs w:val="20"/>
              </w:rPr>
              <w:t>САД</w:t>
            </w:r>
            <w:r>
              <w:rPr>
                <w:rFonts w:ascii="Times New Roman" w:hAnsi="Times New Roman"/>
                <w:szCs w:val="20"/>
              </w:rPr>
              <w:t xml:space="preserve"> – </w:t>
            </w:r>
            <w:r w:rsidR="00524A45">
              <w:rPr>
                <w:rFonts w:ascii="Times New Roman" w:hAnsi="Times New Roman"/>
                <w:szCs w:val="20"/>
              </w:rPr>
              <w:t>систолическое артериальное давление</w:t>
            </w:r>
            <w:r>
              <w:rPr>
                <w:rFonts w:ascii="Times New Roman" w:hAnsi="Times New Roman"/>
                <w:szCs w:val="20"/>
              </w:rPr>
              <w:t xml:space="preserve">; </w:t>
            </w:r>
            <w:r w:rsidR="00524A45">
              <w:rPr>
                <w:rFonts w:ascii="Times New Roman" w:hAnsi="Times New Roman"/>
                <w:szCs w:val="20"/>
              </w:rPr>
              <w:t>ДАД</w:t>
            </w:r>
            <w:r>
              <w:rPr>
                <w:rFonts w:ascii="Times New Roman" w:hAnsi="Times New Roman"/>
                <w:szCs w:val="20"/>
              </w:rPr>
              <w:t xml:space="preserve"> – </w:t>
            </w:r>
            <w:r w:rsidR="00524A45">
              <w:rPr>
                <w:rFonts w:ascii="Times New Roman" w:hAnsi="Times New Roman"/>
                <w:szCs w:val="20"/>
              </w:rPr>
              <w:t>диастолическое артериальное давление</w:t>
            </w:r>
            <w:r>
              <w:rPr>
                <w:rFonts w:ascii="Times New Roman" w:hAnsi="Times New Roman"/>
                <w:szCs w:val="20"/>
              </w:rPr>
              <w:t xml:space="preserve">; *Критерий Манна-Уитни; </w:t>
            </w:r>
          </w:p>
          <w:p w:rsidR="00AB12B3" w:rsidRDefault="00AB12B3">
            <w:pPr>
              <w:jc w:val="both"/>
              <w:rPr>
                <w:rFonts w:ascii="Times New Roman" w:hAnsi="Times New Roman"/>
                <w:sz w:val="20"/>
                <w:szCs w:val="20"/>
              </w:rPr>
            </w:pPr>
            <w:r>
              <w:rPr>
                <w:rFonts w:ascii="Times New Roman" w:hAnsi="Times New Roman"/>
                <w:szCs w:val="20"/>
              </w:rPr>
              <w:t xml:space="preserve">Ме±IQR (Q1 – Q3) </w:t>
            </w:r>
            <w:r w:rsidR="00C16F07">
              <w:rPr>
                <w:rFonts w:ascii="Times New Roman" w:hAnsi="Times New Roman"/>
                <w:szCs w:val="20"/>
              </w:rPr>
              <w:t>–</w:t>
            </w:r>
            <w:r>
              <w:rPr>
                <w:rFonts w:ascii="Times New Roman" w:hAnsi="Times New Roman"/>
                <w:szCs w:val="20"/>
              </w:rPr>
              <w:t xml:space="preserve"> Медиана ± межквартильный диапазон (1 квартиль – 3 квартиль)</w:t>
            </w:r>
          </w:p>
        </w:tc>
      </w:tr>
    </w:tbl>
    <w:p w:rsidR="00AB12B3" w:rsidRDefault="00AB12B3" w:rsidP="00AB12B3">
      <w:pPr>
        <w:spacing w:after="0" w:line="240" w:lineRule="auto"/>
        <w:jc w:val="both"/>
        <w:rPr>
          <w:rFonts w:ascii="Times New Roman" w:hAnsi="Times New Roman" w:cs="Times New Roman"/>
          <w:sz w:val="28"/>
          <w:szCs w:val="28"/>
        </w:rPr>
      </w:pPr>
    </w:p>
    <w:p w:rsidR="000A1C4E" w:rsidRDefault="000A1C4E" w:rsidP="000A1C4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Уровень инсулина не был связан с полом, показателями ИМТ, окружности талии и АД в</w:t>
      </w:r>
      <w:r w:rsidR="00826F7B">
        <w:rPr>
          <w:rFonts w:ascii="Times New Roman" w:hAnsi="Times New Roman" w:cs="Times New Roman"/>
          <w:sz w:val="28"/>
          <w:szCs w:val="28"/>
        </w:rPr>
        <w:t xml:space="preserve"> исследуемой выборке</w:t>
      </w:r>
      <w:r w:rsidR="002E0B5F">
        <w:rPr>
          <w:rFonts w:ascii="Times New Roman" w:hAnsi="Times New Roman" w:cs="Times New Roman"/>
          <w:sz w:val="28"/>
          <w:szCs w:val="28"/>
        </w:rPr>
        <w:t>.</w:t>
      </w:r>
    </w:p>
    <w:p w:rsidR="00AD11CD" w:rsidRDefault="00AD11CD" w:rsidP="00AD11C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сравнении средних величин в группах с гиперинсулинемией и нормальными показателями была обнаружена достоверно значимая разница уровня ТГ и </w:t>
      </w:r>
      <w:r>
        <w:rPr>
          <w:rFonts w:ascii="Times New Roman" w:hAnsi="Times New Roman"/>
          <w:sz w:val="28"/>
          <w:szCs w:val="28"/>
        </w:rPr>
        <w:t>HOMA-IR</w:t>
      </w:r>
      <w:r>
        <w:rPr>
          <w:rFonts w:ascii="Times New Roman" w:hAnsi="Times New Roman" w:cs="Times New Roman"/>
          <w:sz w:val="28"/>
          <w:szCs w:val="28"/>
        </w:rPr>
        <w:t xml:space="preserve"> (р=0,0001) (таблица 43). Между группами ОХС, ЛПВП, ЛПНП, апоВ, апоВ/апоА1 и глюкозы отличие в средних величинах инсулина не выявлено. В данном исследовании участники с гиперинсулинемией чаще совокупно имели гипертриглицеридемию и высокие уровни </w:t>
      </w:r>
      <w:r>
        <w:rPr>
          <w:rFonts w:ascii="Times New Roman" w:hAnsi="Times New Roman"/>
          <w:sz w:val="28"/>
          <w:szCs w:val="28"/>
        </w:rPr>
        <w:t>HOMA-IR</w:t>
      </w:r>
      <w:r>
        <w:rPr>
          <w:rFonts w:ascii="Times New Roman" w:hAnsi="Times New Roman" w:cs="Times New Roman"/>
          <w:sz w:val="28"/>
          <w:szCs w:val="28"/>
        </w:rPr>
        <w:t xml:space="preserve"> (таблица 43). </w:t>
      </w:r>
    </w:p>
    <w:p w:rsidR="003654AE" w:rsidRDefault="003654AE" w:rsidP="00AB12B3">
      <w:pPr>
        <w:spacing w:after="0" w:line="240" w:lineRule="auto"/>
        <w:jc w:val="both"/>
        <w:rPr>
          <w:rFonts w:ascii="Times New Roman" w:hAnsi="Times New Roman" w:cs="Times New Roman"/>
          <w:sz w:val="28"/>
          <w:szCs w:val="28"/>
          <w:lang w:val="kk-KZ"/>
        </w:rPr>
      </w:pPr>
    </w:p>
    <w:p w:rsidR="00AD11CD" w:rsidRDefault="00AD11CD" w:rsidP="00AB12B3">
      <w:pPr>
        <w:spacing w:after="0" w:line="240" w:lineRule="auto"/>
        <w:jc w:val="both"/>
        <w:rPr>
          <w:rFonts w:ascii="Times New Roman" w:hAnsi="Times New Roman" w:cs="Times New Roman"/>
          <w:sz w:val="28"/>
          <w:szCs w:val="28"/>
          <w:lang w:val="kk-KZ"/>
        </w:rPr>
        <w:sectPr w:rsidR="00AD11CD" w:rsidSect="005B1090">
          <w:pgSz w:w="11906" w:h="16838"/>
          <w:pgMar w:top="1134" w:right="850" w:bottom="1134" w:left="1701" w:header="708" w:footer="708" w:gutter="0"/>
          <w:cols w:space="720"/>
        </w:sectPr>
      </w:pPr>
    </w:p>
    <w:p w:rsidR="00AB12B3" w:rsidRDefault="00AB12B3" w:rsidP="00AB12B3">
      <w:pPr>
        <w:spacing w:after="0" w:line="240" w:lineRule="auto"/>
        <w:jc w:val="both"/>
        <w:rPr>
          <w:rFonts w:ascii="Times New Roman" w:hAnsi="Times New Roman"/>
          <w:sz w:val="28"/>
          <w:szCs w:val="28"/>
          <w:lang w:val="kk-KZ"/>
        </w:rPr>
      </w:pPr>
      <w:r>
        <w:rPr>
          <w:rFonts w:ascii="Times New Roman" w:hAnsi="Times New Roman" w:cs="Times New Roman"/>
          <w:sz w:val="28"/>
          <w:szCs w:val="28"/>
        </w:rPr>
        <w:lastRenderedPageBreak/>
        <w:t>Таблица 4</w:t>
      </w:r>
      <w:r w:rsidR="008718C2">
        <w:rPr>
          <w:rFonts w:ascii="Times New Roman" w:hAnsi="Times New Roman" w:cs="Times New Roman"/>
          <w:sz w:val="28"/>
          <w:szCs w:val="28"/>
        </w:rPr>
        <w:t>2</w:t>
      </w:r>
      <w:r>
        <w:rPr>
          <w:rFonts w:ascii="Times New Roman" w:hAnsi="Times New Roman" w:cs="Times New Roman"/>
          <w:sz w:val="28"/>
          <w:szCs w:val="28"/>
        </w:rPr>
        <w:t xml:space="preserve"> </w:t>
      </w:r>
      <w:r w:rsidR="00D058C8">
        <w:rPr>
          <w:rFonts w:ascii="Times New Roman" w:hAnsi="Times New Roman" w:cs="Times New Roman"/>
          <w:sz w:val="28"/>
          <w:szCs w:val="28"/>
          <w:lang w:val="kk-KZ"/>
        </w:rPr>
        <w:t xml:space="preserve">- </w:t>
      </w:r>
      <w:r>
        <w:rPr>
          <w:rFonts w:ascii="Times New Roman" w:hAnsi="Times New Roman" w:cs="Times New Roman"/>
          <w:sz w:val="28"/>
          <w:szCs w:val="28"/>
        </w:rPr>
        <w:t xml:space="preserve">Распределение факторов рисков по группам инсулина </w:t>
      </w:r>
      <w:r w:rsidR="0043525B">
        <w:rPr>
          <w:rFonts w:ascii="Times New Roman" w:hAnsi="Times New Roman" w:cs="Times New Roman"/>
          <w:sz w:val="28"/>
          <w:szCs w:val="28"/>
        </w:rPr>
        <w:t>(</w:t>
      </w:r>
      <w:r>
        <w:rPr>
          <w:rFonts w:ascii="Times New Roman" w:hAnsi="Times New Roman"/>
          <w:sz w:val="28"/>
          <w:szCs w:val="28"/>
        </w:rPr>
        <w:t>n=507</w:t>
      </w:r>
      <w:r w:rsidR="0043525B">
        <w:rPr>
          <w:rFonts w:ascii="Times New Roman" w:hAnsi="Times New Roman"/>
          <w:sz w:val="28"/>
          <w:szCs w:val="28"/>
        </w:rPr>
        <w:t>)</w:t>
      </w:r>
    </w:p>
    <w:p w:rsidR="00AD11CD" w:rsidRPr="00AD11CD" w:rsidRDefault="00AD11CD" w:rsidP="00AB12B3">
      <w:pPr>
        <w:spacing w:after="0" w:line="240" w:lineRule="auto"/>
        <w:jc w:val="both"/>
        <w:rPr>
          <w:rFonts w:ascii="Times New Roman" w:hAnsi="Times New Roman" w:cs="Times New Roman"/>
          <w:sz w:val="28"/>
          <w:szCs w:val="28"/>
          <w:lang w:val="kk-KZ"/>
        </w:rPr>
      </w:pPr>
    </w:p>
    <w:tbl>
      <w:tblPr>
        <w:tblStyle w:val="af7"/>
        <w:tblW w:w="9495" w:type="dxa"/>
        <w:tblInd w:w="108" w:type="dxa"/>
        <w:tblLayout w:type="fixed"/>
        <w:tblLook w:val="04A0" w:firstRow="1" w:lastRow="0" w:firstColumn="1" w:lastColumn="0" w:noHBand="0" w:noVBand="1"/>
      </w:tblPr>
      <w:tblGrid>
        <w:gridCol w:w="1417"/>
        <w:gridCol w:w="1558"/>
        <w:gridCol w:w="1418"/>
        <w:gridCol w:w="1275"/>
        <w:gridCol w:w="2834"/>
        <w:gridCol w:w="993"/>
      </w:tblGrid>
      <w:tr w:rsidR="00AB12B3" w:rsidTr="00DE5C85">
        <w:trPr>
          <w:trHeight w:val="377"/>
        </w:trPr>
        <w:tc>
          <w:tcPr>
            <w:tcW w:w="297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2693"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Инсулин, мкМЕ/мл</w:t>
            </w:r>
          </w:p>
        </w:tc>
        <w:tc>
          <w:tcPr>
            <w:tcW w:w="28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ОШ (95% ДИ)</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DE5C85">
        <w:trPr>
          <w:trHeight w:val="379"/>
        </w:trPr>
        <w:tc>
          <w:tcPr>
            <w:tcW w:w="2975" w:type="dxa"/>
            <w:gridSpan w:val="2"/>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≤24,9 n</w:t>
            </w:r>
          </w:p>
        </w:tc>
        <w:tc>
          <w:tcPr>
            <w:tcW w:w="1275"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&gt;24,9 n</w:t>
            </w:r>
          </w:p>
        </w:tc>
        <w:tc>
          <w:tcPr>
            <w:tcW w:w="28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DE5C85">
        <w:trPr>
          <w:trHeight w:val="317"/>
        </w:trPr>
        <w:tc>
          <w:tcPr>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Пол</w:t>
            </w:r>
          </w:p>
        </w:tc>
        <w:tc>
          <w:tcPr>
            <w:tcW w:w="155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Муж</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226</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19</w:t>
            </w:r>
          </w:p>
        </w:tc>
        <w:tc>
          <w:tcPr>
            <w:tcW w:w="28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0,57</w:t>
            </w:r>
          </w:p>
        </w:tc>
      </w:tr>
      <w:tr w:rsidR="00AB12B3" w:rsidTr="00DE5C85">
        <w:trPr>
          <w:trHeight w:val="323"/>
        </w:trPr>
        <w:tc>
          <w:tcPr>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 xml:space="preserve">Жен </w:t>
            </w:r>
          </w:p>
        </w:tc>
        <w:tc>
          <w:tcPr>
            <w:tcW w:w="1418"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238</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24</w:t>
            </w:r>
          </w:p>
        </w:tc>
        <w:tc>
          <w:tcPr>
            <w:tcW w:w="28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0,83 (0,44-1,56)</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DE5C85">
        <w:trPr>
          <w:trHeight w:val="323"/>
        </w:trPr>
        <w:tc>
          <w:tcPr>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Возраст, лет</w:t>
            </w:r>
          </w:p>
        </w:tc>
        <w:tc>
          <w:tcPr>
            <w:tcW w:w="155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18 – 35</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77</w:t>
            </w:r>
          </w:p>
        </w:tc>
        <w:tc>
          <w:tcPr>
            <w:tcW w:w="1275"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9</w:t>
            </w:r>
          </w:p>
        </w:tc>
        <w:tc>
          <w:tcPr>
            <w:tcW w:w="28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0,78</w:t>
            </w:r>
          </w:p>
        </w:tc>
      </w:tr>
      <w:tr w:rsidR="00AB12B3" w:rsidTr="00DE5C85">
        <w:trPr>
          <w:trHeight w:val="323"/>
        </w:trPr>
        <w:tc>
          <w:tcPr>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36 – 45</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137</w:t>
            </w:r>
          </w:p>
        </w:tc>
        <w:tc>
          <w:tcPr>
            <w:tcW w:w="1275"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10</w:t>
            </w:r>
          </w:p>
        </w:tc>
        <w:tc>
          <w:tcPr>
            <w:tcW w:w="28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0,62 (0,24-1,6)</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DE5C85">
        <w:trPr>
          <w:trHeight w:val="323"/>
        </w:trPr>
        <w:tc>
          <w:tcPr>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46 – 55</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132</w:t>
            </w:r>
          </w:p>
        </w:tc>
        <w:tc>
          <w:tcPr>
            <w:tcW w:w="1275"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w:t>
            </w:r>
          </w:p>
        </w:tc>
        <w:tc>
          <w:tcPr>
            <w:tcW w:w="28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0,78 (0,31-1,93)</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DE5C85">
        <w:trPr>
          <w:trHeight w:val="323"/>
        </w:trPr>
        <w:tc>
          <w:tcPr>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56 – 65</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118</w:t>
            </w:r>
          </w:p>
        </w:tc>
        <w:tc>
          <w:tcPr>
            <w:tcW w:w="1275"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12</w:t>
            </w:r>
          </w:p>
        </w:tc>
        <w:tc>
          <w:tcPr>
            <w:tcW w:w="28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0,87 (0,35-2,16)</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5D64C6" w:rsidTr="003F0171">
        <w:trPr>
          <w:trHeight w:val="323"/>
        </w:trPr>
        <w:tc>
          <w:tcPr>
            <w:tcW w:w="1417" w:type="dxa"/>
            <w:vMerge w:val="restart"/>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Окружность талии (см)</w:t>
            </w:r>
          </w:p>
        </w:tc>
        <w:tc>
          <w:tcPr>
            <w:tcW w:w="1558"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муж &lt;102</w:t>
            </w:r>
          </w:p>
          <w:p w:rsidR="005D64C6" w:rsidRDefault="005D64C6" w:rsidP="003F0171">
            <w:pPr>
              <w:jc w:val="center"/>
              <w:rPr>
                <w:rFonts w:ascii="Times New Roman" w:hAnsi="Times New Roman"/>
                <w:sz w:val="28"/>
                <w:szCs w:val="28"/>
              </w:rPr>
            </w:pPr>
            <w:r>
              <w:rPr>
                <w:rFonts w:ascii="Times New Roman" w:hAnsi="Times New Roman"/>
                <w:sz w:val="28"/>
                <w:szCs w:val="28"/>
              </w:rPr>
              <w:t xml:space="preserve">жен &lt;88 </w:t>
            </w:r>
          </w:p>
        </w:tc>
        <w:tc>
          <w:tcPr>
            <w:tcW w:w="1418"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176</w:t>
            </w:r>
          </w:p>
        </w:tc>
        <w:tc>
          <w:tcPr>
            <w:tcW w:w="1275"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288</w:t>
            </w:r>
          </w:p>
        </w:tc>
        <w:tc>
          <w:tcPr>
            <w:tcW w:w="2834"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0,69</w:t>
            </w:r>
          </w:p>
        </w:tc>
      </w:tr>
      <w:tr w:rsidR="005D64C6" w:rsidTr="003F0171">
        <w:trPr>
          <w:trHeight w:val="323"/>
        </w:trPr>
        <w:tc>
          <w:tcPr>
            <w:tcW w:w="1417" w:type="dxa"/>
            <w:vMerge/>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rPr>
                <w:rFonts w:ascii="Times New Roman" w:hAnsi="Times New Roman"/>
                <w:sz w:val="28"/>
                <w:szCs w:val="28"/>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jc w:val="center"/>
              <w:rPr>
                <w:rFonts w:ascii="Times New Roman" w:hAnsi="Times New Roman"/>
                <w:sz w:val="28"/>
                <w:szCs w:val="28"/>
              </w:rPr>
            </w:pPr>
            <w:r>
              <w:rPr>
                <w:rFonts w:ascii="Times New Roman" w:hAnsi="Times New Roman"/>
                <w:sz w:val="28"/>
                <w:szCs w:val="28"/>
              </w:rPr>
              <w:t>муж ≥102</w:t>
            </w:r>
          </w:p>
          <w:p w:rsidR="005D64C6" w:rsidRDefault="005D64C6" w:rsidP="003F0171">
            <w:pPr>
              <w:jc w:val="center"/>
              <w:rPr>
                <w:rFonts w:ascii="Times New Roman" w:hAnsi="Times New Roman"/>
                <w:sz w:val="28"/>
                <w:szCs w:val="28"/>
              </w:rPr>
            </w:pPr>
            <w:r>
              <w:rPr>
                <w:rFonts w:ascii="Times New Roman" w:hAnsi="Times New Roman"/>
                <w:sz w:val="28"/>
                <w:szCs w:val="28"/>
              </w:rPr>
              <w:t xml:space="preserve">жен ≥88 </w:t>
            </w:r>
          </w:p>
        </w:tc>
        <w:tc>
          <w:tcPr>
            <w:tcW w:w="1418"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15</w:t>
            </w:r>
          </w:p>
        </w:tc>
        <w:tc>
          <w:tcPr>
            <w:tcW w:w="1275" w:type="dxa"/>
            <w:tcBorders>
              <w:top w:val="nil"/>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28</w:t>
            </w:r>
          </w:p>
        </w:tc>
        <w:tc>
          <w:tcPr>
            <w:tcW w:w="2834" w:type="dxa"/>
            <w:tcBorders>
              <w:top w:val="single" w:sz="4" w:space="0" w:color="auto"/>
              <w:left w:val="single" w:sz="4" w:space="0" w:color="auto"/>
              <w:bottom w:val="single" w:sz="4" w:space="0" w:color="auto"/>
              <w:right w:val="single" w:sz="4" w:space="0" w:color="auto"/>
            </w:tcBorders>
            <w:hideMark/>
          </w:tcPr>
          <w:p w:rsidR="005D64C6" w:rsidRDefault="005D64C6" w:rsidP="003F0171">
            <w:pPr>
              <w:jc w:val="center"/>
              <w:rPr>
                <w:rFonts w:ascii="Times New Roman" w:hAnsi="Times New Roman"/>
                <w:sz w:val="28"/>
                <w:szCs w:val="28"/>
              </w:rPr>
            </w:pPr>
            <w:r>
              <w:rPr>
                <w:rFonts w:ascii="Times New Roman" w:hAnsi="Times New Roman"/>
                <w:sz w:val="28"/>
                <w:szCs w:val="28"/>
              </w:rPr>
              <w:t>1,14 (0,59-2,19)</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5D64C6" w:rsidRDefault="005D64C6" w:rsidP="003F0171">
            <w:pPr>
              <w:rPr>
                <w:rFonts w:ascii="Times New Roman" w:hAnsi="Times New Roman"/>
                <w:sz w:val="28"/>
                <w:szCs w:val="28"/>
              </w:rPr>
            </w:pPr>
          </w:p>
        </w:tc>
      </w:tr>
      <w:tr w:rsidR="00AB12B3" w:rsidTr="00DE5C85">
        <w:trPr>
          <w:trHeight w:val="323"/>
        </w:trPr>
        <w:tc>
          <w:tcPr>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ИМТ (кг/м</w:t>
            </w:r>
            <w:r>
              <w:rPr>
                <w:rFonts w:ascii="Times New Roman" w:hAnsi="Times New Roman"/>
                <w:sz w:val="28"/>
                <w:szCs w:val="28"/>
                <w:vertAlign w:val="superscript"/>
              </w:rPr>
              <w:t>2</w:t>
            </w:r>
            <w:r>
              <w:rPr>
                <w:rFonts w:ascii="Times New Roman" w:hAnsi="Times New Roman"/>
                <w:sz w:val="28"/>
                <w:szCs w:val="28"/>
              </w:rPr>
              <w:t>)</w:t>
            </w:r>
          </w:p>
        </w:tc>
        <w:tc>
          <w:tcPr>
            <w:tcW w:w="155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НВ</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178</w:t>
            </w:r>
          </w:p>
        </w:tc>
        <w:tc>
          <w:tcPr>
            <w:tcW w:w="1275"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23</w:t>
            </w:r>
          </w:p>
        </w:tc>
        <w:tc>
          <w:tcPr>
            <w:tcW w:w="28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0,83</w:t>
            </w:r>
          </w:p>
        </w:tc>
      </w:tr>
      <w:tr w:rsidR="00AB12B3" w:rsidTr="00DE5C85">
        <w:trPr>
          <w:trHeight w:val="323"/>
        </w:trPr>
        <w:tc>
          <w:tcPr>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8"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ИВ</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203</w:t>
            </w:r>
          </w:p>
        </w:tc>
        <w:tc>
          <w:tcPr>
            <w:tcW w:w="1275"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w:t>
            </w:r>
          </w:p>
        </w:tc>
        <w:tc>
          <w:tcPr>
            <w:tcW w:w="28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0,04 (0,01-0,28)</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DE5C85">
        <w:trPr>
          <w:trHeight w:val="323"/>
        </w:trPr>
        <w:tc>
          <w:tcPr>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8"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Ож</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83</w:t>
            </w:r>
          </w:p>
        </w:tc>
        <w:tc>
          <w:tcPr>
            <w:tcW w:w="1275"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9</w:t>
            </w:r>
          </w:p>
        </w:tc>
        <w:tc>
          <w:tcPr>
            <w:tcW w:w="28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0,84 (0,37-1,89)</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DE5C85">
        <w:trPr>
          <w:trHeight w:val="323"/>
        </w:trPr>
        <w:tc>
          <w:tcPr>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Статус курения</w:t>
            </w:r>
          </w:p>
        </w:tc>
        <w:tc>
          <w:tcPr>
            <w:tcW w:w="1558" w:type="dxa"/>
            <w:tcBorders>
              <w:top w:val="nil"/>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Не курит</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307</w:t>
            </w:r>
          </w:p>
        </w:tc>
        <w:tc>
          <w:tcPr>
            <w:tcW w:w="1275"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33</w:t>
            </w:r>
          </w:p>
        </w:tc>
        <w:tc>
          <w:tcPr>
            <w:tcW w:w="28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0,34</w:t>
            </w:r>
          </w:p>
        </w:tc>
      </w:tr>
      <w:tr w:rsidR="00AB12B3" w:rsidTr="00DE5C85">
        <w:trPr>
          <w:trHeight w:val="323"/>
        </w:trPr>
        <w:tc>
          <w:tcPr>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Курит</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132</w:t>
            </w:r>
          </w:p>
        </w:tc>
        <w:tc>
          <w:tcPr>
            <w:tcW w:w="1275"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9</w:t>
            </w:r>
          </w:p>
        </w:tc>
        <w:tc>
          <w:tcPr>
            <w:tcW w:w="28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0,63 (0,29-1,36)</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DE5C85">
        <w:trPr>
          <w:trHeight w:val="323"/>
        </w:trPr>
        <w:tc>
          <w:tcPr>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Бросил</w:t>
            </w:r>
          </w:p>
        </w:tc>
        <w:tc>
          <w:tcPr>
            <w:tcW w:w="1418"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25</w:t>
            </w:r>
          </w:p>
        </w:tc>
        <w:tc>
          <w:tcPr>
            <w:tcW w:w="1275" w:type="dxa"/>
            <w:tcBorders>
              <w:top w:val="nil"/>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w:t>
            </w:r>
          </w:p>
        </w:tc>
        <w:tc>
          <w:tcPr>
            <w:tcW w:w="28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0,37 (0,05-2,84)</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DE5C85">
        <w:trPr>
          <w:trHeight w:val="442"/>
        </w:trPr>
        <w:tc>
          <w:tcPr>
            <w:tcW w:w="9495" w:type="dxa"/>
            <w:gridSpan w:val="6"/>
            <w:tcBorders>
              <w:top w:val="single" w:sz="4" w:space="0" w:color="auto"/>
              <w:left w:val="single" w:sz="4" w:space="0" w:color="auto"/>
              <w:bottom w:val="single" w:sz="4" w:space="0" w:color="auto"/>
              <w:right w:val="single" w:sz="4" w:space="0" w:color="auto"/>
            </w:tcBorders>
            <w:hideMark/>
          </w:tcPr>
          <w:p w:rsidR="00524A45" w:rsidRDefault="00AB12B3" w:rsidP="00524A45">
            <w:pPr>
              <w:jc w:val="both"/>
              <w:rPr>
                <w:rFonts w:ascii="Times New Roman" w:hAnsi="Times New Roman"/>
              </w:rPr>
            </w:pPr>
            <w:r>
              <w:rPr>
                <w:rFonts w:ascii="Times New Roman" w:hAnsi="Times New Roman"/>
              </w:rPr>
              <w:t xml:space="preserve">Примечание НВ </w:t>
            </w:r>
            <w:r w:rsidR="00C16F07">
              <w:rPr>
                <w:rFonts w:ascii="Times New Roman" w:hAnsi="Times New Roman"/>
              </w:rPr>
              <w:t>–</w:t>
            </w:r>
            <w:r>
              <w:rPr>
                <w:rFonts w:ascii="Times New Roman" w:hAnsi="Times New Roman"/>
              </w:rPr>
              <w:t xml:space="preserve"> нормальный вес; ИВ – избыточный вес; Ож – ожирение; </w:t>
            </w:r>
          </w:p>
          <w:p w:rsidR="00AB12B3" w:rsidRDefault="00AB12B3" w:rsidP="00524A45">
            <w:pPr>
              <w:jc w:val="both"/>
              <w:rPr>
                <w:rFonts w:ascii="Times New Roman" w:hAnsi="Times New Roman"/>
              </w:rPr>
            </w:pPr>
            <w:r>
              <w:rPr>
                <w:rFonts w:ascii="Times New Roman" w:hAnsi="Times New Roman"/>
              </w:rPr>
              <w:t>* - χ</w:t>
            </w:r>
            <w:r>
              <w:rPr>
                <w:rFonts w:ascii="Times New Roman" w:hAnsi="Times New Roman"/>
                <w:vertAlign w:val="superscript"/>
              </w:rPr>
              <w:t>2</w:t>
            </w:r>
            <w:r>
              <w:rPr>
                <w:rFonts w:ascii="Times New Roman" w:hAnsi="Times New Roman"/>
              </w:rPr>
              <w:t xml:space="preserve"> – хи квадрат Пирсона; </w:t>
            </w:r>
            <w:r>
              <w:rPr>
                <w:rFonts w:ascii="Times New Roman" w:hAnsi="Times New Roman"/>
                <w:szCs w:val="24"/>
              </w:rPr>
              <w:t>ОШ (95% ДИ) – Отношение шансов (95% Доверительный интервал)</w:t>
            </w:r>
          </w:p>
        </w:tc>
      </w:tr>
    </w:tbl>
    <w:p w:rsidR="003654AE" w:rsidRPr="00314936" w:rsidRDefault="003654AE" w:rsidP="00314936">
      <w:pPr>
        <w:spacing w:after="0" w:line="240" w:lineRule="auto"/>
        <w:jc w:val="both"/>
        <w:rPr>
          <w:rFonts w:ascii="Times New Roman" w:hAnsi="Times New Roman" w:cs="Times New Roman"/>
          <w:sz w:val="28"/>
          <w:szCs w:val="28"/>
        </w:rPr>
      </w:pPr>
    </w:p>
    <w:p w:rsidR="006F5758" w:rsidRDefault="006F5758" w:rsidP="00D058C8">
      <w:pPr>
        <w:spacing w:after="0" w:line="240" w:lineRule="auto"/>
        <w:jc w:val="both"/>
        <w:rPr>
          <w:rFonts w:ascii="Times New Roman" w:hAnsi="Times New Roman"/>
          <w:sz w:val="28"/>
          <w:szCs w:val="28"/>
          <w:lang w:val="kk-KZ"/>
        </w:rPr>
      </w:pPr>
      <w:r>
        <w:rPr>
          <w:rFonts w:ascii="Times New Roman" w:hAnsi="Times New Roman" w:cs="Times New Roman"/>
          <w:sz w:val="28"/>
          <w:szCs w:val="28"/>
        </w:rPr>
        <w:t>Таблица 4</w:t>
      </w:r>
      <w:r w:rsidR="008718C2">
        <w:rPr>
          <w:rFonts w:ascii="Times New Roman" w:hAnsi="Times New Roman" w:cs="Times New Roman"/>
          <w:sz w:val="28"/>
          <w:szCs w:val="28"/>
        </w:rPr>
        <w:t>3</w:t>
      </w:r>
      <w:r w:rsidR="00D058C8">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факторов рисков и биохимических показателей по группам инсулина </w:t>
      </w:r>
      <w:r w:rsidR="0043525B">
        <w:rPr>
          <w:rFonts w:ascii="Times New Roman" w:hAnsi="Times New Roman" w:cs="Times New Roman"/>
          <w:sz w:val="28"/>
          <w:szCs w:val="28"/>
        </w:rPr>
        <w:t>(</w:t>
      </w:r>
      <w:r>
        <w:rPr>
          <w:rFonts w:ascii="Times New Roman" w:hAnsi="Times New Roman"/>
          <w:sz w:val="28"/>
          <w:szCs w:val="28"/>
        </w:rPr>
        <w:t>n=507</w:t>
      </w:r>
      <w:r w:rsidR="0043525B">
        <w:rPr>
          <w:rFonts w:ascii="Times New Roman" w:hAnsi="Times New Roman"/>
          <w:sz w:val="28"/>
          <w:szCs w:val="28"/>
        </w:rPr>
        <w:t>)</w:t>
      </w:r>
    </w:p>
    <w:p w:rsidR="00AD11CD" w:rsidRPr="00AD11CD" w:rsidRDefault="00AD11CD" w:rsidP="00D058C8">
      <w:pPr>
        <w:spacing w:after="0" w:line="240" w:lineRule="auto"/>
        <w:jc w:val="both"/>
        <w:rPr>
          <w:rFonts w:ascii="Times New Roman" w:hAnsi="Times New Roman" w:cs="Times New Roman"/>
          <w:sz w:val="28"/>
          <w:szCs w:val="28"/>
          <w:lang w:val="kk-KZ"/>
        </w:rPr>
      </w:pPr>
    </w:p>
    <w:tbl>
      <w:tblPr>
        <w:tblStyle w:val="af7"/>
        <w:tblW w:w="9495" w:type="dxa"/>
        <w:tblInd w:w="108" w:type="dxa"/>
        <w:tblLayout w:type="fixed"/>
        <w:tblLook w:val="04A0" w:firstRow="1" w:lastRow="0" w:firstColumn="1" w:lastColumn="0" w:noHBand="0" w:noVBand="1"/>
      </w:tblPr>
      <w:tblGrid>
        <w:gridCol w:w="2834"/>
        <w:gridCol w:w="2834"/>
        <w:gridCol w:w="2834"/>
        <w:gridCol w:w="993"/>
      </w:tblGrid>
      <w:tr w:rsidR="006F5758" w:rsidTr="001A0E27">
        <w:trPr>
          <w:trHeight w:val="377"/>
        </w:trPr>
        <w:tc>
          <w:tcPr>
            <w:tcW w:w="2834" w:type="dxa"/>
            <w:vMerge w:val="restart"/>
            <w:tcBorders>
              <w:top w:val="single" w:sz="4" w:space="0" w:color="auto"/>
              <w:left w:val="single" w:sz="4" w:space="0" w:color="auto"/>
              <w:bottom w:val="single" w:sz="4" w:space="0" w:color="auto"/>
              <w:right w:val="single" w:sz="4" w:space="0" w:color="auto"/>
            </w:tcBorders>
            <w:vAlign w:val="center"/>
            <w:hideMark/>
          </w:tcPr>
          <w:p w:rsidR="006F5758" w:rsidRDefault="006F5758" w:rsidP="001A0E27">
            <w:pPr>
              <w:jc w:val="center"/>
              <w:rPr>
                <w:rFonts w:ascii="Times New Roman" w:hAnsi="Times New Roman"/>
                <w:sz w:val="28"/>
                <w:szCs w:val="28"/>
              </w:rPr>
            </w:pPr>
            <w:r>
              <w:rPr>
                <w:rFonts w:ascii="Times New Roman" w:hAnsi="Times New Roman"/>
                <w:sz w:val="28"/>
                <w:szCs w:val="28"/>
              </w:rPr>
              <w:t>Параметры</w:t>
            </w:r>
          </w:p>
        </w:tc>
        <w:tc>
          <w:tcPr>
            <w:tcW w:w="5668" w:type="dxa"/>
            <w:gridSpan w:val="2"/>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rPr>
                <w:rFonts w:ascii="Times New Roman" w:hAnsi="Times New Roman"/>
                <w:sz w:val="28"/>
                <w:szCs w:val="28"/>
              </w:rPr>
            </w:pPr>
            <w:r>
              <w:rPr>
                <w:rFonts w:ascii="Times New Roman" w:hAnsi="Times New Roman"/>
                <w:sz w:val="28"/>
                <w:szCs w:val="28"/>
              </w:rPr>
              <w:t>Инсулин, мкМЕ/мл</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6F5758" w:rsidRDefault="006F5758" w:rsidP="001A0E27">
            <w:pPr>
              <w:jc w:val="center"/>
              <w:rPr>
                <w:rFonts w:ascii="Times New Roman" w:hAnsi="Times New Roman"/>
                <w:sz w:val="28"/>
                <w:szCs w:val="28"/>
              </w:rPr>
            </w:pPr>
            <w:r>
              <w:rPr>
                <w:rFonts w:ascii="Times New Roman" w:hAnsi="Times New Roman"/>
                <w:sz w:val="28"/>
                <w:szCs w:val="28"/>
              </w:rPr>
              <w:t>p*</w:t>
            </w:r>
          </w:p>
        </w:tc>
      </w:tr>
      <w:tr w:rsidR="006F5758" w:rsidTr="001A0E27">
        <w:trPr>
          <w:trHeight w:val="379"/>
        </w:trPr>
        <w:tc>
          <w:tcPr>
            <w:tcW w:w="2834" w:type="dxa"/>
            <w:vMerge/>
            <w:tcBorders>
              <w:top w:val="single" w:sz="4" w:space="0" w:color="auto"/>
              <w:left w:val="single" w:sz="4" w:space="0" w:color="auto"/>
              <w:bottom w:val="single" w:sz="4" w:space="0" w:color="auto"/>
              <w:right w:val="single" w:sz="4" w:space="0" w:color="auto"/>
            </w:tcBorders>
            <w:vAlign w:val="center"/>
            <w:hideMark/>
          </w:tcPr>
          <w:p w:rsidR="006F5758" w:rsidRDefault="006F5758" w:rsidP="001A0E27">
            <w:pPr>
              <w:rPr>
                <w:rFonts w:ascii="Times New Roman" w:hAnsi="Times New Roman"/>
                <w:sz w:val="28"/>
                <w:szCs w:val="28"/>
              </w:rPr>
            </w:pP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rPr>
                <w:rFonts w:ascii="Times New Roman" w:hAnsi="Times New Roman"/>
                <w:sz w:val="28"/>
                <w:szCs w:val="28"/>
              </w:rPr>
            </w:pPr>
            <w:r>
              <w:rPr>
                <w:rFonts w:ascii="Times New Roman" w:hAnsi="Times New Roman"/>
                <w:sz w:val="28"/>
                <w:szCs w:val="28"/>
              </w:rPr>
              <w:t>≤24,9</w:t>
            </w:r>
          </w:p>
          <w:p w:rsidR="006F5758" w:rsidRDefault="006F5758" w:rsidP="001A0E27">
            <w:pPr>
              <w:jc w:val="center"/>
              <w:rPr>
                <w:rFonts w:ascii="Times New Roman" w:hAnsi="Times New Roman"/>
                <w:sz w:val="28"/>
                <w:szCs w:val="28"/>
              </w:rPr>
            </w:pPr>
            <w:r>
              <w:rPr>
                <w:rFonts w:ascii="Times New Roman" w:hAnsi="Times New Roman"/>
                <w:sz w:val="28"/>
                <w:szCs w:val="28"/>
              </w:rPr>
              <w:t>Ме±IQR (Q1–Q3)</w:t>
            </w:r>
          </w:p>
        </w:tc>
        <w:tc>
          <w:tcPr>
            <w:tcW w:w="2834" w:type="dxa"/>
            <w:tcBorders>
              <w:top w:val="single" w:sz="4" w:space="0" w:color="auto"/>
              <w:left w:val="single" w:sz="4" w:space="0" w:color="auto"/>
              <w:bottom w:val="single" w:sz="4" w:space="0" w:color="auto"/>
              <w:right w:val="single" w:sz="4" w:space="0" w:color="auto"/>
            </w:tcBorders>
            <w:vAlign w:val="center"/>
            <w:hideMark/>
          </w:tcPr>
          <w:p w:rsidR="006F5758" w:rsidRDefault="006F5758" w:rsidP="001A0E27">
            <w:pPr>
              <w:jc w:val="center"/>
              <w:rPr>
                <w:rFonts w:ascii="Times New Roman" w:hAnsi="Times New Roman"/>
                <w:sz w:val="28"/>
                <w:szCs w:val="28"/>
              </w:rPr>
            </w:pPr>
            <w:r>
              <w:rPr>
                <w:rFonts w:ascii="Times New Roman" w:hAnsi="Times New Roman"/>
                <w:sz w:val="28"/>
                <w:szCs w:val="28"/>
              </w:rPr>
              <w:t>&gt;24,9</w:t>
            </w:r>
          </w:p>
          <w:p w:rsidR="006F5758" w:rsidRDefault="006F5758" w:rsidP="001A0E27">
            <w:pPr>
              <w:jc w:val="center"/>
              <w:rPr>
                <w:rFonts w:ascii="Times New Roman" w:hAnsi="Times New Roman"/>
                <w:sz w:val="28"/>
                <w:szCs w:val="28"/>
              </w:rPr>
            </w:pPr>
            <w:r>
              <w:rPr>
                <w:rFonts w:ascii="Times New Roman" w:hAnsi="Times New Roman"/>
                <w:sz w:val="28"/>
                <w:szCs w:val="28"/>
              </w:rPr>
              <w:t>Ме±IQR (Q1–Q3)</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F5758" w:rsidRDefault="006F5758" w:rsidP="001A0E27">
            <w:pPr>
              <w:rPr>
                <w:rFonts w:ascii="Times New Roman" w:hAnsi="Times New Roman"/>
                <w:sz w:val="28"/>
                <w:szCs w:val="28"/>
              </w:rPr>
            </w:pPr>
          </w:p>
        </w:tc>
      </w:tr>
      <w:tr w:rsidR="006F5758" w:rsidTr="001A0E27">
        <w:trPr>
          <w:trHeight w:val="323"/>
        </w:trPr>
        <w:tc>
          <w:tcPr>
            <w:tcW w:w="2834" w:type="dxa"/>
            <w:tcBorders>
              <w:top w:val="single" w:sz="4" w:space="0" w:color="auto"/>
              <w:left w:val="single" w:sz="4" w:space="0" w:color="auto"/>
              <w:bottom w:val="single" w:sz="4" w:space="0" w:color="auto"/>
              <w:right w:val="single" w:sz="4" w:space="0" w:color="auto"/>
            </w:tcBorders>
            <w:vAlign w:val="center"/>
            <w:hideMark/>
          </w:tcPr>
          <w:p w:rsidR="006F5758" w:rsidRDefault="006F5758" w:rsidP="001A0E27">
            <w:pPr>
              <w:jc w:val="center"/>
              <w:rPr>
                <w:rFonts w:ascii="Times New Roman" w:hAnsi="Times New Roman"/>
                <w:sz w:val="28"/>
                <w:szCs w:val="28"/>
              </w:rPr>
            </w:pPr>
            <w:r>
              <w:rPr>
                <w:rFonts w:ascii="Times New Roman" w:hAnsi="Times New Roman"/>
                <w:sz w:val="28"/>
                <w:szCs w:val="28"/>
              </w:rPr>
              <w:t>ОХС, ммоль/л</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pPr>
            <w:r>
              <w:rPr>
                <w:rFonts w:ascii="Times New Roman" w:hAnsi="Times New Roman"/>
                <w:sz w:val="28"/>
                <w:szCs w:val="28"/>
              </w:rPr>
              <w:t>3,41±1,96 (2,55-4,51)</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pPr>
            <w:r>
              <w:rPr>
                <w:rFonts w:ascii="Times New Roman" w:hAnsi="Times New Roman"/>
                <w:sz w:val="28"/>
                <w:szCs w:val="28"/>
              </w:rPr>
              <w:t>3,18±2,07 (2,47-4,54)</w:t>
            </w:r>
          </w:p>
        </w:tc>
        <w:tc>
          <w:tcPr>
            <w:tcW w:w="993"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rPr>
                <w:rFonts w:ascii="Times New Roman" w:hAnsi="Times New Roman"/>
                <w:sz w:val="28"/>
                <w:szCs w:val="28"/>
              </w:rPr>
            </w:pPr>
            <w:r>
              <w:rPr>
                <w:rFonts w:ascii="Times New Roman" w:hAnsi="Times New Roman"/>
                <w:sz w:val="28"/>
                <w:szCs w:val="28"/>
              </w:rPr>
              <w:t>0,7</w:t>
            </w:r>
          </w:p>
        </w:tc>
      </w:tr>
      <w:tr w:rsidR="006F5758" w:rsidTr="001A0E27">
        <w:trPr>
          <w:trHeight w:val="323"/>
        </w:trPr>
        <w:tc>
          <w:tcPr>
            <w:tcW w:w="2834" w:type="dxa"/>
            <w:tcBorders>
              <w:top w:val="single" w:sz="4" w:space="0" w:color="auto"/>
              <w:left w:val="single" w:sz="4" w:space="0" w:color="auto"/>
              <w:bottom w:val="single" w:sz="4" w:space="0" w:color="auto"/>
              <w:right w:val="single" w:sz="4" w:space="0" w:color="auto"/>
            </w:tcBorders>
            <w:vAlign w:val="center"/>
            <w:hideMark/>
          </w:tcPr>
          <w:p w:rsidR="006F5758" w:rsidRDefault="006F5758" w:rsidP="001A0E27">
            <w:pPr>
              <w:jc w:val="center"/>
              <w:rPr>
                <w:rFonts w:ascii="Times New Roman" w:hAnsi="Times New Roman"/>
                <w:sz w:val="28"/>
                <w:szCs w:val="28"/>
              </w:rPr>
            </w:pPr>
            <w:r>
              <w:rPr>
                <w:rFonts w:ascii="Times New Roman" w:hAnsi="Times New Roman"/>
                <w:sz w:val="28"/>
                <w:szCs w:val="28"/>
              </w:rPr>
              <w:t>ТГ, ммоль/л</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pPr>
            <w:r>
              <w:rPr>
                <w:rFonts w:ascii="Times New Roman" w:hAnsi="Times New Roman"/>
                <w:sz w:val="28"/>
                <w:szCs w:val="28"/>
              </w:rPr>
              <w:t>1,19±0,84 (0,84-1,68)</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pPr>
            <w:r>
              <w:rPr>
                <w:rFonts w:ascii="Times New Roman" w:hAnsi="Times New Roman"/>
                <w:sz w:val="28"/>
                <w:szCs w:val="28"/>
              </w:rPr>
              <w:t>1,73±0,96 (1,21-2,17)</w:t>
            </w:r>
          </w:p>
        </w:tc>
        <w:tc>
          <w:tcPr>
            <w:tcW w:w="993"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rPr>
                <w:rFonts w:ascii="Times New Roman" w:hAnsi="Times New Roman"/>
                <w:sz w:val="28"/>
                <w:szCs w:val="28"/>
              </w:rPr>
            </w:pPr>
            <w:r>
              <w:rPr>
                <w:rFonts w:ascii="Times New Roman" w:hAnsi="Times New Roman"/>
                <w:sz w:val="28"/>
                <w:szCs w:val="28"/>
              </w:rPr>
              <w:t>0,0001</w:t>
            </w:r>
          </w:p>
        </w:tc>
      </w:tr>
      <w:tr w:rsidR="006F5758" w:rsidTr="001A0E27">
        <w:trPr>
          <w:trHeight w:val="323"/>
        </w:trPr>
        <w:tc>
          <w:tcPr>
            <w:tcW w:w="2834" w:type="dxa"/>
            <w:tcBorders>
              <w:top w:val="single" w:sz="4" w:space="0" w:color="auto"/>
              <w:left w:val="single" w:sz="4" w:space="0" w:color="auto"/>
              <w:bottom w:val="single" w:sz="4" w:space="0" w:color="auto"/>
              <w:right w:val="single" w:sz="4" w:space="0" w:color="auto"/>
            </w:tcBorders>
            <w:vAlign w:val="center"/>
            <w:hideMark/>
          </w:tcPr>
          <w:p w:rsidR="006F5758" w:rsidRDefault="006F5758" w:rsidP="001A0E27">
            <w:pPr>
              <w:jc w:val="center"/>
              <w:rPr>
                <w:rFonts w:ascii="Times New Roman" w:hAnsi="Times New Roman"/>
                <w:sz w:val="28"/>
                <w:szCs w:val="28"/>
              </w:rPr>
            </w:pPr>
            <w:r>
              <w:rPr>
                <w:rFonts w:ascii="Times New Roman" w:hAnsi="Times New Roman"/>
                <w:sz w:val="28"/>
                <w:szCs w:val="28"/>
              </w:rPr>
              <w:t>ЛПНП, ммоль/л</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pPr>
            <w:r>
              <w:rPr>
                <w:rFonts w:ascii="Times New Roman" w:hAnsi="Times New Roman"/>
                <w:sz w:val="28"/>
                <w:szCs w:val="28"/>
              </w:rPr>
              <w:t>1,85±1,16 (1,38-2,54)</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pPr>
            <w:r>
              <w:rPr>
                <w:rFonts w:ascii="Times New Roman" w:hAnsi="Times New Roman"/>
                <w:sz w:val="28"/>
                <w:szCs w:val="28"/>
              </w:rPr>
              <w:t>1,69±0,88 (1,27-2,15)</w:t>
            </w:r>
          </w:p>
        </w:tc>
        <w:tc>
          <w:tcPr>
            <w:tcW w:w="993"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rPr>
                <w:rFonts w:ascii="Times New Roman" w:hAnsi="Times New Roman"/>
                <w:sz w:val="28"/>
                <w:szCs w:val="28"/>
              </w:rPr>
            </w:pPr>
            <w:r>
              <w:rPr>
                <w:rFonts w:ascii="Times New Roman" w:hAnsi="Times New Roman"/>
                <w:sz w:val="28"/>
                <w:szCs w:val="28"/>
              </w:rPr>
              <w:t>0,09</w:t>
            </w:r>
          </w:p>
        </w:tc>
      </w:tr>
      <w:tr w:rsidR="006F5758" w:rsidTr="001A0E27">
        <w:trPr>
          <w:trHeight w:val="323"/>
        </w:trPr>
        <w:tc>
          <w:tcPr>
            <w:tcW w:w="2834" w:type="dxa"/>
            <w:tcBorders>
              <w:top w:val="single" w:sz="4" w:space="0" w:color="auto"/>
              <w:left w:val="single" w:sz="4" w:space="0" w:color="auto"/>
              <w:bottom w:val="single" w:sz="4" w:space="0" w:color="auto"/>
              <w:right w:val="single" w:sz="4" w:space="0" w:color="auto"/>
            </w:tcBorders>
            <w:vAlign w:val="center"/>
            <w:hideMark/>
          </w:tcPr>
          <w:p w:rsidR="006F5758" w:rsidRDefault="006F5758" w:rsidP="001A0E27">
            <w:pPr>
              <w:jc w:val="center"/>
              <w:rPr>
                <w:rFonts w:ascii="Times New Roman" w:hAnsi="Times New Roman"/>
                <w:sz w:val="28"/>
                <w:szCs w:val="28"/>
              </w:rPr>
            </w:pPr>
            <w:r>
              <w:rPr>
                <w:rFonts w:ascii="Times New Roman" w:hAnsi="Times New Roman"/>
                <w:sz w:val="28"/>
                <w:szCs w:val="28"/>
              </w:rPr>
              <w:t>ЛПВП, ммоль/л</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pPr>
            <w:r>
              <w:rPr>
                <w:rFonts w:ascii="Times New Roman" w:hAnsi="Times New Roman"/>
                <w:sz w:val="28"/>
                <w:szCs w:val="28"/>
              </w:rPr>
              <w:t>0,91±0,7 (0,7-1,4)</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pPr>
            <w:r>
              <w:rPr>
                <w:rFonts w:ascii="Times New Roman" w:hAnsi="Times New Roman"/>
                <w:sz w:val="28"/>
                <w:szCs w:val="28"/>
              </w:rPr>
              <w:t>1,05±1,08 (0,71-1,79)</w:t>
            </w:r>
          </w:p>
        </w:tc>
        <w:tc>
          <w:tcPr>
            <w:tcW w:w="993"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rPr>
                <w:rFonts w:ascii="Times New Roman" w:hAnsi="Times New Roman"/>
                <w:sz w:val="28"/>
                <w:szCs w:val="28"/>
              </w:rPr>
            </w:pPr>
            <w:r>
              <w:rPr>
                <w:rFonts w:ascii="Times New Roman" w:hAnsi="Times New Roman"/>
                <w:sz w:val="28"/>
                <w:szCs w:val="28"/>
              </w:rPr>
              <w:t>0,2</w:t>
            </w:r>
          </w:p>
        </w:tc>
      </w:tr>
      <w:tr w:rsidR="006F5758" w:rsidTr="001A0E27">
        <w:trPr>
          <w:trHeight w:val="323"/>
        </w:trPr>
        <w:tc>
          <w:tcPr>
            <w:tcW w:w="2834" w:type="dxa"/>
            <w:tcBorders>
              <w:top w:val="single" w:sz="4" w:space="0" w:color="auto"/>
              <w:left w:val="single" w:sz="4" w:space="0" w:color="auto"/>
              <w:bottom w:val="single" w:sz="4" w:space="0" w:color="auto"/>
              <w:right w:val="single" w:sz="4" w:space="0" w:color="auto"/>
            </w:tcBorders>
            <w:vAlign w:val="center"/>
            <w:hideMark/>
          </w:tcPr>
          <w:p w:rsidR="006F5758" w:rsidRDefault="006F5758" w:rsidP="001A0E27">
            <w:pPr>
              <w:jc w:val="center"/>
              <w:rPr>
                <w:rFonts w:ascii="Times New Roman" w:hAnsi="Times New Roman"/>
                <w:sz w:val="28"/>
                <w:szCs w:val="28"/>
              </w:rPr>
            </w:pPr>
            <w:r>
              <w:rPr>
                <w:rFonts w:ascii="Times New Roman" w:hAnsi="Times New Roman"/>
                <w:sz w:val="28"/>
                <w:szCs w:val="28"/>
              </w:rPr>
              <w:t>апоВ, г</w:t>
            </w:r>
            <w:r w:rsidRPr="008D4D18">
              <w:rPr>
                <w:rFonts w:ascii="Century" w:hAnsi="Century"/>
                <w:sz w:val="28"/>
                <w:szCs w:val="28"/>
              </w:rPr>
              <w:t>/</w:t>
            </w:r>
            <w:r>
              <w:rPr>
                <w:rFonts w:ascii="Times New Roman" w:hAnsi="Times New Roman"/>
                <w:sz w:val="28"/>
                <w:szCs w:val="28"/>
              </w:rPr>
              <w:t>л</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pPr>
            <w:r>
              <w:rPr>
                <w:rFonts w:ascii="Times New Roman" w:hAnsi="Times New Roman"/>
                <w:sz w:val="28"/>
                <w:szCs w:val="28"/>
              </w:rPr>
              <w:t>0,97±0,39 (0,78-1,17)</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pPr>
            <w:r>
              <w:rPr>
                <w:rFonts w:ascii="Times New Roman" w:hAnsi="Times New Roman"/>
                <w:sz w:val="28"/>
                <w:szCs w:val="28"/>
              </w:rPr>
              <w:t>1,02±0,39 (0,8-1,19)</w:t>
            </w:r>
          </w:p>
        </w:tc>
        <w:tc>
          <w:tcPr>
            <w:tcW w:w="993"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rPr>
                <w:rFonts w:ascii="Times New Roman" w:hAnsi="Times New Roman"/>
                <w:sz w:val="28"/>
                <w:szCs w:val="28"/>
              </w:rPr>
            </w:pPr>
            <w:r>
              <w:rPr>
                <w:rFonts w:ascii="Times New Roman" w:hAnsi="Times New Roman"/>
                <w:sz w:val="28"/>
                <w:szCs w:val="28"/>
              </w:rPr>
              <w:t>0,63</w:t>
            </w:r>
          </w:p>
        </w:tc>
      </w:tr>
      <w:tr w:rsidR="006F5758" w:rsidTr="001A0E27">
        <w:trPr>
          <w:trHeight w:val="323"/>
        </w:trPr>
        <w:tc>
          <w:tcPr>
            <w:tcW w:w="2834" w:type="dxa"/>
            <w:tcBorders>
              <w:top w:val="single" w:sz="4" w:space="0" w:color="auto"/>
              <w:left w:val="single" w:sz="4" w:space="0" w:color="auto"/>
              <w:bottom w:val="single" w:sz="4" w:space="0" w:color="auto"/>
              <w:right w:val="single" w:sz="4" w:space="0" w:color="auto"/>
            </w:tcBorders>
            <w:vAlign w:val="center"/>
            <w:hideMark/>
          </w:tcPr>
          <w:p w:rsidR="006F5758" w:rsidRDefault="006F5758" w:rsidP="001A0E27">
            <w:pPr>
              <w:jc w:val="center"/>
              <w:rPr>
                <w:rFonts w:ascii="Times New Roman" w:hAnsi="Times New Roman"/>
                <w:sz w:val="28"/>
                <w:szCs w:val="28"/>
              </w:rPr>
            </w:pPr>
            <w:r>
              <w:rPr>
                <w:rFonts w:ascii="Times New Roman" w:hAnsi="Times New Roman"/>
                <w:sz w:val="28"/>
                <w:szCs w:val="28"/>
              </w:rPr>
              <w:t>апоА1</w:t>
            </w:r>
            <w:r w:rsidR="008D4D18">
              <w:rPr>
                <w:rFonts w:ascii="Century" w:hAnsi="Century"/>
                <w:sz w:val="28"/>
                <w:szCs w:val="28"/>
              </w:rPr>
              <w:t>,</w:t>
            </w:r>
            <w:r>
              <w:rPr>
                <w:rFonts w:ascii="Times New Roman" w:hAnsi="Times New Roman"/>
                <w:sz w:val="28"/>
                <w:szCs w:val="28"/>
              </w:rPr>
              <w:t xml:space="preserve"> г</w:t>
            </w:r>
            <w:r w:rsidRPr="008D4D18">
              <w:rPr>
                <w:rFonts w:ascii="Century" w:hAnsi="Century"/>
                <w:sz w:val="28"/>
                <w:szCs w:val="28"/>
              </w:rPr>
              <w:t>/</w:t>
            </w:r>
            <w:r>
              <w:rPr>
                <w:rFonts w:ascii="Times New Roman" w:hAnsi="Times New Roman"/>
                <w:sz w:val="28"/>
                <w:szCs w:val="28"/>
              </w:rPr>
              <w:t>л</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pPr>
            <w:r>
              <w:rPr>
                <w:rFonts w:ascii="Times New Roman" w:hAnsi="Times New Roman"/>
                <w:sz w:val="28"/>
                <w:szCs w:val="28"/>
              </w:rPr>
              <w:t>1</w:t>
            </w:r>
            <w:r w:rsidRPr="008D4D18">
              <w:rPr>
                <w:rFonts w:ascii="Century" w:hAnsi="Century"/>
                <w:sz w:val="28"/>
                <w:szCs w:val="28"/>
              </w:rPr>
              <w:t>,</w:t>
            </w:r>
            <w:r>
              <w:rPr>
                <w:rFonts w:ascii="Times New Roman" w:hAnsi="Times New Roman"/>
                <w:sz w:val="28"/>
                <w:szCs w:val="28"/>
              </w:rPr>
              <w:t>51</w:t>
            </w:r>
            <w:r w:rsidRPr="008D4D18">
              <w:rPr>
                <w:rFonts w:ascii="Century" w:hAnsi="Century"/>
                <w:sz w:val="28"/>
                <w:szCs w:val="28"/>
              </w:rPr>
              <w:t>±</w:t>
            </w:r>
            <w:r>
              <w:rPr>
                <w:rFonts w:ascii="Times New Roman" w:hAnsi="Times New Roman"/>
                <w:sz w:val="28"/>
                <w:szCs w:val="28"/>
              </w:rPr>
              <w:t>0</w:t>
            </w:r>
            <w:r w:rsidRPr="008D4D18">
              <w:rPr>
                <w:rFonts w:ascii="Century" w:hAnsi="Century"/>
                <w:sz w:val="28"/>
                <w:szCs w:val="28"/>
              </w:rPr>
              <w:t>,</w:t>
            </w:r>
            <w:r>
              <w:rPr>
                <w:rFonts w:ascii="Times New Roman" w:hAnsi="Times New Roman"/>
                <w:sz w:val="28"/>
                <w:szCs w:val="28"/>
              </w:rPr>
              <w:t>41 (1</w:t>
            </w:r>
            <w:r w:rsidRPr="008D4D18">
              <w:rPr>
                <w:rFonts w:ascii="Century" w:hAnsi="Century"/>
                <w:sz w:val="28"/>
                <w:szCs w:val="28"/>
              </w:rPr>
              <w:t>,</w:t>
            </w:r>
            <w:r>
              <w:rPr>
                <w:rFonts w:ascii="Times New Roman" w:hAnsi="Times New Roman"/>
                <w:sz w:val="28"/>
                <w:szCs w:val="28"/>
              </w:rPr>
              <w:t>32</w:t>
            </w:r>
            <w:r w:rsidRPr="008D4D18">
              <w:rPr>
                <w:rFonts w:ascii="Century" w:hAnsi="Century"/>
                <w:sz w:val="28"/>
                <w:szCs w:val="28"/>
              </w:rPr>
              <w:t>-</w:t>
            </w:r>
            <w:r>
              <w:rPr>
                <w:rFonts w:ascii="Times New Roman" w:hAnsi="Times New Roman"/>
                <w:sz w:val="28"/>
                <w:szCs w:val="28"/>
              </w:rPr>
              <w:t>1</w:t>
            </w:r>
            <w:r w:rsidRPr="008D4D18">
              <w:rPr>
                <w:rFonts w:ascii="Century" w:hAnsi="Century"/>
                <w:sz w:val="28"/>
                <w:szCs w:val="28"/>
              </w:rPr>
              <w:t>,</w:t>
            </w:r>
            <w:r>
              <w:rPr>
                <w:rFonts w:ascii="Times New Roman" w:hAnsi="Times New Roman"/>
                <w:sz w:val="28"/>
                <w:szCs w:val="28"/>
              </w:rPr>
              <w:t>73)</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pPr>
            <w:r>
              <w:rPr>
                <w:rFonts w:ascii="Times New Roman" w:hAnsi="Times New Roman"/>
                <w:sz w:val="28"/>
                <w:szCs w:val="28"/>
              </w:rPr>
              <w:t>1</w:t>
            </w:r>
            <w:r w:rsidRPr="008D4D18">
              <w:rPr>
                <w:rFonts w:ascii="Century" w:hAnsi="Century"/>
                <w:sz w:val="28"/>
                <w:szCs w:val="28"/>
              </w:rPr>
              <w:t>,</w:t>
            </w:r>
            <w:r>
              <w:rPr>
                <w:rFonts w:ascii="Times New Roman" w:hAnsi="Times New Roman"/>
                <w:sz w:val="28"/>
                <w:szCs w:val="28"/>
              </w:rPr>
              <w:t>47</w:t>
            </w:r>
            <w:r w:rsidRPr="008D4D18">
              <w:rPr>
                <w:rFonts w:ascii="Century" w:hAnsi="Century"/>
                <w:sz w:val="28"/>
                <w:szCs w:val="28"/>
              </w:rPr>
              <w:t>±</w:t>
            </w:r>
            <w:r>
              <w:rPr>
                <w:rFonts w:ascii="Times New Roman" w:hAnsi="Times New Roman"/>
                <w:sz w:val="28"/>
                <w:szCs w:val="28"/>
              </w:rPr>
              <w:t>0</w:t>
            </w:r>
            <w:r w:rsidRPr="008D4D18">
              <w:rPr>
                <w:rFonts w:ascii="Century" w:hAnsi="Century"/>
                <w:sz w:val="28"/>
                <w:szCs w:val="28"/>
              </w:rPr>
              <w:t>,</w:t>
            </w:r>
            <w:r>
              <w:rPr>
                <w:rFonts w:ascii="Times New Roman" w:hAnsi="Times New Roman"/>
                <w:sz w:val="28"/>
                <w:szCs w:val="28"/>
              </w:rPr>
              <w:t>36 (1</w:t>
            </w:r>
            <w:r w:rsidRPr="008D4D18">
              <w:rPr>
                <w:rFonts w:ascii="Century" w:hAnsi="Century"/>
                <w:sz w:val="28"/>
                <w:szCs w:val="28"/>
              </w:rPr>
              <w:t>,</w:t>
            </w:r>
            <w:r>
              <w:rPr>
                <w:rFonts w:ascii="Times New Roman" w:hAnsi="Times New Roman"/>
                <w:sz w:val="28"/>
                <w:szCs w:val="28"/>
              </w:rPr>
              <w:t>26</w:t>
            </w:r>
            <w:r w:rsidRPr="008D4D18">
              <w:rPr>
                <w:rFonts w:ascii="Century" w:hAnsi="Century"/>
                <w:sz w:val="28"/>
                <w:szCs w:val="28"/>
              </w:rPr>
              <w:t>-</w:t>
            </w:r>
            <w:r>
              <w:rPr>
                <w:rFonts w:ascii="Times New Roman" w:hAnsi="Times New Roman"/>
                <w:sz w:val="28"/>
                <w:szCs w:val="28"/>
              </w:rPr>
              <w:t>1</w:t>
            </w:r>
            <w:r w:rsidRPr="008D4D18">
              <w:rPr>
                <w:rFonts w:ascii="Century" w:hAnsi="Century"/>
                <w:sz w:val="28"/>
                <w:szCs w:val="28"/>
              </w:rPr>
              <w:t>,</w:t>
            </w:r>
            <w:r>
              <w:rPr>
                <w:rFonts w:ascii="Times New Roman" w:hAnsi="Times New Roman"/>
                <w:sz w:val="28"/>
                <w:szCs w:val="28"/>
              </w:rPr>
              <w:t>62)</w:t>
            </w:r>
          </w:p>
        </w:tc>
        <w:tc>
          <w:tcPr>
            <w:tcW w:w="993"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rPr>
                <w:rFonts w:ascii="Times New Roman" w:hAnsi="Times New Roman"/>
                <w:sz w:val="28"/>
                <w:szCs w:val="28"/>
              </w:rPr>
            </w:pPr>
            <w:r>
              <w:rPr>
                <w:rFonts w:ascii="Times New Roman" w:hAnsi="Times New Roman"/>
                <w:sz w:val="28"/>
                <w:szCs w:val="28"/>
              </w:rPr>
              <w:t>0</w:t>
            </w:r>
            <w:r w:rsidRPr="008D4D18">
              <w:rPr>
                <w:rFonts w:ascii="Century" w:hAnsi="Century"/>
                <w:sz w:val="28"/>
                <w:szCs w:val="28"/>
              </w:rPr>
              <w:t>,</w:t>
            </w:r>
            <w:r>
              <w:rPr>
                <w:rFonts w:ascii="Times New Roman" w:hAnsi="Times New Roman"/>
                <w:sz w:val="28"/>
                <w:szCs w:val="28"/>
              </w:rPr>
              <w:t>08</w:t>
            </w:r>
          </w:p>
        </w:tc>
      </w:tr>
      <w:tr w:rsidR="006F5758" w:rsidTr="001A0E27">
        <w:trPr>
          <w:trHeight w:val="323"/>
        </w:trPr>
        <w:tc>
          <w:tcPr>
            <w:tcW w:w="2834" w:type="dxa"/>
            <w:tcBorders>
              <w:top w:val="single" w:sz="4" w:space="0" w:color="auto"/>
              <w:left w:val="single" w:sz="4" w:space="0" w:color="auto"/>
              <w:bottom w:val="single" w:sz="4" w:space="0" w:color="auto"/>
              <w:right w:val="single" w:sz="4" w:space="0" w:color="auto"/>
            </w:tcBorders>
            <w:vAlign w:val="center"/>
            <w:hideMark/>
          </w:tcPr>
          <w:p w:rsidR="006F5758" w:rsidRDefault="006F5758" w:rsidP="001A0E27">
            <w:pPr>
              <w:jc w:val="center"/>
              <w:rPr>
                <w:rFonts w:ascii="Times New Roman" w:hAnsi="Times New Roman"/>
                <w:sz w:val="28"/>
                <w:szCs w:val="28"/>
              </w:rPr>
            </w:pPr>
            <w:r>
              <w:rPr>
                <w:rFonts w:ascii="Times New Roman" w:hAnsi="Times New Roman"/>
                <w:sz w:val="28"/>
                <w:szCs w:val="28"/>
              </w:rPr>
              <w:t>апоВ</w:t>
            </w:r>
            <w:r w:rsidRPr="008D4D18">
              <w:rPr>
                <w:rFonts w:ascii="Century" w:hAnsi="Century"/>
                <w:sz w:val="28"/>
                <w:szCs w:val="28"/>
              </w:rPr>
              <w:t>/</w:t>
            </w:r>
            <w:r>
              <w:rPr>
                <w:rFonts w:ascii="Times New Roman" w:hAnsi="Times New Roman"/>
                <w:sz w:val="28"/>
                <w:szCs w:val="28"/>
              </w:rPr>
              <w:t>апоА1</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rPr>
                <w:rFonts w:ascii="Times New Roman" w:hAnsi="Times New Roman"/>
                <w:sz w:val="28"/>
                <w:szCs w:val="28"/>
              </w:rPr>
            </w:pPr>
            <w:r>
              <w:rPr>
                <w:rFonts w:ascii="Times New Roman" w:hAnsi="Times New Roman"/>
                <w:sz w:val="28"/>
                <w:szCs w:val="28"/>
              </w:rPr>
              <w:t>0</w:t>
            </w:r>
            <w:r w:rsidRPr="008D4D18">
              <w:rPr>
                <w:rFonts w:ascii="Century" w:hAnsi="Century"/>
                <w:sz w:val="28"/>
                <w:szCs w:val="28"/>
              </w:rPr>
              <w:t>,</w:t>
            </w:r>
            <w:r>
              <w:rPr>
                <w:rFonts w:ascii="Times New Roman" w:hAnsi="Times New Roman"/>
                <w:sz w:val="28"/>
                <w:szCs w:val="28"/>
              </w:rPr>
              <w:t>64</w:t>
            </w:r>
            <w:r w:rsidRPr="008D4D18">
              <w:rPr>
                <w:rFonts w:ascii="Century" w:hAnsi="Century"/>
                <w:sz w:val="28"/>
                <w:szCs w:val="28"/>
              </w:rPr>
              <w:t>±</w:t>
            </w:r>
            <w:r>
              <w:rPr>
                <w:rFonts w:ascii="Times New Roman" w:hAnsi="Times New Roman"/>
                <w:sz w:val="28"/>
                <w:szCs w:val="28"/>
              </w:rPr>
              <w:t>0</w:t>
            </w:r>
            <w:r w:rsidRPr="008D4D18">
              <w:rPr>
                <w:rFonts w:ascii="Century" w:hAnsi="Century"/>
                <w:sz w:val="28"/>
                <w:szCs w:val="28"/>
              </w:rPr>
              <w:t>,</w:t>
            </w:r>
            <w:r>
              <w:rPr>
                <w:rFonts w:ascii="Times New Roman" w:hAnsi="Times New Roman"/>
                <w:sz w:val="28"/>
                <w:szCs w:val="28"/>
              </w:rPr>
              <w:t>31 (0</w:t>
            </w:r>
            <w:r w:rsidRPr="008D4D18">
              <w:rPr>
                <w:rFonts w:ascii="Century" w:hAnsi="Century"/>
                <w:sz w:val="28"/>
                <w:szCs w:val="28"/>
              </w:rPr>
              <w:t>,</w:t>
            </w:r>
            <w:r>
              <w:rPr>
                <w:rFonts w:ascii="Times New Roman" w:hAnsi="Times New Roman"/>
                <w:sz w:val="28"/>
                <w:szCs w:val="28"/>
              </w:rPr>
              <w:t>51</w:t>
            </w:r>
            <w:r w:rsidRPr="008D4D18">
              <w:rPr>
                <w:rFonts w:ascii="Century" w:hAnsi="Century"/>
                <w:sz w:val="28"/>
                <w:szCs w:val="28"/>
              </w:rPr>
              <w:t>-</w:t>
            </w:r>
            <w:r>
              <w:rPr>
                <w:rFonts w:ascii="Times New Roman" w:hAnsi="Times New Roman"/>
                <w:sz w:val="28"/>
                <w:szCs w:val="28"/>
              </w:rPr>
              <w:t>0</w:t>
            </w:r>
            <w:r w:rsidRPr="008D4D18">
              <w:rPr>
                <w:rFonts w:ascii="Century" w:hAnsi="Century"/>
                <w:sz w:val="28"/>
                <w:szCs w:val="28"/>
              </w:rPr>
              <w:t>,</w:t>
            </w:r>
            <w:r>
              <w:rPr>
                <w:rFonts w:ascii="Times New Roman" w:hAnsi="Times New Roman"/>
                <w:sz w:val="28"/>
                <w:szCs w:val="28"/>
              </w:rPr>
              <w:t>82)</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rPr>
                <w:rFonts w:ascii="Times New Roman" w:hAnsi="Times New Roman"/>
                <w:sz w:val="28"/>
                <w:szCs w:val="28"/>
              </w:rPr>
            </w:pPr>
            <w:r>
              <w:rPr>
                <w:rFonts w:ascii="Times New Roman" w:hAnsi="Times New Roman"/>
                <w:sz w:val="28"/>
                <w:szCs w:val="28"/>
              </w:rPr>
              <w:t>0</w:t>
            </w:r>
            <w:r w:rsidRPr="008D4D18">
              <w:rPr>
                <w:rFonts w:ascii="Century" w:hAnsi="Century"/>
                <w:sz w:val="28"/>
                <w:szCs w:val="28"/>
              </w:rPr>
              <w:t>,</w:t>
            </w:r>
            <w:r>
              <w:rPr>
                <w:rFonts w:ascii="Times New Roman" w:hAnsi="Times New Roman"/>
                <w:sz w:val="28"/>
                <w:szCs w:val="28"/>
              </w:rPr>
              <w:t>68</w:t>
            </w:r>
            <w:r w:rsidRPr="008D4D18">
              <w:rPr>
                <w:rFonts w:ascii="Century" w:hAnsi="Century"/>
                <w:sz w:val="28"/>
                <w:szCs w:val="28"/>
              </w:rPr>
              <w:t>±</w:t>
            </w:r>
            <w:r>
              <w:rPr>
                <w:rFonts w:ascii="Times New Roman" w:hAnsi="Times New Roman"/>
                <w:sz w:val="28"/>
                <w:szCs w:val="28"/>
              </w:rPr>
              <w:t>0</w:t>
            </w:r>
            <w:r w:rsidRPr="008D4D18">
              <w:rPr>
                <w:rFonts w:ascii="Century" w:hAnsi="Century"/>
                <w:sz w:val="28"/>
                <w:szCs w:val="28"/>
              </w:rPr>
              <w:t>,</w:t>
            </w:r>
            <w:r>
              <w:rPr>
                <w:rFonts w:ascii="Times New Roman" w:hAnsi="Times New Roman"/>
                <w:sz w:val="28"/>
                <w:szCs w:val="28"/>
              </w:rPr>
              <w:t>3 (0</w:t>
            </w:r>
            <w:r w:rsidRPr="008D4D18">
              <w:rPr>
                <w:rFonts w:ascii="Century" w:hAnsi="Century"/>
                <w:sz w:val="28"/>
                <w:szCs w:val="28"/>
              </w:rPr>
              <w:t>,</w:t>
            </w:r>
            <w:r>
              <w:rPr>
                <w:rFonts w:ascii="Times New Roman" w:hAnsi="Times New Roman"/>
                <w:sz w:val="28"/>
                <w:szCs w:val="28"/>
              </w:rPr>
              <w:t>55-0</w:t>
            </w:r>
            <w:r w:rsidRPr="008D4D18">
              <w:rPr>
                <w:rFonts w:ascii="Century" w:hAnsi="Century"/>
                <w:sz w:val="28"/>
                <w:szCs w:val="28"/>
              </w:rPr>
              <w:t>,</w:t>
            </w:r>
            <w:r>
              <w:rPr>
                <w:rFonts w:ascii="Times New Roman" w:hAnsi="Times New Roman"/>
                <w:sz w:val="28"/>
                <w:szCs w:val="28"/>
              </w:rPr>
              <w:t>85)</w:t>
            </w:r>
          </w:p>
        </w:tc>
        <w:tc>
          <w:tcPr>
            <w:tcW w:w="993"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rPr>
                <w:rFonts w:ascii="Times New Roman" w:hAnsi="Times New Roman"/>
                <w:sz w:val="28"/>
                <w:szCs w:val="28"/>
              </w:rPr>
            </w:pPr>
            <w:r>
              <w:rPr>
                <w:rFonts w:ascii="Times New Roman" w:hAnsi="Times New Roman"/>
                <w:sz w:val="28"/>
                <w:szCs w:val="28"/>
              </w:rPr>
              <w:t>0</w:t>
            </w:r>
            <w:r w:rsidRPr="008D4D18">
              <w:rPr>
                <w:rFonts w:ascii="Century" w:hAnsi="Century"/>
                <w:sz w:val="28"/>
                <w:szCs w:val="28"/>
              </w:rPr>
              <w:t>,</w:t>
            </w:r>
            <w:r>
              <w:rPr>
                <w:rFonts w:ascii="Times New Roman" w:hAnsi="Times New Roman"/>
                <w:sz w:val="28"/>
                <w:szCs w:val="28"/>
              </w:rPr>
              <w:t>32</w:t>
            </w:r>
          </w:p>
        </w:tc>
      </w:tr>
      <w:tr w:rsidR="006F5758" w:rsidTr="001A0E27">
        <w:trPr>
          <w:trHeight w:val="323"/>
        </w:trPr>
        <w:tc>
          <w:tcPr>
            <w:tcW w:w="2834" w:type="dxa"/>
            <w:tcBorders>
              <w:top w:val="single" w:sz="4" w:space="0" w:color="auto"/>
              <w:left w:val="single" w:sz="4" w:space="0" w:color="auto"/>
              <w:bottom w:val="single" w:sz="4" w:space="0" w:color="auto"/>
              <w:right w:val="single" w:sz="4" w:space="0" w:color="auto"/>
            </w:tcBorders>
            <w:vAlign w:val="center"/>
            <w:hideMark/>
          </w:tcPr>
          <w:p w:rsidR="006F5758" w:rsidRDefault="006F5758" w:rsidP="001A0E27">
            <w:pPr>
              <w:jc w:val="center"/>
              <w:rPr>
                <w:rFonts w:ascii="Times New Roman" w:hAnsi="Times New Roman"/>
                <w:sz w:val="28"/>
                <w:szCs w:val="28"/>
              </w:rPr>
            </w:pPr>
            <w:r>
              <w:rPr>
                <w:rFonts w:ascii="Times New Roman" w:hAnsi="Times New Roman"/>
                <w:sz w:val="28"/>
                <w:szCs w:val="28"/>
              </w:rPr>
              <w:t>Глюкоза</w:t>
            </w:r>
            <w:r w:rsidRPr="008D4D18">
              <w:rPr>
                <w:rFonts w:ascii="Century" w:hAnsi="Century"/>
                <w:sz w:val="28"/>
                <w:szCs w:val="28"/>
              </w:rPr>
              <w:t>,</w:t>
            </w:r>
            <w:r>
              <w:rPr>
                <w:rFonts w:ascii="Times New Roman" w:hAnsi="Times New Roman"/>
                <w:sz w:val="28"/>
                <w:szCs w:val="28"/>
              </w:rPr>
              <w:t xml:space="preserve"> ммоль</w:t>
            </w:r>
            <w:r w:rsidRPr="008D4D18">
              <w:rPr>
                <w:rFonts w:ascii="Century" w:hAnsi="Century"/>
                <w:sz w:val="28"/>
                <w:szCs w:val="28"/>
              </w:rPr>
              <w:t>/</w:t>
            </w:r>
            <w:r>
              <w:rPr>
                <w:rFonts w:ascii="Times New Roman" w:hAnsi="Times New Roman"/>
                <w:sz w:val="28"/>
                <w:szCs w:val="28"/>
              </w:rPr>
              <w:t>л</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pPr>
            <w:r>
              <w:rPr>
                <w:rFonts w:ascii="Times New Roman" w:hAnsi="Times New Roman"/>
                <w:sz w:val="28"/>
                <w:szCs w:val="28"/>
              </w:rPr>
              <w:t>5,5±1,97 (4,41-6,39)</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pPr>
            <w:r>
              <w:rPr>
                <w:rFonts w:ascii="Times New Roman" w:hAnsi="Times New Roman"/>
                <w:sz w:val="28"/>
                <w:szCs w:val="28"/>
              </w:rPr>
              <w:t>5,4±1,58 (4,64-6,22)</w:t>
            </w:r>
          </w:p>
        </w:tc>
        <w:tc>
          <w:tcPr>
            <w:tcW w:w="993"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rPr>
                <w:rFonts w:ascii="Times New Roman" w:hAnsi="Times New Roman"/>
                <w:sz w:val="28"/>
                <w:szCs w:val="28"/>
              </w:rPr>
            </w:pPr>
            <w:r>
              <w:rPr>
                <w:rFonts w:ascii="Times New Roman" w:hAnsi="Times New Roman"/>
                <w:sz w:val="28"/>
                <w:szCs w:val="28"/>
              </w:rPr>
              <w:t>0,98</w:t>
            </w:r>
          </w:p>
        </w:tc>
      </w:tr>
      <w:tr w:rsidR="006F5758" w:rsidTr="001A0E27">
        <w:trPr>
          <w:trHeight w:val="323"/>
        </w:trPr>
        <w:tc>
          <w:tcPr>
            <w:tcW w:w="2834" w:type="dxa"/>
            <w:tcBorders>
              <w:top w:val="single" w:sz="4" w:space="0" w:color="auto"/>
              <w:left w:val="single" w:sz="4" w:space="0" w:color="auto"/>
              <w:bottom w:val="single" w:sz="4" w:space="0" w:color="auto"/>
              <w:right w:val="single" w:sz="4" w:space="0" w:color="auto"/>
            </w:tcBorders>
            <w:vAlign w:val="center"/>
            <w:hideMark/>
          </w:tcPr>
          <w:p w:rsidR="006F5758" w:rsidRDefault="006F5758" w:rsidP="001A0E27">
            <w:pPr>
              <w:jc w:val="center"/>
              <w:rPr>
                <w:rFonts w:ascii="Times New Roman" w:hAnsi="Times New Roman"/>
                <w:sz w:val="28"/>
                <w:szCs w:val="28"/>
              </w:rPr>
            </w:pPr>
            <w:r>
              <w:rPr>
                <w:rFonts w:ascii="Times New Roman" w:hAnsi="Times New Roman"/>
                <w:sz w:val="28"/>
                <w:szCs w:val="28"/>
              </w:rPr>
              <w:t>HOMA-IR</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pPr>
            <w:r>
              <w:rPr>
                <w:rFonts w:ascii="Times New Roman" w:hAnsi="Times New Roman"/>
                <w:sz w:val="28"/>
                <w:szCs w:val="28"/>
              </w:rPr>
              <w:t>2,02±1,99 (1,24-3,24)</w:t>
            </w:r>
          </w:p>
        </w:tc>
        <w:tc>
          <w:tcPr>
            <w:tcW w:w="2834"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pPr>
            <w:r>
              <w:rPr>
                <w:rFonts w:ascii="Times New Roman" w:hAnsi="Times New Roman"/>
                <w:sz w:val="28"/>
                <w:szCs w:val="28"/>
              </w:rPr>
              <w:t>9,58±7,18 (7,24-14,43)</w:t>
            </w:r>
          </w:p>
        </w:tc>
        <w:tc>
          <w:tcPr>
            <w:tcW w:w="993" w:type="dxa"/>
            <w:tcBorders>
              <w:top w:val="single" w:sz="4" w:space="0" w:color="auto"/>
              <w:left w:val="single" w:sz="4" w:space="0" w:color="auto"/>
              <w:bottom w:val="single" w:sz="4" w:space="0" w:color="auto"/>
              <w:right w:val="single" w:sz="4" w:space="0" w:color="auto"/>
            </w:tcBorders>
            <w:hideMark/>
          </w:tcPr>
          <w:p w:rsidR="006F5758" w:rsidRDefault="006F5758" w:rsidP="001A0E27">
            <w:pPr>
              <w:jc w:val="center"/>
              <w:rPr>
                <w:rFonts w:ascii="Times New Roman" w:hAnsi="Times New Roman"/>
                <w:sz w:val="28"/>
                <w:szCs w:val="28"/>
              </w:rPr>
            </w:pPr>
            <w:r>
              <w:rPr>
                <w:rFonts w:ascii="Times New Roman" w:hAnsi="Times New Roman"/>
                <w:sz w:val="28"/>
                <w:szCs w:val="28"/>
              </w:rPr>
              <w:t>0,0001</w:t>
            </w:r>
          </w:p>
        </w:tc>
      </w:tr>
      <w:tr w:rsidR="006F5758" w:rsidTr="001A0E27">
        <w:trPr>
          <w:trHeight w:val="442"/>
        </w:trPr>
        <w:tc>
          <w:tcPr>
            <w:tcW w:w="9495" w:type="dxa"/>
            <w:gridSpan w:val="4"/>
            <w:tcBorders>
              <w:top w:val="single" w:sz="4" w:space="0" w:color="auto"/>
              <w:left w:val="single" w:sz="4" w:space="0" w:color="auto"/>
              <w:bottom w:val="single" w:sz="4" w:space="0" w:color="auto"/>
              <w:right w:val="single" w:sz="4" w:space="0" w:color="auto"/>
            </w:tcBorders>
            <w:hideMark/>
          </w:tcPr>
          <w:p w:rsidR="004C3F14" w:rsidRDefault="006F5758" w:rsidP="001A0E27">
            <w:pPr>
              <w:jc w:val="both"/>
              <w:rPr>
                <w:rFonts w:ascii="Times New Roman" w:hAnsi="Times New Roman"/>
                <w:szCs w:val="20"/>
                <w:lang w:val="kk-KZ"/>
              </w:rPr>
            </w:pPr>
            <w:r>
              <w:rPr>
                <w:rFonts w:ascii="Times New Roman" w:hAnsi="Times New Roman"/>
                <w:szCs w:val="20"/>
              </w:rPr>
              <w:t xml:space="preserve">Примечание *Критерий Манна-Уитни; </w:t>
            </w:r>
          </w:p>
          <w:p w:rsidR="006F5758" w:rsidRDefault="006F5758" w:rsidP="001A0E27">
            <w:pPr>
              <w:jc w:val="both"/>
              <w:rPr>
                <w:rFonts w:ascii="Times New Roman" w:hAnsi="Times New Roman"/>
                <w:sz w:val="20"/>
                <w:szCs w:val="20"/>
              </w:rPr>
            </w:pPr>
            <w:r>
              <w:rPr>
                <w:rFonts w:ascii="Times New Roman" w:hAnsi="Times New Roman"/>
                <w:szCs w:val="20"/>
              </w:rPr>
              <w:t>Ме±IQR (Q1 – Q3) – Медиана ± межквартильный диапазон (1 квартиль – 3 квартиль)</w:t>
            </w:r>
          </w:p>
        </w:tc>
      </w:tr>
    </w:tbl>
    <w:p w:rsidR="00EF6B4C" w:rsidRDefault="00EF6B4C" w:rsidP="00EF6B4C">
      <w:pPr>
        <w:spacing w:after="0" w:line="240" w:lineRule="auto"/>
        <w:ind w:firstLine="708"/>
        <w:jc w:val="both"/>
        <w:rPr>
          <w:rFonts w:ascii="Times New Roman" w:hAnsi="Times New Roman" w:cs="Times New Roman"/>
          <w:sz w:val="28"/>
          <w:szCs w:val="28"/>
        </w:rPr>
      </w:pPr>
    </w:p>
    <w:p w:rsidR="00EF6B4C" w:rsidRDefault="00EF6B4C" w:rsidP="00EF6B4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Как представлено в таблице 44, у </w:t>
      </w:r>
      <w:r w:rsidR="0043525B">
        <w:rPr>
          <w:rFonts w:ascii="Times New Roman" w:hAnsi="Times New Roman" w:cs="Times New Roman"/>
          <w:sz w:val="28"/>
          <w:szCs w:val="28"/>
        </w:rPr>
        <w:t>участников исследования</w:t>
      </w:r>
      <w:r>
        <w:rPr>
          <w:rFonts w:ascii="Times New Roman" w:hAnsi="Times New Roman" w:cs="Times New Roman"/>
          <w:sz w:val="28"/>
          <w:szCs w:val="28"/>
        </w:rPr>
        <w:t xml:space="preserve">, </w:t>
      </w:r>
      <w:r w:rsidR="0043525B">
        <w:rPr>
          <w:rFonts w:ascii="Times New Roman" w:hAnsi="Times New Roman" w:cs="Times New Roman"/>
          <w:sz w:val="28"/>
          <w:szCs w:val="28"/>
        </w:rPr>
        <w:t>с гипертриглицеридемией</w:t>
      </w:r>
      <w:r>
        <w:rPr>
          <w:rFonts w:ascii="Times New Roman" w:hAnsi="Times New Roman" w:cs="Times New Roman"/>
          <w:sz w:val="28"/>
          <w:szCs w:val="28"/>
        </w:rPr>
        <w:t xml:space="preserve">, были высокие показатели инсулина по сравнению с участниками, которые имели нормальные уровни ТГ (р=0,001). И шанс </w:t>
      </w:r>
      <w:r>
        <w:rPr>
          <w:rFonts w:ascii="Times New Roman" w:hAnsi="Times New Roman" w:cs="Times New Roman"/>
          <w:sz w:val="28"/>
          <w:szCs w:val="28"/>
        </w:rPr>
        <w:lastRenderedPageBreak/>
        <w:t xml:space="preserve">развития гиперинсулинемии был </w:t>
      </w:r>
      <w:r w:rsidR="0043525B">
        <w:rPr>
          <w:rFonts w:ascii="Times New Roman" w:hAnsi="Times New Roman" w:cs="Times New Roman"/>
          <w:sz w:val="28"/>
          <w:szCs w:val="28"/>
        </w:rPr>
        <w:t>в</w:t>
      </w:r>
      <w:r>
        <w:rPr>
          <w:rFonts w:ascii="Times New Roman" w:hAnsi="Times New Roman" w:cs="Times New Roman"/>
          <w:sz w:val="28"/>
          <w:szCs w:val="28"/>
        </w:rPr>
        <w:t xml:space="preserve"> 3,33 раза выше при гипертриглицеридемии, чем при нормальных уровнях ТГ. Также у </w:t>
      </w:r>
      <w:r w:rsidR="0043525B">
        <w:rPr>
          <w:rFonts w:ascii="Times New Roman" w:hAnsi="Times New Roman" w:cs="Times New Roman"/>
          <w:sz w:val="28"/>
          <w:szCs w:val="28"/>
        </w:rPr>
        <w:t>участнико</w:t>
      </w:r>
      <w:r>
        <w:rPr>
          <w:rFonts w:ascii="Times New Roman" w:hAnsi="Times New Roman" w:cs="Times New Roman"/>
          <w:sz w:val="28"/>
          <w:szCs w:val="28"/>
        </w:rPr>
        <w:t xml:space="preserve">в с гиперинсулинемией чаще </w:t>
      </w:r>
      <w:r w:rsidR="0043525B">
        <w:rPr>
          <w:rFonts w:ascii="Times New Roman" w:hAnsi="Times New Roman" w:cs="Times New Roman"/>
          <w:sz w:val="28"/>
          <w:szCs w:val="28"/>
        </w:rPr>
        <w:t>выяви</w:t>
      </w:r>
      <w:r>
        <w:rPr>
          <w:rFonts w:ascii="Times New Roman" w:hAnsi="Times New Roman" w:cs="Times New Roman"/>
          <w:sz w:val="28"/>
          <w:szCs w:val="28"/>
        </w:rPr>
        <w:t>ли высоки</w:t>
      </w:r>
      <w:r w:rsidR="0043525B">
        <w:rPr>
          <w:rFonts w:ascii="Times New Roman" w:hAnsi="Times New Roman" w:cs="Times New Roman"/>
          <w:sz w:val="28"/>
          <w:szCs w:val="28"/>
        </w:rPr>
        <w:t>й</w:t>
      </w:r>
      <w:r>
        <w:rPr>
          <w:rFonts w:ascii="Times New Roman" w:hAnsi="Times New Roman" w:cs="Times New Roman"/>
          <w:sz w:val="28"/>
          <w:szCs w:val="28"/>
        </w:rPr>
        <w:t xml:space="preserve"> уров</w:t>
      </w:r>
      <w:r w:rsidR="0043525B">
        <w:rPr>
          <w:rFonts w:ascii="Times New Roman" w:hAnsi="Times New Roman" w:cs="Times New Roman"/>
          <w:sz w:val="28"/>
          <w:szCs w:val="28"/>
        </w:rPr>
        <w:t>е</w:t>
      </w:r>
      <w:r>
        <w:rPr>
          <w:rFonts w:ascii="Times New Roman" w:hAnsi="Times New Roman" w:cs="Times New Roman"/>
          <w:sz w:val="28"/>
          <w:szCs w:val="28"/>
        </w:rPr>
        <w:t>н</w:t>
      </w:r>
      <w:r w:rsidR="0043525B">
        <w:rPr>
          <w:rFonts w:ascii="Times New Roman" w:hAnsi="Times New Roman" w:cs="Times New Roman"/>
          <w:sz w:val="28"/>
          <w:szCs w:val="28"/>
        </w:rPr>
        <w:t>ь</w:t>
      </w:r>
      <w:r>
        <w:rPr>
          <w:rFonts w:ascii="Times New Roman" w:hAnsi="Times New Roman" w:cs="Times New Roman"/>
          <w:sz w:val="28"/>
          <w:szCs w:val="28"/>
        </w:rPr>
        <w:t xml:space="preserve"> </w:t>
      </w:r>
      <w:r>
        <w:rPr>
          <w:rFonts w:ascii="Times New Roman" w:hAnsi="Times New Roman"/>
          <w:sz w:val="28"/>
          <w:szCs w:val="28"/>
        </w:rPr>
        <w:t>HOMA-IR</w:t>
      </w:r>
      <w:r>
        <w:rPr>
          <w:rFonts w:ascii="Times New Roman" w:hAnsi="Times New Roman" w:cs="Times New Roman"/>
          <w:sz w:val="28"/>
          <w:szCs w:val="28"/>
        </w:rPr>
        <w:t>.</w:t>
      </w:r>
    </w:p>
    <w:p w:rsidR="006F5758" w:rsidRDefault="006F5758" w:rsidP="008A39AB">
      <w:pPr>
        <w:spacing w:after="0" w:line="240" w:lineRule="auto"/>
        <w:ind w:firstLine="708"/>
        <w:jc w:val="both"/>
        <w:rPr>
          <w:rFonts w:ascii="Times New Roman" w:hAnsi="Times New Roman" w:cs="Times New Roman"/>
          <w:sz w:val="28"/>
          <w:szCs w:val="28"/>
        </w:rPr>
      </w:pPr>
    </w:p>
    <w:p w:rsidR="00051EB3" w:rsidRDefault="00051EB3" w:rsidP="00051EB3">
      <w:pPr>
        <w:spacing w:after="0" w:line="240" w:lineRule="auto"/>
        <w:jc w:val="both"/>
        <w:rPr>
          <w:rFonts w:ascii="Times New Roman" w:hAnsi="Times New Roman"/>
          <w:sz w:val="28"/>
          <w:szCs w:val="28"/>
          <w:lang w:val="kk-KZ"/>
        </w:rPr>
      </w:pPr>
      <w:r w:rsidRPr="006F5758">
        <w:rPr>
          <w:rFonts w:ascii="Times New Roman" w:hAnsi="Times New Roman" w:cs="Times New Roman"/>
          <w:sz w:val="28"/>
          <w:szCs w:val="28"/>
        </w:rPr>
        <w:t>Таблица 4</w:t>
      </w:r>
      <w:r w:rsidR="008718C2">
        <w:rPr>
          <w:rFonts w:ascii="Times New Roman" w:hAnsi="Times New Roman" w:cs="Times New Roman"/>
          <w:sz w:val="28"/>
          <w:szCs w:val="28"/>
        </w:rPr>
        <w:t>4</w:t>
      </w:r>
      <w:r w:rsidR="00D058C8">
        <w:rPr>
          <w:rFonts w:ascii="Times New Roman" w:hAnsi="Times New Roman" w:cs="Times New Roman"/>
          <w:sz w:val="28"/>
          <w:szCs w:val="28"/>
          <w:lang w:val="kk-KZ"/>
        </w:rPr>
        <w:t xml:space="preserve"> -</w:t>
      </w:r>
      <w:r w:rsidRPr="006F5758">
        <w:rPr>
          <w:rFonts w:ascii="Times New Roman" w:hAnsi="Times New Roman" w:cs="Times New Roman"/>
          <w:sz w:val="28"/>
          <w:szCs w:val="28"/>
        </w:rPr>
        <w:t xml:space="preserve"> Распределение биохимических показателей по группам инсулина </w:t>
      </w:r>
      <w:r w:rsidR="00573127">
        <w:rPr>
          <w:rFonts w:ascii="Times New Roman" w:hAnsi="Times New Roman" w:cs="Times New Roman"/>
          <w:sz w:val="28"/>
          <w:szCs w:val="28"/>
        </w:rPr>
        <w:t>(</w:t>
      </w:r>
      <w:r w:rsidRPr="006F5758">
        <w:rPr>
          <w:rFonts w:ascii="Times New Roman" w:hAnsi="Times New Roman"/>
          <w:sz w:val="28"/>
          <w:szCs w:val="28"/>
        </w:rPr>
        <w:t>n=507</w:t>
      </w:r>
      <w:r w:rsidR="00573127">
        <w:rPr>
          <w:rFonts w:ascii="Times New Roman" w:hAnsi="Times New Roman"/>
          <w:sz w:val="28"/>
          <w:szCs w:val="28"/>
        </w:rPr>
        <w:t>)</w:t>
      </w:r>
    </w:p>
    <w:p w:rsidR="00AD11CD" w:rsidRPr="00AD11CD" w:rsidRDefault="00AD11CD" w:rsidP="00051EB3">
      <w:pPr>
        <w:spacing w:after="0" w:line="240" w:lineRule="auto"/>
        <w:jc w:val="both"/>
        <w:rPr>
          <w:rFonts w:ascii="Times New Roman" w:hAnsi="Times New Roman" w:cs="Times New Roman"/>
          <w:sz w:val="28"/>
          <w:szCs w:val="28"/>
          <w:lang w:val="kk-KZ"/>
        </w:rPr>
      </w:pPr>
    </w:p>
    <w:tbl>
      <w:tblPr>
        <w:tblStyle w:val="af7"/>
        <w:tblW w:w="9495" w:type="dxa"/>
        <w:tblInd w:w="108" w:type="dxa"/>
        <w:tblLayout w:type="fixed"/>
        <w:tblLook w:val="04A0" w:firstRow="1" w:lastRow="0" w:firstColumn="1" w:lastColumn="0" w:noHBand="0" w:noVBand="1"/>
      </w:tblPr>
      <w:tblGrid>
        <w:gridCol w:w="2550"/>
        <w:gridCol w:w="1559"/>
        <w:gridCol w:w="992"/>
        <w:gridCol w:w="993"/>
        <w:gridCol w:w="2408"/>
        <w:gridCol w:w="993"/>
      </w:tblGrid>
      <w:tr w:rsidR="00051EB3" w:rsidTr="00E6013D">
        <w:trPr>
          <w:trHeight w:val="385"/>
        </w:trPr>
        <w:tc>
          <w:tcPr>
            <w:tcW w:w="410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051EB3" w:rsidRDefault="00051EB3" w:rsidP="00E6013D">
            <w:pPr>
              <w:jc w:val="center"/>
              <w:rPr>
                <w:rFonts w:ascii="Times New Roman" w:hAnsi="Times New Roman"/>
                <w:sz w:val="28"/>
                <w:szCs w:val="28"/>
              </w:rPr>
            </w:pPr>
            <w:r>
              <w:rPr>
                <w:rFonts w:ascii="Times New Roman" w:hAnsi="Times New Roman"/>
                <w:sz w:val="28"/>
                <w:szCs w:val="28"/>
              </w:rPr>
              <w:t>Параметры</w:t>
            </w:r>
          </w:p>
        </w:tc>
        <w:tc>
          <w:tcPr>
            <w:tcW w:w="1985" w:type="dxa"/>
            <w:gridSpan w:val="2"/>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Инсулин, мкМЕ/мл</w:t>
            </w:r>
          </w:p>
        </w:tc>
        <w:tc>
          <w:tcPr>
            <w:tcW w:w="2408" w:type="dxa"/>
            <w:vMerge w:val="restart"/>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ОШ (95% ДИ)</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051EB3" w:rsidRDefault="00051EB3" w:rsidP="00E6013D">
            <w:pPr>
              <w:jc w:val="center"/>
              <w:rPr>
                <w:rFonts w:ascii="Times New Roman" w:hAnsi="Times New Roman"/>
                <w:sz w:val="28"/>
                <w:szCs w:val="28"/>
              </w:rPr>
            </w:pPr>
            <w:r>
              <w:rPr>
                <w:rFonts w:ascii="Times New Roman" w:hAnsi="Times New Roman"/>
                <w:sz w:val="28"/>
                <w:szCs w:val="28"/>
              </w:rPr>
              <w:t>p*</w:t>
            </w:r>
          </w:p>
        </w:tc>
      </w:tr>
      <w:tr w:rsidR="00051EB3" w:rsidTr="00E6013D">
        <w:trPr>
          <w:trHeight w:val="387"/>
        </w:trPr>
        <w:tc>
          <w:tcPr>
            <w:tcW w:w="4109" w:type="dxa"/>
            <w:gridSpan w:val="2"/>
            <w:vMerge/>
            <w:tcBorders>
              <w:top w:val="single" w:sz="4" w:space="0" w:color="auto"/>
              <w:left w:val="single" w:sz="4" w:space="0" w:color="auto"/>
              <w:bottom w:val="single" w:sz="4" w:space="0" w:color="auto"/>
              <w:right w:val="single" w:sz="4" w:space="0" w:color="auto"/>
            </w:tcBorders>
            <w:vAlign w:val="center"/>
            <w:hideMark/>
          </w:tcPr>
          <w:p w:rsidR="00051EB3" w:rsidRDefault="00051EB3" w:rsidP="00E6013D">
            <w:pPr>
              <w:rPr>
                <w:rFonts w:ascii="Times New Roman" w:hAnsi="Times New Roman"/>
                <w:sz w:val="28"/>
                <w:szCs w:val="28"/>
              </w:rPr>
            </w:pPr>
          </w:p>
        </w:tc>
        <w:tc>
          <w:tcPr>
            <w:tcW w:w="992"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≤24,9</w:t>
            </w:r>
          </w:p>
        </w:tc>
        <w:tc>
          <w:tcPr>
            <w:tcW w:w="993"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&gt;24,9</w:t>
            </w:r>
          </w:p>
        </w:tc>
        <w:tc>
          <w:tcPr>
            <w:tcW w:w="2408" w:type="dxa"/>
            <w:vMerge/>
            <w:tcBorders>
              <w:top w:val="single" w:sz="4" w:space="0" w:color="auto"/>
              <w:left w:val="single" w:sz="4" w:space="0" w:color="auto"/>
              <w:bottom w:val="single" w:sz="4" w:space="0" w:color="auto"/>
              <w:right w:val="single" w:sz="4" w:space="0" w:color="auto"/>
            </w:tcBorders>
            <w:vAlign w:val="center"/>
            <w:hideMark/>
          </w:tcPr>
          <w:p w:rsidR="00051EB3" w:rsidRDefault="00051EB3" w:rsidP="00E6013D">
            <w:pPr>
              <w:rPr>
                <w:rFonts w:ascii="Times New Roman" w:hAnsi="Times New Roman"/>
                <w:sz w:val="28"/>
                <w:szCs w:val="28"/>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051EB3" w:rsidRDefault="00051EB3" w:rsidP="00E6013D">
            <w:pPr>
              <w:rPr>
                <w:rFonts w:ascii="Times New Roman" w:hAnsi="Times New Roman"/>
                <w:sz w:val="28"/>
                <w:szCs w:val="28"/>
              </w:rPr>
            </w:pPr>
          </w:p>
        </w:tc>
      </w:tr>
      <w:tr w:rsidR="00051EB3" w:rsidTr="00E6013D">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051EB3" w:rsidRDefault="00051EB3" w:rsidP="00E6013D">
            <w:pPr>
              <w:jc w:val="center"/>
              <w:rPr>
                <w:rFonts w:ascii="Times New Roman" w:hAnsi="Times New Roman"/>
                <w:sz w:val="28"/>
                <w:szCs w:val="28"/>
              </w:rPr>
            </w:pPr>
            <w:r>
              <w:rPr>
                <w:rFonts w:ascii="Times New Roman" w:hAnsi="Times New Roman"/>
                <w:sz w:val="28"/>
                <w:szCs w:val="28"/>
              </w:rPr>
              <w:t>ОХС, ммоль/л</w:t>
            </w:r>
          </w:p>
        </w:tc>
        <w:tc>
          <w:tcPr>
            <w:tcW w:w="1559"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 xml:space="preserve">≤4,9 </w:t>
            </w:r>
          </w:p>
        </w:tc>
        <w:tc>
          <w:tcPr>
            <w:tcW w:w="992"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408</w:t>
            </w:r>
          </w:p>
        </w:tc>
        <w:tc>
          <w:tcPr>
            <w:tcW w:w="993"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38</w:t>
            </w:r>
          </w:p>
        </w:tc>
        <w:tc>
          <w:tcPr>
            <w:tcW w:w="2408"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0,93</w:t>
            </w:r>
          </w:p>
        </w:tc>
      </w:tr>
      <w:tr w:rsidR="00051EB3" w:rsidTr="00E6013D">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051EB3" w:rsidRDefault="00051EB3" w:rsidP="00E6013D">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 xml:space="preserve">&gt;4,9 </w:t>
            </w:r>
          </w:p>
        </w:tc>
        <w:tc>
          <w:tcPr>
            <w:tcW w:w="992"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56</w:t>
            </w:r>
          </w:p>
        </w:tc>
        <w:tc>
          <w:tcPr>
            <w:tcW w:w="993"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5</w:t>
            </w:r>
          </w:p>
        </w:tc>
        <w:tc>
          <w:tcPr>
            <w:tcW w:w="2408"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0,96 (0,36-2,54)</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051EB3" w:rsidRDefault="00051EB3" w:rsidP="00E6013D">
            <w:pPr>
              <w:rPr>
                <w:rFonts w:ascii="Times New Roman" w:hAnsi="Times New Roman"/>
                <w:sz w:val="28"/>
                <w:szCs w:val="28"/>
              </w:rPr>
            </w:pPr>
          </w:p>
        </w:tc>
      </w:tr>
      <w:tr w:rsidR="00051EB3" w:rsidTr="00E6013D">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051EB3" w:rsidRDefault="00051EB3" w:rsidP="00E6013D">
            <w:pPr>
              <w:jc w:val="center"/>
              <w:rPr>
                <w:rFonts w:ascii="Times New Roman" w:hAnsi="Times New Roman"/>
                <w:sz w:val="28"/>
                <w:szCs w:val="28"/>
              </w:rPr>
            </w:pPr>
            <w:r>
              <w:rPr>
                <w:rFonts w:ascii="Times New Roman" w:hAnsi="Times New Roman"/>
                <w:sz w:val="28"/>
                <w:szCs w:val="28"/>
              </w:rPr>
              <w:t>ТГ, ммоль/л</w:t>
            </w:r>
          </w:p>
        </w:tc>
        <w:tc>
          <w:tcPr>
            <w:tcW w:w="1559"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≤1,7</w:t>
            </w:r>
          </w:p>
        </w:tc>
        <w:tc>
          <w:tcPr>
            <w:tcW w:w="992"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353</w:t>
            </w:r>
          </w:p>
        </w:tc>
        <w:tc>
          <w:tcPr>
            <w:tcW w:w="993"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21</w:t>
            </w:r>
          </w:p>
        </w:tc>
        <w:tc>
          <w:tcPr>
            <w:tcW w:w="2408"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0,0001</w:t>
            </w:r>
          </w:p>
        </w:tc>
      </w:tr>
      <w:tr w:rsidR="00051EB3" w:rsidTr="00E6013D">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051EB3" w:rsidRDefault="00051EB3" w:rsidP="00E6013D">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pPr>
            <w:r>
              <w:rPr>
                <w:rFonts w:ascii="Times New Roman" w:hAnsi="Times New Roman"/>
                <w:sz w:val="28"/>
                <w:szCs w:val="28"/>
              </w:rPr>
              <w:t>&gt;1,7</w:t>
            </w:r>
          </w:p>
        </w:tc>
        <w:tc>
          <w:tcPr>
            <w:tcW w:w="992"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111</w:t>
            </w:r>
          </w:p>
        </w:tc>
        <w:tc>
          <w:tcPr>
            <w:tcW w:w="993"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22</w:t>
            </w:r>
          </w:p>
        </w:tc>
        <w:tc>
          <w:tcPr>
            <w:tcW w:w="2408" w:type="dxa"/>
            <w:tcBorders>
              <w:top w:val="single" w:sz="4" w:space="0" w:color="auto"/>
              <w:left w:val="single" w:sz="4" w:space="0" w:color="auto"/>
              <w:bottom w:val="single" w:sz="4" w:space="0" w:color="auto"/>
              <w:right w:val="single" w:sz="4" w:space="0" w:color="auto"/>
            </w:tcBorders>
            <w:hideMark/>
          </w:tcPr>
          <w:p w:rsidR="00051EB3" w:rsidRDefault="00051EB3" w:rsidP="00E6013D">
            <w:pPr>
              <w:jc w:val="center"/>
              <w:rPr>
                <w:rFonts w:ascii="Times New Roman" w:hAnsi="Times New Roman"/>
                <w:sz w:val="28"/>
                <w:szCs w:val="28"/>
              </w:rPr>
            </w:pPr>
            <w:r>
              <w:rPr>
                <w:rFonts w:ascii="Times New Roman" w:hAnsi="Times New Roman"/>
                <w:sz w:val="28"/>
                <w:szCs w:val="28"/>
              </w:rPr>
              <w:t>3,33 (1,77-6,29)</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051EB3" w:rsidRDefault="00051EB3" w:rsidP="00E6013D">
            <w:pPr>
              <w:rPr>
                <w:rFonts w:ascii="Times New Roman" w:hAnsi="Times New Roman"/>
                <w:sz w:val="28"/>
                <w:szCs w:val="28"/>
              </w:rPr>
            </w:pPr>
          </w:p>
        </w:tc>
      </w:tr>
      <w:tr w:rsidR="006E01DF" w:rsidTr="002F43CD">
        <w:trPr>
          <w:trHeight w:val="330"/>
        </w:trPr>
        <w:tc>
          <w:tcPr>
            <w:tcW w:w="2550" w:type="dxa"/>
            <w:vMerge w:val="restart"/>
            <w:tcBorders>
              <w:top w:val="single" w:sz="4" w:space="0" w:color="auto"/>
              <w:left w:val="single" w:sz="4" w:space="0" w:color="auto"/>
              <w:right w:val="single" w:sz="4" w:space="0" w:color="auto"/>
            </w:tcBorders>
            <w:vAlign w:val="center"/>
          </w:tcPr>
          <w:p w:rsidR="006E01DF" w:rsidRDefault="006E01DF" w:rsidP="00F66CAF">
            <w:pPr>
              <w:jc w:val="center"/>
              <w:rPr>
                <w:rFonts w:ascii="Times New Roman" w:hAnsi="Times New Roman"/>
                <w:sz w:val="28"/>
                <w:szCs w:val="28"/>
              </w:rPr>
            </w:pPr>
            <w:r>
              <w:rPr>
                <w:rFonts w:ascii="Times New Roman" w:hAnsi="Times New Roman"/>
                <w:sz w:val="28"/>
                <w:szCs w:val="28"/>
              </w:rPr>
              <w:t xml:space="preserve">ЛПНП, ммоль/л </w:t>
            </w:r>
          </w:p>
        </w:tc>
        <w:tc>
          <w:tcPr>
            <w:tcW w:w="1559"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≤3,0</w:t>
            </w:r>
          </w:p>
        </w:tc>
        <w:tc>
          <w:tcPr>
            <w:tcW w:w="992"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399</w:t>
            </w:r>
          </w:p>
        </w:tc>
        <w:tc>
          <w:tcPr>
            <w:tcW w:w="993"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41</w:t>
            </w:r>
          </w:p>
        </w:tc>
        <w:tc>
          <w:tcPr>
            <w:tcW w:w="2408"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right w:val="single" w:sz="4" w:space="0" w:color="auto"/>
            </w:tcBorders>
          </w:tcPr>
          <w:p w:rsidR="006E01DF" w:rsidRDefault="006E01DF" w:rsidP="002F43CD">
            <w:pPr>
              <w:jc w:val="center"/>
              <w:rPr>
                <w:rFonts w:ascii="Times New Roman" w:hAnsi="Times New Roman"/>
                <w:sz w:val="28"/>
                <w:szCs w:val="28"/>
              </w:rPr>
            </w:pPr>
            <w:r>
              <w:rPr>
                <w:rFonts w:ascii="Times New Roman" w:hAnsi="Times New Roman"/>
                <w:sz w:val="28"/>
                <w:szCs w:val="28"/>
              </w:rPr>
              <w:t>0,08</w:t>
            </w:r>
          </w:p>
        </w:tc>
      </w:tr>
      <w:tr w:rsidR="006E01DF" w:rsidTr="00F66CAF">
        <w:trPr>
          <w:trHeight w:val="330"/>
        </w:trPr>
        <w:tc>
          <w:tcPr>
            <w:tcW w:w="2550" w:type="dxa"/>
            <w:vMerge/>
            <w:tcBorders>
              <w:left w:val="single" w:sz="4" w:space="0" w:color="auto"/>
              <w:bottom w:val="single" w:sz="4" w:space="0" w:color="auto"/>
              <w:right w:val="single" w:sz="4" w:space="0" w:color="auto"/>
            </w:tcBorders>
            <w:vAlign w:val="center"/>
          </w:tcPr>
          <w:p w:rsidR="006E01DF" w:rsidRDefault="006E01DF" w:rsidP="00F66CAF">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&gt;3, 0</w:t>
            </w:r>
          </w:p>
        </w:tc>
        <w:tc>
          <w:tcPr>
            <w:tcW w:w="992"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65</w:t>
            </w:r>
          </w:p>
        </w:tc>
        <w:tc>
          <w:tcPr>
            <w:tcW w:w="993"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2</w:t>
            </w:r>
          </w:p>
        </w:tc>
        <w:tc>
          <w:tcPr>
            <w:tcW w:w="2408" w:type="dxa"/>
            <w:tcBorders>
              <w:top w:val="single" w:sz="4" w:space="0" w:color="auto"/>
              <w:left w:val="single" w:sz="4" w:space="0" w:color="auto"/>
              <w:bottom w:val="single" w:sz="4" w:space="0" w:color="auto"/>
              <w:right w:val="single" w:sz="4" w:space="0" w:color="auto"/>
            </w:tcBorders>
          </w:tcPr>
          <w:p w:rsidR="006E01DF" w:rsidRDefault="006E01DF" w:rsidP="00F66CAF">
            <w:pPr>
              <w:jc w:val="center"/>
              <w:rPr>
                <w:rFonts w:ascii="Times New Roman" w:hAnsi="Times New Roman"/>
                <w:sz w:val="28"/>
                <w:szCs w:val="28"/>
              </w:rPr>
            </w:pPr>
            <w:r>
              <w:rPr>
                <w:rFonts w:ascii="Times New Roman" w:hAnsi="Times New Roman"/>
                <w:sz w:val="28"/>
                <w:szCs w:val="28"/>
              </w:rPr>
              <w:t>0,3 (0,07-1,27)</w:t>
            </w:r>
          </w:p>
        </w:tc>
        <w:tc>
          <w:tcPr>
            <w:tcW w:w="993" w:type="dxa"/>
            <w:vMerge/>
            <w:tcBorders>
              <w:left w:val="single" w:sz="4" w:space="0" w:color="auto"/>
              <w:bottom w:val="single" w:sz="4" w:space="0" w:color="auto"/>
              <w:right w:val="single" w:sz="4" w:space="0" w:color="auto"/>
            </w:tcBorders>
            <w:vAlign w:val="center"/>
          </w:tcPr>
          <w:p w:rsidR="006E01DF" w:rsidRDefault="006E01DF" w:rsidP="00E6013D">
            <w:pPr>
              <w:rPr>
                <w:rFonts w:ascii="Times New Roman" w:hAnsi="Times New Roman"/>
                <w:sz w:val="28"/>
                <w:szCs w:val="28"/>
              </w:rPr>
            </w:pPr>
          </w:p>
        </w:tc>
      </w:tr>
      <w:tr w:rsidR="006E01DF" w:rsidTr="00E6013D">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jc w:val="center"/>
              <w:rPr>
                <w:rFonts w:ascii="Times New Roman" w:hAnsi="Times New Roman"/>
                <w:sz w:val="28"/>
                <w:szCs w:val="28"/>
              </w:rPr>
            </w:pPr>
            <w:r>
              <w:rPr>
                <w:rFonts w:ascii="Times New Roman" w:hAnsi="Times New Roman"/>
                <w:sz w:val="28"/>
                <w:szCs w:val="28"/>
              </w:rPr>
              <w:t>ЛПВП, ммоль/л</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Муж ≥1,0</w:t>
            </w:r>
          </w:p>
          <w:p w:rsidR="006E01DF" w:rsidRDefault="006E01DF" w:rsidP="00E6013D">
            <w:pPr>
              <w:jc w:val="center"/>
            </w:pPr>
            <w:r>
              <w:rPr>
                <w:rFonts w:ascii="Times New Roman" w:hAnsi="Times New Roman"/>
                <w:sz w:val="28"/>
                <w:szCs w:val="28"/>
              </w:rPr>
              <w:t>Жен ≥1,2</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166</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19</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0,27</w:t>
            </w:r>
          </w:p>
        </w:tc>
      </w:tr>
      <w:tr w:rsidR="006E01DF" w:rsidTr="00E6013D">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Муж &lt;1,0</w:t>
            </w:r>
          </w:p>
          <w:p w:rsidR="006E01DF" w:rsidRDefault="006E01DF" w:rsidP="00E6013D">
            <w:pPr>
              <w:jc w:val="center"/>
              <w:rPr>
                <w:rFonts w:ascii="Times New Roman" w:hAnsi="Times New Roman"/>
                <w:sz w:val="28"/>
                <w:szCs w:val="28"/>
              </w:rPr>
            </w:pPr>
            <w:r>
              <w:rPr>
                <w:rFonts w:ascii="Times New Roman" w:hAnsi="Times New Roman"/>
                <w:sz w:val="28"/>
                <w:szCs w:val="28"/>
              </w:rPr>
              <w:t>Жен &lt;1,2</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298</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24</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0,74 (0,37-1,32)</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rPr>
                <w:rFonts w:ascii="Times New Roman" w:hAnsi="Times New Roman"/>
                <w:sz w:val="28"/>
                <w:szCs w:val="28"/>
              </w:rPr>
            </w:pPr>
          </w:p>
        </w:tc>
      </w:tr>
      <w:tr w:rsidR="006E01DF" w:rsidTr="00E6013D">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jc w:val="center"/>
              <w:rPr>
                <w:rFonts w:ascii="Times New Roman" w:hAnsi="Times New Roman"/>
                <w:sz w:val="28"/>
                <w:szCs w:val="28"/>
              </w:rPr>
            </w:pPr>
            <w:r>
              <w:rPr>
                <w:rFonts w:ascii="Times New Roman" w:hAnsi="Times New Roman"/>
                <w:sz w:val="28"/>
                <w:szCs w:val="28"/>
              </w:rPr>
              <w:t>апоВ, г/л</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&lt;0,9</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183</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15</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0,56</w:t>
            </w:r>
          </w:p>
        </w:tc>
      </w:tr>
      <w:tr w:rsidR="006E01DF" w:rsidTr="00E6013D">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≥0,9</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281</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28</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1,22 (0,63-2,34)</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rPr>
                <w:rFonts w:ascii="Times New Roman" w:hAnsi="Times New Roman"/>
                <w:sz w:val="28"/>
                <w:szCs w:val="28"/>
              </w:rPr>
            </w:pPr>
          </w:p>
        </w:tc>
      </w:tr>
      <w:tr w:rsidR="006E01DF" w:rsidTr="00E6013D">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jc w:val="center"/>
              <w:rPr>
                <w:rFonts w:ascii="Times New Roman" w:hAnsi="Times New Roman"/>
                <w:sz w:val="28"/>
                <w:szCs w:val="28"/>
              </w:rPr>
            </w:pPr>
            <w:r>
              <w:rPr>
                <w:rFonts w:ascii="Times New Roman" w:hAnsi="Times New Roman"/>
                <w:sz w:val="28"/>
                <w:szCs w:val="28"/>
              </w:rPr>
              <w:t xml:space="preserve">апоА1, г/л </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color w:val="000000"/>
                <w:sz w:val="28"/>
                <w:szCs w:val="28"/>
              </w:rPr>
            </w:pPr>
            <w:r>
              <w:rPr>
                <w:rFonts w:ascii="Times New Roman" w:hAnsi="Times New Roman"/>
                <w:color w:val="000000"/>
                <w:sz w:val="28"/>
                <w:szCs w:val="28"/>
              </w:rPr>
              <w:t xml:space="preserve">Муж </w:t>
            </w:r>
            <w:r w:rsidRPr="009D3FE4">
              <w:rPr>
                <w:rFonts w:ascii="Century" w:hAnsi="Century"/>
                <w:color w:val="000000"/>
                <w:sz w:val="28"/>
                <w:szCs w:val="28"/>
              </w:rPr>
              <w:t>≥</w:t>
            </w:r>
            <w:r>
              <w:rPr>
                <w:rFonts w:ascii="Times New Roman" w:hAnsi="Times New Roman"/>
                <w:color w:val="000000"/>
                <w:sz w:val="28"/>
                <w:szCs w:val="28"/>
              </w:rPr>
              <w:t>1</w:t>
            </w:r>
            <w:r w:rsidRPr="009D3FE4">
              <w:rPr>
                <w:rFonts w:ascii="Century" w:hAnsi="Century"/>
                <w:color w:val="000000"/>
                <w:sz w:val="28"/>
                <w:szCs w:val="28"/>
              </w:rPr>
              <w:t>,</w:t>
            </w:r>
            <w:r>
              <w:rPr>
                <w:rFonts w:ascii="Times New Roman" w:hAnsi="Times New Roman"/>
                <w:color w:val="000000"/>
                <w:sz w:val="28"/>
                <w:szCs w:val="28"/>
              </w:rPr>
              <w:t>04</w:t>
            </w:r>
          </w:p>
          <w:p w:rsidR="006E01DF" w:rsidRDefault="006E01DF" w:rsidP="00E6013D">
            <w:pPr>
              <w:jc w:val="center"/>
              <w:rPr>
                <w:rFonts w:ascii="Times New Roman" w:hAnsi="Times New Roman"/>
                <w:sz w:val="28"/>
                <w:szCs w:val="28"/>
              </w:rPr>
            </w:pPr>
            <w:r>
              <w:rPr>
                <w:rFonts w:ascii="Times New Roman" w:hAnsi="Times New Roman"/>
                <w:color w:val="000000"/>
                <w:sz w:val="28"/>
                <w:szCs w:val="28"/>
              </w:rPr>
              <w:t xml:space="preserve">Жен </w:t>
            </w:r>
            <w:r w:rsidRPr="009D3FE4">
              <w:rPr>
                <w:rFonts w:ascii="Century" w:hAnsi="Century"/>
                <w:color w:val="000000"/>
                <w:sz w:val="28"/>
                <w:szCs w:val="28"/>
              </w:rPr>
              <w:t>≥</w:t>
            </w:r>
            <w:r>
              <w:rPr>
                <w:rFonts w:ascii="Times New Roman" w:hAnsi="Times New Roman"/>
                <w:color w:val="000000"/>
                <w:sz w:val="28"/>
                <w:szCs w:val="28"/>
              </w:rPr>
              <w:t>1</w:t>
            </w:r>
            <w:r w:rsidRPr="009D3FE4">
              <w:rPr>
                <w:rFonts w:ascii="Century" w:hAnsi="Century"/>
                <w:color w:val="000000"/>
                <w:sz w:val="28"/>
                <w:szCs w:val="28"/>
              </w:rPr>
              <w:t>,</w:t>
            </w:r>
            <w:r>
              <w:rPr>
                <w:rFonts w:ascii="Times New Roman" w:hAnsi="Times New Roman"/>
                <w:color w:val="000000"/>
                <w:sz w:val="28"/>
                <w:szCs w:val="28"/>
              </w:rPr>
              <w:t xml:space="preserve">08 </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439</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40</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1</w:t>
            </w:r>
            <w:r w:rsidRPr="009D3FE4">
              <w:rPr>
                <w:rFonts w:ascii="Century" w:hAnsi="Century"/>
                <w:sz w:val="28"/>
                <w:szCs w:val="28"/>
              </w:rPr>
              <w:t>,</w:t>
            </w:r>
            <w:r>
              <w:rPr>
                <w:rFonts w:ascii="Times New Roman" w:hAnsi="Times New Roman"/>
                <w:sz w:val="28"/>
                <w:szCs w:val="28"/>
              </w:rPr>
              <w:t>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0</w:t>
            </w:r>
            <w:r w:rsidRPr="009D3FE4">
              <w:rPr>
                <w:rFonts w:ascii="Century" w:hAnsi="Century"/>
                <w:sz w:val="28"/>
                <w:szCs w:val="28"/>
              </w:rPr>
              <w:t>,</w:t>
            </w:r>
            <w:r>
              <w:rPr>
                <w:rFonts w:ascii="Times New Roman" w:hAnsi="Times New Roman"/>
                <w:sz w:val="28"/>
                <w:szCs w:val="28"/>
              </w:rPr>
              <w:t>66</w:t>
            </w:r>
          </w:p>
        </w:tc>
      </w:tr>
      <w:tr w:rsidR="006E01DF" w:rsidTr="00E6013D">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color w:val="000000"/>
                <w:sz w:val="28"/>
                <w:szCs w:val="28"/>
              </w:rPr>
            </w:pPr>
            <w:r>
              <w:rPr>
                <w:rFonts w:ascii="Times New Roman" w:hAnsi="Times New Roman"/>
                <w:color w:val="000000"/>
                <w:sz w:val="28"/>
                <w:szCs w:val="28"/>
              </w:rPr>
              <w:t xml:space="preserve">Муж </w:t>
            </w:r>
            <w:r w:rsidRPr="009D3FE4">
              <w:rPr>
                <w:rFonts w:ascii="Century" w:hAnsi="Century"/>
                <w:color w:val="000000"/>
                <w:sz w:val="28"/>
                <w:szCs w:val="28"/>
              </w:rPr>
              <w:t>&lt;</w:t>
            </w:r>
            <w:r>
              <w:rPr>
                <w:rFonts w:ascii="Times New Roman" w:hAnsi="Times New Roman"/>
                <w:color w:val="000000"/>
                <w:sz w:val="28"/>
                <w:szCs w:val="28"/>
              </w:rPr>
              <w:t>1</w:t>
            </w:r>
            <w:r w:rsidRPr="009D3FE4">
              <w:rPr>
                <w:rFonts w:ascii="Century" w:hAnsi="Century"/>
                <w:color w:val="000000"/>
                <w:sz w:val="28"/>
                <w:szCs w:val="28"/>
              </w:rPr>
              <w:t>,</w:t>
            </w:r>
            <w:r>
              <w:rPr>
                <w:rFonts w:ascii="Times New Roman" w:hAnsi="Times New Roman"/>
                <w:color w:val="000000"/>
                <w:sz w:val="28"/>
                <w:szCs w:val="28"/>
              </w:rPr>
              <w:t>04</w:t>
            </w:r>
          </w:p>
          <w:p w:rsidR="006E01DF" w:rsidRDefault="006E01DF" w:rsidP="00E6013D">
            <w:pPr>
              <w:jc w:val="center"/>
              <w:rPr>
                <w:rFonts w:ascii="Times New Roman" w:hAnsi="Times New Roman"/>
                <w:color w:val="000000"/>
                <w:sz w:val="28"/>
                <w:szCs w:val="28"/>
              </w:rPr>
            </w:pPr>
            <w:r>
              <w:rPr>
                <w:rFonts w:ascii="Times New Roman" w:hAnsi="Times New Roman"/>
                <w:color w:val="000000"/>
                <w:sz w:val="28"/>
                <w:szCs w:val="28"/>
              </w:rPr>
              <w:t xml:space="preserve">Жен </w:t>
            </w:r>
            <w:r w:rsidRPr="009D3FE4">
              <w:rPr>
                <w:rFonts w:ascii="Century" w:hAnsi="Century"/>
                <w:color w:val="000000"/>
                <w:sz w:val="28"/>
                <w:szCs w:val="28"/>
              </w:rPr>
              <w:t>&lt;</w:t>
            </w:r>
            <w:r>
              <w:rPr>
                <w:rFonts w:ascii="Times New Roman" w:hAnsi="Times New Roman"/>
                <w:color w:val="000000"/>
                <w:sz w:val="28"/>
                <w:szCs w:val="28"/>
              </w:rPr>
              <w:t>1</w:t>
            </w:r>
            <w:r w:rsidRPr="009D3FE4">
              <w:rPr>
                <w:rFonts w:ascii="Century" w:hAnsi="Century"/>
                <w:color w:val="000000"/>
                <w:sz w:val="28"/>
                <w:szCs w:val="28"/>
              </w:rPr>
              <w:t>,</w:t>
            </w:r>
            <w:r>
              <w:rPr>
                <w:rFonts w:ascii="Times New Roman" w:hAnsi="Times New Roman"/>
                <w:color w:val="000000"/>
                <w:sz w:val="28"/>
                <w:szCs w:val="28"/>
              </w:rPr>
              <w:t>08</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25</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3</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1</w:t>
            </w:r>
            <w:r w:rsidRPr="009D3FE4">
              <w:rPr>
                <w:rFonts w:ascii="Century" w:hAnsi="Century"/>
                <w:sz w:val="28"/>
                <w:szCs w:val="28"/>
              </w:rPr>
              <w:t>,</w:t>
            </w:r>
            <w:r>
              <w:rPr>
                <w:rFonts w:ascii="Times New Roman" w:hAnsi="Times New Roman"/>
                <w:sz w:val="28"/>
                <w:szCs w:val="28"/>
              </w:rPr>
              <w:t>32 (0</w:t>
            </w:r>
            <w:r w:rsidRPr="009D3FE4">
              <w:rPr>
                <w:rFonts w:ascii="Century" w:hAnsi="Century"/>
                <w:sz w:val="28"/>
                <w:szCs w:val="28"/>
              </w:rPr>
              <w:t>,</w:t>
            </w:r>
            <w:r>
              <w:rPr>
                <w:rFonts w:ascii="Times New Roman" w:hAnsi="Times New Roman"/>
                <w:sz w:val="28"/>
                <w:szCs w:val="28"/>
              </w:rPr>
              <w:t>38-4</w:t>
            </w:r>
            <w:r w:rsidRPr="009D3FE4">
              <w:rPr>
                <w:rFonts w:ascii="Century" w:hAnsi="Century"/>
                <w:sz w:val="28"/>
                <w:szCs w:val="28"/>
              </w:rPr>
              <w:t>,</w:t>
            </w:r>
            <w:r>
              <w:rPr>
                <w:rFonts w:ascii="Times New Roman" w:hAnsi="Times New Roman"/>
                <w:sz w:val="28"/>
                <w:szCs w:val="28"/>
              </w:rPr>
              <w:t>55)</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rPr>
                <w:rFonts w:ascii="Times New Roman" w:hAnsi="Times New Roman"/>
                <w:sz w:val="28"/>
                <w:szCs w:val="28"/>
              </w:rPr>
            </w:pPr>
          </w:p>
        </w:tc>
      </w:tr>
      <w:tr w:rsidR="006E01DF" w:rsidTr="00E6013D">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jc w:val="center"/>
              <w:rPr>
                <w:rFonts w:ascii="Times New Roman" w:hAnsi="Times New Roman"/>
                <w:sz w:val="28"/>
                <w:szCs w:val="28"/>
              </w:rPr>
            </w:pPr>
            <w:r>
              <w:rPr>
                <w:rFonts w:ascii="Times New Roman" w:hAnsi="Times New Roman"/>
                <w:sz w:val="28"/>
                <w:szCs w:val="28"/>
              </w:rPr>
              <w:t>апоВ/апоА1</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sidRPr="009D3FE4">
              <w:rPr>
                <w:rFonts w:ascii="Century" w:hAnsi="Century"/>
                <w:sz w:val="28"/>
                <w:szCs w:val="28"/>
              </w:rPr>
              <w:t>≤</w:t>
            </w:r>
            <w:r>
              <w:rPr>
                <w:rFonts w:ascii="Times New Roman" w:hAnsi="Times New Roman"/>
                <w:sz w:val="28"/>
                <w:szCs w:val="28"/>
              </w:rPr>
              <w:t>0</w:t>
            </w:r>
            <w:r w:rsidRPr="009D3FE4">
              <w:rPr>
                <w:rFonts w:ascii="Century" w:hAnsi="Century"/>
                <w:sz w:val="28"/>
                <w:szCs w:val="28"/>
              </w:rPr>
              <w:t>,</w:t>
            </w:r>
            <w:r>
              <w:rPr>
                <w:rFonts w:ascii="Times New Roman" w:hAnsi="Times New Roman"/>
                <w:sz w:val="28"/>
                <w:szCs w:val="28"/>
              </w:rPr>
              <w:t>85</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363</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33</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1</w:t>
            </w:r>
            <w:r w:rsidRPr="009D3FE4">
              <w:rPr>
                <w:rFonts w:ascii="Century" w:hAnsi="Century"/>
                <w:sz w:val="28"/>
                <w:szCs w:val="28"/>
              </w:rPr>
              <w:t>,</w:t>
            </w:r>
            <w:r>
              <w:rPr>
                <w:rFonts w:ascii="Times New Roman" w:hAnsi="Times New Roman"/>
                <w:sz w:val="28"/>
                <w:szCs w:val="28"/>
              </w:rPr>
              <w:t>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0</w:t>
            </w:r>
            <w:r w:rsidRPr="009D3FE4">
              <w:rPr>
                <w:rFonts w:ascii="Century" w:hAnsi="Century"/>
                <w:sz w:val="28"/>
                <w:szCs w:val="28"/>
              </w:rPr>
              <w:t>,</w:t>
            </w:r>
            <w:r>
              <w:rPr>
                <w:rFonts w:ascii="Times New Roman" w:hAnsi="Times New Roman"/>
                <w:sz w:val="28"/>
                <w:szCs w:val="28"/>
              </w:rPr>
              <w:t>82</w:t>
            </w:r>
          </w:p>
        </w:tc>
      </w:tr>
      <w:tr w:rsidR="006E01DF" w:rsidTr="00E6013D">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sidRPr="009D3FE4">
              <w:rPr>
                <w:rFonts w:ascii="Century" w:hAnsi="Century"/>
                <w:sz w:val="28"/>
                <w:szCs w:val="28"/>
              </w:rPr>
              <w:t>&gt;</w:t>
            </w:r>
            <w:r>
              <w:rPr>
                <w:rFonts w:ascii="Times New Roman" w:hAnsi="Times New Roman"/>
                <w:sz w:val="28"/>
                <w:szCs w:val="28"/>
              </w:rPr>
              <w:t>0</w:t>
            </w:r>
            <w:r w:rsidRPr="009D3FE4">
              <w:rPr>
                <w:rFonts w:ascii="Century" w:hAnsi="Century"/>
                <w:sz w:val="28"/>
                <w:szCs w:val="28"/>
              </w:rPr>
              <w:t>,</w:t>
            </w:r>
            <w:r>
              <w:rPr>
                <w:rFonts w:ascii="Times New Roman" w:hAnsi="Times New Roman"/>
                <w:sz w:val="28"/>
                <w:szCs w:val="28"/>
              </w:rPr>
              <w:t>85</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101</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10</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1</w:t>
            </w:r>
            <w:r w:rsidRPr="009D3FE4">
              <w:rPr>
                <w:rFonts w:ascii="Century" w:hAnsi="Century"/>
                <w:sz w:val="28"/>
                <w:szCs w:val="28"/>
              </w:rPr>
              <w:t>,</w:t>
            </w:r>
            <w:r>
              <w:rPr>
                <w:rFonts w:ascii="Times New Roman" w:hAnsi="Times New Roman"/>
                <w:sz w:val="28"/>
                <w:szCs w:val="28"/>
              </w:rPr>
              <w:t>09 (0</w:t>
            </w:r>
            <w:r w:rsidRPr="009D3FE4">
              <w:rPr>
                <w:rFonts w:ascii="Century" w:hAnsi="Century"/>
                <w:sz w:val="28"/>
                <w:szCs w:val="28"/>
              </w:rPr>
              <w:t>,</w:t>
            </w:r>
            <w:r>
              <w:rPr>
                <w:rFonts w:ascii="Times New Roman" w:hAnsi="Times New Roman"/>
                <w:sz w:val="28"/>
                <w:szCs w:val="28"/>
              </w:rPr>
              <w:t>52-2</w:t>
            </w:r>
            <w:r w:rsidRPr="009D3FE4">
              <w:rPr>
                <w:rFonts w:ascii="Century" w:hAnsi="Century"/>
                <w:sz w:val="28"/>
                <w:szCs w:val="28"/>
              </w:rPr>
              <w:t>,</w:t>
            </w:r>
            <w:r>
              <w:rPr>
                <w:rFonts w:ascii="Times New Roman" w:hAnsi="Times New Roman"/>
                <w:sz w:val="28"/>
                <w:szCs w:val="28"/>
              </w:rPr>
              <w:t>28)</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rPr>
                <w:rFonts w:ascii="Times New Roman" w:hAnsi="Times New Roman"/>
                <w:sz w:val="28"/>
                <w:szCs w:val="28"/>
              </w:rPr>
            </w:pPr>
          </w:p>
        </w:tc>
      </w:tr>
      <w:tr w:rsidR="006E01DF" w:rsidTr="00E6013D">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jc w:val="center"/>
              <w:rPr>
                <w:rFonts w:ascii="Times New Roman" w:hAnsi="Times New Roman"/>
                <w:sz w:val="28"/>
                <w:szCs w:val="28"/>
              </w:rPr>
            </w:pPr>
            <w:r>
              <w:rPr>
                <w:rFonts w:ascii="Times New Roman" w:hAnsi="Times New Roman"/>
                <w:sz w:val="28"/>
                <w:szCs w:val="28"/>
              </w:rPr>
              <w:t>глюкоза</w:t>
            </w:r>
            <w:r w:rsidRPr="009D3FE4">
              <w:rPr>
                <w:rFonts w:ascii="Century" w:hAnsi="Century"/>
                <w:sz w:val="28"/>
                <w:szCs w:val="28"/>
              </w:rPr>
              <w:t>,</w:t>
            </w:r>
            <w:r>
              <w:rPr>
                <w:rFonts w:ascii="Times New Roman" w:hAnsi="Times New Roman"/>
                <w:sz w:val="28"/>
                <w:szCs w:val="28"/>
              </w:rPr>
              <w:t xml:space="preserve"> ммоль/л</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≤5,59</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243</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22</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1,0</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0,88</w:t>
            </w:r>
          </w:p>
        </w:tc>
      </w:tr>
      <w:tr w:rsidR="006E01DF" w:rsidTr="00E6013D">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&gt;5,59</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221</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21</w:t>
            </w:r>
          </w:p>
        </w:tc>
        <w:tc>
          <w:tcPr>
            <w:tcW w:w="2408"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1,05 (0,56-1,96)</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rPr>
                <w:rFonts w:ascii="Times New Roman" w:hAnsi="Times New Roman"/>
                <w:sz w:val="28"/>
                <w:szCs w:val="28"/>
              </w:rPr>
            </w:pPr>
          </w:p>
        </w:tc>
      </w:tr>
      <w:tr w:rsidR="006E01DF" w:rsidTr="00E6013D">
        <w:trPr>
          <w:trHeight w:val="330"/>
        </w:trPr>
        <w:tc>
          <w:tcPr>
            <w:tcW w:w="2550" w:type="dxa"/>
            <w:vMerge w:val="restart"/>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jc w:val="center"/>
              <w:rPr>
                <w:rFonts w:ascii="Times New Roman" w:hAnsi="Times New Roman"/>
                <w:sz w:val="28"/>
                <w:szCs w:val="28"/>
              </w:rPr>
            </w:pPr>
            <w:r>
              <w:rPr>
                <w:rFonts w:ascii="Times New Roman" w:hAnsi="Times New Roman"/>
                <w:sz w:val="28"/>
                <w:szCs w:val="28"/>
              </w:rPr>
              <w:t>HOMA-IR</w:t>
            </w: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&lt;2,7</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311</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0</w:t>
            </w:r>
          </w:p>
        </w:tc>
        <w:tc>
          <w:tcPr>
            <w:tcW w:w="2408" w:type="dxa"/>
            <w:tcBorders>
              <w:top w:val="single" w:sz="4" w:space="0" w:color="auto"/>
              <w:left w:val="single" w:sz="4" w:space="0" w:color="auto"/>
              <w:bottom w:val="single" w:sz="4" w:space="0" w:color="auto"/>
              <w:right w:val="single" w:sz="4" w:space="0" w:color="auto"/>
            </w:tcBorders>
          </w:tcPr>
          <w:p w:rsidR="006E01DF" w:rsidRDefault="00856DAE" w:rsidP="00E6013D">
            <w:pPr>
              <w:jc w:val="center"/>
              <w:rPr>
                <w:rFonts w:ascii="Times New Roman" w:hAnsi="Times New Roman"/>
                <w:sz w:val="28"/>
                <w:szCs w:val="28"/>
              </w:rPr>
            </w:pPr>
            <w:r>
              <w:rPr>
                <w:rFonts w:ascii="Times New Roman" w:hAnsi="Times New Roman"/>
                <w:sz w:val="28"/>
                <w:szCs w:val="28"/>
              </w:rPr>
              <w:t>-</w:t>
            </w:r>
          </w:p>
        </w:tc>
        <w:tc>
          <w:tcPr>
            <w:tcW w:w="993" w:type="dxa"/>
            <w:vMerge w:val="restart"/>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0,0001</w:t>
            </w:r>
          </w:p>
        </w:tc>
      </w:tr>
      <w:tr w:rsidR="006E01DF" w:rsidTr="00E6013D">
        <w:trPr>
          <w:trHeight w:val="330"/>
        </w:trPr>
        <w:tc>
          <w:tcPr>
            <w:tcW w:w="2550"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≥2,7</w:t>
            </w:r>
          </w:p>
        </w:tc>
        <w:tc>
          <w:tcPr>
            <w:tcW w:w="992"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153</w:t>
            </w:r>
          </w:p>
        </w:tc>
        <w:tc>
          <w:tcPr>
            <w:tcW w:w="993" w:type="dxa"/>
            <w:tcBorders>
              <w:top w:val="single" w:sz="4" w:space="0" w:color="auto"/>
              <w:left w:val="single" w:sz="4" w:space="0" w:color="auto"/>
              <w:bottom w:val="single" w:sz="4" w:space="0" w:color="auto"/>
              <w:right w:val="single" w:sz="4" w:space="0" w:color="auto"/>
            </w:tcBorders>
            <w:hideMark/>
          </w:tcPr>
          <w:p w:rsidR="006E01DF" w:rsidRDefault="006E01DF" w:rsidP="00E6013D">
            <w:pPr>
              <w:jc w:val="center"/>
              <w:rPr>
                <w:rFonts w:ascii="Times New Roman" w:hAnsi="Times New Roman"/>
                <w:sz w:val="28"/>
                <w:szCs w:val="28"/>
              </w:rPr>
            </w:pPr>
            <w:r>
              <w:rPr>
                <w:rFonts w:ascii="Times New Roman" w:hAnsi="Times New Roman"/>
                <w:sz w:val="28"/>
                <w:szCs w:val="28"/>
              </w:rPr>
              <w:t>43</w:t>
            </w:r>
          </w:p>
        </w:tc>
        <w:tc>
          <w:tcPr>
            <w:tcW w:w="2408" w:type="dxa"/>
            <w:tcBorders>
              <w:top w:val="single" w:sz="4" w:space="0" w:color="auto"/>
              <w:left w:val="single" w:sz="4" w:space="0" w:color="auto"/>
              <w:bottom w:val="single" w:sz="4" w:space="0" w:color="auto"/>
              <w:right w:val="single" w:sz="4" w:space="0" w:color="auto"/>
            </w:tcBorders>
          </w:tcPr>
          <w:p w:rsidR="006E01DF" w:rsidRDefault="00856DAE" w:rsidP="00E6013D">
            <w:pPr>
              <w:jc w:val="center"/>
              <w:rPr>
                <w:rFonts w:ascii="Times New Roman" w:hAnsi="Times New Roman"/>
                <w:sz w:val="28"/>
                <w:szCs w:val="28"/>
              </w:rPr>
            </w:pPr>
            <w:r>
              <w:rPr>
                <w:rFonts w:ascii="Times New Roman" w:hAnsi="Times New Roman"/>
                <w:sz w:val="28"/>
                <w:szCs w:val="28"/>
              </w:rPr>
              <w:t>-</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E01DF" w:rsidRDefault="006E01DF" w:rsidP="00E6013D">
            <w:pPr>
              <w:rPr>
                <w:rFonts w:ascii="Times New Roman" w:hAnsi="Times New Roman"/>
                <w:sz w:val="28"/>
                <w:szCs w:val="28"/>
              </w:rPr>
            </w:pPr>
          </w:p>
        </w:tc>
      </w:tr>
      <w:tr w:rsidR="006E01DF" w:rsidTr="00E6013D">
        <w:trPr>
          <w:trHeight w:val="451"/>
        </w:trPr>
        <w:tc>
          <w:tcPr>
            <w:tcW w:w="9495" w:type="dxa"/>
            <w:gridSpan w:val="6"/>
            <w:tcBorders>
              <w:top w:val="single" w:sz="4" w:space="0" w:color="auto"/>
              <w:left w:val="single" w:sz="4" w:space="0" w:color="auto"/>
              <w:bottom w:val="single" w:sz="4" w:space="0" w:color="auto"/>
              <w:right w:val="single" w:sz="4" w:space="0" w:color="auto"/>
            </w:tcBorders>
            <w:hideMark/>
          </w:tcPr>
          <w:p w:rsidR="0010721F" w:rsidRDefault="006E01DF" w:rsidP="00E6013D">
            <w:pPr>
              <w:jc w:val="both"/>
              <w:rPr>
                <w:rFonts w:ascii="Times New Roman" w:hAnsi="Times New Roman"/>
                <w:szCs w:val="24"/>
                <w:lang w:val="kk-KZ"/>
              </w:rPr>
            </w:pPr>
            <w:r>
              <w:rPr>
                <w:rFonts w:ascii="Times New Roman" w:hAnsi="Times New Roman"/>
                <w:szCs w:val="24"/>
              </w:rPr>
              <w:t>Примечание * - χ</w:t>
            </w:r>
            <w:r>
              <w:rPr>
                <w:rFonts w:ascii="Times New Roman" w:hAnsi="Times New Roman"/>
                <w:szCs w:val="24"/>
                <w:vertAlign w:val="superscript"/>
              </w:rPr>
              <w:t>2</w:t>
            </w:r>
            <w:r>
              <w:rPr>
                <w:rFonts w:ascii="Times New Roman" w:hAnsi="Times New Roman"/>
                <w:szCs w:val="24"/>
              </w:rPr>
              <w:t xml:space="preserve"> – хи квадрат Пирсона; </w:t>
            </w:r>
          </w:p>
          <w:p w:rsidR="006E01DF" w:rsidRDefault="006E01DF" w:rsidP="00E6013D">
            <w:pPr>
              <w:jc w:val="both"/>
              <w:rPr>
                <w:rFonts w:ascii="Times New Roman" w:hAnsi="Times New Roman"/>
                <w:sz w:val="20"/>
                <w:szCs w:val="20"/>
              </w:rPr>
            </w:pPr>
            <w:r>
              <w:rPr>
                <w:rFonts w:ascii="Times New Roman" w:hAnsi="Times New Roman"/>
                <w:szCs w:val="24"/>
              </w:rPr>
              <w:t>ОШ (95% ДИ) – Отношение шансов (95% Доверительный интервал)</w:t>
            </w:r>
          </w:p>
        </w:tc>
      </w:tr>
    </w:tbl>
    <w:p w:rsidR="00051EB3" w:rsidRDefault="00051EB3" w:rsidP="00051EB3">
      <w:pPr>
        <w:spacing w:after="0" w:line="240" w:lineRule="auto"/>
        <w:jc w:val="both"/>
        <w:rPr>
          <w:rFonts w:ascii="Times New Roman" w:hAnsi="Times New Roman" w:cs="Times New Roman"/>
          <w:sz w:val="28"/>
          <w:szCs w:val="28"/>
        </w:rPr>
      </w:pPr>
    </w:p>
    <w:p w:rsidR="00AD11CD" w:rsidRDefault="00AD11CD" w:rsidP="00AD11C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Diaf M. в своем исследовании (2015) на основе показателя апоВ/апоА1 оценил метаболический риск для контроля общего ожирения, абдоминального ожирения и уровня липидного обмена у пациентов с СД 2 типа, где он отмечает диагностическую эффективность апоВ и апоА1 по сравнению с традиционными маркерами липидного обмена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{"citationItems":[{"id":"ITEM-1","itemData":{"DOI":"Citation: Libyan J Med 2015, 10: 27400 - http://dx.doi.org/10.3402/ljm.v10.27400","abstract":"Background and objective: The incidence of diabetes co-morbidities could probably be better assessed by studying its associations with major corpulence parameters and glycaemic control indicators. We assessed the utility of body mass index (BMI), waist circumference (WC), and glycosylated haemoglobin (HbA1c) levels in metabolic control for type 2 diabetic patients. Methods: Fasting and postprandial blood samples were collected from 238 type 2 diabetic patients aged 57.4911.9 years. The sera were analysed for glucose, HbA1c, total cholesterol (TC), triglycerides (TG), highdensity lipoprotein cholesterol (HDL-c), low-density lipoprotein cholesterol (LDL-c), and apolipoproteins (apoA-I and apoB). Ratios of lipids and apolipoproteins were calculated and their associations with BMI, WC, and HbA1c levels were analysed. Results: Our investigation showed increases in most fasting and postprandial lipid parameters according to BMI and WC. In men, postprandial HDL-c and TG levels were significantly higher (pB0.05) in overweight and obese patients, respectively, as well as in patients with abdominal obesity. Contrariwise, postprandial TC levels were significantly higher (pB0.01) in overweight and abdominal obese women. However, elevations of apoA-I and apoB levels were according to BMI and WC in both genders. There was a strong influence of BMI, WC, and HbA1c levels on the apoB/apoA-I ratio compared to traditional fasting and postprandial lipid ratios in both men and women. The apoB/apoA-I ratio was more correlated with postprandial TC/HDL and LDL-c/HDL-c ratios in men and with postprandial TG/HDL-c in women. Conclusion: The apoB/apoA-I ratio is helpful in assessing metabolic risk caused by overall obesity, abdominal obesity and impaired glycaemia in type 2 diabetic patients.","author":[{"dropping-particle":"","family":"Diaf","given":"Mustapha","non-dropping-particle":"","parse-names":false,"suffix":""},{"dropping-particle":"","family":"Khaled","given":"Boumediene M","non-dropping-particle":"","parse-names":false,"suffix":""}],"container-title":"Libyan Journal of Medicine","id":"ITEM-1","issued":{"date-parts":[["2015"]]},"page":"1-10","title":"Impact of corpulence parameters and haemoglobin A1c on metabolic control in type 2 diabetic patients: comparison of apolipoprotein B/A-I ratio with fasting and postprandial conventional lipid ratios","type":"article-journal","volume":"1"},"uris":["http://www.mendeley.com/documents/?uuid=bb2b3af7-9418-4140-8b79-1151562dffea"]}],"mendeley":{"formattedCitation":"[187]","plainTextFormattedCitation":"[187]","previouslyFormattedCitation":"[187]"},"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[187]</w:t>
      </w:r>
      <w:r>
        <w:rPr>
          <w:rFonts w:ascii="Times New Roman" w:hAnsi="Times New Roman" w:cs="Times New Roman"/>
          <w:sz w:val="28"/>
          <w:szCs w:val="28"/>
        </w:rPr>
        <w:fldChar w:fldCharType="end"/>
      </w:r>
      <w:r>
        <w:rPr>
          <w:rFonts w:ascii="Times New Roman" w:hAnsi="Times New Roman" w:cs="Times New Roman"/>
          <w:sz w:val="28"/>
          <w:szCs w:val="28"/>
        </w:rPr>
        <w:t xml:space="preserve">. В другом исследовании соотношение апоВ/апоА1 являлось равным диагностическим критерием МС в казахской популяции, как и уровень ТГ, и лучшим в сравнении с ЛПВП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{"citationItems":[{"id":"ITEM-1","itemData":{"DOI":"10.3390/diagnostics10080510","ISSN":"2075-4418","abstract":"Apolipoproteins (Apo) are known atherogenic factors that play important roles in many mechanisms related to coronary heart disease. The ApoB/ApoA1 ratio is a promising diagnostic tool for metabolic syndrome (MS) in different populations, though its use is not established in Kazakhstan. This study aimed to assess the relationship between MS and the ApoB/ApoA1 ratio among hypertensive patients and to evaluate its diagnostic use for identifying MS as an alternative to triglycerides (TG) and high-density lipoprotein cholesterol (HDL-C). A cross-sectional study was conducted in 800 eligible men and women with primary hypertension from April 2015 to December 2016. Data were collected on socio-demographics, lifestyle parameters, family history of cardiovascular disease, and hypertension. Dietary Quality Score (DQS), anthropometric data, and blood pressure were recorded; ApoA1 and ApoB levels were measured in blood samples. We found a significant positive association between MS and the ApoB/ApoA1 ratio by multiple logistic regression, as shown by a linear trend of increase of the odds ratio (OR) for MS across the quartiles of ApoB/ApoA1 (p &lt; 0.0001). ROC analysis revealed diagnostic significance of the ApoB/ApoA1 ratio for MS, and comparative ROC analysis demonstrated equal diagnostic value of ApoB/ApoA1 ratio and TG levels (AUC = 0.71 (95% CI 0.69; 0.74) and 0.72 (95% CI 0.69, 0.76), respectively), which was significantly higher than those of HDL, ApoA1, ApoB (AUC = 0.27 (95% CI 0.23; 0.31), AUC = 0.37 (95% CI 0.33; 0.41), AUC = 0.67, (95% CI 0.63; 0.71), respectively). The diagnostic value of the ApoB/ApoA1 ratio in Kazakhs with MS appeared to equal that of TG and was significantly higher than that of HDL-C. Adjusting for gender, smoking, and DQS significantly strengthened the association between MS and the ApoB/ApoA1 ratio in the Kazakh population.","author":[{"dropping-particle":"","family":"Nurtazina","given":"Alma","non-dropping-particle":"","parse-names":false,"suffix":""},{"dropping-particle":"","family":"Kozhakhmetova","given":"Dana","non-dropping-particle":"","parse-names":false,"suffix":""},{"dropping-particle":"","family":"Dautov","given":"Daulet","non-dropping-particle":"","parse-names":false,"suffix":""},{"dropping-particle":"","family":"Shakhanova","given":"Aizhan","non-dropping-particle":"","parse-names":false,"suffix":""},{"dropping-particle":"","family":"Chattu","given":"Vijay Kumar","non-dropping-particle":"","parse-names":false,"suffix":""}],"container-title":"Diagnostics","id":"ITEM-1","issue":"8","issued":{"date-parts":[["2020","7","23"]]},"page":"510","title":"Apolipoprotein B/A1 Ratio as a Diagnostic Alternative to Triglycerides and HDL-Cholesterol for the Prediction of Metabolic Syndrome among Hypertensives in Kazakhstan","type":"article-journal","volume":"10"},"uris":["http://www.mendeley.com/documents/?uuid=2f5af633-1058-4b9d-9834-153a92704c31"]}],"mendeley":{"formattedCitation":"[188]","plainTextFormattedCitation":"[188]","previouslyFormattedCitation":"[188]"},"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[188]</w:t>
      </w:r>
      <w:r>
        <w:rPr>
          <w:rFonts w:ascii="Times New Roman" w:hAnsi="Times New Roman" w:cs="Times New Roman"/>
          <w:sz w:val="28"/>
          <w:szCs w:val="28"/>
        </w:rPr>
        <w:fldChar w:fldCharType="end"/>
      </w:r>
      <w:r>
        <w:rPr>
          <w:rFonts w:ascii="Times New Roman" w:hAnsi="Times New Roman" w:cs="Times New Roman"/>
          <w:sz w:val="28"/>
          <w:szCs w:val="28"/>
        </w:rPr>
        <w:t xml:space="preserve">. Уровень апоВ Lim H.H. (2016) предлагает как ранний предиктор риска развития СД 2 типа у корейских мужчин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{"citationItems":[{"id":"ITEM-1","itemData":{"DOI":"10.7762/cnr.2016.5.3.204","ISSN":"2287-3732","abstract":"This study aimed to investigate the association of Apolipoprotein B (ApoB) with the risk of diabetes in Koreans. Korean men (n = 790, 40-79 years) who had been never diagnosed for diabetes before participating were enrolled. Subjects were categorized into normal fasting glucose (NFG, n = 519), impaired fasting glucose (IFG, n = 188) and newly-onset diabetes (n = 83) according to fasting glucose levels. Age was not significantly different among the subgroups. Mean values of BMI, waist circumference, Blood pressure(BP), triglyceride, non-HDL cholesterol were significantly higher in IFG or newly-onset diabetic subjects compared to NFG subjects. The levels of glucose, insulin, free fatty acid, insulin resistance and ApoB were highest in diabetic patients and lowest in NFG subjects. According to ApoB level, subjects were divided into two groups (high-ApoB group: &gt;= 87.0 mg/dL vs. low-ApoB group: &lt; 87.0 mg/dL). The risk of diabetes was higher in the high-ApoB group than the low-ApoB group [OR0: 2.392, (95% CI: 1.470-3.893), P0 &lt; 0.001]. This association was maintained after adjusted for age and BMI [OR1: 2.228, (95% CI: 1.362-3.646), P1 = 0.001] and further adjustment for blood pressure, triglyceride, HDL-cholesterol, LDL-cholesterol, non-HDL-cholesterol, ApoA1 and adiponectin [OR2: 1.984, (95% CI: 1.001-4.064), P2 = 0.049]. The association was much greater in subjects with metabolic syndrome (MetS) [OR1: 2.805 (95% CI: 1.137-5.737), P1 = 0.005] than in those without [OR1: 1.917 (95% CI: 0.989-3.718), P1 = 0.054]. After 3-month, further investigation was randomly performed in subjects with NFG or IFG who agreed to reinvestigation. Multiple stepwise regression analysis revealed that net change of ApoB levels was a main contributor to the net change of glucose levels (standardized b-coefficient: 0.315, p = 0.002). In conclusion, ApoB levels are closely associated with the increased risk of diabetes in Korean men","author":[{"dropping-particle":"","family":"Lim","given":"Hyo Hee","non-dropping-particle":"","parse-names":false,"suffix":""},{"dropping-particle":"","family":"Kim","given":"Oh Yoen","non-dropping-particle":"","parse-names":false,"suffix":""}],"container-title":"Clinical Nutrition Research","id":"ITEM-1","issue":"3","issued":{"date-parts":[["2016"]]},"page":"204","title":"Association of Serum Apolipoprotein B with the Increased Risk of Diabetes in Korean Men","type":"article-journal","volume":"5"},"uris":["http://www.mendeley.com/documents/?uuid=bbcc2424-6c61-4f17-a5ed-301b60954ee9"]}],"mendeley":{"formattedCitation":"[189]","plainTextFormattedCitation":"[189]","previouslyFormattedCitation":"[189]"},"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[189]</w:t>
      </w:r>
      <w:r>
        <w:rPr>
          <w:rFonts w:ascii="Times New Roman" w:hAnsi="Times New Roman" w:cs="Times New Roman"/>
          <w:sz w:val="28"/>
          <w:szCs w:val="28"/>
        </w:rPr>
        <w:fldChar w:fldCharType="end"/>
      </w:r>
      <w:r>
        <w:rPr>
          <w:rFonts w:ascii="Times New Roman" w:hAnsi="Times New Roman" w:cs="Times New Roman"/>
          <w:sz w:val="28"/>
          <w:szCs w:val="28"/>
        </w:rPr>
        <w:t xml:space="preserve">. По </w:t>
      </w:r>
      <w:r>
        <w:rPr>
          <w:rFonts w:ascii="Times New Roman" w:hAnsi="Times New Roman" w:cs="Times New Roman"/>
          <w:sz w:val="28"/>
          <w:szCs w:val="28"/>
        </w:rPr>
        <w:lastRenderedPageBreak/>
        <w:t xml:space="preserve">данным его исследования высокий уровень апоВ увеличивал риск развития СД в 2 раза по сравнению с мужчинами, у которых был низкий уровень апоВ. Ben Ali S. и соавторы (2016) показали, что у женщин в постменопаузном периоде изменение окружности талии, уровня апоВ и индекса ИР ассоциируется с увеличением распространенности АГ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{"citationItems":[{"id":"ITEM-1","itemData":{"DOI":"10.3109/10641963.2015.1131286","ISSN":"15256006","abstract":"This study aimed to evaluate the association of abdominal obesity, apolipoprotein and insulin resistance (IR) with the risk of hypertension in postmenopausal women. We analyzed a total of 242 women aged between 35 and 70 years. Blood pressure (BP), anthropometric indices, lipid profile, fasting glucose, insulin, C-reactive protein (CRP) and apolipoprotein concentrations were measured. Homeostasis model assessment (HOMA) was used to assess IR. Hypertension was defined as a systolic BP (SBP) &gt;/=140 mmHg and/or diastolic BP (DBP) &gt;/=90 mmHg or current treatment with antihypertensive drugs. Women with hypertension showed significantly higher mean values of age, SBP and DBP, waist circumference (WC), fasting plasma glucose (FPG), insulin, HOMAIR and the apolipoprotein B (apoB). When analyses were done according to the menopausal status, higher prevalence of hypertension was observed in postmenopausal women (72.8% vs. 26.0%, p &lt; 0.001) compared to their premenopausal counterparts. Postmenopausal women showed also significantly higher mean values of SBP and DBP, WC, HOMAIR and apoB. Multivariate linear regression analysis revealed that SBP was significantly affected by WC (p = 0.034), apoB (p = 0.038) and log HOMAIR (p = 0.007) in postmenopausal women. The interaction models revealed significant interaction between WC, apoB and log HOMAIR (WCxapoBxlog HOMAIR) on SBP (p = 0.001) adjusted for age. In a multivariate logistic regression, adjusting for age and apoB, WC (p = 0.001), log HOMAIR (p = 0.007) and menopause (p = 0.008) were significantly associated with higher risk for hypertension. These results suggest that changes in WC, apoB and IR accompanying menopause lead to a greater prevalence of hypertension in postmenopausal women.","author":[{"dropping-particle":"","family":"Ali","given":"Samir","non-dropping-particle":"Ben","parse-names":false,"suffix":""},{"dropping-particle":"","family":"Belfki-Benali","given":"Hanen","non-dropping-particle":"","parse-names":false,"suffix":""},{"dropping-particle":"Ben","family":"Ahmed","given":"Decy","non-dropping-particle":"","parse-names":false,"suffix":""},{"dropping-particle":"","family":"Haddad","given":"Najet","non-dropping-particle":"","parse-names":false,"suffix":""},{"dropping-particle":"","family":"Jmal","given":"Awatef","non-dropping-particle":"","parse-names":false,"suffix":""},{"dropping-particle":"","family":"Abdennebi","given":"Monia","non-dropping-particle":"","parse-names":false,"suffix":""},{"dropping-particle":"Ben","family":"Romdhane","given":"Habiba","non-dropping-particle":"","parse-names":false,"suffix":""}],"container-title":"Clinical and Experimental Hypertension","id":"ITEM-1","issue":"4","issued":{"date-parts":[["2016"]]},"page":"370-374","title":"Postmenopausal hypertension, abdominal obesity, apolipoprotein and insulin resistance","type":"article","volume":"38"},"uris":["http://www.mendeley.com/documents/?uuid=a79c40db-0616-485e-b1ec-842b8d0ac473"]}],"mendeley":{"formattedCitation":"[190]","plainTextFormattedCitation":"[190]","previouslyFormattedCitation":"[190]"},"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[190]</w:t>
      </w:r>
      <w:r>
        <w:rPr>
          <w:rFonts w:ascii="Times New Roman" w:hAnsi="Times New Roman" w:cs="Times New Roman"/>
          <w:sz w:val="28"/>
          <w:szCs w:val="28"/>
        </w:rPr>
        <w:fldChar w:fldCharType="end"/>
      </w:r>
      <w:r>
        <w:rPr>
          <w:rFonts w:ascii="Times New Roman" w:hAnsi="Times New Roman" w:cs="Times New Roman"/>
          <w:sz w:val="28"/>
          <w:szCs w:val="28"/>
        </w:rPr>
        <w:t xml:space="preserve">. В этом исследовании гиперинсулинемия не была связана с полом, возрастом, ИМТ, наличием верифицированного диагноза АГ и статусом курения. </w:t>
      </w:r>
    </w:p>
    <w:p w:rsidR="00AB12B3" w:rsidRDefault="00573127"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Согласно </w:t>
      </w:r>
      <w:r w:rsidR="005B0F7D">
        <w:rPr>
          <w:rFonts w:ascii="Times New Roman" w:hAnsi="Times New Roman" w:cs="Times New Roman"/>
          <w:sz w:val="28"/>
          <w:szCs w:val="28"/>
        </w:rPr>
        <w:t>результата</w:t>
      </w:r>
      <w:r w:rsidR="00AB12B3">
        <w:rPr>
          <w:rFonts w:ascii="Times New Roman" w:hAnsi="Times New Roman" w:cs="Times New Roman"/>
          <w:sz w:val="28"/>
          <w:szCs w:val="28"/>
        </w:rPr>
        <w:t xml:space="preserve">м нашего исследования при гипераполипопротеинемии В чаще </w:t>
      </w:r>
      <w:r>
        <w:rPr>
          <w:rFonts w:ascii="Times New Roman" w:hAnsi="Times New Roman" w:cs="Times New Roman"/>
          <w:sz w:val="28"/>
          <w:szCs w:val="28"/>
        </w:rPr>
        <w:t>наблюдалось</w:t>
      </w:r>
      <w:r w:rsidR="00AB12B3">
        <w:rPr>
          <w:rFonts w:ascii="Times New Roman" w:hAnsi="Times New Roman" w:cs="Times New Roman"/>
          <w:sz w:val="28"/>
          <w:szCs w:val="28"/>
        </w:rPr>
        <w:t xml:space="preserve"> высоки</w:t>
      </w:r>
      <w:r>
        <w:rPr>
          <w:rFonts w:ascii="Times New Roman" w:hAnsi="Times New Roman" w:cs="Times New Roman"/>
          <w:sz w:val="28"/>
          <w:szCs w:val="28"/>
        </w:rPr>
        <w:t>й</w:t>
      </w:r>
      <w:r w:rsidR="00AB12B3">
        <w:rPr>
          <w:rFonts w:ascii="Times New Roman" w:hAnsi="Times New Roman" w:cs="Times New Roman"/>
          <w:sz w:val="28"/>
          <w:szCs w:val="28"/>
        </w:rPr>
        <w:t xml:space="preserve"> уров</w:t>
      </w:r>
      <w:r>
        <w:rPr>
          <w:rFonts w:ascii="Times New Roman" w:hAnsi="Times New Roman" w:cs="Times New Roman"/>
          <w:sz w:val="28"/>
          <w:szCs w:val="28"/>
        </w:rPr>
        <w:t>е</w:t>
      </w:r>
      <w:r w:rsidR="00AB12B3">
        <w:rPr>
          <w:rFonts w:ascii="Times New Roman" w:hAnsi="Times New Roman" w:cs="Times New Roman"/>
          <w:sz w:val="28"/>
          <w:szCs w:val="28"/>
        </w:rPr>
        <w:t>н</w:t>
      </w:r>
      <w:r>
        <w:rPr>
          <w:rFonts w:ascii="Times New Roman" w:hAnsi="Times New Roman" w:cs="Times New Roman"/>
          <w:sz w:val="28"/>
          <w:szCs w:val="28"/>
        </w:rPr>
        <w:t>ь</w:t>
      </w:r>
      <w:r w:rsidR="00AB12B3">
        <w:rPr>
          <w:rFonts w:ascii="Times New Roman" w:hAnsi="Times New Roman" w:cs="Times New Roman"/>
          <w:sz w:val="28"/>
          <w:szCs w:val="28"/>
        </w:rPr>
        <w:t xml:space="preserve"> инсулина (таблица 26)</w:t>
      </w:r>
      <w:r w:rsidR="001407E8">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{"citationItems":[{"id":"ITEM-1","itemData":{"author":[{"dropping-particle":"","family":"Шаханова","given":"Айжан Т","non-dropping-particle":"","parse-names":false,"suffix":""},{"dropping-particle":"","family":"Аукенов","given":"Нурлан Е","non-dropping-particle":"","parse-names":false,"suffix":""},{"dropping-particle":"","family":"Нуртазина","given":"Алма У","non-dropping-particle":"","parse-names":false,"suffix":""},{"dropping-particle":"","family":"Шаханов","given":"Тунгышхан Е","non-dropping-particle":"","parse-names":false,"suffix":""},{"dropping-particle":"","family":"Кожахметова","given":"Дана К","non-dropping-particle":"","parse-names":false,"suffix":""}],"container-title":"Материалы XIV международной научно-практической конференции \"Экология. Радиация. Здоровье.\"","id":"ITEM-1","issued":{"date-parts":[["2019"]]},"page":"177","publisher":"Наука и здравоохранение","publisher-place":"Семей, Казахстан","title":"Распространенность гиперинсулинемии у казахов","type":"paper-conference","volume":"4 (І)"},"uris":["http://www.mendeley.com/documents/?uuid=2d81ec86-af66-43c3-bdb7-171239495ac6"]}],"mendeley":{"formattedCitation":"[191]","plainTextFormattedCitation":"[191]","previouslyFormattedCitation":"[191]"},"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[191]</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но при гиперинсулинемии уров</w:t>
      </w:r>
      <w:r>
        <w:rPr>
          <w:rFonts w:ascii="Times New Roman" w:hAnsi="Times New Roman" w:cs="Times New Roman"/>
          <w:sz w:val="28"/>
          <w:szCs w:val="28"/>
        </w:rPr>
        <w:t>е</w:t>
      </w:r>
      <w:r w:rsidR="00AB12B3">
        <w:rPr>
          <w:rFonts w:ascii="Times New Roman" w:hAnsi="Times New Roman" w:cs="Times New Roman"/>
          <w:sz w:val="28"/>
          <w:szCs w:val="28"/>
        </w:rPr>
        <w:t>н</w:t>
      </w:r>
      <w:r>
        <w:rPr>
          <w:rFonts w:ascii="Times New Roman" w:hAnsi="Times New Roman" w:cs="Times New Roman"/>
          <w:sz w:val="28"/>
          <w:szCs w:val="28"/>
        </w:rPr>
        <w:t>ь</w:t>
      </w:r>
      <w:r w:rsidR="00AB12B3">
        <w:rPr>
          <w:rFonts w:ascii="Times New Roman" w:hAnsi="Times New Roman" w:cs="Times New Roman"/>
          <w:sz w:val="28"/>
          <w:szCs w:val="28"/>
        </w:rPr>
        <w:t xml:space="preserve"> апоВ не отличались от группы с нормальным уровнем инсулина (таблица 4</w:t>
      </w:r>
      <w:r w:rsidR="008718C2">
        <w:rPr>
          <w:rFonts w:ascii="Times New Roman" w:hAnsi="Times New Roman" w:cs="Times New Roman"/>
          <w:sz w:val="28"/>
          <w:szCs w:val="28"/>
        </w:rPr>
        <w:t>3</w:t>
      </w:r>
      <w:r w:rsidR="00AB12B3">
        <w:rPr>
          <w:rFonts w:ascii="Times New Roman" w:hAnsi="Times New Roman" w:cs="Times New Roman"/>
          <w:sz w:val="28"/>
          <w:szCs w:val="28"/>
        </w:rPr>
        <w:t>).</w:t>
      </w:r>
      <w:r w:rsidR="00051EB3">
        <w:rPr>
          <w:rFonts w:ascii="Times New Roman" w:hAnsi="Times New Roman" w:cs="Times New Roman"/>
          <w:sz w:val="28"/>
          <w:szCs w:val="28"/>
        </w:rPr>
        <w:t xml:space="preserve"> Наши данные схожи с результатами</w:t>
      </w:r>
      <w:r w:rsidR="008718C2">
        <w:rPr>
          <w:rFonts w:ascii="Times New Roman" w:hAnsi="Times New Roman" w:cs="Times New Roman"/>
          <w:sz w:val="28"/>
          <w:szCs w:val="28"/>
        </w:rPr>
        <w:t xml:space="preserve"> </w:t>
      </w:r>
      <w:r w:rsidR="00AB12B3" w:rsidRPr="00051EB3">
        <w:rPr>
          <w:rFonts w:ascii="Times New Roman" w:hAnsi="Times New Roman" w:cs="Times New Roman"/>
          <w:sz w:val="28"/>
          <w:szCs w:val="28"/>
        </w:rPr>
        <w:t>Santhanam</w:t>
      </w:r>
      <w:r w:rsidR="008718C2">
        <w:rPr>
          <w:rFonts w:ascii="Times New Roman" w:hAnsi="Times New Roman" w:cs="Times New Roman"/>
          <w:sz w:val="28"/>
          <w:szCs w:val="28"/>
        </w:rPr>
        <w:t xml:space="preserve"> </w:t>
      </w:r>
      <w:r w:rsidR="00230231" w:rsidRPr="00051EB3">
        <w:rPr>
          <w:rFonts w:ascii="Times New Roman" w:hAnsi="Times New Roman" w:cs="Times New Roman"/>
          <w:sz w:val="28"/>
          <w:szCs w:val="28"/>
        </w:rPr>
        <w:t xml:space="preserve">P. </w:t>
      </w:r>
      <w:r w:rsidR="00AB12B3" w:rsidRPr="00051EB3">
        <w:rPr>
          <w:rFonts w:ascii="Times New Roman" w:hAnsi="Times New Roman" w:cs="Times New Roman"/>
          <w:sz w:val="28"/>
          <w:szCs w:val="28"/>
        </w:rPr>
        <w:t>и соавторов (2016)</w:t>
      </w:r>
      <w:r w:rsidR="00051EB3">
        <w:rPr>
          <w:rFonts w:ascii="Times New Roman" w:hAnsi="Times New Roman" w:cs="Times New Roman"/>
          <w:sz w:val="28"/>
          <w:szCs w:val="28"/>
        </w:rPr>
        <w:t>, э</w:t>
      </w:r>
      <w:r w:rsidR="00AB12B3">
        <w:rPr>
          <w:rFonts w:ascii="Times New Roman" w:hAnsi="Times New Roman" w:cs="Times New Roman"/>
          <w:sz w:val="28"/>
          <w:szCs w:val="28"/>
        </w:rPr>
        <w:t xml:space="preserve">та ассоциация была более выражена у </w:t>
      </w:r>
      <w:r>
        <w:rPr>
          <w:rFonts w:ascii="Times New Roman" w:hAnsi="Times New Roman" w:cs="Times New Roman"/>
          <w:sz w:val="28"/>
          <w:szCs w:val="28"/>
        </w:rPr>
        <w:t>участнико</w:t>
      </w:r>
      <w:r w:rsidR="00AB12B3">
        <w:rPr>
          <w:rFonts w:ascii="Times New Roman" w:hAnsi="Times New Roman" w:cs="Times New Roman"/>
          <w:sz w:val="28"/>
          <w:szCs w:val="28"/>
        </w:rPr>
        <w:t>в</w:t>
      </w:r>
      <w:r>
        <w:rPr>
          <w:rFonts w:ascii="Times New Roman" w:hAnsi="Times New Roman" w:cs="Times New Roman"/>
          <w:sz w:val="28"/>
          <w:szCs w:val="28"/>
        </w:rPr>
        <w:t xml:space="preserve"> с </w:t>
      </w:r>
      <w:r w:rsidR="00C311CC">
        <w:rPr>
          <w:rFonts w:ascii="Times New Roman" w:hAnsi="Times New Roman" w:cs="Times New Roman"/>
          <w:sz w:val="28"/>
          <w:szCs w:val="28"/>
        </w:rPr>
        <w:t>гипертони</w:t>
      </w:r>
      <w:r>
        <w:rPr>
          <w:rFonts w:ascii="Times New Roman" w:hAnsi="Times New Roman" w:cs="Times New Roman"/>
          <w:sz w:val="28"/>
          <w:szCs w:val="28"/>
        </w:rPr>
        <w:t>ей</w:t>
      </w:r>
      <w:r w:rsidR="00AB12B3">
        <w:rPr>
          <w:rFonts w:ascii="Times New Roman" w:hAnsi="Times New Roman" w:cs="Times New Roman"/>
          <w:sz w:val="28"/>
          <w:szCs w:val="28"/>
        </w:rPr>
        <w:t xml:space="preserve"> по сравнению с лицами, которые имели нормальные показатели АД </w:t>
      </w:r>
      <w:r w:rsidR="00EA0E64">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10.1111/jch.12600","ISSN":"17517176","author":[{"dropping-particle":"","family":"Santhanam","given":"Prasanna","non-dropping-particle":"","parse-names":false,"suffix":""},{"dropping-particle":"","family":"Elkadry","given":"Ayman","non-dropping-particle":"","parse-names":false,"suffix":""},{"dropping-particle":"","family":"Khthir","given":"Rodhan","non-dropping-particle":"","parse-names":false,"suffix":""},{"dropping-particle":"","family":"Dial","given":"Larry","non-dropping-particle":"","parse-names":false,"suffix":""},{"dropping-particle":"","family":"Olajide","given":"Omolola","non-dropping-particle":"","parse-names":false,"suffix":""}],"container-title":"Journal of Clinical Hypertension","id":"ITEM-1","issue":"1","issued":{"date-parts":[["2016"]]},"page":"79-80","title":"Apolipoprotein B and Insulin Resistance in Hypertensive Compared With Normotensive Patients: An Epidemiological Study","type":"article-journal","volume":"18"},"uris":["http://www.mendeley.com/documents/?uuid=eab163e2-3774-4dbb-948f-f65ebea98023"]}],"mendeley":{"formattedCitation":"[192]","plainTextFormattedCitation":"[192]","previouslyFormattedCitation":"[192]"},"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[192]</w:t>
      </w:r>
      <w:r w:rsidR="00EA0E64">
        <w:rPr>
          <w:rFonts w:ascii="Times New Roman" w:hAnsi="Times New Roman" w:cs="Times New Roman"/>
          <w:sz w:val="28"/>
          <w:szCs w:val="28"/>
        </w:rPr>
        <w:fldChar w:fldCharType="end"/>
      </w:r>
      <w:r w:rsidR="00AB12B3">
        <w:rPr>
          <w:rFonts w:ascii="Times New Roman" w:hAnsi="Times New Roman" w:cs="Times New Roman"/>
          <w:sz w:val="28"/>
          <w:szCs w:val="28"/>
        </w:rPr>
        <w:t>. Jwa</w:t>
      </w:r>
      <w:r w:rsidR="001407E8">
        <w:rPr>
          <w:rFonts w:ascii="Times New Roman" w:hAnsi="Times New Roman" w:cs="Times New Roman"/>
          <w:sz w:val="28"/>
          <w:szCs w:val="28"/>
        </w:rPr>
        <w:t xml:space="preserve"> </w:t>
      </w:r>
      <w:r w:rsidR="00230231">
        <w:rPr>
          <w:rFonts w:ascii="Times New Roman" w:hAnsi="Times New Roman" w:cs="Times New Roman"/>
          <w:sz w:val="28"/>
          <w:szCs w:val="28"/>
        </w:rPr>
        <w:t xml:space="preserve">H. </w:t>
      </w:r>
      <w:r w:rsidR="00AB12B3">
        <w:rPr>
          <w:rFonts w:ascii="Times New Roman" w:hAnsi="Times New Roman" w:cs="Times New Roman"/>
          <w:sz w:val="28"/>
          <w:szCs w:val="28"/>
        </w:rPr>
        <w:t>(2015) в своем исследовании показал, что апо</w:t>
      </w:r>
      <w:r>
        <w:rPr>
          <w:rFonts w:ascii="Times New Roman" w:hAnsi="Times New Roman" w:cs="Times New Roman"/>
          <w:sz w:val="28"/>
          <w:szCs w:val="28"/>
        </w:rPr>
        <w:t>В в значительной степени связан</w:t>
      </w:r>
      <w:r w:rsidR="00AB12B3">
        <w:rPr>
          <w:rFonts w:ascii="Times New Roman" w:hAnsi="Times New Roman" w:cs="Times New Roman"/>
          <w:sz w:val="28"/>
          <w:szCs w:val="28"/>
        </w:rPr>
        <w:t xml:space="preserve"> с риском сердечно-сосудистых осложнений независимо от уровн</w:t>
      </w:r>
      <w:r w:rsidR="00BD269C">
        <w:rPr>
          <w:rFonts w:ascii="Times New Roman" w:hAnsi="Times New Roman" w:cs="Times New Roman"/>
          <w:sz w:val="28"/>
          <w:szCs w:val="28"/>
        </w:rPr>
        <w:t xml:space="preserve">я ЛПНП у пациентов с </w:t>
      </w:r>
      <w:r w:rsidR="00AB12B3">
        <w:rPr>
          <w:rFonts w:ascii="Times New Roman" w:hAnsi="Times New Roman" w:cs="Times New Roman"/>
          <w:sz w:val="28"/>
          <w:szCs w:val="28"/>
        </w:rPr>
        <w:t>МС</w:t>
      </w:r>
      <w:r w:rsidR="001407E8">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{"citationItems":[{"id":"ITEM-1","itemData":{"DOI":"10.3803/enm.2015.30.2.208","ISSN":"2093-596X","abstract":"BACKGROUND Increased low density lipoprotein cholesterol (LDL-C) level and the presence of metabolic syndrome (MetS) are important risk factors for cardiovascular disease (CVD) in type 2 diabetes mellitus (T2DM). Recent studies demonstrated apolipoprotein B (apoB), a protein mainly located in LDL-C, was an independent predictor of the development of CVD especially in patients with T2DM. The aim of this study was to investigate the relationship between apoB and MetS in T2DM patients. METHODS We analyzed 912 patients with T2DM. Fasting blood samples were taken for glycated hemoglobin, high-sensitivity C-reactive protein, total cholesterol, triglyceride (TG), high density lipoprotein cholesterol, LDL-C, and apoB. MetS was defined by the modified National Cholesterol Education Program Adult Treatment Panel III criteria. We performed a hierarchical regression analysis with apoB as the dependent variable. Age, sex, the number of components of MetS and LDL-C were entered at model 1, the use of lipid-lowering medications at model 2, and the individual components of MetS were added at model 3. RESULTS Seventy percent of total subjects had MetS. ApoB level was higher in subjects with than those without MetS (104.5±53.3 mg/dL vs. 87.7±33.7 mg/dL, P&lt;0.01) even after adjusting for LDL-C. ApoB and LDL-C were positively correlated to the number of MetS components. The hierarchical regression analysis showed that the increasing number of MetS components was associated with higher level of apoB at step 1 and step 2 (β=0.120, P&lt;0.001 and β=0.110, P&lt;0.001, respectively). At step 3, TG (β=0.116, P&lt;0.001) and systolic blood pressure (β=0.099, P&lt;0.05) were found to significantly contribute to apoB. CONCLUSION In patients with T2DM, apoB is significantly related to MetS independently of LDL-C level. Of the components of MetS, TG, and systolic blood pressure appeared to be determinants of apoB.","author":[{"dropping-particle":"","family":"Jwa","given":"Hyeyoung","non-dropping-particle":"","parse-names":false,"suffix":""},{"dropping-particle":"","family":"Lee","given":"Sang Ah","non-dropping-particle":"","parse-names":false,"suffix":""},{"dropping-particle":"","family":"Chin","given":"Sang Ouk","non-dropping-particle":"","parse-names":false,"suffix":""},{"dropping-particle":"","family":"Kim","given":"Seong Taeg","non-dropping-particle":"","parse-names":false,"suffix":""},{"dropping-particle":"","family":"Heo","given":"Dahee","non-dropping-particle":"","parse-names":false,"suffix":""},{"dropping-particle":"","family":"Lim","given":"Younghyup","non-dropping-particle":"","parse-names":false,"suffix":""},{"dropping-particle":"","family":"Seo","given":"Hye Mi","non-dropping-particle":"","parse-names":false,"suffix":""},{"dropping-particle":"","family":"Koh","given":"Gwanpyo","non-dropping-particle":"","parse-names":false,"suffix":""},{"dropping-particle":"","family":"Moon","given":"Jae Cheol","non-dropping-particle":"","parse-names":false,"suffix":""},{"dropping-particle":"","family":"Boo","given":"Kiyoung","non-dropping-particle":"","parse-names":false,"suffix":""},{"dropping-particle":"","family":"Moon","given":"Shinhang","non-dropping-particle":"","parse-names":false,"suffix":""},{"dropping-particle":"","family":"Yoo","given":"Soyeon","non-dropping-particle":"","parse-names":false,"suffix":""}],"container-title":"Endocrinology and Metabolism","id":"ITEM-1","issue":"2","issued":{"date-parts":[["2015"]]},"page":"208","title":"Apolipoprotein B Is Related to Metabolic Syndrome Independently of Low Density Lipoprotein Cholesterol in Patients with Type 2 Diabetes","type":"article-journal","volume":"30"},"uris":["http://www.mendeley.com/documents/?uuid=467f1b33-366f-49f5-a284-f057870c8fa7"]}],"mendeley":{"formattedCitation":"[193]","plainTextFormattedCitation":"[193]","previouslyFormattedCitation":"[193]"},"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[193]</w:t>
      </w:r>
      <w:r w:rsidR="00EA0E64">
        <w:rPr>
          <w:rFonts w:ascii="Times New Roman" w:hAnsi="Times New Roman" w:cs="Times New Roman"/>
          <w:sz w:val="28"/>
          <w:szCs w:val="28"/>
        </w:rPr>
        <w:fldChar w:fldCharType="end"/>
      </w:r>
      <w:r>
        <w:rPr>
          <w:rFonts w:ascii="Times New Roman" w:hAnsi="Times New Roman" w:cs="Times New Roman"/>
          <w:sz w:val="28"/>
          <w:szCs w:val="28"/>
        </w:rPr>
        <w:t>. Он</w:t>
      </w:r>
      <w:r w:rsidR="00AB12B3">
        <w:rPr>
          <w:rFonts w:ascii="Times New Roman" w:hAnsi="Times New Roman" w:cs="Times New Roman"/>
          <w:sz w:val="28"/>
          <w:szCs w:val="28"/>
        </w:rPr>
        <w:t xml:space="preserve"> обнаружил, что у пациентов с МС чаще встречается повышенный уровень апоВ по сравнению с пациентами без МС. </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Также в </w:t>
      </w:r>
      <w:r w:rsidR="00A30E7B">
        <w:rPr>
          <w:rFonts w:ascii="Times New Roman" w:hAnsi="Times New Roman" w:cs="Times New Roman"/>
          <w:sz w:val="28"/>
          <w:szCs w:val="28"/>
        </w:rPr>
        <w:t>данн</w:t>
      </w:r>
      <w:r>
        <w:rPr>
          <w:rFonts w:ascii="Times New Roman" w:hAnsi="Times New Roman" w:cs="Times New Roman"/>
          <w:sz w:val="28"/>
          <w:szCs w:val="28"/>
        </w:rPr>
        <w:t>ом исследовании гиперинсулинемия чаще сопровождалось гипертриглицеридемией, что согласуется с исследованием Han</w:t>
      </w:r>
      <w:r w:rsidR="001407E8">
        <w:rPr>
          <w:rFonts w:ascii="Times New Roman" w:hAnsi="Times New Roman" w:cs="Times New Roman"/>
          <w:sz w:val="28"/>
          <w:szCs w:val="28"/>
        </w:rPr>
        <w:t xml:space="preserve"> </w:t>
      </w:r>
      <w:r w:rsidR="00230231">
        <w:rPr>
          <w:rFonts w:ascii="Times New Roman" w:hAnsi="Times New Roman" w:cs="Times New Roman"/>
          <w:sz w:val="28"/>
          <w:szCs w:val="28"/>
        </w:rPr>
        <w:t xml:space="preserve">T. </w:t>
      </w:r>
      <w:r>
        <w:rPr>
          <w:rFonts w:ascii="Times New Roman" w:hAnsi="Times New Roman" w:cs="Times New Roman"/>
          <w:sz w:val="28"/>
          <w:szCs w:val="28"/>
        </w:rPr>
        <w:t>и соавторов (2016), где они обнаружили, что уровень ТГ и ЛПВП связан с начальными проявлениями ИР</w:t>
      </w:r>
      <w:r w:rsidR="001407E8">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375D69">
        <w:rPr>
          <w:rFonts w:ascii="Times New Roman" w:hAnsi="Times New Roman" w:cs="Times New Roman"/>
          <w:sz w:val="28"/>
          <w:szCs w:val="28"/>
        </w:rPr>
        <w:instrText>ADDIN CSL_CITATION {"citationItems":[{"id":"ITEM-1","itemData":{"DOI":"10.1186/s12933-016-0469-3","ISBN":"1293301604","ISSN":"14752840","abstract":"Background: Results of longitudinal researches regarding the temporal relationship between dyslipidemia and insulin resistance (IR) are inconsistent. This study assessed temporal relationships of blood lipids with IR and determined whether there are any mediating effects existed in these temporal relationships. Methods: This study examined a longitudinal cohort of 3325 subjects aged 20-74 years from China with an average of 4.2 years follow-up. Measurements of fasting blood lipids, as well as fasting and 2-h serum glucose and insulin, were obtained at two time points. The Gutt index and HOMA-IR were calculated as indicators of peripheral IR and hepatic IR. A cross-lagged path analysis was performed to examine the temporal relationships between blood lipids and IR. A mediation analysis was used to examine mediating effect. Results: After adjusting for covariates, the cross-lagged path coefficients from baseline TG and HDL-C to follow-up Gutt index were significantly greater than those from baseline Gutt index to follow-up TG and HDL-C (β1 = -0.131 vs β2 = -0.047, P &lt; 0.001 for TG; β1 = 0.134 vs β2 = 0.023, P &lt; 0.001 for HDL-C). The path coefficients from baseline TG and HDL-C to follow-up 2-h insulin were significantly greater than those from baseline 2-h insulin to follow-up TG and HDL-C (β1 = 0.125 vs β2 = 0.040, P &lt; 0.001 for TG; β1 = -0.112 vs β2 = -0.026, P &lt; 0.001 for HDL-C). 2-h insulin partially mediated the effect of TG/HDL-C on Gutt index with a 59.3% mediating effect for TG and 61.0% for HDL-C. Conclusions: These findings provide strong evidence that dyslipidemia probably precede peripheral IR and that 2-h insulin partially mediates this unidirectional temporal relationship.","author":[{"dropping-particle":"","family":"Han","given":"Tianshu","non-dropping-particle":"","parse-names":false,"suffix":""},{"dropping-particle":"","family":"Cheng","given":"Yu","non-dropping-particle":"","parse-names":false,"suffix":""},{"dropping-particle":"","family":"Tian","given":"Shuang","non-dropping-particle":"","parse-names":false,"suffix":""},{"dropping-particle":"","family":"Wang","given":"Li","non-dropping-particle":"","parse-names":false,"suffix":""},{"dropping-particle":"","family":"Liang","given":"Xi","non-dropping-particle":"","parse-names":false,"suffix":""},{"dropping-particle":"","family":"Duan","given":"Wei","non-dropping-particle":"","parse-names":false,"suffix":""},{"dropping-particle":"","family":"Na","given":"Lixin","non-dropping-particle":"","parse-names":false,"suffix":""},{"dropping-particle":"","family":"Sun","given":"Changhao","non-dropping-particle":"","parse-names":false,"suffix":""}],"container-title":"Cardiovascular Diabetology","id":"ITEM-1","issue":"1","issued":{"date-parts":[["2016"]]},"page":"1-11","publisher":"BioMed Central","title":"Changes in triglycerides and high-density lipoprotein cholesterol may precede peripheral insulin resistance, with 2-h insulin partially mediating this unidirectional relationship: A prospective cohort study","type":"article-journal","volume":"15"},"uris":["http://www.mendeley.com/documents/?uuid=f440e296-df26-47ca-99b0-95e7a37625d9"]}],"mendeley":{"formattedCitation":"[164]","manualFormatting":"[164, р. 3]","plainTextFormattedCitation":"[164]","previouslyFormattedCitation":"[164]"},"properties":{"noteIndex":0},"schema":"https://github.com/citation-style-language/schema/raw/master/csl-citation.json"}</w:instrText>
      </w:r>
      <w:r w:rsidR="00EA0E64">
        <w:rPr>
          <w:rFonts w:ascii="Times New Roman" w:hAnsi="Times New Roman" w:cs="Times New Roman"/>
          <w:sz w:val="28"/>
          <w:szCs w:val="28"/>
        </w:rPr>
        <w:fldChar w:fldCharType="separate"/>
      </w:r>
      <w:r w:rsidR="00375D69" w:rsidRPr="00375D69">
        <w:rPr>
          <w:rFonts w:ascii="Times New Roman" w:hAnsi="Times New Roman" w:cs="Times New Roman"/>
          <w:noProof/>
          <w:sz w:val="28"/>
          <w:szCs w:val="28"/>
        </w:rPr>
        <w:t>[164</w:t>
      </w:r>
      <w:r w:rsidR="00375D69">
        <w:rPr>
          <w:rFonts w:ascii="Times New Roman" w:hAnsi="Times New Roman" w:cs="Times New Roman"/>
          <w:noProof/>
          <w:sz w:val="28"/>
          <w:szCs w:val="28"/>
        </w:rPr>
        <w:t>, р. 3</w:t>
      </w:r>
      <w:r w:rsidR="00375D69" w:rsidRPr="00375D69">
        <w:rPr>
          <w:rFonts w:ascii="Times New Roman" w:hAnsi="Times New Roman" w:cs="Times New Roman"/>
          <w:noProof/>
          <w:sz w:val="28"/>
          <w:szCs w:val="28"/>
        </w:rPr>
        <w:t>]</w:t>
      </w:r>
      <w:r w:rsidR="00EA0E64">
        <w:rPr>
          <w:rFonts w:ascii="Times New Roman" w:hAnsi="Times New Roman" w:cs="Times New Roman"/>
          <w:sz w:val="28"/>
          <w:szCs w:val="28"/>
        </w:rPr>
        <w:fldChar w:fldCharType="end"/>
      </w:r>
      <w:r>
        <w:rPr>
          <w:rFonts w:ascii="Times New Roman" w:hAnsi="Times New Roman" w:cs="Times New Roman"/>
          <w:sz w:val="28"/>
          <w:szCs w:val="28"/>
        </w:rPr>
        <w:t xml:space="preserve">. Они утверждают, что своевременное лечение дислипидемии может быть </w:t>
      </w:r>
      <w:r w:rsidR="00573127">
        <w:rPr>
          <w:rFonts w:ascii="Times New Roman" w:hAnsi="Times New Roman" w:cs="Times New Roman"/>
          <w:sz w:val="28"/>
          <w:szCs w:val="28"/>
        </w:rPr>
        <w:t xml:space="preserve">мерой </w:t>
      </w:r>
      <w:r>
        <w:rPr>
          <w:rFonts w:ascii="Times New Roman" w:hAnsi="Times New Roman" w:cs="Times New Roman"/>
          <w:sz w:val="28"/>
          <w:szCs w:val="28"/>
        </w:rPr>
        <w:t>профилактик</w:t>
      </w:r>
      <w:r w:rsidR="00573127">
        <w:rPr>
          <w:rFonts w:ascii="Times New Roman" w:hAnsi="Times New Roman" w:cs="Times New Roman"/>
          <w:sz w:val="28"/>
          <w:szCs w:val="28"/>
        </w:rPr>
        <w:t>и</w:t>
      </w:r>
      <w:r>
        <w:rPr>
          <w:rFonts w:ascii="Times New Roman" w:hAnsi="Times New Roman" w:cs="Times New Roman"/>
          <w:sz w:val="28"/>
          <w:szCs w:val="28"/>
        </w:rPr>
        <w:t xml:space="preserve"> ИР. </w:t>
      </w:r>
    </w:p>
    <w:p w:rsidR="00AB12B3" w:rsidRDefault="00AB12B3" w:rsidP="00AB12B3">
      <w:pPr>
        <w:spacing w:after="0" w:line="240" w:lineRule="auto"/>
        <w:ind w:firstLine="708"/>
        <w:jc w:val="both"/>
        <w:rPr>
          <w:rFonts w:ascii="Times New Roman" w:hAnsi="Times New Roman" w:cs="Times New Roman"/>
          <w:sz w:val="28"/>
          <w:szCs w:val="28"/>
          <w:highlight w:val="yellow"/>
        </w:rPr>
      </w:pPr>
      <w:r>
        <w:rPr>
          <w:rFonts w:ascii="Times New Roman" w:hAnsi="Times New Roman" w:cs="Times New Roman"/>
          <w:sz w:val="28"/>
          <w:szCs w:val="28"/>
        </w:rPr>
        <w:t xml:space="preserve">По результатам </w:t>
      </w:r>
      <w:r w:rsidR="00534F98">
        <w:rPr>
          <w:rFonts w:ascii="Times New Roman" w:hAnsi="Times New Roman" w:cs="Times New Roman"/>
          <w:sz w:val="28"/>
          <w:szCs w:val="28"/>
        </w:rPr>
        <w:t xml:space="preserve">нашего </w:t>
      </w:r>
      <w:r>
        <w:rPr>
          <w:rFonts w:ascii="Times New Roman" w:hAnsi="Times New Roman" w:cs="Times New Roman"/>
          <w:sz w:val="28"/>
          <w:szCs w:val="28"/>
        </w:rPr>
        <w:t xml:space="preserve">исследования гиперинсулинемия была связана с гипераполипопротеинемией В и гипертриглицеридемией в </w:t>
      </w:r>
      <w:r w:rsidR="00573127">
        <w:rPr>
          <w:rFonts w:ascii="Times New Roman" w:hAnsi="Times New Roman" w:cs="Times New Roman"/>
          <w:sz w:val="28"/>
          <w:szCs w:val="28"/>
        </w:rPr>
        <w:t>исследуемой</w:t>
      </w:r>
      <w:r w:rsidR="00CA55EA">
        <w:rPr>
          <w:rFonts w:ascii="Times New Roman" w:hAnsi="Times New Roman" w:cs="Times New Roman"/>
          <w:sz w:val="28"/>
          <w:szCs w:val="28"/>
        </w:rPr>
        <w:t xml:space="preserve"> выборке</w:t>
      </w:r>
      <w:r>
        <w:rPr>
          <w:rFonts w:ascii="Times New Roman" w:hAnsi="Times New Roman" w:cs="Times New Roman"/>
          <w:sz w:val="28"/>
          <w:szCs w:val="28"/>
        </w:rPr>
        <w:t xml:space="preserve"> независимо от пола, возраста</w:t>
      </w:r>
      <w:r w:rsidR="00534F98">
        <w:rPr>
          <w:rFonts w:ascii="Times New Roman" w:hAnsi="Times New Roman" w:cs="Times New Roman"/>
          <w:sz w:val="28"/>
          <w:szCs w:val="28"/>
        </w:rPr>
        <w:t xml:space="preserve"> и</w:t>
      </w:r>
      <w:r>
        <w:rPr>
          <w:rFonts w:ascii="Times New Roman" w:hAnsi="Times New Roman" w:cs="Times New Roman"/>
          <w:sz w:val="28"/>
          <w:szCs w:val="28"/>
        </w:rPr>
        <w:t xml:space="preserve"> ИМТ</w:t>
      </w:r>
      <w:r w:rsidR="00DB4303">
        <w:rPr>
          <w:rFonts w:ascii="Times New Roman" w:hAnsi="Times New Roman" w:cs="Times New Roman"/>
          <w:sz w:val="28"/>
          <w:szCs w:val="28"/>
        </w:rPr>
        <w:t>.</w:t>
      </w:r>
      <w:r w:rsidR="00196B81">
        <w:rPr>
          <w:rFonts w:ascii="Times New Roman" w:hAnsi="Times New Roman" w:cs="Times New Roman"/>
          <w:sz w:val="28"/>
          <w:szCs w:val="28"/>
        </w:rPr>
        <w:t xml:space="preserve"> </w:t>
      </w:r>
      <w:r>
        <w:rPr>
          <w:rFonts w:ascii="Times New Roman" w:hAnsi="Times New Roman" w:cs="Times New Roman"/>
          <w:sz w:val="28"/>
          <w:szCs w:val="28"/>
        </w:rPr>
        <w:t xml:space="preserve">Гиперинсулинемия чаще </w:t>
      </w:r>
      <w:r w:rsidR="00534F98">
        <w:rPr>
          <w:rFonts w:ascii="Times New Roman" w:hAnsi="Times New Roman" w:cs="Times New Roman"/>
          <w:sz w:val="28"/>
          <w:szCs w:val="28"/>
        </w:rPr>
        <w:t xml:space="preserve">сопровождалось </w:t>
      </w:r>
      <w:r>
        <w:rPr>
          <w:rFonts w:ascii="Times New Roman" w:hAnsi="Times New Roman" w:cs="Times New Roman"/>
          <w:sz w:val="28"/>
          <w:szCs w:val="28"/>
        </w:rPr>
        <w:t>нормальным</w:t>
      </w:r>
      <w:r w:rsidR="00534F98">
        <w:rPr>
          <w:rFonts w:ascii="Times New Roman" w:hAnsi="Times New Roman" w:cs="Times New Roman"/>
          <w:sz w:val="28"/>
          <w:szCs w:val="28"/>
        </w:rPr>
        <w:t xml:space="preserve"> уровнем</w:t>
      </w:r>
      <w:r>
        <w:rPr>
          <w:rFonts w:ascii="Times New Roman" w:hAnsi="Times New Roman" w:cs="Times New Roman"/>
          <w:sz w:val="28"/>
          <w:szCs w:val="28"/>
        </w:rPr>
        <w:t xml:space="preserve"> ЛПНП и, наоборот, нормальный уровень инсулина с высоким уровнем ЛПНП. Также гиперинсулинемия не была связана с повышенным уровнем ОХС, ЛПВП и глюкозы. Так, уровни апоВ и ТГ могут быть не только ранними предикторами риска дислипидемии, но и также риска развития ИР и СД</w:t>
      </w:r>
      <w:r w:rsidR="00196B81">
        <w:rPr>
          <w:rFonts w:ascii="Times New Roman" w:hAnsi="Times New Roman" w:cs="Times New Roman"/>
          <w:sz w:val="28"/>
          <w:szCs w:val="28"/>
        </w:rPr>
        <w:t xml:space="preserve"> </w:t>
      </w:r>
      <w:r w:rsidR="00EA0E64">
        <w:rPr>
          <w:rFonts w:ascii="Times New Roman" w:hAnsi="Times New Roman" w:cs="Times New Roman"/>
          <w:sz w:val="28"/>
          <w:szCs w:val="28"/>
          <w:lang w:val="kk-KZ"/>
        </w:rPr>
        <w:fldChar w:fldCharType="begin" w:fldLock="1"/>
      </w:r>
      <w:r w:rsidR="00624769">
        <w:rPr>
          <w:rFonts w:ascii="Times New Roman" w:hAnsi="Times New Roman" w:cs="Times New Roman"/>
          <w:sz w:val="28"/>
          <w:szCs w:val="28"/>
          <w:lang w:val="kk-KZ"/>
        </w:rPr>
        <w:instrText>ADDIN CSL_CITATION {"citationItems":[{"id":"ITEM-1","itemData":{"author":[{"dropping-particle":"","family":"Шаханова","given":"Айжан Т","non-dropping-particle":"","parse-names":false,"suffix":""},{"dropping-particle":"","family":"Аукенов","given":"Нурлан Е","non-dropping-particle":"","parse-names":false,"suffix":""},{"dropping-particle":"","family":"Нуртазина","given":"Алма У","non-dropping-particle":"","parse-names":false,"suffix":""},{"dropping-particle":"","family":"Шаханов","given":"Тунгышхан Е","non-dropping-particle":"","parse-names":false,"suffix":""},{"dropping-particle":"","family":"Масабаева Меруерт Р","given":"","non-dropping-particle":"","parse-names":false,"suffix":""},{"dropping-particle":"","family":"Кожахметова","given":"Дана К","non-dropping-particle":"","parse-names":false,"suffix":""},{"dropping-particle":"","family":"Ж.У.","given":"Козыкенова","non-dropping-particle":"","parse-names":false,"suffix":""},{"dropping-particle":"","family":"Н.М.","given":"Уразалина","non-dropping-particle":"","parse-names":false,"suffix":""}],"container-title":"Вестник КазНМУ","id":"ITEM-1","issued":{"date-parts":[["2020"]]},"page":"494-498","title":"Анализ взаимосвязи гиперинсулинемии и дислипидемии у лиц казахской популяции","type":"article-journal","volume":"1"},"uris":["http://www.mendeley.com/documents/?uuid=60c66f99-ae1f-44fe-a898-6da6a5c37c82"]}],"mendeley":{"formattedCitation":"[194]","plainTextFormattedCitation":"[194]","previouslyFormattedCitation":"[194]"},"properties":{"noteIndex":0},"schema":"https://github.com/citation-style-language/schema/raw/master/csl-citation.json"}</w:instrText>
      </w:r>
      <w:r w:rsidR="00EA0E64">
        <w:rPr>
          <w:rFonts w:ascii="Times New Roman" w:hAnsi="Times New Roman" w:cs="Times New Roman"/>
          <w:sz w:val="28"/>
          <w:szCs w:val="28"/>
          <w:lang w:val="kk-KZ"/>
        </w:rPr>
        <w:fldChar w:fldCharType="separate"/>
      </w:r>
      <w:r w:rsidR="00624769" w:rsidRPr="00624769">
        <w:rPr>
          <w:rFonts w:ascii="Times New Roman" w:hAnsi="Times New Roman" w:cs="Times New Roman"/>
          <w:noProof/>
          <w:sz w:val="28"/>
          <w:szCs w:val="28"/>
          <w:lang w:val="kk-KZ"/>
        </w:rPr>
        <w:t>[194]</w:t>
      </w:r>
      <w:r w:rsidR="00EA0E64">
        <w:rPr>
          <w:rFonts w:ascii="Times New Roman" w:hAnsi="Times New Roman" w:cs="Times New Roman"/>
          <w:sz w:val="28"/>
          <w:szCs w:val="28"/>
          <w:lang w:val="kk-KZ"/>
        </w:rPr>
        <w:fldChar w:fldCharType="end"/>
      </w:r>
      <w:r>
        <w:rPr>
          <w:rFonts w:ascii="Times New Roman" w:hAnsi="Times New Roman" w:cs="Times New Roman"/>
          <w:sz w:val="28"/>
          <w:szCs w:val="28"/>
        </w:rPr>
        <w:t>.</w:t>
      </w:r>
    </w:p>
    <w:p w:rsidR="00AB12B3" w:rsidRDefault="00AB12B3" w:rsidP="00AB12B3">
      <w:pPr>
        <w:spacing w:after="0" w:line="240" w:lineRule="auto"/>
        <w:ind w:firstLine="708"/>
        <w:jc w:val="both"/>
        <w:rPr>
          <w:rFonts w:ascii="Times New Roman" w:hAnsi="Times New Roman" w:cs="Times New Roman"/>
          <w:sz w:val="28"/>
          <w:szCs w:val="28"/>
        </w:rPr>
      </w:pPr>
    </w:p>
    <w:p w:rsidR="00AB12B3" w:rsidRDefault="00AB12B3" w:rsidP="00AB12B3">
      <w:pPr>
        <w:spacing w:after="0" w:line="240" w:lineRule="auto"/>
        <w:ind w:firstLine="708"/>
        <w:jc w:val="both"/>
        <w:rPr>
          <w:rFonts w:ascii="Times New Roman" w:hAnsi="Times New Roman" w:cs="Times New Roman"/>
          <w:i/>
          <w:sz w:val="28"/>
          <w:szCs w:val="28"/>
        </w:rPr>
      </w:pPr>
      <w:r>
        <w:rPr>
          <w:rFonts w:ascii="Times New Roman" w:hAnsi="Times New Roman"/>
          <w:i/>
          <w:sz w:val="28"/>
          <w:szCs w:val="28"/>
        </w:rPr>
        <w:t xml:space="preserve">Индекс </w:t>
      </w:r>
      <w:r w:rsidR="00BD269C">
        <w:rPr>
          <w:rFonts w:ascii="Times New Roman" w:hAnsi="Times New Roman"/>
          <w:i/>
          <w:sz w:val="28"/>
          <w:szCs w:val="28"/>
        </w:rPr>
        <w:t>инсулинорезистентность</w:t>
      </w:r>
      <w:r w:rsidR="00027CCF">
        <w:rPr>
          <w:rFonts w:ascii="Times New Roman" w:hAnsi="Times New Roman"/>
          <w:i/>
          <w:sz w:val="28"/>
          <w:szCs w:val="28"/>
        </w:rPr>
        <w:t xml:space="preserve"> </w:t>
      </w:r>
      <w:r>
        <w:rPr>
          <w:rFonts w:ascii="Times New Roman" w:hAnsi="Times New Roman"/>
          <w:i/>
          <w:sz w:val="28"/>
          <w:szCs w:val="28"/>
        </w:rPr>
        <w:t>(HOMA-IR)</w:t>
      </w:r>
    </w:p>
    <w:p w:rsidR="004B59C4" w:rsidRDefault="004B59C4" w:rsidP="004B59C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сравнении средних величин факторов риска по группам </w:t>
      </w:r>
      <w:r>
        <w:rPr>
          <w:rFonts w:ascii="Times New Roman" w:hAnsi="Times New Roman"/>
          <w:sz w:val="28"/>
          <w:szCs w:val="28"/>
        </w:rPr>
        <w:t>HOMA-IR отличи</w:t>
      </w:r>
      <w:r w:rsidR="00240270">
        <w:rPr>
          <w:rFonts w:ascii="Times New Roman" w:hAnsi="Times New Roman"/>
          <w:sz w:val="28"/>
          <w:szCs w:val="28"/>
        </w:rPr>
        <w:t>й</w:t>
      </w:r>
      <w:r>
        <w:rPr>
          <w:rFonts w:ascii="Times New Roman" w:hAnsi="Times New Roman"/>
          <w:sz w:val="28"/>
          <w:szCs w:val="28"/>
        </w:rPr>
        <w:t xml:space="preserve"> обнаружено не было (таблица 4</w:t>
      </w:r>
      <w:r w:rsidR="008718C2">
        <w:rPr>
          <w:rFonts w:ascii="Times New Roman" w:hAnsi="Times New Roman"/>
          <w:sz w:val="28"/>
          <w:szCs w:val="28"/>
        </w:rPr>
        <w:t>5</w:t>
      </w:r>
      <w:r>
        <w:rPr>
          <w:rFonts w:ascii="Times New Roman" w:hAnsi="Times New Roman"/>
          <w:sz w:val="28"/>
          <w:szCs w:val="28"/>
        </w:rPr>
        <w:t>).</w:t>
      </w:r>
    </w:p>
    <w:p w:rsidR="004B59C4" w:rsidRDefault="004B59C4" w:rsidP="004B59C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изучении взаимосвязи между группами </w:t>
      </w:r>
      <w:r>
        <w:rPr>
          <w:rFonts w:ascii="Times New Roman" w:hAnsi="Times New Roman"/>
          <w:sz w:val="28"/>
          <w:szCs w:val="28"/>
        </w:rPr>
        <w:t>HOMA-IR и фактор</w:t>
      </w:r>
      <w:r w:rsidR="00240270">
        <w:rPr>
          <w:rFonts w:ascii="Times New Roman" w:hAnsi="Times New Roman"/>
          <w:sz w:val="28"/>
          <w:szCs w:val="28"/>
        </w:rPr>
        <w:t>ами</w:t>
      </w:r>
      <w:r>
        <w:rPr>
          <w:rFonts w:ascii="Times New Roman" w:hAnsi="Times New Roman"/>
          <w:sz w:val="28"/>
          <w:szCs w:val="28"/>
        </w:rPr>
        <w:t xml:space="preserve"> риска была выявлена значимая связь с </w:t>
      </w:r>
      <w:r w:rsidR="0085610C">
        <w:rPr>
          <w:rFonts w:ascii="Times New Roman" w:hAnsi="Times New Roman"/>
          <w:sz w:val="28"/>
          <w:szCs w:val="28"/>
        </w:rPr>
        <w:t>гендерной принадлежностью</w:t>
      </w:r>
      <w:r>
        <w:rPr>
          <w:rFonts w:ascii="Times New Roman" w:hAnsi="Times New Roman"/>
          <w:sz w:val="28"/>
          <w:szCs w:val="28"/>
        </w:rPr>
        <w:t xml:space="preserve">. </w:t>
      </w:r>
      <w:r w:rsidR="0085610C">
        <w:rPr>
          <w:rFonts w:ascii="Times New Roman" w:hAnsi="Times New Roman"/>
          <w:sz w:val="28"/>
          <w:szCs w:val="28"/>
        </w:rPr>
        <w:t>Риск</w:t>
      </w:r>
      <w:r>
        <w:rPr>
          <w:rFonts w:ascii="Times New Roman" w:hAnsi="Times New Roman"/>
          <w:sz w:val="28"/>
          <w:szCs w:val="28"/>
        </w:rPr>
        <w:t xml:space="preserve"> развития ИР у мужчин – казахов был на 30% ниже по сравнению с женщинами – казашками</w:t>
      </w:r>
      <w:r w:rsidR="0085610C">
        <w:rPr>
          <w:rFonts w:ascii="Times New Roman" w:hAnsi="Times New Roman"/>
          <w:sz w:val="28"/>
          <w:szCs w:val="28"/>
        </w:rPr>
        <w:t xml:space="preserve"> в нашем исследовании</w:t>
      </w:r>
      <w:r>
        <w:rPr>
          <w:rFonts w:ascii="Times New Roman" w:hAnsi="Times New Roman"/>
          <w:sz w:val="28"/>
          <w:szCs w:val="28"/>
        </w:rPr>
        <w:t xml:space="preserve"> (таблица 4</w:t>
      </w:r>
      <w:r w:rsidR="008718C2">
        <w:rPr>
          <w:rFonts w:ascii="Times New Roman" w:hAnsi="Times New Roman"/>
          <w:sz w:val="28"/>
          <w:szCs w:val="28"/>
        </w:rPr>
        <w:t>6</w:t>
      </w:r>
      <w:r>
        <w:rPr>
          <w:rFonts w:ascii="Times New Roman" w:hAnsi="Times New Roman"/>
          <w:sz w:val="28"/>
          <w:szCs w:val="28"/>
        </w:rPr>
        <w:t xml:space="preserve">). </w:t>
      </w:r>
      <w:r>
        <w:rPr>
          <w:rFonts w:ascii="Times New Roman" w:hAnsi="Times New Roman" w:cs="Times New Roman"/>
          <w:sz w:val="28"/>
          <w:szCs w:val="28"/>
        </w:rPr>
        <w:t xml:space="preserve">Исследования последних лет показали, что здоровые представители казахской популяции чаще имеют высокий уровень глюкозы, низкий уровень триглицеридов, высокий уровень ЛПВП, высокие показатели ИМТ, объема талии </w:t>
      </w:r>
      <w:r w:rsidR="00EA0E64">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10.1186/s12944-018-0863-9","author":[{"dropping-particle":"","family":"Wang","given":"Yan","non-dropping-particle":"","parse-names":false,"suffix":""},{"dropping-particle":"","family":"Zhang","given":"Jun","non-dropping-particle":"","parse-names":false,"suffix":""},{"dropping-particle":"","family":"Ma","given":"Yanrong","non-dropping-particle":"","parse-names":false,"suffix":""},{"dropping-particle":"","family":"Song","given":"Xiangxin","non-dropping-particle":"","parse-names":false,"suffix":""},{"dropping-particle":"","family":"Li","given":"Suli","non-dropping-particle":"","parse-names":false,"suffix":""},{"dropping-particle":"","family":"Zhan","given":"Xianqin","non-dropping-particle":"","parse-names":false,"suffix":""},{"dropping-particle":"","family":"Wu","given":"Lan","non-dropping-particle":"","parse-names":false,"suffix":""}],"container-title":"Lipids in Health and Disease","id":"ITEM-1","issue":"209","issued":{"date-parts":[["2018"]]},"page":"1-7","publisher":"Lipids in Health and Disease","title":"Different lipid profiles, insulin sensitivity, and insulin resistance among Han, Uygur, and Kazak men with normal glucose tolerance in Xinjiang, China","type":"article-journal","volume":"17"},"uris":["http://www.mendeley.com/documents/?uuid=934cb716-8a0e-44c5-a62c-6ad568ea3c58"]},{"id":"ITEM-2","itemData":{"DOI":"10.1155/2016/3825037","author":[{"dropping-particle":"","family":"Yan","given":"Yi-zhong","non-dropping-particle":"","parse-names":false,"suffix":""},{"dropping-particle":"","family":"Ma","given":"Ru-lin","non-dropping-particle":"","parse-names":false,"suffix":""},{"dropping-particle":"","family":"Zhang","given":"Jing-yu","non-dropping-particle":"","parse-names":false,"suffix":""},{"dropping-particle":"","family":"He","given":"Jia","non-dropping-particle":"","parse-names":false,"suffix":""},{"dropping-particle":"","family":"Ma","given":"Jiao-long","non-dropping-particle":"","parse-names":false,"suffix":""},{"dropping-particle":"","family":"Pang","given":"Hong-rui","non-dropping-particle":"","parse-names":false,"suffix":""},{"dropping-particle":"","family":"Mu","given":"La-ti","non-dropping-particle":"","parse-names":false,"suffix":""},{"dropping-particle":"","family":"Ding","given":"Yu-song","non-dropping-particle":"","parse-names":false,"suffix":""},{"dropping-particle":"","family":"Guo","given":"Heng","non-dropping-particle":"","parse-names":false,"suffix":""},{"dropping-particle":"","family":"Zhang","given":"Mei","non-dropping-particle":"","parse-names":false,"suffix":""},{"dropping-particle":"","family":"Liu","given":"Jia-ming","non-dropping-particle":"","parse-names":false,"suffix":""},{"dropping-particle":"","family":"Rui","given":"Dong-sheng","non-dropping-particle":"","parse-names":false,"suffix":""},{"dropping-particle":"","family":"Wang","given":"Kui","non-dropping-particle":"","parse-names":false,"suffix":""},{"dropping-particle":"","family":"Guo","given":"Shu-xia","non-dropping-particle":"","parse-names":false,"suffix":""}],"container-title":"Mediators of Inﬂammation","id":"ITEM-2","issued":{"date-parts":[["2016"]]},"page":"1-8","title":"Association of Insulin Resistance with Glucose and Lipid Metabolism : Ethnic Heterogeneity in Far Western China","type":"article-journal","volume":"2016"},"uris":["http://www.mendeley.com/documents/?uuid=25d8cd20-4600-4a5f-8128-a7e8102efef8"]}],"mendeley":{"formattedCitation":"[195,196]","plainTextFormattedCitation":"[195,196]","previouslyFormattedCitation":"[195,196]"},"properties":{"noteIndex":0},"schema":"https://github.com/citation-style-language/schema/raw/master/csl-citation.json"}</w:instrText>
      </w:r>
      <w:r w:rsidR="00EA0E64">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[195,</w:t>
      </w:r>
      <w:r w:rsidR="00514FE4">
        <w:rPr>
          <w:rFonts w:ascii="Times New Roman" w:hAnsi="Times New Roman" w:cs="Times New Roman"/>
          <w:noProof/>
          <w:sz w:val="28"/>
          <w:szCs w:val="28"/>
        </w:rPr>
        <w:t xml:space="preserve"> </w:t>
      </w:r>
      <w:r w:rsidR="00624769" w:rsidRPr="00624769">
        <w:rPr>
          <w:rFonts w:ascii="Times New Roman" w:hAnsi="Times New Roman" w:cs="Times New Roman"/>
          <w:noProof/>
          <w:sz w:val="28"/>
          <w:szCs w:val="28"/>
        </w:rPr>
        <w:t>196]</w:t>
      </w:r>
      <w:r w:rsidR="00EA0E64">
        <w:rPr>
          <w:rFonts w:ascii="Times New Roman" w:hAnsi="Times New Roman" w:cs="Times New Roman"/>
          <w:sz w:val="28"/>
          <w:szCs w:val="28"/>
        </w:rPr>
        <w:fldChar w:fldCharType="end"/>
      </w:r>
      <w:r>
        <w:rPr>
          <w:rFonts w:ascii="Times New Roman" w:hAnsi="Times New Roman" w:cs="Times New Roman"/>
          <w:sz w:val="28"/>
          <w:szCs w:val="28"/>
        </w:rPr>
        <w:t>.</w:t>
      </w:r>
    </w:p>
    <w:p w:rsidR="00AD11CD" w:rsidRDefault="00AD11CD" w:rsidP="00A237CF">
      <w:pPr>
        <w:spacing w:after="0" w:line="240" w:lineRule="auto"/>
        <w:jc w:val="both"/>
        <w:rPr>
          <w:rFonts w:ascii="Times New Roman" w:hAnsi="Times New Roman" w:cs="Times New Roman"/>
          <w:sz w:val="28"/>
          <w:szCs w:val="28"/>
        </w:rPr>
        <w:sectPr w:rsidR="00AD11CD" w:rsidSect="005B1090">
          <w:pgSz w:w="11906" w:h="16838"/>
          <w:pgMar w:top="1134" w:right="850" w:bottom="1134" w:left="1701" w:header="708" w:footer="708" w:gutter="0"/>
          <w:cols w:space="720"/>
        </w:sectPr>
      </w:pPr>
    </w:p>
    <w:p w:rsidR="00D46BA1" w:rsidRDefault="00D46BA1" w:rsidP="00D46BA1">
      <w:pPr>
        <w:spacing w:after="0" w:line="240" w:lineRule="auto"/>
        <w:jc w:val="both"/>
        <w:rPr>
          <w:rFonts w:ascii="Times New Roman" w:hAnsi="Times New Roman"/>
          <w:sz w:val="28"/>
          <w:szCs w:val="28"/>
          <w:lang w:val="kk-KZ"/>
        </w:rPr>
      </w:pPr>
      <w:r>
        <w:rPr>
          <w:rFonts w:ascii="Times New Roman" w:hAnsi="Times New Roman" w:cs="Times New Roman"/>
          <w:sz w:val="28"/>
          <w:szCs w:val="28"/>
        </w:rPr>
        <w:lastRenderedPageBreak/>
        <w:t xml:space="preserve">Таблица 45 </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Распределение средних величин факторов риска по группам </w:t>
      </w:r>
      <w:r>
        <w:rPr>
          <w:rFonts w:ascii="Times New Roman" w:hAnsi="Times New Roman"/>
          <w:sz w:val="28"/>
          <w:szCs w:val="28"/>
        </w:rPr>
        <w:t xml:space="preserve">HOMA-IR </w:t>
      </w:r>
      <w:r w:rsidR="00402EB6">
        <w:rPr>
          <w:rFonts w:ascii="Times New Roman" w:hAnsi="Times New Roman"/>
          <w:sz w:val="28"/>
          <w:szCs w:val="28"/>
        </w:rPr>
        <w:t>(</w:t>
      </w:r>
      <w:r>
        <w:rPr>
          <w:rFonts w:ascii="Times New Roman" w:hAnsi="Times New Roman"/>
          <w:sz w:val="28"/>
          <w:szCs w:val="28"/>
        </w:rPr>
        <w:t>n=507</w:t>
      </w:r>
      <w:r w:rsidR="00402EB6">
        <w:rPr>
          <w:rFonts w:ascii="Times New Roman" w:hAnsi="Times New Roman"/>
          <w:sz w:val="28"/>
          <w:szCs w:val="28"/>
        </w:rPr>
        <w:t>)</w:t>
      </w:r>
    </w:p>
    <w:p w:rsidR="00AD11CD" w:rsidRPr="00AD11CD" w:rsidRDefault="00AD11CD" w:rsidP="00D46BA1">
      <w:pPr>
        <w:spacing w:after="0" w:line="240" w:lineRule="auto"/>
        <w:jc w:val="both"/>
        <w:rPr>
          <w:rFonts w:ascii="Times New Roman" w:hAnsi="Times New Roman" w:cs="Times New Roman"/>
          <w:sz w:val="28"/>
          <w:szCs w:val="28"/>
          <w:lang w:val="kk-KZ"/>
        </w:rPr>
      </w:pPr>
    </w:p>
    <w:tbl>
      <w:tblPr>
        <w:tblStyle w:val="af7"/>
        <w:tblW w:w="9645" w:type="dxa"/>
        <w:tblInd w:w="-34" w:type="dxa"/>
        <w:tblLayout w:type="fixed"/>
        <w:tblLook w:val="04A0" w:firstRow="1" w:lastRow="0" w:firstColumn="1" w:lastColumn="0" w:noHBand="0" w:noVBand="1"/>
      </w:tblPr>
      <w:tblGrid>
        <w:gridCol w:w="3121"/>
        <w:gridCol w:w="2694"/>
        <w:gridCol w:w="2836"/>
        <w:gridCol w:w="994"/>
      </w:tblGrid>
      <w:tr w:rsidR="00D46BA1" w:rsidTr="00EB6FAB">
        <w:trPr>
          <w:trHeight w:val="377"/>
        </w:trPr>
        <w:tc>
          <w:tcPr>
            <w:tcW w:w="3121" w:type="dxa"/>
            <w:vMerge w:val="restart"/>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Параметры</w:t>
            </w:r>
          </w:p>
        </w:tc>
        <w:tc>
          <w:tcPr>
            <w:tcW w:w="5530" w:type="dxa"/>
            <w:gridSpan w:val="2"/>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HOMA-IR</w:t>
            </w:r>
          </w:p>
        </w:tc>
        <w:tc>
          <w:tcPr>
            <w:tcW w:w="994" w:type="dxa"/>
            <w:vMerge w:val="restart"/>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p*</w:t>
            </w:r>
          </w:p>
        </w:tc>
      </w:tr>
      <w:tr w:rsidR="00D46BA1" w:rsidTr="00EB6FAB">
        <w:trPr>
          <w:trHeight w:val="379"/>
        </w:trPr>
        <w:tc>
          <w:tcPr>
            <w:tcW w:w="3121"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c>
          <w:tcPr>
            <w:tcW w:w="2694"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&lt;2,7</w:t>
            </w:r>
          </w:p>
          <w:p w:rsidR="00D46BA1" w:rsidRDefault="00D46BA1" w:rsidP="00EB6FAB">
            <w:pPr>
              <w:jc w:val="center"/>
              <w:rPr>
                <w:rFonts w:ascii="Times New Roman" w:hAnsi="Times New Roman"/>
                <w:sz w:val="28"/>
                <w:szCs w:val="28"/>
              </w:rPr>
            </w:pPr>
            <w:r>
              <w:rPr>
                <w:rFonts w:ascii="Times New Roman" w:hAnsi="Times New Roman"/>
                <w:sz w:val="28"/>
                <w:szCs w:val="28"/>
              </w:rPr>
              <w:t>Ме±IQR (Q1–Q3)</w:t>
            </w:r>
          </w:p>
        </w:tc>
        <w:tc>
          <w:tcPr>
            <w:tcW w:w="2836"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≥2,7</w:t>
            </w:r>
          </w:p>
          <w:p w:rsidR="00D46BA1" w:rsidRDefault="00D46BA1" w:rsidP="00EB6FAB">
            <w:pPr>
              <w:jc w:val="center"/>
              <w:rPr>
                <w:rFonts w:ascii="Times New Roman" w:hAnsi="Times New Roman"/>
                <w:sz w:val="28"/>
                <w:szCs w:val="28"/>
              </w:rPr>
            </w:pPr>
            <w:r>
              <w:rPr>
                <w:rFonts w:ascii="Times New Roman" w:hAnsi="Times New Roman"/>
                <w:sz w:val="28"/>
                <w:szCs w:val="28"/>
              </w:rPr>
              <w:t>Ме±IQR (Q1–Q3)</w:t>
            </w: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r>
      <w:tr w:rsidR="00D46BA1" w:rsidTr="00EB6FAB">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Возраст</w:t>
            </w:r>
            <w:r w:rsidRPr="000023F4">
              <w:rPr>
                <w:rFonts w:ascii="Century" w:hAnsi="Century"/>
                <w:sz w:val="28"/>
                <w:szCs w:val="28"/>
              </w:rPr>
              <w:t xml:space="preserve">, </w:t>
            </w:r>
            <w:r>
              <w:rPr>
                <w:rFonts w:ascii="Times New Roman" w:hAnsi="Times New Roman"/>
                <w:sz w:val="28"/>
                <w:szCs w:val="28"/>
              </w:rPr>
              <w:t>лет</w:t>
            </w:r>
          </w:p>
        </w:tc>
        <w:tc>
          <w:tcPr>
            <w:tcW w:w="2694" w:type="dxa"/>
            <w:tcBorders>
              <w:top w:val="nil"/>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46</w:t>
            </w:r>
            <w:r w:rsidRPr="000023F4">
              <w:rPr>
                <w:rFonts w:ascii="Century" w:hAnsi="Century"/>
                <w:sz w:val="28"/>
                <w:szCs w:val="28"/>
              </w:rPr>
              <w:t>±</w:t>
            </w:r>
            <w:r>
              <w:rPr>
                <w:rFonts w:ascii="Times New Roman" w:hAnsi="Times New Roman"/>
                <w:sz w:val="28"/>
                <w:szCs w:val="28"/>
              </w:rPr>
              <w:t>17 (38-55)</w:t>
            </w:r>
          </w:p>
        </w:tc>
        <w:tc>
          <w:tcPr>
            <w:tcW w:w="2836" w:type="dxa"/>
            <w:tcBorders>
              <w:top w:val="nil"/>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47</w:t>
            </w:r>
            <w:r w:rsidRPr="000023F4">
              <w:rPr>
                <w:rFonts w:ascii="Century" w:hAnsi="Century"/>
                <w:sz w:val="28"/>
                <w:szCs w:val="28"/>
              </w:rPr>
              <w:t>±</w:t>
            </w:r>
            <w:r>
              <w:rPr>
                <w:rFonts w:ascii="Times New Roman" w:hAnsi="Times New Roman"/>
                <w:sz w:val="28"/>
                <w:szCs w:val="28"/>
              </w:rPr>
              <w:t>17 (39-56)</w:t>
            </w:r>
          </w:p>
        </w:tc>
        <w:tc>
          <w:tcPr>
            <w:tcW w:w="994"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0</w:t>
            </w:r>
            <w:r w:rsidRPr="000023F4">
              <w:rPr>
                <w:rFonts w:ascii="Century" w:hAnsi="Century"/>
                <w:sz w:val="28"/>
                <w:szCs w:val="28"/>
              </w:rPr>
              <w:t>,</w:t>
            </w:r>
            <w:r>
              <w:rPr>
                <w:rFonts w:ascii="Times New Roman" w:hAnsi="Times New Roman"/>
                <w:sz w:val="28"/>
                <w:szCs w:val="28"/>
              </w:rPr>
              <w:t>44</w:t>
            </w:r>
          </w:p>
        </w:tc>
      </w:tr>
      <w:tr w:rsidR="00D46BA1" w:rsidTr="00EB6FAB">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Окружность талии (см)</w:t>
            </w:r>
          </w:p>
        </w:tc>
        <w:tc>
          <w:tcPr>
            <w:tcW w:w="2694"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96</w:t>
            </w:r>
            <w:r w:rsidRPr="000023F4">
              <w:rPr>
                <w:rFonts w:ascii="Century" w:hAnsi="Century"/>
                <w:sz w:val="28"/>
                <w:szCs w:val="28"/>
              </w:rPr>
              <w:t>±</w:t>
            </w:r>
            <w:r>
              <w:rPr>
                <w:rFonts w:ascii="Times New Roman" w:hAnsi="Times New Roman"/>
                <w:sz w:val="28"/>
                <w:szCs w:val="28"/>
              </w:rPr>
              <w:t>17 (90-107)</w:t>
            </w:r>
          </w:p>
        </w:tc>
        <w:tc>
          <w:tcPr>
            <w:tcW w:w="2836"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95</w:t>
            </w:r>
            <w:r w:rsidRPr="000023F4">
              <w:rPr>
                <w:rFonts w:ascii="Century" w:hAnsi="Century"/>
                <w:sz w:val="28"/>
                <w:szCs w:val="28"/>
              </w:rPr>
              <w:t>±</w:t>
            </w:r>
            <w:r>
              <w:rPr>
                <w:rFonts w:ascii="Times New Roman" w:hAnsi="Times New Roman"/>
                <w:sz w:val="28"/>
                <w:szCs w:val="28"/>
              </w:rPr>
              <w:t>13 (90-103)</w:t>
            </w:r>
          </w:p>
        </w:tc>
        <w:tc>
          <w:tcPr>
            <w:tcW w:w="994"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0</w:t>
            </w:r>
            <w:r w:rsidRPr="000023F4">
              <w:rPr>
                <w:rFonts w:ascii="Century" w:hAnsi="Century"/>
                <w:sz w:val="28"/>
                <w:szCs w:val="28"/>
              </w:rPr>
              <w:t>,</w:t>
            </w:r>
            <w:r>
              <w:rPr>
                <w:rFonts w:ascii="Times New Roman" w:hAnsi="Times New Roman"/>
                <w:sz w:val="28"/>
                <w:szCs w:val="28"/>
              </w:rPr>
              <w:t>12</w:t>
            </w:r>
          </w:p>
        </w:tc>
      </w:tr>
      <w:tr w:rsidR="00D46BA1" w:rsidTr="00EB6FAB">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ИМТ (кг</w:t>
            </w:r>
            <w:r w:rsidRPr="000023F4">
              <w:rPr>
                <w:rFonts w:ascii="Century" w:hAnsi="Century"/>
                <w:sz w:val="28"/>
                <w:szCs w:val="28"/>
              </w:rPr>
              <w:t>/</w:t>
            </w:r>
            <w:r>
              <w:rPr>
                <w:rFonts w:ascii="Times New Roman" w:hAnsi="Times New Roman"/>
                <w:sz w:val="28"/>
                <w:szCs w:val="28"/>
              </w:rPr>
              <w:t>м</w:t>
            </w:r>
            <w:r>
              <w:rPr>
                <w:rFonts w:ascii="Times New Roman" w:hAnsi="Times New Roman"/>
                <w:sz w:val="28"/>
                <w:szCs w:val="28"/>
                <w:vertAlign w:val="superscript"/>
              </w:rPr>
              <w:t>2</w:t>
            </w:r>
            <w:r>
              <w:rPr>
                <w:rFonts w:ascii="Times New Roman" w:hAnsi="Times New Roman"/>
                <w:sz w:val="28"/>
                <w:szCs w:val="28"/>
              </w:rPr>
              <w:t>)</w:t>
            </w:r>
          </w:p>
        </w:tc>
        <w:tc>
          <w:tcPr>
            <w:tcW w:w="2694" w:type="dxa"/>
            <w:tcBorders>
              <w:top w:val="nil"/>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26</w:t>
            </w:r>
            <w:r w:rsidRPr="000023F4">
              <w:rPr>
                <w:rFonts w:ascii="Century" w:hAnsi="Century"/>
                <w:sz w:val="28"/>
                <w:szCs w:val="28"/>
              </w:rPr>
              <w:t>,</w:t>
            </w:r>
            <w:r>
              <w:rPr>
                <w:rFonts w:ascii="Times New Roman" w:hAnsi="Times New Roman"/>
                <w:sz w:val="28"/>
                <w:szCs w:val="28"/>
              </w:rPr>
              <w:t>16</w:t>
            </w:r>
            <w:r w:rsidRPr="000023F4">
              <w:rPr>
                <w:rFonts w:ascii="Century" w:hAnsi="Century"/>
                <w:sz w:val="28"/>
                <w:szCs w:val="28"/>
              </w:rPr>
              <w:t>±</w:t>
            </w:r>
            <w:r>
              <w:rPr>
                <w:rFonts w:ascii="Times New Roman" w:hAnsi="Times New Roman"/>
                <w:sz w:val="28"/>
                <w:szCs w:val="28"/>
              </w:rPr>
              <w:t>5</w:t>
            </w:r>
            <w:r w:rsidRPr="000023F4">
              <w:rPr>
                <w:rFonts w:ascii="Century" w:hAnsi="Century"/>
                <w:sz w:val="28"/>
                <w:szCs w:val="28"/>
              </w:rPr>
              <w:t>,</w:t>
            </w:r>
            <w:r>
              <w:rPr>
                <w:rFonts w:ascii="Times New Roman" w:hAnsi="Times New Roman"/>
                <w:sz w:val="28"/>
                <w:szCs w:val="28"/>
              </w:rPr>
              <w:t xml:space="preserve">32 </w:t>
            </w:r>
          </w:p>
          <w:p w:rsidR="00D46BA1" w:rsidRDefault="00D46BA1" w:rsidP="00EB6FAB">
            <w:pPr>
              <w:jc w:val="center"/>
            </w:pPr>
            <w:r>
              <w:rPr>
                <w:rFonts w:ascii="Times New Roman" w:hAnsi="Times New Roman"/>
                <w:sz w:val="28"/>
                <w:szCs w:val="28"/>
              </w:rPr>
              <w:t>(23</w:t>
            </w:r>
            <w:r w:rsidRPr="000023F4">
              <w:rPr>
                <w:rFonts w:ascii="Century" w:hAnsi="Century"/>
                <w:sz w:val="28"/>
                <w:szCs w:val="28"/>
              </w:rPr>
              <w:t>,</w:t>
            </w:r>
            <w:r>
              <w:rPr>
                <w:rFonts w:ascii="Times New Roman" w:hAnsi="Times New Roman"/>
                <w:sz w:val="28"/>
                <w:szCs w:val="28"/>
              </w:rPr>
              <w:t>61-28</w:t>
            </w:r>
            <w:r w:rsidRPr="000023F4">
              <w:rPr>
                <w:rFonts w:ascii="Century" w:hAnsi="Century"/>
                <w:sz w:val="28"/>
                <w:szCs w:val="28"/>
              </w:rPr>
              <w:t>,</w:t>
            </w:r>
            <w:r>
              <w:rPr>
                <w:rFonts w:ascii="Times New Roman" w:hAnsi="Times New Roman"/>
                <w:sz w:val="28"/>
                <w:szCs w:val="28"/>
              </w:rPr>
              <w:t>93)</w:t>
            </w:r>
          </w:p>
        </w:tc>
        <w:tc>
          <w:tcPr>
            <w:tcW w:w="2836" w:type="dxa"/>
            <w:tcBorders>
              <w:top w:val="nil"/>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26,12</w:t>
            </w:r>
            <w:r w:rsidRPr="000023F4">
              <w:rPr>
                <w:rFonts w:ascii="Century" w:hAnsi="Century"/>
                <w:sz w:val="28"/>
                <w:szCs w:val="28"/>
              </w:rPr>
              <w:t>±</w:t>
            </w:r>
            <w:r>
              <w:rPr>
                <w:rFonts w:ascii="Times New Roman" w:hAnsi="Times New Roman"/>
                <w:sz w:val="28"/>
                <w:szCs w:val="28"/>
              </w:rPr>
              <w:t xml:space="preserve">6,27 </w:t>
            </w:r>
          </w:p>
          <w:p w:rsidR="00D46BA1" w:rsidRDefault="00D46BA1" w:rsidP="00EB6FAB">
            <w:pPr>
              <w:jc w:val="center"/>
            </w:pPr>
            <w:r>
              <w:rPr>
                <w:rFonts w:ascii="Times New Roman" w:hAnsi="Times New Roman"/>
                <w:sz w:val="28"/>
                <w:szCs w:val="28"/>
              </w:rPr>
              <w:t>(22</w:t>
            </w:r>
            <w:r w:rsidRPr="000023F4">
              <w:rPr>
                <w:rFonts w:ascii="Century" w:hAnsi="Century"/>
                <w:sz w:val="28"/>
                <w:szCs w:val="28"/>
              </w:rPr>
              <w:t>,</w:t>
            </w:r>
            <w:r>
              <w:rPr>
                <w:rFonts w:ascii="Times New Roman" w:hAnsi="Times New Roman"/>
                <w:sz w:val="28"/>
                <w:szCs w:val="28"/>
              </w:rPr>
              <w:t>79-29</w:t>
            </w:r>
            <w:r w:rsidRPr="000023F4">
              <w:rPr>
                <w:rFonts w:ascii="Century" w:hAnsi="Century"/>
                <w:sz w:val="28"/>
                <w:szCs w:val="28"/>
              </w:rPr>
              <w:t>,</w:t>
            </w:r>
            <w:r>
              <w:rPr>
                <w:rFonts w:ascii="Times New Roman" w:hAnsi="Times New Roman"/>
                <w:sz w:val="28"/>
                <w:szCs w:val="28"/>
              </w:rPr>
              <w:t>06)</w:t>
            </w:r>
          </w:p>
        </w:tc>
        <w:tc>
          <w:tcPr>
            <w:tcW w:w="994"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0</w:t>
            </w:r>
            <w:r w:rsidRPr="000023F4">
              <w:rPr>
                <w:rFonts w:ascii="Century" w:hAnsi="Century"/>
                <w:sz w:val="28"/>
                <w:szCs w:val="28"/>
              </w:rPr>
              <w:t>,</w:t>
            </w:r>
            <w:r>
              <w:rPr>
                <w:rFonts w:ascii="Times New Roman" w:hAnsi="Times New Roman"/>
                <w:sz w:val="28"/>
                <w:szCs w:val="28"/>
              </w:rPr>
              <w:t>82</w:t>
            </w:r>
          </w:p>
        </w:tc>
      </w:tr>
      <w:tr w:rsidR="00D46BA1" w:rsidTr="00EB6FAB">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САД (мм рт.ст.)</w:t>
            </w:r>
          </w:p>
        </w:tc>
        <w:tc>
          <w:tcPr>
            <w:tcW w:w="2694"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120±20 (110-130)</w:t>
            </w:r>
          </w:p>
        </w:tc>
        <w:tc>
          <w:tcPr>
            <w:tcW w:w="2836"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120±20 (110-130)</w:t>
            </w:r>
          </w:p>
        </w:tc>
        <w:tc>
          <w:tcPr>
            <w:tcW w:w="994"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0,37</w:t>
            </w:r>
          </w:p>
        </w:tc>
      </w:tr>
      <w:tr w:rsidR="00D46BA1" w:rsidTr="00EB6FAB">
        <w:trPr>
          <w:trHeight w:val="323"/>
        </w:trPr>
        <w:tc>
          <w:tcPr>
            <w:tcW w:w="3121"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ДАД (мм рт.ст.)</w:t>
            </w:r>
          </w:p>
        </w:tc>
        <w:tc>
          <w:tcPr>
            <w:tcW w:w="2694"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80±10 (70-80)</w:t>
            </w:r>
          </w:p>
        </w:tc>
        <w:tc>
          <w:tcPr>
            <w:tcW w:w="2836"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80±20 (70-90)</w:t>
            </w:r>
          </w:p>
        </w:tc>
        <w:tc>
          <w:tcPr>
            <w:tcW w:w="994"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0,45</w:t>
            </w:r>
          </w:p>
        </w:tc>
      </w:tr>
      <w:tr w:rsidR="00D46BA1" w:rsidTr="00EB6FAB">
        <w:trPr>
          <w:trHeight w:val="442"/>
        </w:trPr>
        <w:tc>
          <w:tcPr>
            <w:tcW w:w="9645" w:type="dxa"/>
            <w:gridSpan w:val="4"/>
            <w:tcBorders>
              <w:top w:val="single" w:sz="4" w:space="0" w:color="auto"/>
              <w:left w:val="single" w:sz="4" w:space="0" w:color="auto"/>
              <w:bottom w:val="single" w:sz="4" w:space="0" w:color="auto"/>
              <w:right w:val="single" w:sz="4" w:space="0" w:color="auto"/>
            </w:tcBorders>
            <w:hideMark/>
          </w:tcPr>
          <w:p w:rsidR="00F7034E" w:rsidRDefault="00D46BA1" w:rsidP="00F7034E">
            <w:pPr>
              <w:jc w:val="both"/>
              <w:rPr>
                <w:rFonts w:ascii="Times New Roman" w:hAnsi="Times New Roman"/>
                <w:szCs w:val="20"/>
              </w:rPr>
            </w:pPr>
            <w:r>
              <w:rPr>
                <w:rFonts w:ascii="Times New Roman" w:hAnsi="Times New Roman"/>
                <w:szCs w:val="20"/>
              </w:rPr>
              <w:t xml:space="preserve">Примечание </w:t>
            </w:r>
            <w:r w:rsidR="00524A45">
              <w:rPr>
                <w:rFonts w:ascii="Times New Roman" w:hAnsi="Times New Roman"/>
                <w:szCs w:val="20"/>
              </w:rPr>
              <w:t>ИМТ</w:t>
            </w:r>
            <w:r>
              <w:rPr>
                <w:rFonts w:ascii="Times New Roman" w:hAnsi="Times New Roman"/>
                <w:szCs w:val="20"/>
              </w:rPr>
              <w:t xml:space="preserve"> – </w:t>
            </w:r>
            <w:r w:rsidR="00524A45">
              <w:rPr>
                <w:rFonts w:ascii="Times New Roman" w:hAnsi="Times New Roman"/>
                <w:szCs w:val="20"/>
              </w:rPr>
              <w:t>индекс массы тела</w:t>
            </w:r>
            <w:r>
              <w:rPr>
                <w:rFonts w:ascii="Times New Roman" w:hAnsi="Times New Roman"/>
                <w:szCs w:val="20"/>
              </w:rPr>
              <w:t xml:space="preserve">; </w:t>
            </w:r>
            <w:r w:rsidR="00524A45">
              <w:rPr>
                <w:rFonts w:ascii="Times New Roman" w:hAnsi="Times New Roman"/>
                <w:szCs w:val="20"/>
              </w:rPr>
              <w:t>САД</w:t>
            </w:r>
            <w:r>
              <w:rPr>
                <w:rFonts w:ascii="Times New Roman" w:hAnsi="Times New Roman"/>
                <w:szCs w:val="20"/>
              </w:rPr>
              <w:t xml:space="preserve"> – </w:t>
            </w:r>
            <w:r w:rsidR="00524A45">
              <w:rPr>
                <w:rFonts w:ascii="Times New Roman" w:hAnsi="Times New Roman"/>
                <w:szCs w:val="20"/>
              </w:rPr>
              <w:t>систолическое артериальное давление</w:t>
            </w:r>
            <w:r>
              <w:rPr>
                <w:rFonts w:ascii="Times New Roman" w:hAnsi="Times New Roman"/>
                <w:szCs w:val="20"/>
              </w:rPr>
              <w:t xml:space="preserve">; </w:t>
            </w:r>
            <w:r w:rsidR="00524A45">
              <w:rPr>
                <w:rFonts w:ascii="Times New Roman" w:hAnsi="Times New Roman"/>
                <w:szCs w:val="20"/>
              </w:rPr>
              <w:t>ДАД</w:t>
            </w:r>
            <w:r>
              <w:rPr>
                <w:rFonts w:ascii="Times New Roman" w:hAnsi="Times New Roman"/>
                <w:szCs w:val="20"/>
              </w:rPr>
              <w:t xml:space="preserve"> – </w:t>
            </w:r>
            <w:r w:rsidR="00524A45">
              <w:rPr>
                <w:rFonts w:ascii="Times New Roman" w:hAnsi="Times New Roman"/>
                <w:szCs w:val="20"/>
              </w:rPr>
              <w:t>диастолическое артериальное давление</w:t>
            </w:r>
            <w:r>
              <w:rPr>
                <w:rFonts w:ascii="Times New Roman" w:hAnsi="Times New Roman"/>
                <w:szCs w:val="20"/>
              </w:rPr>
              <w:t xml:space="preserve">; *Критерий Манна-Уитни; </w:t>
            </w:r>
          </w:p>
          <w:p w:rsidR="00D46BA1" w:rsidRDefault="00D46BA1" w:rsidP="00F7034E">
            <w:pPr>
              <w:jc w:val="both"/>
              <w:rPr>
                <w:rFonts w:ascii="Times New Roman" w:hAnsi="Times New Roman"/>
                <w:sz w:val="20"/>
                <w:szCs w:val="20"/>
              </w:rPr>
            </w:pPr>
            <w:r>
              <w:rPr>
                <w:rFonts w:ascii="Times New Roman" w:hAnsi="Times New Roman"/>
                <w:szCs w:val="20"/>
              </w:rPr>
              <w:t>Ме±IQR (Q1 – Q3) – Медиана ± межквартильный диапазон (1 квартиль – 3 квартиль)</w:t>
            </w:r>
          </w:p>
        </w:tc>
      </w:tr>
    </w:tbl>
    <w:p w:rsidR="006311E5" w:rsidRDefault="006311E5" w:rsidP="006311E5">
      <w:pPr>
        <w:spacing w:after="0" w:line="240" w:lineRule="auto"/>
        <w:ind w:firstLine="708"/>
        <w:jc w:val="both"/>
        <w:rPr>
          <w:rFonts w:ascii="Times New Roman" w:hAnsi="Times New Roman" w:cs="Times New Roman"/>
          <w:sz w:val="28"/>
          <w:szCs w:val="28"/>
        </w:rPr>
      </w:pPr>
    </w:p>
    <w:p w:rsidR="006311E5" w:rsidRDefault="006311E5" w:rsidP="006311E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Средние уровни ТГ, ЛПНП, апоВ, апоА1, апоВ/апоА1, глюкозы и инсулина отличались в группах </w:t>
      </w:r>
      <w:r>
        <w:rPr>
          <w:rFonts w:ascii="Times New Roman" w:hAnsi="Times New Roman"/>
          <w:sz w:val="28"/>
          <w:szCs w:val="28"/>
        </w:rPr>
        <w:t>HOMA-IR (таблица 47). ИР чаще сопровождалось гипертриглицеридемией, низкими уровнями ЛПНП и апоА1, гипераполипопротеинемией В, высоким уровн</w:t>
      </w:r>
      <w:r w:rsidR="00402EB6">
        <w:rPr>
          <w:rFonts w:ascii="Times New Roman" w:hAnsi="Times New Roman"/>
          <w:sz w:val="28"/>
          <w:szCs w:val="28"/>
        </w:rPr>
        <w:t>е</w:t>
      </w:r>
      <w:r>
        <w:rPr>
          <w:rFonts w:ascii="Times New Roman" w:hAnsi="Times New Roman"/>
          <w:sz w:val="28"/>
          <w:szCs w:val="28"/>
        </w:rPr>
        <w:t>м апоВ/апоА1, гипергликемией, гиперинсулинемией.</w:t>
      </w:r>
    </w:p>
    <w:p w:rsidR="00AD11CD" w:rsidRDefault="00AD11CD" w:rsidP="00D46BA1">
      <w:pPr>
        <w:spacing w:after="0" w:line="240" w:lineRule="auto"/>
        <w:jc w:val="both"/>
        <w:rPr>
          <w:rFonts w:ascii="Times New Roman" w:hAnsi="Times New Roman" w:cs="Times New Roman"/>
          <w:sz w:val="28"/>
          <w:szCs w:val="28"/>
          <w:lang w:val="kk-KZ"/>
        </w:rPr>
      </w:pPr>
    </w:p>
    <w:p w:rsidR="00D46BA1" w:rsidRDefault="00D46BA1" w:rsidP="00D46BA1">
      <w:pPr>
        <w:spacing w:after="0" w:line="240" w:lineRule="auto"/>
        <w:jc w:val="both"/>
        <w:rPr>
          <w:rFonts w:ascii="Times New Roman" w:hAnsi="Times New Roman"/>
          <w:sz w:val="28"/>
          <w:szCs w:val="28"/>
          <w:lang w:val="kk-KZ"/>
        </w:rPr>
      </w:pPr>
      <w:r>
        <w:rPr>
          <w:rFonts w:ascii="Times New Roman" w:hAnsi="Times New Roman" w:cs="Times New Roman"/>
          <w:sz w:val="28"/>
          <w:szCs w:val="28"/>
        </w:rPr>
        <w:t>Таблица 46</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факторов рисков по группам </w:t>
      </w:r>
      <w:r>
        <w:rPr>
          <w:rFonts w:ascii="Times New Roman" w:hAnsi="Times New Roman"/>
          <w:sz w:val="28"/>
          <w:szCs w:val="28"/>
        </w:rPr>
        <w:t xml:space="preserve">HOMA-IR </w:t>
      </w:r>
      <w:r w:rsidR="005D282C">
        <w:rPr>
          <w:rFonts w:ascii="Times New Roman" w:hAnsi="Times New Roman"/>
          <w:sz w:val="28"/>
          <w:szCs w:val="28"/>
        </w:rPr>
        <w:t>(</w:t>
      </w:r>
      <w:r>
        <w:rPr>
          <w:rFonts w:ascii="Times New Roman" w:hAnsi="Times New Roman"/>
          <w:sz w:val="28"/>
          <w:szCs w:val="28"/>
        </w:rPr>
        <w:t>n=507</w:t>
      </w:r>
      <w:r w:rsidR="005D282C">
        <w:rPr>
          <w:rFonts w:ascii="Times New Roman" w:hAnsi="Times New Roman"/>
          <w:sz w:val="28"/>
          <w:szCs w:val="28"/>
        </w:rPr>
        <w:t>)</w:t>
      </w:r>
    </w:p>
    <w:p w:rsidR="00AD11CD" w:rsidRPr="00AD11CD" w:rsidRDefault="00AD11CD" w:rsidP="00D46BA1">
      <w:pPr>
        <w:spacing w:after="0" w:line="240" w:lineRule="auto"/>
        <w:jc w:val="both"/>
        <w:rPr>
          <w:rFonts w:ascii="Times New Roman" w:hAnsi="Times New Roman"/>
          <w:sz w:val="28"/>
          <w:szCs w:val="28"/>
          <w:lang w:val="kk-KZ"/>
        </w:rPr>
      </w:pPr>
    </w:p>
    <w:tbl>
      <w:tblPr>
        <w:tblStyle w:val="af7"/>
        <w:tblW w:w="9645" w:type="dxa"/>
        <w:tblInd w:w="-34" w:type="dxa"/>
        <w:tblLayout w:type="fixed"/>
        <w:tblLook w:val="04A0" w:firstRow="1" w:lastRow="0" w:firstColumn="1" w:lastColumn="0" w:noHBand="0" w:noVBand="1"/>
      </w:tblPr>
      <w:tblGrid>
        <w:gridCol w:w="1418"/>
        <w:gridCol w:w="1702"/>
        <w:gridCol w:w="1277"/>
        <w:gridCol w:w="1418"/>
        <w:gridCol w:w="2836"/>
        <w:gridCol w:w="994"/>
      </w:tblGrid>
      <w:tr w:rsidR="00D46BA1" w:rsidTr="00EB6FAB">
        <w:trPr>
          <w:trHeight w:val="377"/>
        </w:trPr>
        <w:tc>
          <w:tcPr>
            <w:tcW w:w="312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Параметры</w:t>
            </w:r>
          </w:p>
        </w:tc>
        <w:tc>
          <w:tcPr>
            <w:tcW w:w="2695" w:type="dxa"/>
            <w:gridSpan w:val="2"/>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HOMA-IR</w:t>
            </w:r>
          </w:p>
        </w:tc>
        <w:tc>
          <w:tcPr>
            <w:tcW w:w="2836" w:type="dxa"/>
            <w:vMerge w:val="restart"/>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ОШ (95% ДИ)</w:t>
            </w:r>
          </w:p>
        </w:tc>
        <w:tc>
          <w:tcPr>
            <w:tcW w:w="994" w:type="dxa"/>
            <w:vMerge w:val="restart"/>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p*</w:t>
            </w:r>
          </w:p>
        </w:tc>
      </w:tr>
      <w:tr w:rsidR="00D46BA1" w:rsidTr="00EB6FAB">
        <w:trPr>
          <w:trHeight w:val="379"/>
        </w:trPr>
        <w:tc>
          <w:tcPr>
            <w:tcW w:w="3120" w:type="dxa"/>
            <w:gridSpan w:val="2"/>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c>
          <w:tcPr>
            <w:tcW w:w="1277"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&lt;2,7 n</w:t>
            </w:r>
          </w:p>
        </w:tc>
        <w:tc>
          <w:tcPr>
            <w:tcW w:w="1418"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≥2,7 n</w:t>
            </w:r>
          </w:p>
        </w:tc>
        <w:tc>
          <w:tcPr>
            <w:tcW w:w="2836"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r>
      <w:tr w:rsidR="00D46BA1" w:rsidTr="00EB6FAB">
        <w:trPr>
          <w:trHeight w:val="317"/>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Пол</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Жен</w:t>
            </w:r>
          </w:p>
        </w:tc>
        <w:tc>
          <w:tcPr>
            <w:tcW w:w="1277"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150</w:t>
            </w:r>
          </w:p>
        </w:tc>
        <w:tc>
          <w:tcPr>
            <w:tcW w:w="1418"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112</w:t>
            </w:r>
          </w:p>
        </w:tc>
        <w:tc>
          <w:tcPr>
            <w:tcW w:w="2836"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1,0</w:t>
            </w:r>
          </w:p>
        </w:tc>
        <w:tc>
          <w:tcPr>
            <w:tcW w:w="994" w:type="dxa"/>
            <w:vMerge w:val="restart"/>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0,05</w:t>
            </w:r>
          </w:p>
        </w:tc>
      </w:tr>
      <w:tr w:rsidR="00D46BA1" w:rsidTr="00EB6F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Муж</w:t>
            </w:r>
          </w:p>
        </w:tc>
        <w:tc>
          <w:tcPr>
            <w:tcW w:w="1277"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161</w:t>
            </w:r>
          </w:p>
        </w:tc>
        <w:tc>
          <w:tcPr>
            <w:tcW w:w="1418"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84</w:t>
            </w:r>
          </w:p>
        </w:tc>
        <w:tc>
          <w:tcPr>
            <w:tcW w:w="2836"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0,7 (0,49-1,0)</w:t>
            </w: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r>
      <w:tr w:rsidR="00D46BA1" w:rsidTr="00EB6FAB">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Возраст, лет</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18 – 35</w:t>
            </w:r>
          </w:p>
        </w:tc>
        <w:tc>
          <w:tcPr>
            <w:tcW w:w="1277"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54</w:t>
            </w:r>
          </w:p>
        </w:tc>
        <w:tc>
          <w:tcPr>
            <w:tcW w:w="1418"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32</w:t>
            </w:r>
          </w:p>
        </w:tc>
        <w:tc>
          <w:tcPr>
            <w:tcW w:w="2836"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1,0</w:t>
            </w:r>
          </w:p>
        </w:tc>
        <w:tc>
          <w:tcPr>
            <w:tcW w:w="994" w:type="dxa"/>
            <w:vMerge w:val="restart"/>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0,69</w:t>
            </w:r>
          </w:p>
        </w:tc>
      </w:tr>
      <w:tr w:rsidR="00D46BA1" w:rsidTr="00EB6F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36 – 45</w:t>
            </w:r>
          </w:p>
        </w:tc>
        <w:tc>
          <w:tcPr>
            <w:tcW w:w="1277"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93</w:t>
            </w:r>
          </w:p>
        </w:tc>
        <w:tc>
          <w:tcPr>
            <w:tcW w:w="1418"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54</w:t>
            </w:r>
          </w:p>
        </w:tc>
        <w:tc>
          <w:tcPr>
            <w:tcW w:w="2836"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0,98 (0,56-1,7)</w:t>
            </w: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r>
      <w:tr w:rsidR="00D46BA1" w:rsidTr="00EB6F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46 – 55</w:t>
            </w:r>
          </w:p>
        </w:tc>
        <w:tc>
          <w:tcPr>
            <w:tcW w:w="1277"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90</w:t>
            </w:r>
          </w:p>
        </w:tc>
        <w:tc>
          <w:tcPr>
            <w:tcW w:w="1418"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54</w:t>
            </w:r>
          </w:p>
        </w:tc>
        <w:tc>
          <w:tcPr>
            <w:tcW w:w="2836"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1,01 (0,58-1,76)</w:t>
            </w: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r>
      <w:tr w:rsidR="00D46BA1" w:rsidTr="00EB6F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56 – 65</w:t>
            </w:r>
          </w:p>
        </w:tc>
        <w:tc>
          <w:tcPr>
            <w:tcW w:w="1277"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74</w:t>
            </w:r>
          </w:p>
        </w:tc>
        <w:tc>
          <w:tcPr>
            <w:tcW w:w="1418"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56</w:t>
            </w:r>
          </w:p>
        </w:tc>
        <w:tc>
          <w:tcPr>
            <w:tcW w:w="2836"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1,28 (0,73-2,23)</w:t>
            </w: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r>
      <w:tr w:rsidR="00D46BA1" w:rsidTr="00EB6FAB">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Окружность талии (см)</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муж &lt;102</w:t>
            </w:r>
          </w:p>
          <w:p w:rsidR="00D46BA1" w:rsidRDefault="00D46BA1" w:rsidP="00EB6FAB">
            <w:pPr>
              <w:jc w:val="center"/>
              <w:rPr>
                <w:rFonts w:ascii="Times New Roman" w:hAnsi="Times New Roman"/>
                <w:sz w:val="28"/>
                <w:szCs w:val="28"/>
              </w:rPr>
            </w:pPr>
            <w:r>
              <w:rPr>
                <w:rFonts w:ascii="Times New Roman" w:hAnsi="Times New Roman"/>
                <w:sz w:val="28"/>
                <w:szCs w:val="28"/>
              </w:rPr>
              <w:t xml:space="preserve">жен &lt;88 </w:t>
            </w:r>
          </w:p>
        </w:tc>
        <w:tc>
          <w:tcPr>
            <w:tcW w:w="1277" w:type="dxa"/>
            <w:tcBorders>
              <w:top w:val="nil"/>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117</w:t>
            </w:r>
          </w:p>
        </w:tc>
        <w:tc>
          <w:tcPr>
            <w:tcW w:w="1418" w:type="dxa"/>
            <w:tcBorders>
              <w:top w:val="nil"/>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194</w:t>
            </w:r>
          </w:p>
        </w:tc>
        <w:tc>
          <w:tcPr>
            <w:tcW w:w="2836"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1,0</w:t>
            </w:r>
          </w:p>
        </w:tc>
        <w:tc>
          <w:tcPr>
            <w:tcW w:w="994" w:type="dxa"/>
            <w:vMerge w:val="restart"/>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0,98</w:t>
            </w:r>
          </w:p>
        </w:tc>
      </w:tr>
      <w:tr w:rsidR="00D46BA1" w:rsidTr="00EB6F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муж ≥102</w:t>
            </w:r>
          </w:p>
          <w:p w:rsidR="00D46BA1" w:rsidRDefault="00D46BA1" w:rsidP="00EB6FAB">
            <w:pPr>
              <w:jc w:val="center"/>
              <w:rPr>
                <w:rFonts w:ascii="Times New Roman" w:hAnsi="Times New Roman"/>
                <w:sz w:val="28"/>
                <w:szCs w:val="28"/>
              </w:rPr>
            </w:pPr>
            <w:r>
              <w:rPr>
                <w:rFonts w:ascii="Times New Roman" w:hAnsi="Times New Roman"/>
                <w:sz w:val="28"/>
                <w:szCs w:val="28"/>
              </w:rPr>
              <w:t xml:space="preserve">жен ≥88 </w:t>
            </w:r>
          </w:p>
        </w:tc>
        <w:tc>
          <w:tcPr>
            <w:tcW w:w="1277" w:type="dxa"/>
            <w:tcBorders>
              <w:top w:val="nil"/>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74</w:t>
            </w:r>
          </w:p>
        </w:tc>
        <w:tc>
          <w:tcPr>
            <w:tcW w:w="1418" w:type="dxa"/>
            <w:tcBorders>
              <w:top w:val="nil"/>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122</w:t>
            </w:r>
          </w:p>
        </w:tc>
        <w:tc>
          <w:tcPr>
            <w:tcW w:w="2836"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0,99 (0,69-1,44)</w:t>
            </w: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r>
      <w:tr w:rsidR="00D46BA1" w:rsidTr="00EB6FAB">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ИМТ (кг/м</w:t>
            </w:r>
            <w:r>
              <w:rPr>
                <w:rFonts w:ascii="Times New Roman" w:hAnsi="Times New Roman"/>
                <w:sz w:val="28"/>
                <w:szCs w:val="28"/>
                <w:vertAlign w:val="superscript"/>
              </w:rPr>
              <w:t>2</w:t>
            </w:r>
            <w:r>
              <w:rPr>
                <w:rFonts w:ascii="Times New Roman" w:hAnsi="Times New Roman"/>
                <w:sz w:val="28"/>
                <w:szCs w:val="28"/>
              </w:rPr>
              <w:t>)</w:t>
            </w:r>
          </w:p>
        </w:tc>
        <w:tc>
          <w:tcPr>
            <w:tcW w:w="1702"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НВ</w:t>
            </w:r>
          </w:p>
        </w:tc>
        <w:tc>
          <w:tcPr>
            <w:tcW w:w="1277"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125</w:t>
            </w:r>
          </w:p>
        </w:tc>
        <w:tc>
          <w:tcPr>
            <w:tcW w:w="1418"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76</w:t>
            </w:r>
          </w:p>
        </w:tc>
        <w:tc>
          <w:tcPr>
            <w:tcW w:w="2836"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1,0</w:t>
            </w:r>
          </w:p>
        </w:tc>
        <w:tc>
          <w:tcPr>
            <w:tcW w:w="994" w:type="dxa"/>
            <w:vMerge w:val="restart"/>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0,92</w:t>
            </w:r>
          </w:p>
        </w:tc>
      </w:tr>
      <w:tr w:rsidR="00D46BA1" w:rsidTr="00EB6F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c>
          <w:tcPr>
            <w:tcW w:w="1702" w:type="dxa"/>
            <w:tcBorders>
              <w:top w:val="nil"/>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ИВ</w:t>
            </w:r>
          </w:p>
        </w:tc>
        <w:tc>
          <w:tcPr>
            <w:tcW w:w="1277"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131</w:t>
            </w:r>
          </w:p>
        </w:tc>
        <w:tc>
          <w:tcPr>
            <w:tcW w:w="1418"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83</w:t>
            </w:r>
          </w:p>
        </w:tc>
        <w:tc>
          <w:tcPr>
            <w:tcW w:w="2836"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1,04 (0,7-1,55)</w:t>
            </w: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r>
      <w:tr w:rsidR="00D46BA1" w:rsidTr="00EB6F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c>
          <w:tcPr>
            <w:tcW w:w="1702" w:type="dxa"/>
            <w:tcBorders>
              <w:top w:val="nil"/>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Ож</w:t>
            </w:r>
          </w:p>
        </w:tc>
        <w:tc>
          <w:tcPr>
            <w:tcW w:w="1277"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55</w:t>
            </w:r>
          </w:p>
        </w:tc>
        <w:tc>
          <w:tcPr>
            <w:tcW w:w="1418"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37</w:t>
            </w:r>
          </w:p>
        </w:tc>
        <w:tc>
          <w:tcPr>
            <w:tcW w:w="2836"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1,11 (0,67-1,83)</w:t>
            </w: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r>
      <w:tr w:rsidR="00D46BA1" w:rsidTr="00EB6FAB">
        <w:trPr>
          <w:trHeight w:val="323"/>
        </w:trPr>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Статус курения</w:t>
            </w:r>
          </w:p>
        </w:tc>
        <w:tc>
          <w:tcPr>
            <w:tcW w:w="1702" w:type="dxa"/>
            <w:tcBorders>
              <w:top w:val="nil"/>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Не курит</w:t>
            </w:r>
          </w:p>
        </w:tc>
        <w:tc>
          <w:tcPr>
            <w:tcW w:w="1277"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204</w:t>
            </w:r>
          </w:p>
        </w:tc>
        <w:tc>
          <w:tcPr>
            <w:tcW w:w="1418"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136</w:t>
            </w:r>
          </w:p>
        </w:tc>
        <w:tc>
          <w:tcPr>
            <w:tcW w:w="2836"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1,0</w:t>
            </w:r>
          </w:p>
        </w:tc>
        <w:tc>
          <w:tcPr>
            <w:tcW w:w="994" w:type="dxa"/>
            <w:vMerge w:val="restart"/>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0,65</w:t>
            </w:r>
          </w:p>
        </w:tc>
      </w:tr>
      <w:tr w:rsidR="00D46BA1" w:rsidTr="00EB6F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Курит</w:t>
            </w:r>
          </w:p>
        </w:tc>
        <w:tc>
          <w:tcPr>
            <w:tcW w:w="1277"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91</w:t>
            </w:r>
          </w:p>
        </w:tc>
        <w:tc>
          <w:tcPr>
            <w:tcW w:w="1418"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50</w:t>
            </w:r>
          </w:p>
        </w:tc>
        <w:tc>
          <w:tcPr>
            <w:tcW w:w="2836"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0,82 (0,55-1,24)</w:t>
            </w: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r>
      <w:tr w:rsidR="00D46BA1" w:rsidTr="00EB6FAB">
        <w:trPr>
          <w:trHeight w:val="32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jc w:val="center"/>
              <w:rPr>
                <w:rFonts w:ascii="Times New Roman" w:hAnsi="Times New Roman"/>
                <w:sz w:val="28"/>
                <w:szCs w:val="28"/>
              </w:rPr>
            </w:pPr>
            <w:r>
              <w:rPr>
                <w:rFonts w:ascii="Times New Roman" w:hAnsi="Times New Roman"/>
                <w:sz w:val="28"/>
                <w:szCs w:val="28"/>
              </w:rPr>
              <w:t>Бросил</w:t>
            </w:r>
          </w:p>
        </w:tc>
        <w:tc>
          <w:tcPr>
            <w:tcW w:w="1277"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16</w:t>
            </w:r>
          </w:p>
        </w:tc>
        <w:tc>
          <w:tcPr>
            <w:tcW w:w="1418" w:type="dxa"/>
            <w:tcBorders>
              <w:top w:val="nil"/>
              <w:left w:val="single" w:sz="4" w:space="0" w:color="auto"/>
              <w:bottom w:val="single" w:sz="4" w:space="0" w:color="auto"/>
              <w:right w:val="single" w:sz="4" w:space="0" w:color="auto"/>
            </w:tcBorders>
            <w:hideMark/>
          </w:tcPr>
          <w:p w:rsidR="00D46BA1" w:rsidRDefault="00D46BA1" w:rsidP="00EB6FAB">
            <w:pPr>
              <w:jc w:val="center"/>
            </w:pPr>
            <w:r>
              <w:rPr>
                <w:rFonts w:ascii="Times New Roman" w:hAnsi="Times New Roman"/>
                <w:sz w:val="28"/>
                <w:szCs w:val="28"/>
              </w:rPr>
              <w:t>10</w:t>
            </w:r>
          </w:p>
        </w:tc>
        <w:tc>
          <w:tcPr>
            <w:tcW w:w="2836" w:type="dxa"/>
            <w:tcBorders>
              <w:top w:val="single" w:sz="4" w:space="0" w:color="auto"/>
              <w:left w:val="single" w:sz="4" w:space="0" w:color="auto"/>
              <w:bottom w:val="single" w:sz="4" w:space="0" w:color="auto"/>
              <w:right w:val="single" w:sz="4" w:space="0" w:color="auto"/>
            </w:tcBorders>
            <w:hideMark/>
          </w:tcPr>
          <w:p w:rsidR="00D46BA1" w:rsidRDefault="00D46BA1" w:rsidP="00EB6FAB">
            <w:pPr>
              <w:jc w:val="center"/>
              <w:rPr>
                <w:rFonts w:ascii="Times New Roman" w:hAnsi="Times New Roman"/>
                <w:sz w:val="28"/>
                <w:szCs w:val="28"/>
              </w:rPr>
            </w:pPr>
            <w:r>
              <w:rPr>
                <w:rFonts w:ascii="Times New Roman" w:hAnsi="Times New Roman"/>
                <w:sz w:val="28"/>
                <w:szCs w:val="28"/>
              </w:rPr>
              <w:t>0,94 (0,41-2,13)</w:t>
            </w: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D46BA1" w:rsidRDefault="00D46BA1" w:rsidP="00EB6FAB">
            <w:pPr>
              <w:rPr>
                <w:rFonts w:ascii="Times New Roman" w:hAnsi="Times New Roman"/>
                <w:sz w:val="28"/>
                <w:szCs w:val="28"/>
              </w:rPr>
            </w:pPr>
          </w:p>
        </w:tc>
      </w:tr>
      <w:tr w:rsidR="00D46BA1" w:rsidTr="00EB6FAB">
        <w:trPr>
          <w:trHeight w:val="442"/>
        </w:trPr>
        <w:tc>
          <w:tcPr>
            <w:tcW w:w="9645" w:type="dxa"/>
            <w:gridSpan w:val="6"/>
            <w:tcBorders>
              <w:top w:val="single" w:sz="4" w:space="0" w:color="auto"/>
              <w:left w:val="single" w:sz="4" w:space="0" w:color="auto"/>
              <w:bottom w:val="single" w:sz="4" w:space="0" w:color="auto"/>
              <w:right w:val="single" w:sz="4" w:space="0" w:color="auto"/>
            </w:tcBorders>
            <w:hideMark/>
          </w:tcPr>
          <w:p w:rsidR="00D46BA1" w:rsidRDefault="00D46BA1" w:rsidP="00EB6FAB">
            <w:pPr>
              <w:jc w:val="both"/>
              <w:rPr>
                <w:rFonts w:ascii="Times New Roman" w:hAnsi="Times New Roman"/>
              </w:rPr>
            </w:pPr>
            <w:r>
              <w:rPr>
                <w:rFonts w:ascii="Times New Roman" w:hAnsi="Times New Roman"/>
              </w:rPr>
              <w:t xml:space="preserve">Примечание НВ – нормальный вес; ИВ – избыточный вес; Ож – ожирение; </w:t>
            </w:r>
          </w:p>
          <w:p w:rsidR="00D46BA1" w:rsidRDefault="00D46BA1" w:rsidP="00EB6FAB">
            <w:pPr>
              <w:jc w:val="both"/>
              <w:rPr>
                <w:rFonts w:ascii="Times New Roman" w:hAnsi="Times New Roman"/>
              </w:rPr>
            </w:pPr>
            <w:r>
              <w:rPr>
                <w:rFonts w:ascii="Times New Roman" w:hAnsi="Times New Roman"/>
              </w:rPr>
              <w:t>* - χ</w:t>
            </w:r>
            <w:r>
              <w:rPr>
                <w:rFonts w:ascii="Times New Roman" w:hAnsi="Times New Roman"/>
                <w:vertAlign w:val="superscript"/>
              </w:rPr>
              <w:t>2</w:t>
            </w:r>
            <w:r>
              <w:rPr>
                <w:rFonts w:ascii="Times New Roman" w:hAnsi="Times New Roman"/>
              </w:rPr>
              <w:t xml:space="preserve"> – хи квадрат Пирсона; </w:t>
            </w:r>
            <w:r>
              <w:rPr>
                <w:rFonts w:ascii="Times New Roman" w:hAnsi="Times New Roman"/>
                <w:szCs w:val="24"/>
              </w:rPr>
              <w:t>ОШ (95% ДИ) – Отношение шансов (95% Доверительный интервал)</w:t>
            </w:r>
          </w:p>
        </w:tc>
      </w:tr>
    </w:tbl>
    <w:p w:rsidR="00AB12B3" w:rsidRDefault="00AB12B3" w:rsidP="00AB12B3">
      <w:pPr>
        <w:spacing w:after="0" w:line="240" w:lineRule="auto"/>
        <w:jc w:val="both"/>
        <w:rPr>
          <w:rFonts w:ascii="Times New Roman" w:hAnsi="Times New Roman"/>
          <w:sz w:val="28"/>
          <w:szCs w:val="28"/>
          <w:lang w:val="kk-KZ"/>
        </w:rPr>
      </w:pPr>
      <w:r>
        <w:rPr>
          <w:rFonts w:ascii="Times New Roman" w:hAnsi="Times New Roman" w:cs="Times New Roman"/>
          <w:sz w:val="28"/>
          <w:szCs w:val="28"/>
        </w:rPr>
        <w:lastRenderedPageBreak/>
        <w:t>Таблица 4</w:t>
      </w:r>
      <w:r w:rsidR="008718C2">
        <w:rPr>
          <w:rFonts w:ascii="Times New Roman" w:hAnsi="Times New Roman" w:cs="Times New Roman"/>
          <w:sz w:val="28"/>
          <w:szCs w:val="28"/>
        </w:rPr>
        <w:t>7</w:t>
      </w:r>
      <w:r w:rsidR="0093450D">
        <w:rPr>
          <w:rFonts w:ascii="Times New Roman" w:hAnsi="Times New Roman" w:cs="Times New Roman"/>
          <w:sz w:val="28"/>
          <w:szCs w:val="28"/>
          <w:lang w:val="kk-KZ"/>
        </w:rPr>
        <w:t xml:space="preserve"> -</w:t>
      </w:r>
      <w:r>
        <w:rPr>
          <w:rFonts w:ascii="Times New Roman" w:hAnsi="Times New Roman" w:cs="Times New Roman"/>
          <w:sz w:val="28"/>
          <w:szCs w:val="28"/>
        </w:rPr>
        <w:t xml:space="preserve"> Распределение средних величин биохимических показателей по группам </w:t>
      </w:r>
      <w:r>
        <w:rPr>
          <w:rFonts w:ascii="Times New Roman" w:hAnsi="Times New Roman"/>
          <w:sz w:val="28"/>
          <w:szCs w:val="28"/>
        </w:rPr>
        <w:t>HOMA-IR</w:t>
      </w:r>
      <w:r w:rsidR="00027CCF">
        <w:rPr>
          <w:rFonts w:ascii="Times New Roman" w:hAnsi="Times New Roman"/>
          <w:sz w:val="28"/>
          <w:szCs w:val="28"/>
        </w:rPr>
        <w:t xml:space="preserve"> </w:t>
      </w:r>
      <w:r w:rsidR="005D282C">
        <w:rPr>
          <w:rFonts w:ascii="Times New Roman" w:hAnsi="Times New Roman"/>
          <w:sz w:val="28"/>
          <w:szCs w:val="28"/>
        </w:rPr>
        <w:t>(</w:t>
      </w:r>
      <w:r>
        <w:rPr>
          <w:rFonts w:ascii="Times New Roman" w:hAnsi="Times New Roman"/>
          <w:sz w:val="28"/>
          <w:szCs w:val="28"/>
        </w:rPr>
        <w:t>n=507</w:t>
      </w:r>
      <w:r w:rsidR="005D282C">
        <w:rPr>
          <w:rFonts w:ascii="Times New Roman" w:hAnsi="Times New Roman"/>
          <w:sz w:val="28"/>
          <w:szCs w:val="28"/>
        </w:rPr>
        <w:t>)</w:t>
      </w:r>
    </w:p>
    <w:p w:rsidR="00AD11CD" w:rsidRPr="00AD11CD" w:rsidRDefault="00AD11CD" w:rsidP="00AB12B3">
      <w:pPr>
        <w:spacing w:after="0" w:line="240" w:lineRule="auto"/>
        <w:jc w:val="both"/>
        <w:rPr>
          <w:rFonts w:ascii="Times New Roman" w:hAnsi="Times New Roman" w:cs="Times New Roman"/>
          <w:sz w:val="28"/>
          <w:szCs w:val="28"/>
          <w:lang w:val="kk-KZ"/>
        </w:rPr>
      </w:pPr>
    </w:p>
    <w:tbl>
      <w:tblPr>
        <w:tblStyle w:val="af7"/>
        <w:tblW w:w="9495" w:type="dxa"/>
        <w:tblInd w:w="108" w:type="dxa"/>
        <w:tblLayout w:type="fixed"/>
        <w:tblLook w:val="04A0" w:firstRow="1" w:lastRow="0" w:firstColumn="1" w:lastColumn="0" w:noHBand="0" w:noVBand="1"/>
      </w:tblPr>
      <w:tblGrid>
        <w:gridCol w:w="2552"/>
        <w:gridCol w:w="2835"/>
        <w:gridCol w:w="2977"/>
        <w:gridCol w:w="1131"/>
      </w:tblGrid>
      <w:tr w:rsidR="00AB12B3" w:rsidTr="00EF538D">
        <w:trPr>
          <w:trHeight w:val="377"/>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5812"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HOMA-IR</w:t>
            </w:r>
          </w:p>
        </w:tc>
        <w:tc>
          <w:tcPr>
            <w:tcW w:w="1131"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EF538D">
        <w:trPr>
          <w:trHeight w:val="379"/>
        </w:trPr>
        <w:tc>
          <w:tcPr>
            <w:tcW w:w="255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&lt;2,7</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2977"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≥2,7</w:t>
            </w:r>
          </w:p>
          <w:p w:rsidR="00AB12B3" w:rsidRDefault="00AB12B3">
            <w:pPr>
              <w:jc w:val="center"/>
              <w:rPr>
                <w:rFonts w:ascii="Times New Roman" w:hAnsi="Times New Roman"/>
                <w:sz w:val="28"/>
                <w:szCs w:val="28"/>
              </w:rPr>
            </w:pPr>
            <w:r>
              <w:rPr>
                <w:rFonts w:ascii="Times New Roman" w:hAnsi="Times New Roman"/>
                <w:sz w:val="28"/>
                <w:szCs w:val="28"/>
              </w:rPr>
              <w:t>Ме±IQR (Q1–Q3)</w:t>
            </w:r>
          </w:p>
        </w:tc>
        <w:tc>
          <w:tcPr>
            <w:tcW w:w="113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EF538D">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ОХС, ммоль/л</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3,52±1,99 (2,59-4,58)</w:t>
            </w:r>
          </w:p>
        </w:tc>
        <w:tc>
          <w:tcPr>
            <w:tcW w:w="297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3,31±1,96 (2,46-4,43)</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0,15</w:t>
            </w:r>
          </w:p>
        </w:tc>
      </w:tr>
      <w:tr w:rsidR="00AB12B3" w:rsidTr="00EF538D">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ТГ, ммоль/л</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1,1±0,74 (0,79-1,53)</w:t>
            </w:r>
          </w:p>
        </w:tc>
        <w:tc>
          <w:tcPr>
            <w:tcW w:w="297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1,49±1,07 (0,95-2,02)</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0,0001</w:t>
            </w:r>
          </w:p>
        </w:tc>
      </w:tr>
      <w:tr w:rsidR="00AB12B3" w:rsidTr="00EF538D">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ЛПНП, ммоль/л</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1,86±1,18 (1,42-2,6)</w:t>
            </w:r>
          </w:p>
        </w:tc>
        <w:tc>
          <w:tcPr>
            <w:tcW w:w="297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1,79±1,18 (1,22-2,4)</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0,039</w:t>
            </w:r>
          </w:p>
        </w:tc>
      </w:tr>
      <w:tr w:rsidR="00AB12B3" w:rsidTr="00EF538D">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ЛПВП, ммоль/л</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0,93±0,7 (0,7-1,4)</w:t>
            </w:r>
          </w:p>
        </w:tc>
        <w:tc>
          <w:tcPr>
            <w:tcW w:w="297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0,9±0,71 (0,7-1,41)</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0,89</w:t>
            </w:r>
          </w:p>
        </w:tc>
      </w:tr>
      <w:tr w:rsidR="00AB12B3" w:rsidTr="00EF538D">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 г/л</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0,94±0,38 (0,76-1,14)</w:t>
            </w:r>
          </w:p>
        </w:tc>
        <w:tc>
          <w:tcPr>
            <w:tcW w:w="297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1,03±0,37 (0,84-1,21)</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0,004</w:t>
            </w:r>
          </w:p>
        </w:tc>
      </w:tr>
      <w:tr w:rsidR="00AB12B3" w:rsidTr="00EF538D">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апоА1</w:t>
            </w:r>
            <w:r w:rsidR="005743D4">
              <w:rPr>
                <w:rFonts w:ascii="Century" w:hAnsi="Century"/>
                <w:sz w:val="28"/>
                <w:szCs w:val="28"/>
              </w:rPr>
              <w:t>,</w:t>
            </w:r>
            <w:r>
              <w:rPr>
                <w:rFonts w:ascii="Times New Roman" w:hAnsi="Times New Roman"/>
                <w:sz w:val="28"/>
                <w:szCs w:val="28"/>
              </w:rPr>
              <w:t xml:space="preserve"> г</w:t>
            </w:r>
            <w:r w:rsidRPr="005743D4">
              <w:rPr>
                <w:rFonts w:ascii="Century" w:hAnsi="Century"/>
                <w:sz w:val="28"/>
                <w:szCs w:val="28"/>
              </w:rPr>
              <w:t>/</w:t>
            </w:r>
            <w:r>
              <w:rPr>
                <w:rFonts w:ascii="Times New Roman" w:hAnsi="Times New Roman"/>
                <w:sz w:val="28"/>
                <w:szCs w:val="28"/>
              </w:rPr>
              <w:t>л</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w:t>
            </w:r>
            <w:r w:rsidRPr="005743D4">
              <w:rPr>
                <w:rFonts w:ascii="Century" w:hAnsi="Century"/>
                <w:sz w:val="28"/>
                <w:szCs w:val="28"/>
              </w:rPr>
              <w:t>,</w:t>
            </w:r>
            <w:r>
              <w:rPr>
                <w:rFonts w:ascii="Times New Roman" w:hAnsi="Times New Roman"/>
                <w:sz w:val="28"/>
                <w:szCs w:val="28"/>
              </w:rPr>
              <w:t>52</w:t>
            </w:r>
            <w:r w:rsidRPr="005743D4">
              <w:rPr>
                <w:rFonts w:ascii="Century" w:hAnsi="Century"/>
                <w:sz w:val="28"/>
                <w:szCs w:val="28"/>
              </w:rPr>
              <w:t>±</w:t>
            </w:r>
            <w:r>
              <w:rPr>
                <w:rFonts w:ascii="Times New Roman" w:hAnsi="Times New Roman"/>
                <w:sz w:val="28"/>
                <w:szCs w:val="28"/>
              </w:rPr>
              <w:t>0,41 (1</w:t>
            </w:r>
            <w:r w:rsidRPr="005743D4">
              <w:rPr>
                <w:rFonts w:ascii="Century" w:hAnsi="Century"/>
                <w:sz w:val="28"/>
                <w:szCs w:val="28"/>
              </w:rPr>
              <w:t>,</w:t>
            </w:r>
            <w:r>
              <w:rPr>
                <w:rFonts w:ascii="Times New Roman" w:hAnsi="Times New Roman"/>
                <w:sz w:val="28"/>
                <w:szCs w:val="28"/>
              </w:rPr>
              <w:t>33-1</w:t>
            </w:r>
            <w:r w:rsidRPr="005743D4">
              <w:rPr>
                <w:rFonts w:ascii="Century" w:hAnsi="Century"/>
                <w:sz w:val="28"/>
                <w:szCs w:val="28"/>
              </w:rPr>
              <w:t>,</w:t>
            </w:r>
            <w:r>
              <w:rPr>
                <w:rFonts w:ascii="Times New Roman" w:hAnsi="Times New Roman"/>
                <w:sz w:val="28"/>
                <w:szCs w:val="28"/>
              </w:rPr>
              <w:t>74)</w:t>
            </w:r>
          </w:p>
        </w:tc>
        <w:tc>
          <w:tcPr>
            <w:tcW w:w="297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w:t>
            </w:r>
            <w:r w:rsidRPr="005743D4">
              <w:rPr>
                <w:rFonts w:ascii="Century" w:hAnsi="Century"/>
                <w:sz w:val="28"/>
                <w:szCs w:val="28"/>
              </w:rPr>
              <w:t>,</w:t>
            </w:r>
            <w:r>
              <w:rPr>
                <w:rFonts w:ascii="Times New Roman" w:hAnsi="Times New Roman"/>
                <w:sz w:val="28"/>
                <w:szCs w:val="28"/>
              </w:rPr>
              <w:t>48</w:t>
            </w:r>
            <w:r w:rsidRPr="005743D4">
              <w:rPr>
                <w:rFonts w:ascii="Century" w:hAnsi="Century"/>
                <w:sz w:val="28"/>
                <w:szCs w:val="28"/>
              </w:rPr>
              <w:t>±</w:t>
            </w:r>
            <w:r>
              <w:rPr>
                <w:rFonts w:ascii="Times New Roman" w:hAnsi="Times New Roman"/>
                <w:sz w:val="28"/>
                <w:szCs w:val="28"/>
              </w:rPr>
              <w:t>0</w:t>
            </w:r>
            <w:r w:rsidRPr="005743D4">
              <w:rPr>
                <w:rFonts w:ascii="Century" w:hAnsi="Century"/>
                <w:sz w:val="28"/>
                <w:szCs w:val="28"/>
              </w:rPr>
              <w:t>,</w:t>
            </w:r>
            <w:r>
              <w:rPr>
                <w:rFonts w:ascii="Times New Roman" w:hAnsi="Times New Roman"/>
                <w:sz w:val="28"/>
                <w:szCs w:val="28"/>
              </w:rPr>
              <w:t>35 (1</w:t>
            </w:r>
            <w:r w:rsidRPr="005743D4">
              <w:rPr>
                <w:rFonts w:ascii="Century" w:hAnsi="Century"/>
                <w:sz w:val="28"/>
                <w:szCs w:val="28"/>
              </w:rPr>
              <w:t>,</w:t>
            </w:r>
            <w:r>
              <w:rPr>
                <w:rFonts w:ascii="Times New Roman" w:hAnsi="Times New Roman"/>
                <w:sz w:val="28"/>
                <w:szCs w:val="28"/>
              </w:rPr>
              <w:t>28-1</w:t>
            </w:r>
            <w:r w:rsidRPr="005743D4">
              <w:rPr>
                <w:rFonts w:ascii="Century" w:hAnsi="Century"/>
                <w:sz w:val="28"/>
                <w:szCs w:val="28"/>
              </w:rPr>
              <w:t>,</w:t>
            </w:r>
            <w:r>
              <w:rPr>
                <w:rFonts w:ascii="Times New Roman" w:hAnsi="Times New Roman"/>
                <w:sz w:val="28"/>
                <w:szCs w:val="28"/>
              </w:rPr>
              <w:t>64)</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5743D4">
              <w:rPr>
                <w:rFonts w:ascii="Century" w:hAnsi="Century"/>
                <w:sz w:val="28"/>
                <w:szCs w:val="28"/>
              </w:rPr>
              <w:t>,</w:t>
            </w:r>
            <w:r>
              <w:rPr>
                <w:rFonts w:ascii="Times New Roman" w:hAnsi="Times New Roman"/>
                <w:sz w:val="28"/>
                <w:szCs w:val="28"/>
              </w:rPr>
              <w:t>037</w:t>
            </w:r>
          </w:p>
        </w:tc>
      </w:tr>
      <w:tr w:rsidR="00AB12B3" w:rsidTr="00EF538D">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апоВ/апоА1</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5743D4">
              <w:rPr>
                <w:rFonts w:ascii="Century" w:hAnsi="Century"/>
                <w:sz w:val="28"/>
                <w:szCs w:val="28"/>
              </w:rPr>
              <w:t>,</w:t>
            </w:r>
            <w:r>
              <w:rPr>
                <w:rFonts w:ascii="Times New Roman" w:hAnsi="Times New Roman"/>
                <w:sz w:val="28"/>
                <w:szCs w:val="28"/>
              </w:rPr>
              <w:t>62</w:t>
            </w:r>
            <w:r w:rsidRPr="005743D4">
              <w:rPr>
                <w:rFonts w:ascii="Century" w:hAnsi="Century"/>
                <w:sz w:val="28"/>
                <w:szCs w:val="28"/>
              </w:rPr>
              <w:t>±</w:t>
            </w:r>
            <w:r>
              <w:rPr>
                <w:rFonts w:ascii="Times New Roman" w:hAnsi="Times New Roman"/>
                <w:sz w:val="28"/>
                <w:szCs w:val="28"/>
              </w:rPr>
              <w:t>0</w:t>
            </w:r>
            <w:r w:rsidRPr="005743D4">
              <w:rPr>
                <w:rFonts w:ascii="Century" w:hAnsi="Century"/>
                <w:sz w:val="28"/>
                <w:szCs w:val="28"/>
              </w:rPr>
              <w:t>,</w:t>
            </w:r>
            <w:r>
              <w:rPr>
                <w:rFonts w:ascii="Times New Roman" w:hAnsi="Times New Roman"/>
                <w:sz w:val="28"/>
                <w:szCs w:val="28"/>
              </w:rPr>
              <w:t>31 (0</w:t>
            </w:r>
            <w:r w:rsidRPr="005743D4">
              <w:rPr>
                <w:rFonts w:ascii="Century" w:hAnsi="Century"/>
                <w:sz w:val="28"/>
                <w:szCs w:val="28"/>
              </w:rPr>
              <w:t>,</w:t>
            </w:r>
            <w:r>
              <w:rPr>
                <w:rFonts w:ascii="Times New Roman" w:hAnsi="Times New Roman"/>
                <w:sz w:val="28"/>
                <w:szCs w:val="28"/>
              </w:rPr>
              <w:t>48-0</w:t>
            </w:r>
            <w:r w:rsidRPr="005743D4">
              <w:rPr>
                <w:rFonts w:ascii="Century" w:hAnsi="Century"/>
                <w:sz w:val="28"/>
                <w:szCs w:val="28"/>
              </w:rPr>
              <w:t>,</w:t>
            </w:r>
            <w:r>
              <w:rPr>
                <w:rFonts w:ascii="Times New Roman" w:hAnsi="Times New Roman"/>
                <w:sz w:val="28"/>
                <w:szCs w:val="28"/>
              </w:rPr>
              <w:t>8)</w:t>
            </w:r>
          </w:p>
        </w:tc>
        <w:tc>
          <w:tcPr>
            <w:tcW w:w="2977"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5743D4">
              <w:rPr>
                <w:rFonts w:ascii="Century" w:hAnsi="Century"/>
                <w:sz w:val="28"/>
                <w:szCs w:val="28"/>
              </w:rPr>
              <w:t>,</w:t>
            </w:r>
            <w:r>
              <w:rPr>
                <w:rFonts w:ascii="Times New Roman" w:hAnsi="Times New Roman"/>
                <w:sz w:val="28"/>
                <w:szCs w:val="28"/>
              </w:rPr>
              <w:t>69</w:t>
            </w:r>
            <w:r w:rsidRPr="005743D4">
              <w:rPr>
                <w:rFonts w:ascii="Century" w:hAnsi="Century"/>
                <w:sz w:val="28"/>
                <w:szCs w:val="28"/>
              </w:rPr>
              <w:t>±</w:t>
            </w:r>
            <w:r>
              <w:rPr>
                <w:rFonts w:ascii="Times New Roman" w:hAnsi="Times New Roman"/>
                <w:sz w:val="28"/>
                <w:szCs w:val="28"/>
              </w:rPr>
              <w:t>0</w:t>
            </w:r>
            <w:r w:rsidRPr="005743D4">
              <w:rPr>
                <w:rFonts w:ascii="Century" w:hAnsi="Century"/>
                <w:sz w:val="28"/>
                <w:szCs w:val="28"/>
              </w:rPr>
              <w:t>,</w:t>
            </w:r>
            <w:r>
              <w:rPr>
                <w:rFonts w:ascii="Times New Roman" w:hAnsi="Times New Roman"/>
                <w:sz w:val="28"/>
                <w:szCs w:val="28"/>
              </w:rPr>
              <w:t>32 (0</w:t>
            </w:r>
            <w:r w:rsidRPr="005743D4">
              <w:rPr>
                <w:rFonts w:ascii="Century" w:hAnsi="Century"/>
                <w:sz w:val="28"/>
                <w:szCs w:val="28"/>
              </w:rPr>
              <w:t>,</w:t>
            </w:r>
            <w:r>
              <w:rPr>
                <w:rFonts w:ascii="Times New Roman" w:hAnsi="Times New Roman"/>
                <w:sz w:val="28"/>
                <w:szCs w:val="28"/>
              </w:rPr>
              <w:t>54-0</w:t>
            </w:r>
            <w:r w:rsidRPr="005743D4">
              <w:rPr>
                <w:rFonts w:ascii="Century" w:hAnsi="Century"/>
                <w:sz w:val="28"/>
                <w:szCs w:val="28"/>
              </w:rPr>
              <w:t>,</w:t>
            </w:r>
            <w:r>
              <w:rPr>
                <w:rFonts w:ascii="Times New Roman" w:hAnsi="Times New Roman"/>
                <w:sz w:val="28"/>
                <w:szCs w:val="28"/>
              </w:rPr>
              <w:t>86)</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5743D4">
              <w:rPr>
                <w:rFonts w:ascii="Century" w:hAnsi="Century"/>
                <w:sz w:val="28"/>
                <w:szCs w:val="28"/>
              </w:rPr>
              <w:t>,</w:t>
            </w:r>
            <w:r>
              <w:rPr>
                <w:rFonts w:ascii="Times New Roman" w:hAnsi="Times New Roman"/>
                <w:sz w:val="28"/>
                <w:szCs w:val="28"/>
              </w:rPr>
              <w:t>002</w:t>
            </w:r>
          </w:p>
        </w:tc>
      </w:tr>
      <w:tr w:rsidR="00AB12B3" w:rsidTr="00EF538D">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Глюкоза</w:t>
            </w:r>
            <w:r w:rsidRPr="005743D4">
              <w:rPr>
                <w:rFonts w:ascii="Century" w:hAnsi="Century"/>
                <w:sz w:val="28"/>
                <w:szCs w:val="28"/>
              </w:rPr>
              <w:t>,</w:t>
            </w:r>
            <w:r>
              <w:rPr>
                <w:rFonts w:ascii="Times New Roman" w:hAnsi="Times New Roman"/>
                <w:sz w:val="28"/>
                <w:szCs w:val="28"/>
              </w:rPr>
              <w:t xml:space="preserve"> ммоль</w:t>
            </w:r>
            <w:r w:rsidRPr="005743D4">
              <w:rPr>
                <w:rFonts w:ascii="Century" w:hAnsi="Century"/>
                <w:sz w:val="28"/>
                <w:szCs w:val="28"/>
              </w:rPr>
              <w:t>/</w:t>
            </w:r>
            <w:r>
              <w:rPr>
                <w:rFonts w:ascii="Times New Roman" w:hAnsi="Times New Roman"/>
                <w:sz w:val="28"/>
                <w:szCs w:val="28"/>
              </w:rPr>
              <w:t>л</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5</w:t>
            </w:r>
            <w:r w:rsidRPr="005743D4">
              <w:rPr>
                <w:rFonts w:ascii="Century" w:hAnsi="Century"/>
                <w:sz w:val="28"/>
                <w:szCs w:val="28"/>
              </w:rPr>
              <w:t>,</w:t>
            </w:r>
            <w:r>
              <w:rPr>
                <w:rFonts w:ascii="Times New Roman" w:hAnsi="Times New Roman"/>
                <w:sz w:val="28"/>
                <w:szCs w:val="28"/>
              </w:rPr>
              <w:t>01</w:t>
            </w:r>
            <w:r w:rsidRPr="005743D4">
              <w:rPr>
                <w:rFonts w:ascii="Century" w:hAnsi="Century"/>
                <w:sz w:val="28"/>
                <w:szCs w:val="28"/>
              </w:rPr>
              <w:t>±</w:t>
            </w:r>
            <w:r>
              <w:rPr>
                <w:rFonts w:ascii="Times New Roman" w:hAnsi="Times New Roman"/>
                <w:sz w:val="28"/>
                <w:szCs w:val="28"/>
              </w:rPr>
              <w:t>1</w:t>
            </w:r>
            <w:r w:rsidRPr="005743D4">
              <w:rPr>
                <w:rFonts w:ascii="Century" w:hAnsi="Century"/>
                <w:sz w:val="28"/>
                <w:szCs w:val="28"/>
              </w:rPr>
              <w:t>,</w:t>
            </w:r>
            <w:r>
              <w:rPr>
                <w:rFonts w:ascii="Times New Roman" w:hAnsi="Times New Roman"/>
                <w:sz w:val="28"/>
                <w:szCs w:val="28"/>
              </w:rPr>
              <w:t>98 (4</w:t>
            </w:r>
            <w:r w:rsidRPr="005743D4">
              <w:rPr>
                <w:rFonts w:ascii="Century" w:hAnsi="Century"/>
                <w:sz w:val="28"/>
                <w:szCs w:val="28"/>
              </w:rPr>
              <w:t>,</w:t>
            </w:r>
            <w:r>
              <w:rPr>
                <w:rFonts w:ascii="Times New Roman" w:hAnsi="Times New Roman"/>
                <w:sz w:val="28"/>
                <w:szCs w:val="28"/>
              </w:rPr>
              <w:t>01-5</w:t>
            </w:r>
            <w:r w:rsidRPr="005743D4">
              <w:rPr>
                <w:rFonts w:ascii="Century" w:hAnsi="Century"/>
                <w:sz w:val="28"/>
                <w:szCs w:val="28"/>
              </w:rPr>
              <w:t>,</w:t>
            </w:r>
            <w:r>
              <w:rPr>
                <w:rFonts w:ascii="Times New Roman" w:hAnsi="Times New Roman"/>
                <w:sz w:val="28"/>
                <w:szCs w:val="28"/>
              </w:rPr>
              <w:t>99)</w:t>
            </w:r>
          </w:p>
        </w:tc>
        <w:tc>
          <w:tcPr>
            <w:tcW w:w="297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6</w:t>
            </w:r>
            <w:r w:rsidRPr="005743D4">
              <w:rPr>
                <w:rFonts w:ascii="Century" w:hAnsi="Century"/>
                <w:sz w:val="28"/>
                <w:szCs w:val="28"/>
              </w:rPr>
              <w:t>,</w:t>
            </w:r>
            <w:r>
              <w:rPr>
                <w:rFonts w:ascii="Times New Roman" w:hAnsi="Times New Roman"/>
                <w:sz w:val="28"/>
                <w:szCs w:val="28"/>
              </w:rPr>
              <w:t>0</w:t>
            </w:r>
            <w:r w:rsidRPr="005743D4">
              <w:rPr>
                <w:rFonts w:ascii="Century" w:hAnsi="Century"/>
                <w:sz w:val="28"/>
                <w:szCs w:val="28"/>
              </w:rPr>
              <w:t>±</w:t>
            </w:r>
            <w:r>
              <w:rPr>
                <w:rFonts w:ascii="Times New Roman" w:hAnsi="Times New Roman"/>
                <w:sz w:val="28"/>
                <w:szCs w:val="28"/>
              </w:rPr>
              <w:t>1</w:t>
            </w:r>
            <w:r w:rsidRPr="005743D4">
              <w:rPr>
                <w:rFonts w:ascii="Century" w:hAnsi="Century"/>
                <w:sz w:val="28"/>
                <w:szCs w:val="28"/>
              </w:rPr>
              <w:t>,</w:t>
            </w:r>
            <w:r>
              <w:rPr>
                <w:rFonts w:ascii="Times New Roman" w:hAnsi="Times New Roman"/>
                <w:sz w:val="28"/>
                <w:szCs w:val="28"/>
              </w:rPr>
              <w:t>72 (5</w:t>
            </w:r>
            <w:r w:rsidRPr="005743D4">
              <w:rPr>
                <w:rFonts w:ascii="Century" w:hAnsi="Century"/>
                <w:sz w:val="28"/>
                <w:szCs w:val="28"/>
              </w:rPr>
              <w:t>,</w:t>
            </w:r>
            <w:r>
              <w:rPr>
                <w:rFonts w:ascii="Times New Roman" w:hAnsi="Times New Roman"/>
                <w:sz w:val="28"/>
                <w:szCs w:val="28"/>
              </w:rPr>
              <w:t>16-6</w:t>
            </w:r>
            <w:r w:rsidRPr="005743D4">
              <w:rPr>
                <w:rFonts w:ascii="Century" w:hAnsi="Century"/>
                <w:sz w:val="28"/>
                <w:szCs w:val="28"/>
              </w:rPr>
              <w:t>,</w:t>
            </w:r>
            <w:r>
              <w:rPr>
                <w:rFonts w:ascii="Times New Roman" w:hAnsi="Times New Roman"/>
                <w:sz w:val="28"/>
                <w:szCs w:val="28"/>
              </w:rPr>
              <w:t>88)</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5743D4">
              <w:rPr>
                <w:rFonts w:ascii="Century" w:hAnsi="Century"/>
                <w:sz w:val="28"/>
                <w:szCs w:val="28"/>
              </w:rPr>
              <w:t>,</w:t>
            </w:r>
            <w:r>
              <w:rPr>
                <w:rFonts w:ascii="Times New Roman" w:hAnsi="Times New Roman"/>
                <w:sz w:val="28"/>
                <w:szCs w:val="28"/>
              </w:rPr>
              <w:t>0001</w:t>
            </w:r>
          </w:p>
        </w:tc>
      </w:tr>
      <w:tr w:rsidR="00AB12B3" w:rsidTr="00EF538D">
        <w:trPr>
          <w:trHeight w:val="323"/>
        </w:trPr>
        <w:tc>
          <w:tcPr>
            <w:tcW w:w="2552" w:type="dxa"/>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Инсулин</w:t>
            </w:r>
            <w:r w:rsidRPr="00EF538D">
              <w:rPr>
                <w:rFonts w:ascii="Century" w:hAnsi="Century"/>
                <w:sz w:val="28"/>
                <w:szCs w:val="28"/>
              </w:rPr>
              <w:t>,</w:t>
            </w:r>
            <w:r>
              <w:rPr>
                <w:rFonts w:ascii="Times New Roman" w:hAnsi="Times New Roman"/>
                <w:sz w:val="28"/>
                <w:szCs w:val="28"/>
              </w:rPr>
              <w:t xml:space="preserve"> мкМЕ</w:t>
            </w:r>
            <w:r w:rsidRPr="00EF538D">
              <w:rPr>
                <w:rFonts w:ascii="Century" w:hAnsi="Century"/>
                <w:sz w:val="28"/>
                <w:szCs w:val="28"/>
              </w:rPr>
              <w:t>/</w:t>
            </w:r>
            <w:r>
              <w:rPr>
                <w:rFonts w:ascii="Times New Roman" w:hAnsi="Times New Roman"/>
                <w:sz w:val="28"/>
                <w:szCs w:val="28"/>
              </w:rPr>
              <w:t xml:space="preserve">мл </w:t>
            </w:r>
          </w:p>
        </w:tc>
        <w:tc>
          <w:tcPr>
            <w:tcW w:w="2835"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6</w:t>
            </w:r>
            <w:r w:rsidRPr="00EF538D">
              <w:rPr>
                <w:rFonts w:ascii="Century" w:hAnsi="Century"/>
                <w:sz w:val="28"/>
                <w:szCs w:val="28"/>
              </w:rPr>
              <w:t>,</w:t>
            </w:r>
            <w:r>
              <w:rPr>
                <w:rFonts w:ascii="Times New Roman" w:hAnsi="Times New Roman"/>
                <w:sz w:val="28"/>
                <w:szCs w:val="28"/>
              </w:rPr>
              <w:t>8</w:t>
            </w:r>
            <w:r w:rsidRPr="00EF538D">
              <w:rPr>
                <w:rFonts w:ascii="Century" w:hAnsi="Century"/>
                <w:sz w:val="28"/>
                <w:szCs w:val="28"/>
              </w:rPr>
              <w:t>±</w:t>
            </w:r>
            <w:r>
              <w:rPr>
                <w:rFonts w:ascii="Times New Roman" w:hAnsi="Times New Roman"/>
                <w:sz w:val="28"/>
                <w:szCs w:val="28"/>
              </w:rPr>
              <w:t>4</w:t>
            </w:r>
            <w:r w:rsidRPr="00EF538D">
              <w:rPr>
                <w:rFonts w:ascii="Century" w:hAnsi="Century"/>
                <w:sz w:val="28"/>
                <w:szCs w:val="28"/>
              </w:rPr>
              <w:t>,</w:t>
            </w:r>
            <w:r>
              <w:rPr>
                <w:rFonts w:ascii="Times New Roman" w:hAnsi="Times New Roman"/>
                <w:sz w:val="28"/>
                <w:szCs w:val="28"/>
              </w:rPr>
              <w:t>0 (4,7-8,7)</w:t>
            </w:r>
          </w:p>
        </w:tc>
        <w:tc>
          <w:tcPr>
            <w:tcW w:w="2977"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Pr>
                <w:rFonts w:ascii="Times New Roman" w:hAnsi="Times New Roman"/>
                <w:sz w:val="28"/>
                <w:szCs w:val="28"/>
              </w:rPr>
              <w:t>17</w:t>
            </w:r>
            <w:r w:rsidRPr="00013129">
              <w:rPr>
                <w:rFonts w:ascii="Century" w:hAnsi="Century"/>
                <w:sz w:val="28"/>
                <w:szCs w:val="28"/>
              </w:rPr>
              <w:t>,</w:t>
            </w:r>
            <w:r>
              <w:rPr>
                <w:rFonts w:ascii="Times New Roman" w:hAnsi="Times New Roman"/>
                <w:sz w:val="28"/>
                <w:szCs w:val="28"/>
              </w:rPr>
              <w:t>35</w:t>
            </w:r>
            <w:r w:rsidRPr="00013129">
              <w:rPr>
                <w:rFonts w:ascii="Century" w:hAnsi="Century"/>
                <w:sz w:val="28"/>
                <w:szCs w:val="28"/>
              </w:rPr>
              <w:t>±</w:t>
            </w:r>
            <w:r>
              <w:rPr>
                <w:rFonts w:ascii="Times New Roman" w:hAnsi="Times New Roman"/>
                <w:sz w:val="28"/>
                <w:szCs w:val="28"/>
              </w:rPr>
              <w:t>11</w:t>
            </w:r>
            <w:r w:rsidRPr="00013129">
              <w:rPr>
                <w:rFonts w:ascii="Century" w:hAnsi="Century"/>
                <w:sz w:val="28"/>
                <w:szCs w:val="28"/>
              </w:rPr>
              <w:t>,</w:t>
            </w:r>
            <w:r>
              <w:rPr>
                <w:rFonts w:ascii="Times New Roman" w:hAnsi="Times New Roman"/>
                <w:sz w:val="28"/>
                <w:szCs w:val="28"/>
              </w:rPr>
              <w:t>17 (13-24</w:t>
            </w:r>
            <w:r w:rsidRPr="00013129">
              <w:rPr>
                <w:rFonts w:ascii="Century" w:hAnsi="Century"/>
                <w:sz w:val="28"/>
                <w:szCs w:val="28"/>
              </w:rPr>
              <w:t>,</w:t>
            </w:r>
            <w:r>
              <w:rPr>
                <w:rFonts w:ascii="Times New Roman" w:hAnsi="Times New Roman"/>
                <w:sz w:val="28"/>
                <w:szCs w:val="28"/>
              </w:rPr>
              <w:t>17)</w:t>
            </w:r>
          </w:p>
        </w:tc>
        <w:tc>
          <w:tcPr>
            <w:tcW w:w="113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013129">
              <w:rPr>
                <w:rFonts w:ascii="Century" w:hAnsi="Century"/>
                <w:sz w:val="28"/>
                <w:szCs w:val="28"/>
              </w:rPr>
              <w:t>,</w:t>
            </w:r>
            <w:r>
              <w:rPr>
                <w:rFonts w:ascii="Times New Roman" w:hAnsi="Times New Roman"/>
                <w:sz w:val="28"/>
                <w:szCs w:val="28"/>
              </w:rPr>
              <w:t>0001</w:t>
            </w:r>
          </w:p>
        </w:tc>
      </w:tr>
      <w:tr w:rsidR="00AB12B3" w:rsidTr="007114E7">
        <w:trPr>
          <w:trHeight w:val="442"/>
        </w:trPr>
        <w:tc>
          <w:tcPr>
            <w:tcW w:w="9495" w:type="dxa"/>
            <w:gridSpan w:val="4"/>
            <w:tcBorders>
              <w:top w:val="single" w:sz="4" w:space="0" w:color="auto"/>
              <w:left w:val="single" w:sz="4" w:space="0" w:color="auto"/>
              <w:bottom w:val="single" w:sz="4" w:space="0" w:color="auto"/>
              <w:right w:val="single" w:sz="4" w:space="0" w:color="auto"/>
            </w:tcBorders>
            <w:hideMark/>
          </w:tcPr>
          <w:p w:rsidR="00473F98" w:rsidRDefault="00AB12B3">
            <w:pPr>
              <w:jc w:val="both"/>
              <w:rPr>
                <w:rFonts w:ascii="Times New Roman" w:hAnsi="Times New Roman"/>
                <w:szCs w:val="20"/>
                <w:lang w:val="kk-KZ"/>
              </w:rPr>
            </w:pPr>
            <w:r>
              <w:rPr>
                <w:rFonts w:ascii="Times New Roman" w:hAnsi="Times New Roman"/>
                <w:szCs w:val="20"/>
              </w:rPr>
              <w:t xml:space="preserve">Примечание *Критерий Манна-Уитни; </w:t>
            </w:r>
          </w:p>
          <w:p w:rsidR="00AB12B3" w:rsidRDefault="00AB12B3">
            <w:pPr>
              <w:jc w:val="both"/>
              <w:rPr>
                <w:rFonts w:ascii="Times New Roman" w:hAnsi="Times New Roman"/>
                <w:sz w:val="20"/>
                <w:szCs w:val="20"/>
              </w:rPr>
            </w:pPr>
            <w:r>
              <w:rPr>
                <w:rFonts w:ascii="Times New Roman" w:hAnsi="Times New Roman"/>
                <w:szCs w:val="20"/>
              </w:rPr>
              <w:t xml:space="preserve">Ме±IQR (Q1 – Q3) </w:t>
            </w:r>
            <w:r w:rsidR="00C16F07">
              <w:rPr>
                <w:rFonts w:ascii="Times New Roman" w:hAnsi="Times New Roman"/>
                <w:szCs w:val="20"/>
              </w:rPr>
              <w:t>–</w:t>
            </w:r>
            <w:r>
              <w:rPr>
                <w:rFonts w:ascii="Times New Roman" w:hAnsi="Times New Roman"/>
                <w:szCs w:val="20"/>
              </w:rPr>
              <w:t xml:space="preserve"> Медиана ± межквартильный диапазон (1 квартиль – 3 квартиль)</w:t>
            </w:r>
          </w:p>
        </w:tc>
      </w:tr>
    </w:tbl>
    <w:p w:rsidR="00AB12B3" w:rsidRDefault="00AB12B3" w:rsidP="00AB12B3">
      <w:pPr>
        <w:spacing w:after="0" w:line="240" w:lineRule="auto"/>
        <w:jc w:val="both"/>
        <w:rPr>
          <w:rFonts w:ascii="Times New Roman" w:hAnsi="Times New Roman" w:cs="Times New Roman"/>
          <w:sz w:val="28"/>
          <w:szCs w:val="28"/>
        </w:rPr>
      </w:pPr>
    </w:p>
    <w:p w:rsidR="00AD11CD" w:rsidRDefault="00AD11CD" w:rsidP="00AD11CD">
      <w:pPr>
        <w:spacing w:after="0" w:line="240" w:lineRule="auto"/>
        <w:ind w:firstLine="708"/>
        <w:jc w:val="both"/>
        <w:rPr>
          <w:rFonts w:ascii="Times New Roman" w:hAnsi="Times New Roman"/>
          <w:sz w:val="28"/>
          <w:szCs w:val="28"/>
        </w:rPr>
      </w:pPr>
      <w:r>
        <w:rPr>
          <w:rFonts w:ascii="Times New Roman" w:hAnsi="Times New Roman" w:cs="Times New Roman"/>
          <w:sz w:val="28"/>
          <w:szCs w:val="28"/>
        </w:rPr>
        <w:t xml:space="preserve">Значимая взаимосвязь групп </w:t>
      </w:r>
      <w:r>
        <w:rPr>
          <w:rFonts w:ascii="Times New Roman" w:hAnsi="Times New Roman"/>
          <w:sz w:val="28"/>
          <w:szCs w:val="28"/>
        </w:rPr>
        <w:t>HOMA-IR и биохимических показателей была выявлена с уровнем ТГ, апоВ, глюкозы и инсулина (таблица 48). При гипертриглицеридемии риск развития ИР увеличивался в 2,59 раза, а при гипераполипопротеинемии В – в 1,74 раза.</w:t>
      </w:r>
    </w:p>
    <w:p w:rsidR="00AD11CD" w:rsidRDefault="00AD11CD" w:rsidP="00AD11C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Наши результаты согласуются с результатами других исследователей. В исследовании по изучению взаимосвязи между ИР и углеводным, липидным обменами авторы обнаружили, что в казахской популяции чаще наблюдалось абдоминальное ожирение, гипергликемия, высокий уровень ЛПНП, гипертриглицеридемия, гиперхолестеринемии, низкий уровень ЛПВП </w:t>
      </w:r>
      <w:r>
        <w:rPr>
          <w:rFonts w:ascii="Times New Roman" w:hAnsi="Times New Roman" w:cs="Times New Roman"/>
          <w:sz w:val="28"/>
          <w:szCs w:val="28"/>
        </w:rPr>
        <w:fldChar w:fldCharType="begin" w:fldLock="1"/>
      </w:r>
      <w:r w:rsidR="00375D69">
        <w:rPr>
          <w:rFonts w:ascii="Times New Roman" w:hAnsi="Times New Roman" w:cs="Times New Roman"/>
          <w:sz w:val="28"/>
          <w:szCs w:val="28"/>
        </w:rPr>
        <w:instrText>ADDIN CSL_CITATION {"citationItems":[{"id":"ITEM-1","itemData":{"DOI":"10.1155/2016/3825037","author":[{"dropping-particle":"","family":"Yan","given":"Yi-zhong","non-dropping-particle":"","parse-names":false,"suffix":""},{"dropping-particle":"","family":"Ma","given":"Ru-lin","non-dropping-particle":"","parse-names":false,"suffix":""},{"dropping-particle":"","family":"Zhang","given":"Jing-yu","non-dropping-particle":"","parse-names":false,"suffix":""},{"dropping-particle":"","family":"He","given":"Jia","non-dropping-particle":"","parse-names":false,"suffix":""},{"dropping-particle":"","family":"Ma","given":"Jiao-long","non-dropping-particle":"","parse-names":false,"suffix":""},{"dropping-particle":"","family":"Pang","given":"Hong-rui","non-dropping-particle":"","parse-names":false,"suffix":""},{"dropping-particle":"","family":"Mu","given":"La-ti","non-dropping-particle":"","parse-names":false,"suffix":""},{"dropping-particle":"","family":"Ding","given":"Yu-song","non-dropping-particle":"","parse-names":false,"suffix":""},{"dropping-particle":"","family":"Guo","given":"Heng","non-dropping-particle":"","parse-names":false,"suffix":""},{"dropping-particle":"","family":"Zhang","given":"Mei","non-dropping-particle":"","parse-names":false,"suffix":""},{"dropping-particle":"","family":"Liu","given":"Jia-ming","non-dropping-particle":"","parse-names":false,"suffix":""},{"dropping-particle":"","family":"Rui","given":"Dong-sheng","non-dropping-particle":"","parse-names":false,"suffix":""},{"dropping-particle":"","family":"Wang","given":"Kui","non-dropping-particle":"","parse-names":false,"suffix":""},{"dropping-particle":"","family":"Guo","given":"Shu-xia","non-dropping-particle":"","parse-names":false,"suffix":""}],"container-title":"Mediators of Inﬂammation","id":"ITEM-1","issued":{"date-parts":[["2016"]]},"page":"1-8","title":"Association of Insulin Resistance with Glucose and Lipid Metabolism : Ethnic Heterogeneity in Far Western China","type":"article-journal","volume":"2016"},"uris":["http://www.mendeley.com/documents/?uuid=25d8cd20-4600-4a5f-8128-a7e8102efef8"]}],"mendeley":{"formattedCitation":"[196]","manualFormatting":"[196, р. 5]","plainTextFormattedCitation":"[196]","previouslyFormattedCitation":"[196]"},"properties":{"noteIndex":0},"schema":"https://github.com/citation-style-language/schema/raw/master/csl-citation.json"}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[196</w:t>
      </w:r>
      <w:r w:rsidR="00375D69">
        <w:rPr>
          <w:rFonts w:ascii="Times New Roman" w:hAnsi="Times New Roman" w:cs="Times New Roman"/>
          <w:noProof/>
          <w:sz w:val="28"/>
          <w:szCs w:val="28"/>
        </w:rPr>
        <w:t>, р. 5</w:t>
      </w:r>
      <w:r w:rsidR="00624769" w:rsidRPr="00624769">
        <w:rPr>
          <w:rFonts w:ascii="Times New Roman" w:hAnsi="Times New Roman" w:cs="Times New Roman"/>
          <w:noProof/>
          <w:sz w:val="28"/>
          <w:szCs w:val="28"/>
        </w:rPr>
        <w:t>]</w:t>
      </w:r>
      <w:r>
        <w:rPr>
          <w:rFonts w:ascii="Times New Roman" w:hAnsi="Times New Roman" w:cs="Times New Roman"/>
          <w:sz w:val="28"/>
          <w:szCs w:val="28"/>
        </w:rPr>
        <w:fldChar w:fldCharType="end"/>
      </w:r>
      <w:r>
        <w:rPr>
          <w:rFonts w:ascii="Times New Roman" w:hAnsi="Times New Roman" w:cs="Times New Roman"/>
          <w:sz w:val="28"/>
          <w:szCs w:val="28"/>
        </w:rPr>
        <w:t xml:space="preserve">. В этой работе ИР в исследуемой выборке была тесна связана с гипергликемией </w:t>
      </w:r>
      <w:r>
        <w:rPr>
          <w:rFonts w:ascii="Times New Roman" w:hAnsi="Times New Roman" w:cs="Times New Roman"/>
          <w:sz w:val="28"/>
          <w:szCs w:val="28"/>
        </w:rPr>
        <w:fldChar w:fldCharType="begin" w:fldLock="1"/>
      </w:r>
      <w:r w:rsidR="00375D69">
        <w:rPr>
          <w:rFonts w:ascii="Times New Roman" w:hAnsi="Times New Roman" w:cs="Times New Roman"/>
          <w:sz w:val="28"/>
          <w:szCs w:val="28"/>
        </w:rPr>
        <w:instrText>ADDIN CSL_CITATION {"citationItems":[{"id":"ITEM-1","itemData":{"DOI":"10.1155/2016/3825037","author":[{"dropping-particle":"","family":"Yan","given":"Yi-zhong","non-dropping-particle":"","parse-names":false,"suffix":""},{"dropping-particle":"","family":"Ma","given":"Ru-lin","non-dropping-particle":"","parse-names":false,"suffix":""},{"dropping-particle":"","family":"Zhang","given":"Jing-yu","non-dropping-particle":"","parse-names":false,"suffix":""},{"dropping-particle":"","family":"He","given":"Jia","non-dropping-particle":"","parse-names":false,"suffix":""},{"dropping-particle":"","family":"Ma","given":"Jiao-long","non-dropping-particle":"","parse-names":false,"suffix":""},{"dropping-particle":"","family":"Pang","given":"Hong-rui","non-dropping-particle":"","parse-names":false,"suffix":""},{"dropping-particle":"","family":"Mu","given":"La-ti","non-dropping-particle":"","parse-names":false,"suffix":""},{"dropping-particle":"","family":"Ding","given":"Yu-song","non-dropping-particle":"","parse-names":false,"suffix":""},{"dropping-particle":"","family":"Guo","given":"Heng","non-dropping-particle":"","parse-names":false,"suffix":""},{"dropping-particle":"","family":"Zhang","given":"Mei","non-dropping-particle":"","parse-names":false,"suffix":""},{"dropping-particle":"","family":"Liu","given":"Jia-ming","non-dropping-particle":"","parse-names":false,"suffix":""},{"dropping-particle":"","family":"Rui","given":"Dong-sheng","non-dropping-particle":"","parse-names":false,"suffix":""},{"dropping-particle":"","family":"Wang","given":"Kui","non-dropping-particle":"","parse-names":false,"suffix":""},{"dropping-particle":"","family":"Guo","given":"Shu-xia","non-dropping-particle":"","parse-names":false,"suffix":""}],"container-title":"Mediators of Inﬂammation","id":"ITEM-1","issued":{"date-parts":[["2016"]]},"page":"1-8","title":"Association of Insulin Resistance with Glucose and Lipid Metabolism : Ethnic Heterogeneity in Far Western China","type":"article-journal","volume":"2016"},"uris":["http://www.mendeley.com/documents/?uuid=25d8cd20-4600-4a5f-8128-a7e8102efef8"]}],"mendeley":{"formattedCitation":"[196]","manualFormatting":"[196, р. 5]","plainTextFormattedCitation":"[196]","previouslyFormattedCitation":"[196]"},"properties":{"noteIndex":0},"schema":"https://github.com/citation-style-language/schema/raw/master/csl-citation.json"}</w:instrText>
      </w:r>
      <w:r>
        <w:rPr>
          <w:rFonts w:ascii="Times New Roman" w:hAnsi="Times New Roman" w:cs="Times New Roman"/>
          <w:sz w:val="28"/>
          <w:szCs w:val="28"/>
        </w:rPr>
        <w:fldChar w:fldCharType="separate"/>
      </w:r>
      <w:r w:rsidR="00375D69" w:rsidRPr="00375D69">
        <w:rPr>
          <w:rFonts w:ascii="Times New Roman" w:hAnsi="Times New Roman" w:cs="Times New Roman"/>
          <w:noProof/>
          <w:sz w:val="28"/>
          <w:szCs w:val="28"/>
        </w:rPr>
        <w:t>[196</w:t>
      </w:r>
      <w:r w:rsidR="00375D69">
        <w:rPr>
          <w:rFonts w:ascii="Times New Roman" w:hAnsi="Times New Roman" w:cs="Times New Roman"/>
          <w:noProof/>
          <w:sz w:val="28"/>
          <w:szCs w:val="28"/>
        </w:rPr>
        <w:t>, р. 5</w:t>
      </w:r>
      <w:r w:rsidR="00375D69" w:rsidRPr="00375D69">
        <w:rPr>
          <w:rFonts w:ascii="Times New Roman" w:hAnsi="Times New Roman" w:cs="Times New Roman"/>
          <w:noProof/>
          <w:sz w:val="28"/>
          <w:szCs w:val="28"/>
        </w:rPr>
        <w:t>]</w:t>
      </w:r>
      <w:r>
        <w:rPr>
          <w:rFonts w:ascii="Times New Roman" w:hAnsi="Times New Roman" w:cs="Times New Roman"/>
          <w:sz w:val="28"/>
          <w:szCs w:val="28"/>
        </w:rPr>
        <w:fldChar w:fldCharType="end"/>
      </w:r>
      <w:r>
        <w:rPr>
          <w:rFonts w:ascii="Times New Roman" w:hAnsi="Times New Roman" w:cs="Times New Roman"/>
          <w:sz w:val="28"/>
          <w:szCs w:val="28"/>
        </w:rPr>
        <w:t xml:space="preserve">. В другом исследовании, где искали связь компонентов МС была обнаружена выраженная ассоциация ИР с показателем апоВ/апоА1. Авторы этого исследования рекомендуют использовать апоВ/апоА1 как предиктор ИР и для оценки ССР </w:t>
      </w:r>
      <w:r>
        <w:rPr>
          <w:rFonts w:ascii="Times New Roman" w:hAnsi="Times New Roman" w:cs="Times New Roman"/>
          <w:sz w:val="28"/>
          <w:szCs w:val="28"/>
        </w:rPr>
        <w:fldChar w:fldCharType="begin" w:fldLock="1"/>
      </w:r>
      <w:r w:rsidR="00624769">
        <w:rPr>
          <w:rFonts w:ascii="Times New Roman" w:hAnsi="Times New Roman" w:cs="Times New Roman"/>
          <w:sz w:val="28"/>
          <w:szCs w:val="28"/>
        </w:rPr>
        <w:instrText>ADDIN CSL_CITATION {"citationItems":[{"id":"ITEM-1","itemData":{"DOI":"dx.doi.org/10.1155/2014/925650","abstract":"The study was designed to assess the association between insulin resistance (IR) and apolipoprotein B/apolipoprotein A-I ratio (ApoB/ApoA-I ratio), metabolic syndrome (MetS) components, total cholesterol (TC), and low-density lipoprotein cholesterol (LDL-C) in the nondiabetic population of Georgia. The subjects were 1522 Georgians of Caucasian origin (mean age = 45 years, 653 women) without diabetes who had visited the clinics for a related health checkup between 2012 and 2013. IR was calculated using the computer homeostasis model assessment (HOMA2-IR) and was defined as the upper quartile. MetS was diagnosed using the updated ATP-III definition of the metabolic syndrome. Logistic and multiple regression models were used to estimate the association between IR and other components. IR was positively correlated with age, ApoB, ApoB/ApoA-I ratio, MetS components (excluding high-density lipoprotein cholesterol&amp;#x2014;HDL-C), LDL-C, fasting insulin, and TC and negatively correlated with HDL-C and ApoA-I in both sexes (all P&amp;#x3c;0.001). In the logistic regression models, gender, age, ApoB/ApoA-I ratio, diastolic pressure, HDL-C, LDL-C, fasting glucose, and triglycerides were the covariates significantly associated with IR (OR: 8.64, 1.03, 17.95, 1.06, 0.13, 1.17, 3.75, and 2.29, resp.; all P&amp;#x3c;0.05). Multiple regression models demonstrated that these components (except for HDL-C) made an independent contribution to the prediction of HOMA2 (all P&amp;#x3c;0.05).","author":[{"dropping-particle":"","family":"Makaridze","given":"Zaza","non-dropping-particle":"","parse-names":false,"suffix":""},{"dropping-particle":"","family":"Giorgadze","given":"Elene","non-dropping-particle":"","parse-names":false,"suffix":""},{"dropping-particle":"","family":"Asatiani","given":"Ketevan","non-dropping-particle":"","parse-names":false,"suffix":""}],"container-title":"International Journal of Endocrinology","id":"ITEM-1","issued":{"date-parts":[["2014"]]},"page":"1-8","publisher":"Hindawi Publishing Corporation","title":"Association of the Apolipoprotein B / Apolipoprotein A-I Ratio , Metabolic Syndrome Components , Total Cholesterol , and Low-Density Lipoprotein Cholesterol with Insulin Resistance in the Population of Georgia","type":"article-journal"},"uris":["http://www.mendeley.com/documents/?uuid=41435e05-9eb9-4e6d-a4be-2e3f34e8ba94"]}],"mendeley":{"formattedCitation":"[197]","plainTextFormattedCitation":"[197]","previouslyFormattedCitation":"[197]"},"properties":{"noteIndex":0},"schema":"https://github.com/citation-style-language/schema/raw/master/csl-citation.json"}</w:instrText>
      </w:r>
      <w:r>
        <w:rPr>
          <w:rFonts w:ascii="Times New Roman" w:hAnsi="Times New Roman" w:cs="Times New Roman"/>
          <w:sz w:val="28"/>
          <w:szCs w:val="28"/>
        </w:rPr>
        <w:fldChar w:fldCharType="separate"/>
      </w:r>
      <w:r w:rsidR="00624769" w:rsidRPr="00624769">
        <w:rPr>
          <w:rFonts w:ascii="Times New Roman" w:hAnsi="Times New Roman" w:cs="Times New Roman"/>
          <w:noProof/>
          <w:sz w:val="28"/>
          <w:szCs w:val="28"/>
        </w:rPr>
        <w:t>[197]</w:t>
      </w:r>
      <w:r>
        <w:rPr>
          <w:rFonts w:ascii="Times New Roman" w:hAnsi="Times New Roman" w:cs="Times New Roman"/>
          <w:sz w:val="28"/>
          <w:szCs w:val="28"/>
        </w:rPr>
        <w:fldChar w:fldCharType="end"/>
      </w:r>
      <w:r>
        <w:rPr>
          <w:rFonts w:ascii="Times New Roman" w:hAnsi="Times New Roman" w:cs="Times New Roman"/>
          <w:sz w:val="28"/>
          <w:szCs w:val="28"/>
        </w:rPr>
        <w:t>.</w:t>
      </w:r>
    </w:p>
    <w:p w:rsidR="00AD11CD" w:rsidRDefault="00AD11CD" w:rsidP="00AB12B3">
      <w:pPr>
        <w:spacing w:after="0" w:line="240" w:lineRule="auto"/>
        <w:jc w:val="both"/>
        <w:rPr>
          <w:rFonts w:ascii="Times New Roman" w:hAnsi="Times New Roman" w:cs="Times New Roman"/>
          <w:sz w:val="28"/>
          <w:szCs w:val="28"/>
          <w:lang w:val="kk-KZ"/>
        </w:rPr>
        <w:sectPr w:rsidR="00AD11CD" w:rsidSect="005B1090">
          <w:pgSz w:w="11906" w:h="16838"/>
          <w:pgMar w:top="1134" w:right="850" w:bottom="1134" w:left="1701" w:header="708" w:footer="708" w:gutter="0"/>
          <w:cols w:space="720"/>
        </w:sectPr>
      </w:pPr>
    </w:p>
    <w:p w:rsidR="00AB12B3" w:rsidRDefault="00AB12B3" w:rsidP="00AB12B3">
      <w:pPr>
        <w:spacing w:after="0" w:line="240" w:lineRule="auto"/>
        <w:jc w:val="both"/>
        <w:rPr>
          <w:rFonts w:ascii="Times New Roman" w:hAnsi="Times New Roman"/>
          <w:sz w:val="28"/>
          <w:szCs w:val="28"/>
          <w:lang w:val="kk-KZ"/>
        </w:rPr>
      </w:pPr>
      <w:r>
        <w:rPr>
          <w:rFonts w:ascii="Times New Roman" w:hAnsi="Times New Roman" w:cs="Times New Roman"/>
          <w:sz w:val="28"/>
          <w:szCs w:val="28"/>
        </w:rPr>
        <w:lastRenderedPageBreak/>
        <w:t>Таблица 4</w:t>
      </w:r>
      <w:r w:rsidR="008718C2">
        <w:rPr>
          <w:rFonts w:ascii="Times New Roman" w:hAnsi="Times New Roman" w:cs="Times New Roman"/>
          <w:sz w:val="28"/>
          <w:szCs w:val="28"/>
        </w:rPr>
        <w:t>8</w:t>
      </w:r>
      <w:r w:rsidR="0093450D">
        <w:rPr>
          <w:rFonts w:ascii="Times New Roman" w:hAnsi="Times New Roman" w:cs="Times New Roman"/>
          <w:sz w:val="28"/>
          <w:szCs w:val="28"/>
          <w:lang w:val="kk-KZ"/>
        </w:rPr>
        <w:t xml:space="preserve"> -</w:t>
      </w:r>
      <w:r w:rsidR="005D282C">
        <w:rPr>
          <w:rFonts w:ascii="Times New Roman" w:hAnsi="Times New Roman" w:cs="Times New Roman"/>
          <w:sz w:val="28"/>
          <w:szCs w:val="28"/>
        </w:rPr>
        <w:t xml:space="preserve"> Распределение </w:t>
      </w:r>
      <w:r>
        <w:rPr>
          <w:rFonts w:ascii="Times New Roman" w:hAnsi="Times New Roman" w:cs="Times New Roman"/>
          <w:sz w:val="28"/>
          <w:szCs w:val="28"/>
        </w:rPr>
        <w:t xml:space="preserve">биохимических показателей по группам </w:t>
      </w:r>
      <w:r>
        <w:rPr>
          <w:rFonts w:ascii="Times New Roman" w:hAnsi="Times New Roman"/>
          <w:sz w:val="28"/>
          <w:szCs w:val="28"/>
        </w:rPr>
        <w:t>HOMA-IR</w:t>
      </w:r>
      <w:r w:rsidR="00027CCF">
        <w:rPr>
          <w:rFonts w:ascii="Times New Roman" w:hAnsi="Times New Roman"/>
          <w:sz w:val="28"/>
          <w:szCs w:val="28"/>
        </w:rPr>
        <w:t xml:space="preserve"> </w:t>
      </w:r>
      <w:r w:rsidR="005D282C">
        <w:rPr>
          <w:rFonts w:ascii="Times New Roman" w:hAnsi="Times New Roman"/>
          <w:sz w:val="28"/>
          <w:szCs w:val="28"/>
        </w:rPr>
        <w:t>(</w:t>
      </w:r>
      <w:r>
        <w:rPr>
          <w:rFonts w:ascii="Times New Roman" w:hAnsi="Times New Roman"/>
          <w:sz w:val="28"/>
          <w:szCs w:val="28"/>
        </w:rPr>
        <w:t>n=507</w:t>
      </w:r>
      <w:r w:rsidR="005D282C">
        <w:rPr>
          <w:rFonts w:ascii="Times New Roman" w:hAnsi="Times New Roman"/>
          <w:sz w:val="28"/>
          <w:szCs w:val="28"/>
        </w:rPr>
        <w:t>)</w:t>
      </w:r>
    </w:p>
    <w:p w:rsidR="00AD11CD" w:rsidRPr="00AD11CD" w:rsidRDefault="00AD11CD" w:rsidP="00AB12B3">
      <w:pPr>
        <w:spacing w:after="0" w:line="240" w:lineRule="auto"/>
        <w:jc w:val="both"/>
        <w:rPr>
          <w:rFonts w:ascii="Times New Roman" w:hAnsi="Times New Roman" w:cs="Times New Roman"/>
          <w:sz w:val="28"/>
          <w:szCs w:val="28"/>
          <w:lang w:val="kk-KZ"/>
        </w:rPr>
      </w:pPr>
    </w:p>
    <w:tbl>
      <w:tblPr>
        <w:tblStyle w:val="af7"/>
        <w:tblW w:w="9356" w:type="dxa"/>
        <w:tblInd w:w="-5" w:type="dxa"/>
        <w:tblLayout w:type="fixed"/>
        <w:tblLook w:val="04A0" w:firstRow="1" w:lastRow="0" w:firstColumn="1" w:lastColumn="0" w:noHBand="0" w:noVBand="1"/>
      </w:tblPr>
      <w:tblGrid>
        <w:gridCol w:w="1843"/>
        <w:gridCol w:w="1559"/>
        <w:gridCol w:w="1134"/>
        <w:gridCol w:w="993"/>
        <w:gridCol w:w="2551"/>
        <w:gridCol w:w="1276"/>
      </w:tblGrid>
      <w:tr w:rsidR="00AB12B3" w:rsidTr="000C6D38">
        <w:trPr>
          <w:trHeight w:val="385"/>
        </w:trPr>
        <w:tc>
          <w:tcPr>
            <w:tcW w:w="340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Параметры</w:t>
            </w:r>
          </w:p>
        </w:tc>
        <w:tc>
          <w:tcPr>
            <w:tcW w:w="2127" w:type="dxa"/>
            <w:gridSpan w:val="2"/>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HOMA-IR</w:t>
            </w:r>
          </w:p>
        </w:tc>
        <w:tc>
          <w:tcPr>
            <w:tcW w:w="255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ОШ (95% ДИ)</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p*</w:t>
            </w:r>
          </w:p>
        </w:tc>
      </w:tr>
      <w:tr w:rsidR="00AB12B3" w:rsidTr="000C6D38">
        <w:trPr>
          <w:trHeight w:val="387"/>
        </w:trPr>
        <w:tc>
          <w:tcPr>
            <w:tcW w:w="3402" w:type="dxa"/>
            <w:gridSpan w:val="2"/>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&lt;2,7 n</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≥2,7 n</w:t>
            </w: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0C6D38">
        <w:trPr>
          <w:trHeight w:val="330"/>
        </w:trPr>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ОХС, ммоль/л</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≤4,9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269</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177</w:t>
            </w:r>
          </w:p>
        </w:tc>
        <w:tc>
          <w:tcPr>
            <w:tcW w:w="255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1,0</w:t>
            </w:r>
          </w:p>
        </w:tc>
        <w:tc>
          <w:tcPr>
            <w:tcW w:w="127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0,2</w:t>
            </w:r>
          </w:p>
        </w:tc>
      </w:tr>
      <w:tr w:rsidR="00AB12B3" w:rsidTr="000C6D38">
        <w:trPr>
          <w:trHeight w:val="330"/>
        </w:trPr>
        <w:tc>
          <w:tcPr>
            <w:tcW w:w="184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 xml:space="preserve">&gt;4,9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42</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19</w:t>
            </w:r>
          </w:p>
        </w:tc>
        <w:tc>
          <w:tcPr>
            <w:tcW w:w="255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0,69 (0,39-1,22)</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AB12B3" w:rsidTr="000C6D38">
        <w:trPr>
          <w:trHeight w:val="330"/>
        </w:trPr>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sz w:val="28"/>
                <w:szCs w:val="28"/>
              </w:rPr>
            </w:pPr>
            <w:r>
              <w:rPr>
                <w:rFonts w:ascii="Times New Roman" w:hAnsi="Times New Roman"/>
                <w:sz w:val="28"/>
                <w:szCs w:val="28"/>
              </w:rPr>
              <w:t>ТГ</w:t>
            </w:r>
            <w:r w:rsidRPr="00B553A9">
              <w:rPr>
                <w:rFonts w:ascii="Century" w:hAnsi="Century"/>
                <w:sz w:val="28"/>
                <w:szCs w:val="28"/>
              </w:rPr>
              <w:t>,</w:t>
            </w:r>
            <w:r>
              <w:rPr>
                <w:rFonts w:ascii="Times New Roman" w:hAnsi="Times New Roman"/>
                <w:sz w:val="28"/>
                <w:szCs w:val="28"/>
              </w:rPr>
              <w:t xml:space="preserve"> ммоль</w:t>
            </w:r>
            <w:r w:rsidRPr="00B553A9">
              <w:rPr>
                <w:rFonts w:ascii="Century" w:hAnsi="Century"/>
                <w:sz w:val="28"/>
                <w:szCs w:val="28"/>
              </w:rPr>
              <w:t>/</w:t>
            </w:r>
            <w:r>
              <w:rPr>
                <w:rFonts w:ascii="Times New Roman" w:hAnsi="Times New Roman"/>
                <w:sz w:val="28"/>
                <w:szCs w:val="28"/>
              </w:rPr>
              <w:t>л</w:t>
            </w: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sidRPr="00B553A9">
              <w:rPr>
                <w:rFonts w:ascii="Century" w:hAnsi="Century"/>
                <w:sz w:val="28"/>
                <w:szCs w:val="28"/>
              </w:rPr>
              <w:t>≤</w:t>
            </w:r>
            <w:r>
              <w:rPr>
                <w:rFonts w:ascii="Times New Roman" w:hAnsi="Times New Roman"/>
                <w:sz w:val="28"/>
                <w:szCs w:val="28"/>
              </w:rPr>
              <w:t>1</w:t>
            </w:r>
            <w:r w:rsidRPr="00B553A9">
              <w:rPr>
                <w:rFonts w:ascii="Century" w:hAnsi="Century"/>
                <w:sz w:val="28"/>
                <w:szCs w:val="28"/>
              </w:rPr>
              <w:t>,</w:t>
            </w:r>
            <w:r>
              <w:rPr>
                <w:rFonts w:ascii="Times New Roman" w:hAnsi="Times New Roman"/>
                <w:sz w:val="28"/>
                <w:szCs w:val="28"/>
              </w:rPr>
              <w:t>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252</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122</w:t>
            </w:r>
          </w:p>
        </w:tc>
        <w:tc>
          <w:tcPr>
            <w:tcW w:w="255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1</w:t>
            </w:r>
            <w:r w:rsidRPr="00B553A9">
              <w:rPr>
                <w:rFonts w:ascii="Century" w:hAnsi="Century"/>
                <w:sz w:val="28"/>
                <w:szCs w:val="28"/>
              </w:rPr>
              <w:t>,</w:t>
            </w:r>
            <w:r>
              <w:rPr>
                <w:rFonts w:ascii="Times New Roman" w:hAnsi="Times New Roman"/>
                <w:sz w:val="28"/>
                <w:szCs w:val="28"/>
              </w:rPr>
              <w:t>0</w:t>
            </w:r>
          </w:p>
        </w:tc>
        <w:tc>
          <w:tcPr>
            <w:tcW w:w="127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0</w:t>
            </w:r>
            <w:r w:rsidRPr="00B553A9">
              <w:rPr>
                <w:rFonts w:ascii="Century" w:hAnsi="Century"/>
                <w:sz w:val="28"/>
                <w:szCs w:val="28"/>
              </w:rPr>
              <w:t>,</w:t>
            </w:r>
            <w:r>
              <w:rPr>
                <w:rFonts w:ascii="Times New Roman" w:hAnsi="Times New Roman"/>
                <w:sz w:val="28"/>
                <w:szCs w:val="28"/>
              </w:rPr>
              <w:t>0001</w:t>
            </w:r>
          </w:p>
        </w:tc>
      </w:tr>
      <w:tr w:rsidR="00AB12B3" w:rsidTr="000C6D38">
        <w:trPr>
          <w:trHeight w:val="330"/>
        </w:trPr>
        <w:tc>
          <w:tcPr>
            <w:tcW w:w="1843"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AB12B3" w:rsidRDefault="00AB12B3">
            <w:pPr>
              <w:jc w:val="center"/>
            </w:pPr>
            <w:r w:rsidRPr="00B553A9">
              <w:rPr>
                <w:rFonts w:ascii="Century" w:hAnsi="Century"/>
                <w:sz w:val="28"/>
                <w:szCs w:val="28"/>
              </w:rPr>
              <w:t>&gt;</w:t>
            </w:r>
            <w:r>
              <w:rPr>
                <w:rFonts w:ascii="Times New Roman" w:hAnsi="Times New Roman"/>
                <w:sz w:val="28"/>
                <w:szCs w:val="28"/>
              </w:rPr>
              <w:t>1</w:t>
            </w:r>
            <w:r w:rsidRPr="00B553A9">
              <w:rPr>
                <w:rFonts w:ascii="Century" w:hAnsi="Century"/>
                <w:sz w:val="28"/>
                <w:szCs w:val="28"/>
              </w:rPr>
              <w:t>,</w:t>
            </w:r>
            <w:r>
              <w:rPr>
                <w:rFonts w:ascii="Times New Roman" w:hAnsi="Times New Roman"/>
                <w:sz w:val="28"/>
                <w:szCs w:val="28"/>
              </w:rPr>
              <w:t>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59</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74</w:t>
            </w:r>
          </w:p>
        </w:tc>
        <w:tc>
          <w:tcPr>
            <w:tcW w:w="2551" w:type="dxa"/>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sz w:val="28"/>
                <w:szCs w:val="28"/>
              </w:rPr>
            </w:pPr>
            <w:r>
              <w:rPr>
                <w:rFonts w:ascii="Times New Roman" w:hAnsi="Times New Roman"/>
                <w:sz w:val="28"/>
                <w:szCs w:val="28"/>
              </w:rPr>
              <w:t>2</w:t>
            </w:r>
            <w:r w:rsidRPr="00B553A9">
              <w:rPr>
                <w:rFonts w:ascii="Century" w:hAnsi="Century"/>
                <w:sz w:val="28"/>
                <w:szCs w:val="28"/>
              </w:rPr>
              <w:t>,</w:t>
            </w:r>
            <w:r>
              <w:rPr>
                <w:rFonts w:ascii="Times New Roman" w:hAnsi="Times New Roman"/>
                <w:sz w:val="28"/>
                <w:szCs w:val="28"/>
              </w:rPr>
              <w:t>59 (1</w:t>
            </w:r>
            <w:r w:rsidRPr="00B553A9">
              <w:rPr>
                <w:rFonts w:ascii="Century" w:hAnsi="Century"/>
                <w:sz w:val="28"/>
                <w:szCs w:val="28"/>
              </w:rPr>
              <w:t>,</w:t>
            </w:r>
            <w:r>
              <w:rPr>
                <w:rFonts w:ascii="Times New Roman" w:hAnsi="Times New Roman"/>
                <w:sz w:val="28"/>
                <w:szCs w:val="28"/>
              </w:rPr>
              <w:t>73-3</w:t>
            </w:r>
            <w:r w:rsidRPr="00B553A9">
              <w:rPr>
                <w:rFonts w:ascii="Century" w:hAnsi="Century"/>
                <w:sz w:val="28"/>
                <w:szCs w:val="28"/>
              </w:rPr>
              <w:t>,</w:t>
            </w:r>
            <w:r>
              <w:rPr>
                <w:rFonts w:ascii="Times New Roman" w:hAnsi="Times New Roman"/>
                <w:sz w:val="28"/>
                <w:szCs w:val="28"/>
              </w:rPr>
              <w:t>88)</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r>
      <w:tr w:rsidR="002F43CD" w:rsidTr="00F66CAF">
        <w:trPr>
          <w:trHeight w:val="330"/>
        </w:trPr>
        <w:tc>
          <w:tcPr>
            <w:tcW w:w="1843" w:type="dxa"/>
            <w:vMerge w:val="restart"/>
            <w:tcBorders>
              <w:top w:val="single" w:sz="4" w:space="0" w:color="auto"/>
              <w:left w:val="single" w:sz="4" w:space="0" w:color="auto"/>
              <w:right w:val="single" w:sz="4" w:space="0" w:color="auto"/>
            </w:tcBorders>
            <w:vAlign w:val="center"/>
          </w:tcPr>
          <w:p w:rsidR="002F43CD" w:rsidRDefault="002F43CD" w:rsidP="00F66CAF">
            <w:pPr>
              <w:jc w:val="center"/>
              <w:rPr>
                <w:rFonts w:ascii="Times New Roman" w:hAnsi="Times New Roman"/>
                <w:sz w:val="28"/>
                <w:szCs w:val="28"/>
              </w:rPr>
            </w:pPr>
            <w:r>
              <w:rPr>
                <w:rFonts w:ascii="Times New Roman" w:hAnsi="Times New Roman"/>
                <w:sz w:val="28"/>
                <w:szCs w:val="28"/>
              </w:rPr>
              <w:t>ЛПНП</w:t>
            </w:r>
            <w:r w:rsidRPr="0066587A">
              <w:rPr>
                <w:rFonts w:ascii="Century" w:hAnsi="Century"/>
                <w:sz w:val="28"/>
                <w:szCs w:val="28"/>
              </w:rPr>
              <w:t xml:space="preserve">, </w:t>
            </w:r>
            <w:r>
              <w:rPr>
                <w:rFonts w:ascii="Times New Roman" w:hAnsi="Times New Roman"/>
                <w:sz w:val="28"/>
                <w:szCs w:val="28"/>
              </w:rPr>
              <w:t>ммоль</w:t>
            </w:r>
            <w:r w:rsidRPr="0066587A">
              <w:rPr>
                <w:rFonts w:ascii="Century" w:hAnsi="Century"/>
                <w:sz w:val="28"/>
                <w:szCs w:val="28"/>
              </w:rPr>
              <w:t>/</w:t>
            </w:r>
            <w:r>
              <w:rPr>
                <w:rFonts w:ascii="Times New Roman" w:hAnsi="Times New Roman"/>
                <w:sz w:val="28"/>
                <w:szCs w:val="28"/>
              </w:rPr>
              <w:t xml:space="preserve">л </w:t>
            </w:r>
          </w:p>
        </w:tc>
        <w:tc>
          <w:tcPr>
            <w:tcW w:w="1559" w:type="dxa"/>
            <w:tcBorders>
              <w:top w:val="single" w:sz="4" w:space="0" w:color="auto"/>
              <w:left w:val="single" w:sz="4" w:space="0" w:color="auto"/>
              <w:bottom w:val="single" w:sz="4" w:space="0" w:color="auto"/>
              <w:right w:val="single" w:sz="4" w:space="0" w:color="auto"/>
            </w:tcBorders>
          </w:tcPr>
          <w:p w:rsidR="002F43CD" w:rsidRDefault="002F43CD" w:rsidP="00F66CAF">
            <w:pPr>
              <w:jc w:val="center"/>
              <w:rPr>
                <w:rFonts w:ascii="Times New Roman" w:hAnsi="Times New Roman"/>
                <w:sz w:val="28"/>
                <w:szCs w:val="28"/>
              </w:rPr>
            </w:pPr>
            <w:r w:rsidRPr="0066587A">
              <w:rPr>
                <w:rFonts w:ascii="Century" w:hAnsi="Century"/>
                <w:sz w:val="28"/>
                <w:szCs w:val="28"/>
              </w:rPr>
              <w:t>≤</w:t>
            </w:r>
            <w:r>
              <w:rPr>
                <w:rFonts w:ascii="Times New Roman" w:hAnsi="Times New Roman"/>
                <w:sz w:val="28"/>
                <w:szCs w:val="28"/>
              </w:rPr>
              <w:t>3</w:t>
            </w:r>
            <w:r w:rsidRPr="0066587A">
              <w:rPr>
                <w:rFonts w:ascii="Century" w:hAnsi="Century"/>
                <w:sz w:val="28"/>
                <w:szCs w:val="28"/>
              </w:rPr>
              <w:t>,</w:t>
            </w:r>
            <w:r>
              <w:rPr>
                <w:rFonts w:ascii="Times New Roman" w:hAnsi="Times New Roman"/>
                <w:sz w:val="28"/>
                <w:szCs w:val="28"/>
              </w:rPr>
              <w:t>0</w:t>
            </w:r>
          </w:p>
        </w:tc>
        <w:tc>
          <w:tcPr>
            <w:tcW w:w="1134" w:type="dxa"/>
            <w:tcBorders>
              <w:top w:val="single" w:sz="4" w:space="0" w:color="auto"/>
              <w:left w:val="single" w:sz="4" w:space="0" w:color="auto"/>
              <w:bottom w:val="single" w:sz="4" w:space="0" w:color="auto"/>
              <w:right w:val="single" w:sz="4" w:space="0" w:color="auto"/>
            </w:tcBorders>
          </w:tcPr>
          <w:p w:rsidR="002F43CD" w:rsidRDefault="002F43CD" w:rsidP="00F66CAF">
            <w:pPr>
              <w:jc w:val="center"/>
              <w:rPr>
                <w:rFonts w:ascii="Times New Roman" w:hAnsi="Times New Roman"/>
                <w:sz w:val="28"/>
                <w:szCs w:val="28"/>
              </w:rPr>
            </w:pPr>
            <w:r>
              <w:rPr>
                <w:rFonts w:ascii="Times New Roman" w:hAnsi="Times New Roman"/>
                <w:sz w:val="28"/>
                <w:szCs w:val="28"/>
              </w:rPr>
              <w:t>263</w:t>
            </w:r>
          </w:p>
        </w:tc>
        <w:tc>
          <w:tcPr>
            <w:tcW w:w="993" w:type="dxa"/>
            <w:tcBorders>
              <w:top w:val="single" w:sz="4" w:space="0" w:color="auto"/>
              <w:left w:val="single" w:sz="4" w:space="0" w:color="auto"/>
              <w:bottom w:val="single" w:sz="4" w:space="0" w:color="auto"/>
              <w:right w:val="single" w:sz="4" w:space="0" w:color="auto"/>
            </w:tcBorders>
          </w:tcPr>
          <w:p w:rsidR="002F43CD" w:rsidRDefault="002F43CD" w:rsidP="00F66CAF">
            <w:pPr>
              <w:jc w:val="center"/>
              <w:rPr>
                <w:rFonts w:ascii="Times New Roman" w:hAnsi="Times New Roman"/>
                <w:sz w:val="28"/>
                <w:szCs w:val="28"/>
              </w:rPr>
            </w:pPr>
            <w:r>
              <w:rPr>
                <w:rFonts w:ascii="Times New Roman" w:hAnsi="Times New Roman"/>
                <w:sz w:val="28"/>
                <w:szCs w:val="28"/>
              </w:rPr>
              <w:t>177</w:t>
            </w:r>
          </w:p>
        </w:tc>
        <w:tc>
          <w:tcPr>
            <w:tcW w:w="2551" w:type="dxa"/>
            <w:tcBorders>
              <w:top w:val="single" w:sz="4" w:space="0" w:color="auto"/>
              <w:left w:val="single" w:sz="4" w:space="0" w:color="auto"/>
              <w:bottom w:val="single" w:sz="4" w:space="0" w:color="auto"/>
              <w:right w:val="single" w:sz="4" w:space="0" w:color="auto"/>
            </w:tcBorders>
          </w:tcPr>
          <w:p w:rsidR="002F43CD" w:rsidRDefault="002F43CD" w:rsidP="00F66CAF">
            <w:pPr>
              <w:jc w:val="center"/>
              <w:rPr>
                <w:rFonts w:ascii="Times New Roman" w:hAnsi="Times New Roman"/>
                <w:sz w:val="28"/>
                <w:szCs w:val="28"/>
              </w:rPr>
            </w:pPr>
            <w:r>
              <w:rPr>
                <w:rFonts w:ascii="Times New Roman" w:hAnsi="Times New Roman"/>
                <w:sz w:val="28"/>
                <w:szCs w:val="28"/>
              </w:rPr>
              <w:t>1</w:t>
            </w:r>
            <w:r w:rsidRPr="0066587A">
              <w:rPr>
                <w:rFonts w:ascii="Century" w:hAnsi="Century"/>
                <w:sz w:val="28"/>
                <w:szCs w:val="28"/>
              </w:rPr>
              <w:t>,</w:t>
            </w:r>
            <w:r>
              <w:rPr>
                <w:rFonts w:ascii="Times New Roman" w:hAnsi="Times New Roman"/>
                <w:sz w:val="28"/>
                <w:szCs w:val="28"/>
              </w:rPr>
              <w:t>0</w:t>
            </w:r>
          </w:p>
        </w:tc>
        <w:tc>
          <w:tcPr>
            <w:tcW w:w="1276" w:type="dxa"/>
            <w:vMerge w:val="restart"/>
            <w:tcBorders>
              <w:top w:val="single" w:sz="4" w:space="0" w:color="auto"/>
              <w:left w:val="single" w:sz="4" w:space="0" w:color="auto"/>
              <w:right w:val="single" w:sz="4" w:space="0" w:color="auto"/>
            </w:tcBorders>
          </w:tcPr>
          <w:p w:rsidR="002F43CD" w:rsidRDefault="002F43CD" w:rsidP="002F43CD">
            <w:pPr>
              <w:jc w:val="center"/>
              <w:rPr>
                <w:rFonts w:ascii="Times New Roman" w:hAnsi="Times New Roman"/>
                <w:sz w:val="28"/>
                <w:szCs w:val="28"/>
              </w:rPr>
            </w:pPr>
            <w:r>
              <w:rPr>
                <w:rFonts w:ascii="Times New Roman" w:hAnsi="Times New Roman"/>
                <w:sz w:val="28"/>
                <w:szCs w:val="28"/>
              </w:rPr>
              <w:t>0</w:t>
            </w:r>
            <w:r w:rsidRPr="0066587A">
              <w:rPr>
                <w:rFonts w:ascii="Century" w:hAnsi="Century"/>
                <w:sz w:val="28"/>
                <w:szCs w:val="28"/>
              </w:rPr>
              <w:t>,</w:t>
            </w:r>
            <w:r>
              <w:rPr>
                <w:rFonts w:ascii="Times New Roman" w:hAnsi="Times New Roman"/>
                <w:sz w:val="28"/>
                <w:szCs w:val="28"/>
              </w:rPr>
              <w:t>06</w:t>
            </w:r>
          </w:p>
        </w:tc>
      </w:tr>
      <w:tr w:rsidR="002F43CD" w:rsidTr="00F66CAF">
        <w:trPr>
          <w:trHeight w:val="330"/>
        </w:trPr>
        <w:tc>
          <w:tcPr>
            <w:tcW w:w="1843" w:type="dxa"/>
            <w:vMerge/>
            <w:tcBorders>
              <w:left w:val="single" w:sz="4" w:space="0" w:color="auto"/>
              <w:bottom w:val="single" w:sz="4" w:space="0" w:color="auto"/>
              <w:right w:val="single" w:sz="4" w:space="0" w:color="auto"/>
            </w:tcBorders>
            <w:vAlign w:val="center"/>
          </w:tcPr>
          <w:p w:rsidR="002F43CD" w:rsidRDefault="002F43CD" w:rsidP="00F66CAF">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tcPr>
          <w:p w:rsidR="002F43CD" w:rsidRDefault="002F43CD" w:rsidP="00F66CAF">
            <w:pPr>
              <w:jc w:val="center"/>
              <w:rPr>
                <w:rFonts w:ascii="Times New Roman" w:hAnsi="Times New Roman"/>
                <w:sz w:val="28"/>
                <w:szCs w:val="28"/>
              </w:rPr>
            </w:pPr>
            <w:r w:rsidRPr="0066587A">
              <w:rPr>
                <w:rFonts w:ascii="Century" w:hAnsi="Century"/>
                <w:sz w:val="28"/>
                <w:szCs w:val="28"/>
              </w:rPr>
              <w:t>&gt;</w:t>
            </w:r>
            <w:r>
              <w:rPr>
                <w:rFonts w:ascii="Times New Roman" w:hAnsi="Times New Roman"/>
                <w:sz w:val="28"/>
                <w:szCs w:val="28"/>
              </w:rPr>
              <w:t>3</w:t>
            </w:r>
            <w:r w:rsidRPr="0066587A">
              <w:rPr>
                <w:rFonts w:ascii="Century" w:hAnsi="Century"/>
                <w:sz w:val="28"/>
                <w:szCs w:val="28"/>
              </w:rPr>
              <w:t>,</w:t>
            </w:r>
            <w:r>
              <w:rPr>
                <w:rFonts w:ascii="Times New Roman" w:hAnsi="Times New Roman"/>
                <w:sz w:val="28"/>
                <w:szCs w:val="28"/>
              </w:rPr>
              <w:t>0</w:t>
            </w:r>
          </w:p>
        </w:tc>
        <w:tc>
          <w:tcPr>
            <w:tcW w:w="1134" w:type="dxa"/>
            <w:tcBorders>
              <w:top w:val="single" w:sz="4" w:space="0" w:color="auto"/>
              <w:left w:val="single" w:sz="4" w:space="0" w:color="auto"/>
              <w:bottom w:val="single" w:sz="4" w:space="0" w:color="auto"/>
              <w:right w:val="single" w:sz="4" w:space="0" w:color="auto"/>
            </w:tcBorders>
          </w:tcPr>
          <w:p w:rsidR="002F43CD" w:rsidRDefault="002F43CD" w:rsidP="00F66CAF">
            <w:pPr>
              <w:jc w:val="center"/>
              <w:rPr>
                <w:rFonts w:ascii="Times New Roman" w:hAnsi="Times New Roman"/>
                <w:sz w:val="28"/>
                <w:szCs w:val="28"/>
              </w:rPr>
            </w:pPr>
            <w:r>
              <w:rPr>
                <w:rFonts w:ascii="Times New Roman" w:hAnsi="Times New Roman"/>
                <w:sz w:val="28"/>
                <w:szCs w:val="28"/>
              </w:rPr>
              <w:t>48</w:t>
            </w:r>
          </w:p>
        </w:tc>
        <w:tc>
          <w:tcPr>
            <w:tcW w:w="993" w:type="dxa"/>
            <w:tcBorders>
              <w:top w:val="single" w:sz="4" w:space="0" w:color="auto"/>
              <w:left w:val="single" w:sz="4" w:space="0" w:color="auto"/>
              <w:bottom w:val="single" w:sz="4" w:space="0" w:color="auto"/>
              <w:right w:val="single" w:sz="4" w:space="0" w:color="auto"/>
            </w:tcBorders>
          </w:tcPr>
          <w:p w:rsidR="002F43CD" w:rsidRDefault="002F43CD" w:rsidP="00F66CAF">
            <w:pPr>
              <w:jc w:val="center"/>
              <w:rPr>
                <w:rFonts w:ascii="Times New Roman" w:hAnsi="Times New Roman"/>
                <w:sz w:val="28"/>
                <w:szCs w:val="28"/>
              </w:rPr>
            </w:pPr>
            <w:r>
              <w:rPr>
                <w:rFonts w:ascii="Times New Roman" w:hAnsi="Times New Roman"/>
                <w:sz w:val="28"/>
                <w:szCs w:val="28"/>
              </w:rPr>
              <w:t>19</w:t>
            </w:r>
          </w:p>
        </w:tc>
        <w:tc>
          <w:tcPr>
            <w:tcW w:w="2551" w:type="dxa"/>
            <w:tcBorders>
              <w:top w:val="single" w:sz="4" w:space="0" w:color="auto"/>
              <w:left w:val="single" w:sz="4" w:space="0" w:color="auto"/>
              <w:bottom w:val="single" w:sz="4" w:space="0" w:color="auto"/>
              <w:right w:val="single" w:sz="4" w:space="0" w:color="auto"/>
            </w:tcBorders>
          </w:tcPr>
          <w:p w:rsidR="002F43CD" w:rsidRDefault="002F43CD" w:rsidP="00F66CAF">
            <w:pPr>
              <w:jc w:val="center"/>
              <w:rPr>
                <w:rFonts w:ascii="Times New Roman" w:hAnsi="Times New Roman"/>
                <w:sz w:val="28"/>
                <w:szCs w:val="28"/>
              </w:rPr>
            </w:pPr>
            <w:r>
              <w:rPr>
                <w:rFonts w:ascii="Times New Roman" w:hAnsi="Times New Roman"/>
                <w:sz w:val="28"/>
                <w:szCs w:val="28"/>
              </w:rPr>
              <w:t>0</w:t>
            </w:r>
            <w:r w:rsidRPr="0066587A">
              <w:rPr>
                <w:rFonts w:ascii="Century" w:hAnsi="Century"/>
                <w:sz w:val="28"/>
                <w:szCs w:val="28"/>
              </w:rPr>
              <w:t>,</w:t>
            </w:r>
            <w:r>
              <w:rPr>
                <w:rFonts w:ascii="Times New Roman" w:hAnsi="Times New Roman"/>
                <w:sz w:val="28"/>
                <w:szCs w:val="28"/>
              </w:rPr>
              <w:t>59 (0</w:t>
            </w:r>
            <w:r w:rsidRPr="0066587A">
              <w:rPr>
                <w:rFonts w:ascii="Century" w:hAnsi="Century"/>
                <w:sz w:val="28"/>
                <w:szCs w:val="28"/>
              </w:rPr>
              <w:t>,</w:t>
            </w:r>
            <w:r>
              <w:rPr>
                <w:rFonts w:ascii="Times New Roman" w:hAnsi="Times New Roman"/>
                <w:sz w:val="28"/>
                <w:szCs w:val="28"/>
              </w:rPr>
              <w:t>33-1</w:t>
            </w:r>
            <w:r w:rsidRPr="0066587A">
              <w:rPr>
                <w:rFonts w:ascii="Century" w:hAnsi="Century"/>
                <w:sz w:val="28"/>
                <w:szCs w:val="28"/>
              </w:rPr>
              <w:t>,</w:t>
            </w:r>
            <w:r>
              <w:rPr>
                <w:rFonts w:ascii="Times New Roman" w:hAnsi="Times New Roman"/>
                <w:sz w:val="28"/>
                <w:szCs w:val="28"/>
              </w:rPr>
              <w:t>03)</w:t>
            </w:r>
          </w:p>
        </w:tc>
        <w:tc>
          <w:tcPr>
            <w:tcW w:w="1276" w:type="dxa"/>
            <w:vMerge/>
            <w:tcBorders>
              <w:left w:val="single" w:sz="4" w:space="0" w:color="auto"/>
              <w:bottom w:val="single" w:sz="4" w:space="0" w:color="auto"/>
              <w:right w:val="single" w:sz="4" w:space="0" w:color="auto"/>
            </w:tcBorders>
            <w:vAlign w:val="center"/>
          </w:tcPr>
          <w:p w:rsidR="002F43CD" w:rsidRDefault="002F43CD">
            <w:pPr>
              <w:rPr>
                <w:rFonts w:ascii="Times New Roman" w:hAnsi="Times New Roman"/>
                <w:sz w:val="28"/>
                <w:szCs w:val="28"/>
              </w:rPr>
            </w:pPr>
          </w:p>
        </w:tc>
      </w:tr>
      <w:tr w:rsidR="002F43CD" w:rsidTr="000C6D38">
        <w:trPr>
          <w:trHeight w:val="330"/>
        </w:trPr>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2F43CD" w:rsidRDefault="002F43CD">
            <w:pPr>
              <w:jc w:val="center"/>
              <w:rPr>
                <w:rFonts w:ascii="Times New Roman" w:hAnsi="Times New Roman"/>
                <w:sz w:val="28"/>
                <w:szCs w:val="28"/>
              </w:rPr>
            </w:pPr>
            <w:r>
              <w:rPr>
                <w:rFonts w:ascii="Times New Roman" w:hAnsi="Times New Roman"/>
                <w:sz w:val="28"/>
                <w:szCs w:val="28"/>
              </w:rPr>
              <w:t>ЛПВП</w:t>
            </w:r>
            <w:r w:rsidRPr="00176136">
              <w:rPr>
                <w:rFonts w:ascii="Century" w:hAnsi="Century"/>
                <w:sz w:val="28"/>
                <w:szCs w:val="28"/>
              </w:rPr>
              <w:t xml:space="preserve">, </w:t>
            </w:r>
            <w:r>
              <w:rPr>
                <w:rFonts w:ascii="Times New Roman" w:hAnsi="Times New Roman"/>
                <w:sz w:val="28"/>
                <w:szCs w:val="28"/>
              </w:rPr>
              <w:t>ммоль/л</w:t>
            </w:r>
          </w:p>
        </w:tc>
        <w:tc>
          <w:tcPr>
            <w:tcW w:w="1559"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Муж ≥1,0</w:t>
            </w:r>
          </w:p>
          <w:p w:rsidR="002F43CD" w:rsidRDefault="002F43CD">
            <w:pPr>
              <w:jc w:val="center"/>
            </w:pPr>
            <w:r>
              <w:rPr>
                <w:rFonts w:ascii="Times New Roman" w:hAnsi="Times New Roman"/>
                <w:sz w:val="28"/>
                <w:szCs w:val="28"/>
              </w:rPr>
              <w:t>Жен ≥1,2</w:t>
            </w:r>
          </w:p>
        </w:tc>
        <w:tc>
          <w:tcPr>
            <w:tcW w:w="1134"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115</w:t>
            </w:r>
          </w:p>
        </w:tc>
        <w:tc>
          <w:tcPr>
            <w:tcW w:w="993"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70</w:t>
            </w:r>
          </w:p>
        </w:tc>
        <w:tc>
          <w:tcPr>
            <w:tcW w:w="2551"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1,0</w:t>
            </w:r>
          </w:p>
        </w:tc>
        <w:tc>
          <w:tcPr>
            <w:tcW w:w="1276" w:type="dxa"/>
            <w:vMerge w:val="restart"/>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0,77</w:t>
            </w:r>
          </w:p>
        </w:tc>
      </w:tr>
      <w:tr w:rsidR="002F43CD" w:rsidTr="000C6D38">
        <w:trPr>
          <w:trHeight w:val="330"/>
        </w:trPr>
        <w:tc>
          <w:tcPr>
            <w:tcW w:w="1843" w:type="dxa"/>
            <w:vMerge/>
            <w:tcBorders>
              <w:top w:val="single" w:sz="4" w:space="0" w:color="auto"/>
              <w:left w:val="single" w:sz="4" w:space="0" w:color="auto"/>
              <w:bottom w:val="single" w:sz="4" w:space="0" w:color="auto"/>
              <w:right w:val="single" w:sz="4" w:space="0" w:color="auto"/>
            </w:tcBorders>
            <w:vAlign w:val="center"/>
            <w:hideMark/>
          </w:tcPr>
          <w:p w:rsidR="002F43CD" w:rsidRDefault="002F43CD">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Муж &lt;1,0</w:t>
            </w:r>
          </w:p>
          <w:p w:rsidR="002F43CD" w:rsidRDefault="002F43CD">
            <w:pPr>
              <w:jc w:val="center"/>
              <w:rPr>
                <w:rFonts w:ascii="Times New Roman" w:hAnsi="Times New Roman"/>
                <w:sz w:val="28"/>
                <w:szCs w:val="28"/>
              </w:rPr>
            </w:pPr>
            <w:r>
              <w:rPr>
                <w:rFonts w:ascii="Times New Roman" w:hAnsi="Times New Roman"/>
                <w:sz w:val="28"/>
                <w:szCs w:val="28"/>
              </w:rPr>
              <w:t>Жен &lt;1,2</w:t>
            </w:r>
          </w:p>
        </w:tc>
        <w:tc>
          <w:tcPr>
            <w:tcW w:w="1134"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196</w:t>
            </w:r>
          </w:p>
        </w:tc>
        <w:tc>
          <w:tcPr>
            <w:tcW w:w="993"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126</w:t>
            </w:r>
          </w:p>
        </w:tc>
        <w:tc>
          <w:tcPr>
            <w:tcW w:w="2551"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1,06 (0,73-1,53)</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2F43CD" w:rsidRDefault="002F43CD">
            <w:pPr>
              <w:rPr>
                <w:rFonts w:ascii="Times New Roman" w:hAnsi="Times New Roman"/>
                <w:sz w:val="28"/>
                <w:szCs w:val="28"/>
              </w:rPr>
            </w:pPr>
          </w:p>
        </w:tc>
      </w:tr>
      <w:tr w:rsidR="002F43CD" w:rsidTr="000C6D38">
        <w:trPr>
          <w:trHeight w:val="330"/>
        </w:trPr>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2F43CD" w:rsidRDefault="002F43CD">
            <w:pPr>
              <w:jc w:val="center"/>
              <w:rPr>
                <w:rFonts w:ascii="Times New Roman" w:hAnsi="Times New Roman"/>
                <w:sz w:val="28"/>
                <w:szCs w:val="28"/>
              </w:rPr>
            </w:pPr>
            <w:r>
              <w:rPr>
                <w:rFonts w:ascii="Times New Roman" w:hAnsi="Times New Roman"/>
                <w:sz w:val="28"/>
                <w:szCs w:val="28"/>
              </w:rPr>
              <w:t>апоВ, г/л</w:t>
            </w:r>
          </w:p>
        </w:tc>
        <w:tc>
          <w:tcPr>
            <w:tcW w:w="1559"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&lt;0,9</w:t>
            </w:r>
          </w:p>
        </w:tc>
        <w:tc>
          <w:tcPr>
            <w:tcW w:w="1134"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137</w:t>
            </w:r>
          </w:p>
        </w:tc>
        <w:tc>
          <w:tcPr>
            <w:tcW w:w="993"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61</w:t>
            </w:r>
          </w:p>
        </w:tc>
        <w:tc>
          <w:tcPr>
            <w:tcW w:w="2551"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1,0</w:t>
            </w:r>
          </w:p>
        </w:tc>
        <w:tc>
          <w:tcPr>
            <w:tcW w:w="1276" w:type="dxa"/>
            <w:vMerge w:val="restart"/>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0,004</w:t>
            </w:r>
          </w:p>
        </w:tc>
      </w:tr>
      <w:tr w:rsidR="002F43CD" w:rsidTr="000C6D38">
        <w:trPr>
          <w:trHeight w:val="330"/>
        </w:trPr>
        <w:tc>
          <w:tcPr>
            <w:tcW w:w="1843" w:type="dxa"/>
            <w:vMerge/>
            <w:tcBorders>
              <w:top w:val="single" w:sz="4" w:space="0" w:color="auto"/>
              <w:left w:val="single" w:sz="4" w:space="0" w:color="auto"/>
              <w:bottom w:val="single" w:sz="4" w:space="0" w:color="auto"/>
              <w:right w:val="single" w:sz="4" w:space="0" w:color="auto"/>
            </w:tcBorders>
            <w:vAlign w:val="center"/>
            <w:hideMark/>
          </w:tcPr>
          <w:p w:rsidR="002F43CD" w:rsidRDefault="002F43CD">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≥0,9</w:t>
            </w:r>
          </w:p>
        </w:tc>
        <w:tc>
          <w:tcPr>
            <w:tcW w:w="1134"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174</w:t>
            </w:r>
          </w:p>
        </w:tc>
        <w:tc>
          <w:tcPr>
            <w:tcW w:w="993"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135</w:t>
            </w:r>
          </w:p>
        </w:tc>
        <w:tc>
          <w:tcPr>
            <w:tcW w:w="2551"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1,74 (1,2-2,54)</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2F43CD" w:rsidRDefault="002F43CD">
            <w:pPr>
              <w:rPr>
                <w:rFonts w:ascii="Times New Roman" w:hAnsi="Times New Roman"/>
                <w:sz w:val="28"/>
                <w:szCs w:val="28"/>
              </w:rPr>
            </w:pPr>
          </w:p>
        </w:tc>
      </w:tr>
      <w:tr w:rsidR="002F43CD" w:rsidTr="000C6D38">
        <w:trPr>
          <w:trHeight w:val="330"/>
        </w:trPr>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2F43CD" w:rsidRDefault="002F43CD">
            <w:pPr>
              <w:jc w:val="center"/>
              <w:rPr>
                <w:rFonts w:ascii="Times New Roman" w:hAnsi="Times New Roman"/>
                <w:sz w:val="28"/>
                <w:szCs w:val="28"/>
              </w:rPr>
            </w:pPr>
            <w:r>
              <w:rPr>
                <w:rFonts w:ascii="Times New Roman" w:hAnsi="Times New Roman"/>
                <w:sz w:val="28"/>
                <w:szCs w:val="28"/>
              </w:rPr>
              <w:t>апоА1, г/л</w:t>
            </w:r>
          </w:p>
        </w:tc>
        <w:tc>
          <w:tcPr>
            <w:tcW w:w="1559"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color w:val="000000"/>
                <w:sz w:val="28"/>
                <w:szCs w:val="28"/>
              </w:rPr>
            </w:pPr>
            <w:r>
              <w:rPr>
                <w:rFonts w:ascii="Times New Roman" w:hAnsi="Times New Roman"/>
                <w:color w:val="000000"/>
                <w:sz w:val="28"/>
                <w:szCs w:val="28"/>
              </w:rPr>
              <w:t xml:space="preserve">Муж </w:t>
            </w:r>
            <w:r w:rsidRPr="00176136">
              <w:rPr>
                <w:rFonts w:ascii="Century" w:hAnsi="Century"/>
                <w:color w:val="000000"/>
                <w:sz w:val="28"/>
                <w:szCs w:val="28"/>
              </w:rPr>
              <w:t>≥</w:t>
            </w:r>
            <w:r>
              <w:rPr>
                <w:rFonts w:ascii="Times New Roman" w:hAnsi="Times New Roman"/>
                <w:color w:val="000000"/>
                <w:sz w:val="28"/>
                <w:szCs w:val="28"/>
              </w:rPr>
              <w:t>1</w:t>
            </w:r>
            <w:r w:rsidRPr="00176136">
              <w:rPr>
                <w:rFonts w:ascii="Century" w:hAnsi="Century"/>
                <w:color w:val="000000"/>
                <w:sz w:val="28"/>
                <w:szCs w:val="28"/>
              </w:rPr>
              <w:t>,</w:t>
            </w:r>
            <w:r>
              <w:rPr>
                <w:rFonts w:ascii="Times New Roman" w:hAnsi="Times New Roman"/>
                <w:color w:val="000000"/>
                <w:sz w:val="28"/>
                <w:szCs w:val="28"/>
              </w:rPr>
              <w:t>04</w:t>
            </w:r>
          </w:p>
          <w:p w:rsidR="002F43CD" w:rsidRDefault="002F43CD">
            <w:pPr>
              <w:jc w:val="center"/>
              <w:rPr>
                <w:rFonts w:ascii="Times New Roman" w:hAnsi="Times New Roman"/>
                <w:sz w:val="28"/>
                <w:szCs w:val="28"/>
              </w:rPr>
            </w:pPr>
            <w:r>
              <w:rPr>
                <w:rFonts w:ascii="Times New Roman" w:hAnsi="Times New Roman"/>
                <w:color w:val="000000"/>
                <w:sz w:val="28"/>
                <w:szCs w:val="28"/>
              </w:rPr>
              <w:t xml:space="preserve">Жен </w:t>
            </w:r>
            <w:r w:rsidRPr="00176136">
              <w:rPr>
                <w:rFonts w:ascii="Century" w:hAnsi="Century"/>
                <w:color w:val="000000"/>
                <w:sz w:val="28"/>
                <w:szCs w:val="28"/>
              </w:rPr>
              <w:t>≥</w:t>
            </w:r>
            <w:r>
              <w:rPr>
                <w:rFonts w:ascii="Times New Roman" w:hAnsi="Times New Roman"/>
                <w:color w:val="000000"/>
                <w:sz w:val="28"/>
                <w:szCs w:val="28"/>
              </w:rPr>
              <w:t>1</w:t>
            </w:r>
            <w:r w:rsidRPr="00176136">
              <w:rPr>
                <w:rFonts w:ascii="Century" w:hAnsi="Century"/>
                <w:color w:val="000000"/>
                <w:sz w:val="28"/>
                <w:szCs w:val="28"/>
              </w:rPr>
              <w:t>,</w:t>
            </w:r>
            <w:r>
              <w:rPr>
                <w:rFonts w:ascii="Times New Roman" w:hAnsi="Times New Roman"/>
                <w:color w:val="000000"/>
                <w:sz w:val="28"/>
                <w:szCs w:val="28"/>
              </w:rPr>
              <w:t xml:space="preserve">08 </w:t>
            </w:r>
          </w:p>
        </w:tc>
        <w:tc>
          <w:tcPr>
            <w:tcW w:w="1134"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291</w:t>
            </w:r>
          </w:p>
        </w:tc>
        <w:tc>
          <w:tcPr>
            <w:tcW w:w="993"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188</w:t>
            </w:r>
          </w:p>
        </w:tc>
        <w:tc>
          <w:tcPr>
            <w:tcW w:w="2551"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w:t>
            </w:r>
            <w:r w:rsidRPr="00176136">
              <w:rPr>
                <w:rFonts w:ascii="Century" w:hAnsi="Century"/>
                <w:sz w:val="28"/>
                <w:szCs w:val="28"/>
              </w:rPr>
              <w:t>,</w:t>
            </w:r>
            <w:r>
              <w:rPr>
                <w:rFonts w:ascii="Times New Roman" w:hAnsi="Times New Roman"/>
                <w:sz w:val="28"/>
                <w:szCs w:val="28"/>
              </w:rPr>
              <w:t>0</w:t>
            </w:r>
          </w:p>
        </w:tc>
        <w:tc>
          <w:tcPr>
            <w:tcW w:w="1276" w:type="dxa"/>
            <w:vMerge w:val="restart"/>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0</w:t>
            </w:r>
            <w:r w:rsidRPr="00176136">
              <w:rPr>
                <w:rFonts w:ascii="Century" w:hAnsi="Century"/>
                <w:sz w:val="28"/>
                <w:szCs w:val="28"/>
              </w:rPr>
              <w:t>,</w:t>
            </w:r>
            <w:r>
              <w:rPr>
                <w:rFonts w:ascii="Times New Roman" w:hAnsi="Times New Roman"/>
                <w:sz w:val="28"/>
                <w:szCs w:val="28"/>
              </w:rPr>
              <w:t>26</w:t>
            </w:r>
          </w:p>
        </w:tc>
      </w:tr>
      <w:tr w:rsidR="002F43CD" w:rsidTr="000C6D38">
        <w:trPr>
          <w:trHeight w:val="330"/>
        </w:trPr>
        <w:tc>
          <w:tcPr>
            <w:tcW w:w="1843" w:type="dxa"/>
            <w:vMerge/>
            <w:tcBorders>
              <w:top w:val="single" w:sz="4" w:space="0" w:color="auto"/>
              <w:left w:val="single" w:sz="4" w:space="0" w:color="auto"/>
              <w:bottom w:val="single" w:sz="4" w:space="0" w:color="auto"/>
              <w:right w:val="single" w:sz="4" w:space="0" w:color="auto"/>
            </w:tcBorders>
            <w:vAlign w:val="center"/>
            <w:hideMark/>
          </w:tcPr>
          <w:p w:rsidR="002F43CD" w:rsidRDefault="002F43CD">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color w:val="000000"/>
                <w:sz w:val="28"/>
                <w:szCs w:val="28"/>
              </w:rPr>
            </w:pPr>
            <w:r>
              <w:rPr>
                <w:rFonts w:ascii="Times New Roman" w:hAnsi="Times New Roman"/>
                <w:color w:val="000000"/>
                <w:sz w:val="28"/>
                <w:szCs w:val="28"/>
              </w:rPr>
              <w:t>Муж &lt;1,04</w:t>
            </w:r>
          </w:p>
          <w:p w:rsidR="002F43CD" w:rsidRDefault="002F43CD">
            <w:pPr>
              <w:jc w:val="center"/>
              <w:rPr>
                <w:rFonts w:ascii="Times New Roman" w:hAnsi="Times New Roman"/>
                <w:color w:val="000000"/>
                <w:sz w:val="28"/>
                <w:szCs w:val="28"/>
              </w:rPr>
            </w:pPr>
            <w:r>
              <w:rPr>
                <w:rFonts w:ascii="Times New Roman" w:hAnsi="Times New Roman"/>
                <w:color w:val="000000"/>
                <w:sz w:val="28"/>
                <w:szCs w:val="28"/>
              </w:rPr>
              <w:t>Жен &lt;1,08</w:t>
            </w:r>
          </w:p>
        </w:tc>
        <w:tc>
          <w:tcPr>
            <w:tcW w:w="1134"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20</w:t>
            </w:r>
          </w:p>
        </w:tc>
        <w:tc>
          <w:tcPr>
            <w:tcW w:w="993"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0</w:t>
            </w:r>
            <w:r w:rsidRPr="00176136">
              <w:rPr>
                <w:rFonts w:ascii="Century" w:hAnsi="Century"/>
                <w:sz w:val="28"/>
                <w:szCs w:val="28"/>
              </w:rPr>
              <w:t>,</w:t>
            </w:r>
            <w:r>
              <w:rPr>
                <w:rFonts w:ascii="Times New Roman" w:hAnsi="Times New Roman"/>
                <w:sz w:val="28"/>
                <w:szCs w:val="28"/>
              </w:rPr>
              <w:t>62 (0</w:t>
            </w:r>
            <w:r w:rsidRPr="00176136">
              <w:rPr>
                <w:rFonts w:ascii="Century" w:hAnsi="Century"/>
                <w:sz w:val="28"/>
                <w:szCs w:val="28"/>
              </w:rPr>
              <w:t>,</w:t>
            </w:r>
            <w:r>
              <w:rPr>
                <w:rFonts w:ascii="Times New Roman" w:hAnsi="Times New Roman"/>
                <w:sz w:val="28"/>
                <w:szCs w:val="28"/>
              </w:rPr>
              <w:t>27-1</w:t>
            </w:r>
            <w:r w:rsidRPr="00176136">
              <w:rPr>
                <w:rFonts w:ascii="Century" w:hAnsi="Century"/>
                <w:sz w:val="28"/>
                <w:szCs w:val="28"/>
              </w:rPr>
              <w:t>,</w:t>
            </w:r>
            <w:r>
              <w:rPr>
                <w:rFonts w:ascii="Times New Roman" w:hAnsi="Times New Roman"/>
                <w:sz w:val="28"/>
                <w:szCs w:val="28"/>
              </w:rPr>
              <w:t>43)</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2F43CD" w:rsidRDefault="002F43CD">
            <w:pPr>
              <w:rPr>
                <w:rFonts w:ascii="Times New Roman" w:hAnsi="Times New Roman"/>
                <w:sz w:val="28"/>
                <w:szCs w:val="28"/>
              </w:rPr>
            </w:pPr>
          </w:p>
        </w:tc>
      </w:tr>
      <w:tr w:rsidR="002F43CD" w:rsidTr="000C6D38">
        <w:trPr>
          <w:trHeight w:val="330"/>
        </w:trPr>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2F43CD" w:rsidRDefault="002F43CD">
            <w:pPr>
              <w:jc w:val="center"/>
              <w:rPr>
                <w:rFonts w:ascii="Times New Roman" w:hAnsi="Times New Roman"/>
                <w:sz w:val="28"/>
                <w:szCs w:val="28"/>
              </w:rPr>
            </w:pPr>
            <w:r>
              <w:rPr>
                <w:rFonts w:ascii="Times New Roman" w:hAnsi="Times New Roman"/>
                <w:sz w:val="28"/>
                <w:szCs w:val="28"/>
              </w:rPr>
              <w:t>апоВ</w:t>
            </w:r>
            <w:r w:rsidRPr="00176136">
              <w:rPr>
                <w:rFonts w:ascii="Century" w:hAnsi="Century"/>
                <w:sz w:val="28"/>
                <w:szCs w:val="28"/>
              </w:rPr>
              <w:t>/</w:t>
            </w:r>
            <w:r>
              <w:rPr>
                <w:rFonts w:ascii="Times New Roman" w:hAnsi="Times New Roman"/>
                <w:sz w:val="28"/>
                <w:szCs w:val="28"/>
              </w:rPr>
              <w:t>апоА1</w:t>
            </w:r>
          </w:p>
        </w:tc>
        <w:tc>
          <w:tcPr>
            <w:tcW w:w="1559"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sidRPr="00176136">
              <w:rPr>
                <w:rFonts w:ascii="Century" w:hAnsi="Century"/>
                <w:sz w:val="28"/>
                <w:szCs w:val="28"/>
              </w:rPr>
              <w:t>≤</w:t>
            </w:r>
            <w:r>
              <w:rPr>
                <w:rFonts w:ascii="Times New Roman" w:hAnsi="Times New Roman"/>
                <w:sz w:val="28"/>
                <w:szCs w:val="28"/>
              </w:rPr>
              <w:t>0</w:t>
            </w:r>
            <w:r w:rsidRPr="00176136">
              <w:rPr>
                <w:rFonts w:ascii="Century" w:hAnsi="Century"/>
                <w:sz w:val="28"/>
                <w:szCs w:val="28"/>
              </w:rPr>
              <w:t>,</w:t>
            </w:r>
            <w:r>
              <w:rPr>
                <w:rFonts w:ascii="Times New Roman" w:hAnsi="Times New Roman"/>
                <w:sz w:val="28"/>
                <w:szCs w:val="28"/>
              </w:rPr>
              <w:t>85</w:t>
            </w:r>
          </w:p>
        </w:tc>
        <w:tc>
          <w:tcPr>
            <w:tcW w:w="1134"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250</w:t>
            </w:r>
          </w:p>
        </w:tc>
        <w:tc>
          <w:tcPr>
            <w:tcW w:w="993"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146</w:t>
            </w:r>
          </w:p>
        </w:tc>
        <w:tc>
          <w:tcPr>
            <w:tcW w:w="2551"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w:t>
            </w:r>
            <w:r w:rsidRPr="00176136">
              <w:rPr>
                <w:rFonts w:ascii="Century" w:hAnsi="Century"/>
                <w:sz w:val="28"/>
                <w:szCs w:val="28"/>
              </w:rPr>
              <w:t>,</w:t>
            </w:r>
            <w:r>
              <w:rPr>
                <w:rFonts w:ascii="Times New Roman" w:hAnsi="Times New Roman"/>
                <w:sz w:val="28"/>
                <w:szCs w:val="28"/>
              </w:rPr>
              <w:t>0</w:t>
            </w:r>
          </w:p>
        </w:tc>
        <w:tc>
          <w:tcPr>
            <w:tcW w:w="1276" w:type="dxa"/>
            <w:vMerge w:val="restart"/>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0</w:t>
            </w:r>
            <w:r w:rsidRPr="00176136">
              <w:rPr>
                <w:rFonts w:ascii="Century" w:hAnsi="Century"/>
                <w:sz w:val="28"/>
                <w:szCs w:val="28"/>
              </w:rPr>
              <w:t>,</w:t>
            </w:r>
            <w:r>
              <w:rPr>
                <w:rFonts w:ascii="Times New Roman" w:hAnsi="Times New Roman"/>
                <w:sz w:val="28"/>
                <w:szCs w:val="28"/>
              </w:rPr>
              <w:t>12</w:t>
            </w:r>
          </w:p>
        </w:tc>
      </w:tr>
      <w:tr w:rsidR="002F43CD" w:rsidTr="000C6D38">
        <w:trPr>
          <w:trHeight w:val="330"/>
        </w:trPr>
        <w:tc>
          <w:tcPr>
            <w:tcW w:w="1843" w:type="dxa"/>
            <w:vMerge/>
            <w:tcBorders>
              <w:top w:val="single" w:sz="4" w:space="0" w:color="auto"/>
              <w:left w:val="single" w:sz="4" w:space="0" w:color="auto"/>
              <w:bottom w:val="single" w:sz="4" w:space="0" w:color="auto"/>
              <w:right w:val="single" w:sz="4" w:space="0" w:color="auto"/>
            </w:tcBorders>
            <w:vAlign w:val="center"/>
            <w:hideMark/>
          </w:tcPr>
          <w:p w:rsidR="002F43CD" w:rsidRDefault="002F43CD">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sidRPr="00176136">
              <w:rPr>
                <w:rFonts w:ascii="Century" w:hAnsi="Century"/>
                <w:sz w:val="28"/>
                <w:szCs w:val="28"/>
              </w:rPr>
              <w:t>&gt;</w:t>
            </w:r>
            <w:r>
              <w:rPr>
                <w:rFonts w:ascii="Times New Roman" w:hAnsi="Times New Roman"/>
                <w:sz w:val="28"/>
                <w:szCs w:val="28"/>
              </w:rPr>
              <w:t>0</w:t>
            </w:r>
            <w:r w:rsidRPr="00176136">
              <w:rPr>
                <w:rFonts w:ascii="Century" w:hAnsi="Century"/>
                <w:sz w:val="28"/>
                <w:szCs w:val="28"/>
              </w:rPr>
              <w:t>,</w:t>
            </w:r>
            <w:r>
              <w:rPr>
                <w:rFonts w:ascii="Times New Roman" w:hAnsi="Times New Roman"/>
                <w:sz w:val="28"/>
                <w:szCs w:val="28"/>
              </w:rPr>
              <w:t>85</w:t>
            </w:r>
          </w:p>
        </w:tc>
        <w:tc>
          <w:tcPr>
            <w:tcW w:w="1134"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61</w:t>
            </w:r>
          </w:p>
        </w:tc>
        <w:tc>
          <w:tcPr>
            <w:tcW w:w="993"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50</w:t>
            </w:r>
          </w:p>
        </w:tc>
        <w:tc>
          <w:tcPr>
            <w:tcW w:w="2551"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w:t>
            </w:r>
            <w:r w:rsidRPr="00176136">
              <w:rPr>
                <w:rFonts w:ascii="Century" w:hAnsi="Century"/>
                <w:sz w:val="28"/>
                <w:szCs w:val="28"/>
              </w:rPr>
              <w:t>,</w:t>
            </w:r>
            <w:r>
              <w:rPr>
                <w:rFonts w:ascii="Times New Roman" w:hAnsi="Times New Roman"/>
                <w:sz w:val="28"/>
                <w:szCs w:val="28"/>
              </w:rPr>
              <w:t>4 (0</w:t>
            </w:r>
            <w:r w:rsidRPr="00176136">
              <w:rPr>
                <w:rFonts w:ascii="Century" w:hAnsi="Century"/>
                <w:sz w:val="28"/>
                <w:szCs w:val="28"/>
              </w:rPr>
              <w:t>,</w:t>
            </w:r>
            <w:r>
              <w:rPr>
                <w:rFonts w:ascii="Times New Roman" w:hAnsi="Times New Roman"/>
                <w:sz w:val="28"/>
                <w:szCs w:val="28"/>
              </w:rPr>
              <w:t>92-2</w:t>
            </w:r>
            <w:r w:rsidRPr="00176136">
              <w:rPr>
                <w:rFonts w:ascii="Century" w:hAnsi="Century"/>
                <w:sz w:val="28"/>
                <w:szCs w:val="28"/>
              </w:rPr>
              <w:t>,</w:t>
            </w:r>
            <w:r>
              <w:rPr>
                <w:rFonts w:ascii="Times New Roman" w:hAnsi="Times New Roman"/>
                <w:sz w:val="28"/>
                <w:szCs w:val="28"/>
              </w:rPr>
              <w:t>15)</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2F43CD" w:rsidRDefault="002F43CD">
            <w:pPr>
              <w:rPr>
                <w:rFonts w:ascii="Times New Roman" w:hAnsi="Times New Roman"/>
                <w:sz w:val="28"/>
                <w:szCs w:val="28"/>
              </w:rPr>
            </w:pPr>
          </w:p>
        </w:tc>
      </w:tr>
      <w:tr w:rsidR="002F43CD" w:rsidTr="000C6D38">
        <w:trPr>
          <w:trHeight w:val="330"/>
        </w:trPr>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2F43CD" w:rsidRDefault="002F43CD">
            <w:pPr>
              <w:jc w:val="center"/>
              <w:rPr>
                <w:rFonts w:ascii="Times New Roman" w:hAnsi="Times New Roman"/>
                <w:sz w:val="28"/>
                <w:szCs w:val="28"/>
              </w:rPr>
            </w:pPr>
            <w:r>
              <w:rPr>
                <w:rFonts w:ascii="Times New Roman" w:hAnsi="Times New Roman"/>
                <w:sz w:val="28"/>
                <w:szCs w:val="28"/>
              </w:rPr>
              <w:t>глюкоза</w:t>
            </w:r>
            <w:r w:rsidRPr="00904F65">
              <w:rPr>
                <w:rFonts w:ascii="Century" w:hAnsi="Century"/>
                <w:sz w:val="28"/>
                <w:szCs w:val="28"/>
              </w:rPr>
              <w:t xml:space="preserve">, </w:t>
            </w:r>
            <w:r>
              <w:rPr>
                <w:rFonts w:ascii="Times New Roman" w:hAnsi="Times New Roman"/>
                <w:sz w:val="28"/>
                <w:szCs w:val="28"/>
              </w:rPr>
              <w:t>ммоль</w:t>
            </w:r>
            <w:r w:rsidRPr="00904F65">
              <w:rPr>
                <w:rFonts w:ascii="Century" w:hAnsi="Century"/>
                <w:sz w:val="28"/>
                <w:szCs w:val="28"/>
              </w:rPr>
              <w:t>/</w:t>
            </w:r>
            <w:r>
              <w:rPr>
                <w:rFonts w:ascii="Times New Roman" w:hAnsi="Times New Roman"/>
                <w:sz w:val="28"/>
                <w:szCs w:val="28"/>
              </w:rPr>
              <w:t>л</w:t>
            </w:r>
          </w:p>
        </w:tc>
        <w:tc>
          <w:tcPr>
            <w:tcW w:w="1559"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sidRPr="00904F65">
              <w:rPr>
                <w:rFonts w:ascii="Century" w:hAnsi="Century"/>
                <w:sz w:val="28"/>
                <w:szCs w:val="28"/>
              </w:rPr>
              <w:t>≤</w:t>
            </w:r>
            <w:r>
              <w:rPr>
                <w:rFonts w:ascii="Times New Roman" w:hAnsi="Times New Roman"/>
                <w:sz w:val="28"/>
                <w:szCs w:val="28"/>
              </w:rPr>
              <w:t>5</w:t>
            </w:r>
            <w:r w:rsidRPr="00904F65">
              <w:rPr>
                <w:rFonts w:ascii="Century" w:hAnsi="Century"/>
                <w:sz w:val="28"/>
                <w:szCs w:val="28"/>
              </w:rPr>
              <w:t>,</w:t>
            </w:r>
            <w:r>
              <w:rPr>
                <w:rFonts w:ascii="Times New Roman" w:hAnsi="Times New Roman"/>
                <w:sz w:val="28"/>
                <w:szCs w:val="28"/>
              </w:rPr>
              <w:t>59</w:t>
            </w:r>
          </w:p>
        </w:tc>
        <w:tc>
          <w:tcPr>
            <w:tcW w:w="1134"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192</w:t>
            </w:r>
          </w:p>
        </w:tc>
        <w:tc>
          <w:tcPr>
            <w:tcW w:w="993"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73</w:t>
            </w:r>
          </w:p>
        </w:tc>
        <w:tc>
          <w:tcPr>
            <w:tcW w:w="2551"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w:t>
            </w:r>
            <w:r w:rsidRPr="00904F65">
              <w:rPr>
                <w:rFonts w:ascii="Century" w:hAnsi="Century"/>
                <w:sz w:val="28"/>
                <w:szCs w:val="28"/>
              </w:rPr>
              <w:t>,</w:t>
            </w:r>
            <w:r>
              <w:rPr>
                <w:rFonts w:ascii="Times New Roman" w:hAnsi="Times New Roman"/>
                <w:sz w:val="28"/>
                <w:szCs w:val="28"/>
              </w:rPr>
              <w:t>0</w:t>
            </w:r>
          </w:p>
        </w:tc>
        <w:tc>
          <w:tcPr>
            <w:tcW w:w="1276" w:type="dxa"/>
            <w:vMerge w:val="restart"/>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0</w:t>
            </w:r>
            <w:r w:rsidRPr="00904F65">
              <w:rPr>
                <w:rFonts w:ascii="Century" w:hAnsi="Century"/>
                <w:sz w:val="28"/>
                <w:szCs w:val="28"/>
              </w:rPr>
              <w:t>,</w:t>
            </w:r>
            <w:r>
              <w:rPr>
                <w:rFonts w:ascii="Times New Roman" w:hAnsi="Times New Roman"/>
                <w:sz w:val="28"/>
                <w:szCs w:val="28"/>
              </w:rPr>
              <w:t>0001</w:t>
            </w:r>
          </w:p>
        </w:tc>
      </w:tr>
      <w:tr w:rsidR="002F43CD" w:rsidTr="000C6D38">
        <w:trPr>
          <w:trHeight w:val="330"/>
        </w:trPr>
        <w:tc>
          <w:tcPr>
            <w:tcW w:w="1843" w:type="dxa"/>
            <w:vMerge/>
            <w:tcBorders>
              <w:top w:val="single" w:sz="4" w:space="0" w:color="auto"/>
              <w:left w:val="single" w:sz="4" w:space="0" w:color="auto"/>
              <w:bottom w:val="single" w:sz="4" w:space="0" w:color="auto"/>
              <w:right w:val="single" w:sz="4" w:space="0" w:color="auto"/>
            </w:tcBorders>
            <w:vAlign w:val="center"/>
            <w:hideMark/>
          </w:tcPr>
          <w:p w:rsidR="002F43CD" w:rsidRDefault="002F43CD">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sidRPr="00904F65">
              <w:rPr>
                <w:rFonts w:ascii="Century" w:hAnsi="Century"/>
                <w:sz w:val="28"/>
                <w:szCs w:val="28"/>
              </w:rPr>
              <w:t>&gt;</w:t>
            </w:r>
            <w:r>
              <w:rPr>
                <w:rFonts w:ascii="Times New Roman" w:hAnsi="Times New Roman"/>
                <w:sz w:val="28"/>
                <w:szCs w:val="28"/>
              </w:rPr>
              <w:t>5</w:t>
            </w:r>
            <w:r w:rsidRPr="00904F65">
              <w:rPr>
                <w:rFonts w:ascii="Century" w:hAnsi="Century"/>
                <w:sz w:val="28"/>
                <w:szCs w:val="28"/>
              </w:rPr>
              <w:t>,</w:t>
            </w:r>
            <w:r>
              <w:rPr>
                <w:rFonts w:ascii="Times New Roman" w:hAnsi="Times New Roman"/>
                <w:sz w:val="28"/>
                <w:szCs w:val="28"/>
              </w:rPr>
              <w:t>59</w:t>
            </w:r>
          </w:p>
        </w:tc>
        <w:tc>
          <w:tcPr>
            <w:tcW w:w="1134"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119</w:t>
            </w:r>
          </w:p>
        </w:tc>
        <w:tc>
          <w:tcPr>
            <w:tcW w:w="993"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123</w:t>
            </w:r>
          </w:p>
        </w:tc>
        <w:tc>
          <w:tcPr>
            <w:tcW w:w="2551"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2</w:t>
            </w:r>
            <w:r w:rsidRPr="00904F65">
              <w:rPr>
                <w:rFonts w:ascii="Century" w:hAnsi="Century"/>
                <w:sz w:val="28"/>
                <w:szCs w:val="28"/>
              </w:rPr>
              <w:t>,</w:t>
            </w:r>
            <w:r>
              <w:rPr>
                <w:rFonts w:ascii="Times New Roman" w:hAnsi="Times New Roman"/>
                <w:sz w:val="28"/>
                <w:szCs w:val="28"/>
              </w:rPr>
              <w:t>72 (1</w:t>
            </w:r>
            <w:r w:rsidRPr="00904F65">
              <w:rPr>
                <w:rFonts w:ascii="Century" w:hAnsi="Century"/>
                <w:sz w:val="28"/>
                <w:szCs w:val="28"/>
              </w:rPr>
              <w:t>,</w:t>
            </w:r>
            <w:r>
              <w:rPr>
                <w:rFonts w:ascii="Times New Roman" w:hAnsi="Times New Roman"/>
                <w:sz w:val="28"/>
                <w:szCs w:val="28"/>
              </w:rPr>
              <w:t>88-3</w:t>
            </w:r>
            <w:r w:rsidRPr="00904F65">
              <w:rPr>
                <w:rFonts w:ascii="Century" w:hAnsi="Century"/>
                <w:sz w:val="28"/>
                <w:szCs w:val="28"/>
              </w:rPr>
              <w:t>,</w:t>
            </w:r>
            <w:r>
              <w:rPr>
                <w:rFonts w:ascii="Times New Roman" w:hAnsi="Times New Roman"/>
                <w:sz w:val="28"/>
                <w:szCs w:val="28"/>
              </w:rPr>
              <w:t>93)</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2F43CD" w:rsidRDefault="002F43CD">
            <w:pPr>
              <w:rPr>
                <w:rFonts w:ascii="Times New Roman" w:hAnsi="Times New Roman"/>
                <w:sz w:val="28"/>
                <w:szCs w:val="28"/>
              </w:rPr>
            </w:pPr>
          </w:p>
        </w:tc>
      </w:tr>
      <w:tr w:rsidR="002F43CD" w:rsidTr="000C6D38">
        <w:trPr>
          <w:trHeight w:val="330"/>
        </w:trPr>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2F43CD" w:rsidRDefault="002F43CD">
            <w:pPr>
              <w:jc w:val="center"/>
              <w:rPr>
                <w:rFonts w:ascii="Times New Roman" w:hAnsi="Times New Roman"/>
                <w:sz w:val="28"/>
                <w:szCs w:val="28"/>
              </w:rPr>
            </w:pPr>
            <w:r>
              <w:rPr>
                <w:rFonts w:ascii="Times New Roman" w:hAnsi="Times New Roman"/>
                <w:sz w:val="28"/>
                <w:szCs w:val="28"/>
              </w:rPr>
              <w:t xml:space="preserve">Инсулин, мкМЕ/мл </w:t>
            </w:r>
          </w:p>
        </w:tc>
        <w:tc>
          <w:tcPr>
            <w:tcW w:w="1559"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≤24,9</w:t>
            </w:r>
          </w:p>
        </w:tc>
        <w:tc>
          <w:tcPr>
            <w:tcW w:w="1134"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311</w:t>
            </w:r>
          </w:p>
        </w:tc>
        <w:tc>
          <w:tcPr>
            <w:tcW w:w="993"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153</w:t>
            </w:r>
          </w:p>
        </w:tc>
        <w:tc>
          <w:tcPr>
            <w:tcW w:w="2551" w:type="dxa"/>
            <w:tcBorders>
              <w:top w:val="single" w:sz="4" w:space="0" w:color="auto"/>
              <w:left w:val="single" w:sz="4" w:space="0" w:color="auto"/>
              <w:bottom w:val="single" w:sz="4" w:space="0" w:color="auto"/>
              <w:right w:val="single" w:sz="4" w:space="0" w:color="auto"/>
            </w:tcBorders>
          </w:tcPr>
          <w:p w:rsidR="002F43CD" w:rsidRDefault="002F43CD">
            <w:pPr>
              <w:jc w:val="center"/>
              <w:rPr>
                <w:rFonts w:ascii="Times New Roman" w:hAnsi="Times New Roman"/>
                <w:sz w:val="28"/>
                <w:szCs w:val="28"/>
              </w:rPr>
            </w:pPr>
          </w:p>
        </w:tc>
        <w:tc>
          <w:tcPr>
            <w:tcW w:w="1276" w:type="dxa"/>
            <w:vMerge w:val="restart"/>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0,0001</w:t>
            </w:r>
          </w:p>
        </w:tc>
      </w:tr>
      <w:tr w:rsidR="002F43CD" w:rsidTr="000C6D38">
        <w:trPr>
          <w:trHeight w:val="330"/>
        </w:trPr>
        <w:tc>
          <w:tcPr>
            <w:tcW w:w="1843" w:type="dxa"/>
            <w:vMerge/>
            <w:tcBorders>
              <w:top w:val="single" w:sz="4" w:space="0" w:color="auto"/>
              <w:left w:val="single" w:sz="4" w:space="0" w:color="auto"/>
              <w:bottom w:val="single" w:sz="4" w:space="0" w:color="auto"/>
              <w:right w:val="single" w:sz="4" w:space="0" w:color="auto"/>
            </w:tcBorders>
            <w:vAlign w:val="center"/>
            <w:hideMark/>
          </w:tcPr>
          <w:p w:rsidR="002F43CD" w:rsidRDefault="002F43CD">
            <w:pPr>
              <w:rPr>
                <w:rFonts w:ascii="Times New Roman" w:hAnsi="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&gt;24,9</w:t>
            </w:r>
          </w:p>
        </w:tc>
        <w:tc>
          <w:tcPr>
            <w:tcW w:w="1134"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0</w:t>
            </w:r>
          </w:p>
        </w:tc>
        <w:tc>
          <w:tcPr>
            <w:tcW w:w="993" w:type="dxa"/>
            <w:tcBorders>
              <w:top w:val="single" w:sz="4" w:space="0" w:color="auto"/>
              <w:left w:val="single" w:sz="4" w:space="0" w:color="auto"/>
              <w:bottom w:val="single" w:sz="4" w:space="0" w:color="auto"/>
              <w:right w:val="single" w:sz="4" w:space="0" w:color="auto"/>
            </w:tcBorders>
            <w:hideMark/>
          </w:tcPr>
          <w:p w:rsidR="002F43CD" w:rsidRDefault="002F43CD">
            <w:pPr>
              <w:jc w:val="center"/>
              <w:rPr>
                <w:rFonts w:ascii="Times New Roman" w:hAnsi="Times New Roman"/>
                <w:sz w:val="28"/>
                <w:szCs w:val="28"/>
              </w:rPr>
            </w:pPr>
            <w:r>
              <w:rPr>
                <w:rFonts w:ascii="Times New Roman" w:hAnsi="Times New Roman"/>
                <w:sz w:val="28"/>
                <w:szCs w:val="28"/>
              </w:rPr>
              <w:t>43</w:t>
            </w:r>
          </w:p>
        </w:tc>
        <w:tc>
          <w:tcPr>
            <w:tcW w:w="2551" w:type="dxa"/>
            <w:tcBorders>
              <w:top w:val="single" w:sz="4" w:space="0" w:color="auto"/>
              <w:left w:val="single" w:sz="4" w:space="0" w:color="auto"/>
              <w:bottom w:val="single" w:sz="4" w:space="0" w:color="auto"/>
              <w:right w:val="single" w:sz="4" w:space="0" w:color="auto"/>
            </w:tcBorders>
          </w:tcPr>
          <w:p w:rsidR="002F43CD" w:rsidRDefault="002F43CD">
            <w:pPr>
              <w:jc w:val="center"/>
              <w:rPr>
                <w:rFonts w:ascii="Times New Roman" w:hAnsi="Times New Roman"/>
                <w:sz w:val="28"/>
                <w:szCs w:val="28"/>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2F43CD" w:rsidRDefault="002F43CD">
            <w:pPr>
              <w:rPr>
                <w:rFonts w:ascii="Times New Roman" w:hAnsi="Times New Roman"/>
                <w:sz w:val="28"/>
                <w:szCs w:val="28"/>
              </w:rPr>
            </w:pPr>
          </w:p>
        </w:tc>
      </w:tr>
      <w:tr w:rsidR="002F43CD" w:rsidTr="000C6D38">
        <w:trPr>
          <w:trHeight w:val="451"/>
        </w:trPr>
        <w:tc>
          <w:tcPr>
            <w:tcW w:w="9356" w:type="dxa"/>
            <w:gridSpan w:val="6"/>
            <w:tcBorders>
              <w:top w:val="single" w:sz="4" w:space="0" w:color="auto"/>
              <w:left w:val="single" w:sz="4" w:space="0" w:color="auto"/>
              <w:bottom w:val="single" w:sz="4" w:space="0" w:color="auto"/>
              <w:right w:val="single" w:sz="4" w:space="0" w:color="auto"/>
            </w:tcBorders>
            <w:hideMark/>
          </w:tcPr>
          <w:p w:rsidR="00B219CA" w:rsidRDefault="002F43CD">
            <w:pPr>
              <w:jc w:val="both"/>
              <w:rPr>
                <w:rFonts w:ascii="Times New Roman" w:hAnsi="Times New Roman"/>
                <w:szCs w:val="24"/>
                <w:lang w:val="kk-KZ"/>
              </w:rPr>
            </w:pPr>
            <w:r>
              <w:rPr>
                <w:rFonts w:ascii="Times New Roman" w:hAnsi="Times New Roman"/>
                <w:szCs w:val="24"/>
              </w:rPr>
              <w:t>Примечание * - χ</w:t>
            </w:r>
            <w:r>
              <w:rPr>
                <w:rFonts w:ascii="Times New Roman" w:hAnsi="Times New Roman"/>
                <w:szCs w:val="24"/>
                <w:vertAlign w:val="superscript"/>
              </w:rPr>
              <w:t>2</w:t>
            </w:r>
            <w:r>
              <w:rPr>
                <w:rFonts w:ascii="Times New Roman" w:hAnsi="Times New Roman"/>
                <w:szCs w:val="24"/>
              </w:rPr>
              <w:t xml:space="preserve"> – хи квадрат Пирсона; </w:t>
            </w:r>
          </w:p>
          <w:p w:rsidR="002F43CD" w:rsidRDefault="002F43CD">
            <w:pPr>
              <w:jc w:val="both"/>
              <w:rPr>
                <w:rFonts w:ascii="Times New Roman" w:hAnsi="Times New Roman"/>
                <w:sz w:val="20"/>
                <w:szCs w:val="20"/>
              </w:rPr>
            </w:pPr>
            <w:r>
              <w:rPr>
                <w:rFonts w:ascii="Times New Roman" w:hAnsi="Times New Roman"/>
                <w:szCs w:val="24"/>
              </w:rPr>
              <w:t>ОШ (95% ДИ) – Отношение шансов (95% Доверительный интервал)</w:t>
            </w:r>
          </w:p>
        </w:tc>
      </w:tr>
    </w:tbl>
    <w:p w:rsidR="00D46BA1" w:rsidRDefault="00D46BA1" w:rsidP="00D46BA1">
      <w:pPr>
        <w:spacing w:after="0" w:line="240" w:lineRule="auto"/>
        <w:jc w:val="both"/>
        <w:rPr>
          <w:rFonts w:ascii="Times New Roman" w:hAnsi="Times New Roman" w:cs="Times New Roman"/>
          <w:sz w:val="28"/>
          <w:szCs w:val="28"/>
        </w:rPr>
      </w:pPr>
    </w:p>
    <w:p w:rsidR="00D46BA1" w:rsidRDefault="00764067" w:rsidP="0098045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Согласно полученных нами</w:t>
      </w:r>
      <w:r w:rsidR="00AB12B3">
        <w:rPr>
          <w:rFonts w:ascii="Times New Roman" w:hAnsi="Times New Roman" w:cs="Times New Roman"/>
          <w:sz w:val="28"/>
          <w:szCs w:val="28"/>
        </w:rPr>
        <w:t xml:space="preserve"> результат</w:t>
      </w:r>
      <w:r>
        <w:rPr>
          <w:rFonts w:ascii="Times New Roman" w:hAnsi="Times New Roman" w:cs="Times New Roman"/>
          <w:sz w:val="28"/>
          <w:szCs w:val="28"/>
        </w:rPr>
        <w:t>ов</w:t>
      </w:r>
      <w:r w:rsidR="00AB12B3">
        <w:rPr>
          <w:rFonts w:ascii="Times New Roman" w:hAnsi="Times New Roman" w:cs="Times New Roman"/>
          <w:sz w:val="28"/>
          <w:szCs w:val="28"/>
        </w:rPr>
        <w:t xml:space="preserve"> индекс ИР был </w:t>
      </w:r>
      <w:r w:rsidR="007114E7">
        <w:rPr>
          <w:rFonts w:ascii="Times New Roman" w:hAnsi="Times New Roman" w:cs="Times New Roman"/>
          <w:sz w:val="28"/>
          <w:szCs w:val="28"/>
        </w:rPr>
        <w:t xml:space="preserve">больше </w:t>
      </w:r>
      <w:r w:rsidR="00AB12B3">
        <w:rPr>
          <w:rFonts w:ascii="Times New Roman" w:hAnsi="Times New Roman" w:cs="Times New Roman"/>
          <w:sz w:val="28"/>
          <w:szCs w:val="28"/>
        </w:rPr>
        <w:t xml:space="preserve">связан с женским полом по сравнению с мужским полом. Результаты исследования позволяют рассматривать ИР </w:t>
      </w:r>
      <w:r>
        <w:rPr>
          <w:rFonts w:ascii="Times New Roman" w:hAnsi="Times New Roman" w:cs="Times New Roman"/>
          <w:sz w:val="28"/>
          <w:szCs w:val="28"/>
        </w:rPr>
        <w:t xml:space="preserve">в нашей выборке </w:t>
      </w:r>
      <w:r w:rsidR="00AB12B3">
        <w:rPr>
          <w:rFonts w:ascii="Times New Roman" w:hAnsi="Times New Roman" w:cs="Times New Roman"/>
          <w:sz w:val="28"/>
          <w:szCs w:val="28"/>
        </w:rPr>
        <w:t>как следствие особенностей национального питания и образа жизни. С целью улучшения качеств</w:t>
      </w:r>
      <w:r w:rsidR="007114E7">
        <w:rPr>
          <w:rFonts w:ascii="Times New Roman" w:hAnsi="Times New Roman" w:cs="Times New Roman"/>
          <w:sz w:val="28"/>
          <w:szCs w:val="28"/>
        </w:rPr>
        <w:t>а</w:t>
      </w:r>
      <w:r w:rsidR="00AB12B3">
        <w:rPr>
          <w:rFonts w:ascii="Times New Roman" w:hAnsi="Times New Roman" w:cs="Times New Roman"/>
          <w:sz w:val="28"/>
          <w:szCs w:val="28"/>
        </w:rPr>
        <w:t xml:space="preserve"> жизни </w:t>
      </w:r>
      <w:r w:rsidR="002532A8">
        <w:rPr>
          <w:rFonts w:ascii="Times New Roman" w:hAnsi="Times New Roman" w:cs="Times New Roman"/>
          <w:sz w:val="28"/>
          <w:szCs w:val="28"/>
        </w:rPr>
        <w:t>при разработке</w:t>
      </w:r>
      <w:r w:rsidR="00AB12B3">
        <w:rPr>
          <w:rFonts w:ascii="Times New Roman" w:hAnsi="Times New Roman" w:cs="Times New Roman"/>
          <w:sz w:val="28"/>
          <w:szCs w:val="28"/>
        </w:rPr>
        <w:t xml:space="preserve"> мер и стратеги</w:t>
      </w:r>
      <w:r>
        <w:rPr>
          <w:rFonts w:ascii="Times New Roman" w:hAnsi="Times New Roman" w:cs="Times New Roman"/>
          <w:sz w:val="28"/>
          <w:szCs w:val="28"/>
        </w:rPr>
        <w:t>й</w:t>
      </w:r>
      <w:r w:rsidR="00AB12B3">
        <w:rPr>
          <w:rFonts w:ascii="Times New Roman" w:hAnsi="Times New Roman" w:cs="Times New Roman"/>
          <w:sz w:val="28"/>
          <w:szCs w:val="28"/>
        </w:rPr>
        <w:t xml:space="preserve"> по профилактике и лечению метаболических нарушений, </w:t>
      </w:r>
      <w:r>
        <w:rPr>
          <w:rFonts w:ascii="Times New Roman" w:hAnsi="Times New Roman" w:cs="Times New Roman"/>
          <w:sz w:val="28"/>
          <w:szCs w:val="28"/>
        </w:rPr>
        <w:t>в разрезе конкретных</w:t>
      </w:r>
      <w:r w:rsidR="00AB12B3">
        <w:rPr>
          <w:rFonts w:ascii="Times New Roman" w:hAnsi="Times New Roman" w:cs="Times New Roman"/>
          <w:sz w:val="28"/>
          <w:szCs w:val="28"/>
        </w:rPr>
        <w:t xml:space="preserve"> этнически</w:t>
      </w:r>
      <w:r>
        <w:rPr>
          <w:rFonts w:ascii="Times New Roman" w:hAnsi="Times New Roman" w:cs="Times New Roman"/>
          <w:sz w:val="28"/>
          <w:szCs w:val="28"/>
        </w:rPr>
        <w:t>х популяций</w:t>
      </w:r>
      <w:r w:rsidR="00AB12B3">
        <w:rPr>
          <w:rFonts w:ascii="Times New Roman" w:hAnsi="Times New Roman" w:cs="Times New Roman"/>
          <w:sz w:val="28"/>
          <w:szCs w:val="28"/>
        </w:rPr>
        <w:t xml:space="preserve"> в </w:t>
      </w:r>
      <w:r w:rsidR="00353A56">
        <w:rPr>
          <w:rFonts w:ascii="Times New Roman" w:hAnsi="Times New Roman" w:cs="Times New Roman"/>
          <w:sz w:val="28"/>
          <w:szCs w:val="28"/>
        </w:rPr>
        <w:t>будущем,</w:t>
      </w:r>
      <w:r w:rsidR="00AB12B3">
        <w:rPr>
          <w:rFonts w:ascii="Times New Roman" w:hAnsi="Times New Roman" w:cs="Times New Roman"/>
          <w:sz w:val="28"/>
          <w:szCs w:val="28"/>
        </w:rPr>
        <w:t xml:space="preserve"> </w:t>
      </w:r>
      <w:r w:rsidR="00353A56">
        <w:rPr>
          <w:rFonts w:ascii="Times New Roman" w:hAnsi="Times New Roman" w:cs="Times New Roman"/>
          <w:sz w:val="28"/>
          <w:szCs w:val="28"/>
        </w:rPr>
        <w:t>возможно,</w:t>
      </w:r>
      <w:r w:rsidR="0063359B">
        <w:rPr>
          <w:rFonts w:ascii="Times New Roman" w:hAnsi="Times New Roman" w:cs="Times New Roman"/>
          <w:sz w:val="28"/>
          <w:szCs w:val="28"/>
          <w:lang w:val="kk-KZ"/>
        </w:rPr>
        <w:t xml:space="preserve"> </w:t>
      </w:r>
      <w:r w:rsidR="00AB12B3">
        <w:rPr>
          <w:rFonts w:ascii="Times New Roman" w:hAnsi="Times New Roman" w:cs="Times New Roman"/>
          <w:sz w:val="28"/>
          <w:szCs w:val="28"/>
        </w:rPr>
        <w:t xml:space="preserve">будут проводиться исследования, где </w:t>
      </w:r>
      <w:r>
        <w:rPr>
          <w:rFonts w:ascii="Times New Roman" w:hAnsi="Times New Roman" w:cs="Times New Roman"/>
          <w:sz w:val="28"/>
          <w:szCs w:val="28"/>
        </w:rPr>
        <w:t>на основании полученных</w:t>
      </w:r>
      <w:r w:rsidR="00AB12B3">
        <w:rPr>
          <w:rFonts w:ascii="Times New Roman" w:hAnsi="Times New Roman" w:cs="Times New Roman"/>
          <w:sz w:val="28"/>
          <w:szCs w:val="28"/>
        </w:rPr>
        <w:t xml:space="preserve"> результатов </w:t>
      </w:r>
      <w:r>
        <w:rPr>
          <w:rFonts w:ascii="Times New Roman" w:hAnsi="Times New Roman" w:cs="Times New Roman"/>
          <w:sz w:val="28"/>
          <w:szCs w:val="28"/>
        </w:rPr>
        <w:t xml:space="preserve">контроля ИР будет </w:t>
      </w:r>
      <w:r w:rsidR="00AB12B3">
        <w:rPr>
          <w:rFonts w:ascii="Times New Roman" w:hAnsi="Times New Roman" w:cs="Times New Roman"/>
          <w:sz w:val="28"/>
          <w:szCs w:val="28"/>
        </w:rPr>
        <w:t>сни</w:t>
      </w:r>
      <w:r>
        <w:rPr>
          <w:rFonts w:ascii="Times New Roman" w:hAnsi="Times New Roman" w:cs="Times New Roman"/>
          <w:sz w:val="28"/>
          <w:szCs w:val="28"/>
        </w:rPr>
        <w:t>жаться частота</w:t>
      </w:r>
      <w:r w:rsidR="00AB12B3">
        <w:rPr>
          <w:rFonts w:ascii="Times New Roman" w:hAnsi="Times New Roman" w:cs="Times New Roman"/>
          <w:sz w:val="28"/>
          <w:szCs w:val="28"/>
        </w:rPr>
        <w:t xml:space="preserve"> ра</w:t>
      </w:r>
      <w:r>
        <w:rPr>
          <w:rFonts w:ascii="Times New Roman" w:hAnsi="Times New Roman" w:cs="Times New Roman"/>
          <w:sz w:val="28"/>
          <w:szCs w:val="28"/>
        </w:rPr>
        <w:t>звития</w:t>
      </w:r>
      <w:r w:rsidR="00AB12B3">
        <w:rPr>
          <w:rFonts w:ascii="Times New Roman" w:hAnsi="Times New Roman" w:cs="Times New Roman"/>
          <w:sz w:val="28"/>
          <w:szCs w:val="28"/>
        </w:rPr>
        <w:t xml:space="preserve"> МС. </w:t>
      </w:r>
      <w:r>
        <w:rPr>
          <w:rFonts w:ascii="Times New Roman" w:hAnsi="Times New Roman" w:cs="Times New Roman"/>
          <w:sz w:val="28"/>
          <w:szCs w:val="28"/>
        </w:rPr>
        <w:t>Детекция и анализ совокупности</w:t>
      </w:r>
      <w:r w:rsidR="00AB12B3">
        <w:rPr>
          <w:rFonts w:ascii="Times New Roman" w:hAnsi="Times New Roman" w:cs="Times New Roman"/>
          <w:sz w:val="28"/>
          <w:szCs w:val="28"/>
        </w:rPr>
        <w:t xml:space="preserve"> показателей липидного обмена позволит </w:t>
      </w:r>
      <w:r>
        <w:rPr>
          <w:rFonts w:ascii="Times New Roman" w:hAnsi="Times New Roman" w:cs="Times New Roman"/>
          <w:sz w:val="28"/>
          <w:szCs w:val="28"/>
        </w:rPr>
        <w:t xml:space="preserve">улучшить </w:t>
      </w:r>
      <w:r w:rsidR="00AB12B3">
        <w:rPr>
          <w:rFonts w:ascii="Times New Roman" w:hAnsi="Times New Roman" w:cs="Times New Roman"/>
          <w:sz w:val="28"/>
          <w:szCs w:val="28"/>
        </w:rPr>
        <w:t>ранее обнаружение ИР у здоровых лиц для выбора правильной тактики коррекции липидного и углеводного обмена, как своевременн</w:t>
      </w:r>
      <w:r>
        <w:rPr>
          <w:rFonts w:ascii="Times New Roman" w:hAnsi="Times New Roman" w:cs="Times New Roman"/>
          <w:sz w:val="28"/>
          <w:szCs w:val="28"/>
        </w:rPr>
        <w:t>ой</w:t>
      </w:r>
      <w:r w:rsidR="00AB12B3">
        <w:rPr>
          <w:rFonts w:ascii="Times New Roman" w:hAnsi="Times New Roman" w:cs="Times New Roman"/>
          <w:sz w:val="28"/>
          <w:szCs w:val="28"/>
        </w:rPr>
        <w:t xml:space="preserve"> профилактик</w:t>
      </w:r>
      <w:r>
        <w:rPr>
          <w:rFonts w:ascii="Times New Roman" w:hAnsi="Times New Roman" w:cs="Times New Roman"/>
          <w:sz w:val="28"/>
          <w:szCs w:val="28"/>
        </w:rPr>
        <w:t>и</w:t>
      </w:r>
      <w:r w:rsidR="00AB12B3">
        <w:rPr>
          <w:rFonts w:ascii="Times New Roman" w:hAnsi="Times New Roman" w:cs="Times New Roman"/>
          <w:sz w:val="28"/>
          <w:szCs w:val="28"/>
        </w:rPr>
        <w:t xml:space="preserve"> СД и МС. </w:t>
      </w:r>
    </w:p>
    <w:p w:rsidR="0098045F" w:rsidRDefault="0098045F" w:rsidP="00AB12B3">
      <w:pPr>
        <w:spacing w:after="0" w:line="240" w:lineRule="auto"/>
        <w:jc w:val="both"/>
        <w:rPr>
          <w:rFonts w:ascii="Times New Roman" w:hAnsi="Times New Roman" w:cs="Times New Roman"/>
          <w:sz w:val="28"/>
          <w:szCs w:val="28"/>
        </w:rPr>
      </w:pPr>
    </w:p>
    <w:p w:rsidR="00AB12B3" w:rsidRPr="00283A43" w:rsidRDefault="00AB12B3" w:rsidP="00AB12B3">
      <w:pPr>
        <w:spacing w:after="0" w:line="240" w:lineRule="auto"/>
        <w:jc w:val="both"/>
        <w:rPr>
          <w:rFonts w:ascii="Times New Roman" w:hAnsi="Times New Roman" w:cs="Times New Roman"/>
          <w:i/>
          <w:sz w:val="28"/>
          <w:szCs w:val="28"/>
        </w:rPr>
      </w:pPr>
      <w:r>
        <w:rPr>
          <w:rFonts w:ascii="Times New Roman" w:hAnsi="Times New Roman" w:cs="Times New Roman"/>
          <w:sz w:val="28"/>
          <w:szCs w:val="28"/>
        </w:rPr>
        <w:lastRenderedPageBreak/>
        <w:tab/>
      </w:r>
      <w:r w:rsidRPr="00283A43">
        <w:rPr>
          <w:rFonts w:ascii="Times New Roman" w:hAnsi="Times New Roman" w:cs="Times New Roman"/>
          <w:i/>
          <w:sz w:val="28"/>
          <w:szCs w:val="28"/>
        </w:rPr>
        <w:t>Корреляционная связь показателей липидного и углеводного обмена</w:t>
      </w:r>
    </w:p>
    <w:p w:rsidR="00AB12B3" w:rsidRPr="00283A43" w:rsidRDefault="00AB12B3" w:rsidP="00AB12B3">
      <w:pPr>
        <w:spacing w:after="0" w:line="240" w:lineRule="auto"/>
        <w:ind w:firstLine="708"/>
        <w:jc w:val="both"/>
        <w:rPr>
          <w:rFonts w:ascii="Times New Roman" w:hAnsi="Times New Roman" w:cs="Times New Roman"/>
          <w:sz w:val="28"/>
          <w:szCs w:val="28"/>
        </w:rPr>
      </w:pPr>
      <w:r w:rsidRPr="00283A43">
        <w:rPr>
          <w:rFonts w:ascii="Times New Roman" w:hAnsi="Times New Roman" w:cs="Times New Roman"/>
          <w:sz w:val="28"/>
          <w:szCs w:val="28"/>
        </w:rPr>
        <w:t>При проведении корреляционного анализа между факторами риска и биохимическими показателями были выявлены очень слабые отрицательные статистически значимые связи между уровнями ОХС и САД (r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=-0,1; p=0,012), ДАД (r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=-0,1; p=0,02), возраст (r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=-0,1; p=0,01). Также между уровнями ТГ и ИМТ (r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=0,</w:t>
      </w:r>
      <w:r w:rsidR="00523509" w:rsidRPr="00283A43">
        <w:rPr>
          <w:rFonts w:ascii="Times New Roman" w:hAnsi="Times New Roman" w:cs="Times New Roman"/>
          <w:sz w:val="28"/>
          <w:szCs w:val="28"/>
        </w:rPr>
        <w:t>1</w:t>
      </w:r>
      <w:r w:rsidRPr="00283A43">
        <w:rPr>
          <w:rFonts w:ascii="Times New Roman" w:hAnsi="Times New Roman" w:cs="Times New Roman"/>
          <w:sz w:val="28"/>
          <w:szCs w:val="28"/>
        </w:rPr>
        <w:t>; p=0,0001), возраст (r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 xml:space="preserve">=0,1; p=0,003) были обнаружены очень слабые </w:t>
      </w:r>
      <w:r w:rsidR="00564368">
        <w:rPr>
          <w:rFonts w:ascii="Times New Roman" w:hAnsi="Times New Roman" w:cs="Times New Roman"/>
          <w:sz w:val="28"/>
          <w:szCs w:val="28"/>
        </w:rPr>
        <w:t xml:space="preserve">статистически </w:t>
      </w:r>
      <w:r w:rsidRPr="00283A43">
        <w:rPr>
          <w:rFonts w:ascii="Times New Roman" w:hAnsi="Times New Roman" w:cs="Times New Roman"/>
          <w:sz w:val="28"/>
          <w:szCs w:val="28"/>
        </w:rPr>
        <w:t xml:space="preserve">значимые связи. </w:t>
      </w:r>
      <w:r w:rsidR="00564368">
        <w:rPr>
          <w:rFonts w:ascii="Times New Roman" w:hAnsi="Times New Roman" w:cs="Times New Roman"/>
          <w:sz w:val="28"/>
          <w:szCs w:val="28"/>
        </w:rPr>
        <w:t>Анализ с</w:t>
      </w:r>
      <w:r w:rsidRPr="00283A43">
        <w:rPr>
          <w:rFonts w:ascii="Times New Roman" w:hAnsi="Times New Roman" w:cs="Times New Roman"/>
          <w:sz w:val="28"/>
          <w:szCs w:val="28"/>
        </w:rPr>
        <w:t xml:space="preserve"> другими факторами риска и биохимическими показателями </w:t>
      </w:r>
      <w:r w:rsidR="003A7932" w:rsidRPr="00283A43">
        <w:rPr>
          <w:rFonts w:ascii="Times New Roman" w:hAnsi="Times New Roman" w:cs="Times New Roman"/>
          <w:sz w:val="28"/>
          <w:szCs w:val="28"/>
        </w:rPr>
        <w:t>ассоциации</w:t>
      </w:r>
      <w:r w:rsidRPr="00283A43">
        <w:rPr>
          <w:rFonts w:ascii="Times New Roman" w:hAnsi="Times New Roman" w:cs="Times New Roman"/>
          <w:sz w:val="28"/>
          <w:szCs w:val="28"/>
        </w:rPr>
        <w:t xml:space="preserve"> не </w:t>
      </w:r>
      <w:r w:rsidR="00564368">
        <w:rPr>
          <w:rFonts w:ascii="Times New Roman" w:hAnsi="Times New Roman" w:cs="Times New Roman"/>
          <w:sz w:val="28"/>
          <w:szCs w:val="28"/>
        </w:rPr>
        <w:t>выявлен</w:t>
      </w:r>
      <w:r w:rsidRPr="00283A43">
        <w:rPr>
          <w:rFonts w:ascii="Times New Roman" w:hAnsi="Times New Roman" w:cs="Times New Roman"/>
          <w:sz w:val="28"/>
          <w:szCs w:val="28"/>
        </w:rPr>
        <w:t xml:space="preserve">ы. </w:t>
      </w:r>
      <w:r w:rsidR="00F851B7">
        <w:rPr>
          <w:rFonts w:ascii="Times New Roman" w:hAnsi="Times New Roman" w:cs="Times New Roman"/>
          <w:sz w:val="28"/>
          <w:szCs w:val="28"/>
        </w:rPr>
        <w:t>Данны</w:t>
      </w:r>
      <w:r w:rsidR="00353A56">
        <w:rPr>
          <w:rFonts w:ascii="Times New Roman" w:hAnsi="Times New Roman" w:cs="Times New Roman"/>
          <w:sz w:val="28"/>
          <w:szCs w:val="28"/>
        </w:rPr>
        <w:t>е</w:t>
      </w:r>
      <w:r w:rsidR="00F851B7">
        <w:rPr>
          <w:rFonts w:ascii="Times New Roman" w:hAnsi="Times New Roman" w:cs="Times New Roman"/>
          <w:sz w:val="28"/>
          <w:szCs w:val="28"/>
        </w:rPr>
        <w:t xml:space="preserve"> по статистически</w:t>
      </w:r>
      <w:r w:rsidRPr="00283A43">
        <w:rPr>
          <w:rFonts w:ascii="Times New Roman" w:hAnsi="Times New Roman" w:cs="Times New Roman"/>
          <w:sz w:val="28"/>
          <w:szCs w:val="28"/>
        </w:rPr>
        <w:t xml:space="preserve"> значимы</w:t>
      </w:r>
      <w:r w:rsidR="00F851B7">
        <w:rPr>
          <w:rFonts w:ascii="Times New Roman" w:hAnsi="Times New Roman" w:cs="Times New Roman"/>
          <w:sz w:val="28"/>
          <w:szCs w:val="28"/>
        </w:rPr>
        <w:t>м</w:t>
      </w:r>
      <w:r w:rsidRPr="00283A43">
        <w:rPr>
          <w:rFonts w:ascii="Times New Roman" w:hAnsi="Times New Roman" w:cs="Times New Roman"/>
          <w:sz w:val="28"/>
          <w:szCs w:val="28"/>
        </w:rPr>
        <w:t xml:space="preserve"> корреляционны</w:t>
      </w:r>
      <w:r w:rsidR="00F851B7">
        <w:rPr>
          <w:rFonts w:ascii="Times New Roman" w:hAnsi="Times New Roman" w:cs="Times New Roman"/>
          <w:sz w:val="28"/>
          <w:szCs w:val="28"/>
        </w:rPr>
        <w:t>м связям</w:t>
      </w:r>
      <w:r w:rsidRPr="00283A43">
        <w:rPr>
          <w:rFonts w:ascii="Times New Roman" w:hAnsi="Times New Roman" w:cs="Times New Roman"/>
          <w:sz w:val="28"/>
          <w:szCs w:val="28"/>
        </w:rPr>
        <w:t xml:space="preserve"> между группами биохимических показателей представлены в таблице 4</w:t>
      </w:r>
      <w:r w:rsidR="003C0BEF">
        <w:rPr>
          <w:rFonts w:ascii="Times New Roman" w:hAnsi="Times New Roman" w:cs="Times New Roman"/>
          <w:sz w:val="28"/>
          <w:szCs w:val="28"/>
          <w:lang w:val="kk-KZ"/>
        </w:rPr>
        <w:t>9</w:t>
      </w:r>
      <w:r w:rsidRPr="00283A43">
        <w:rPr>
          <w:rFonts w:ascii="Times New Roman" w:hAnsi="Times New Roman" w:cs="Times New Roman"/>
          <w:sz w:val="28"/>
          <w:szCs w:val="28"/>
        </w:rPr>
        <w:t>.</w:t>
      </w:r>
    </w:p>
    <w:p w:rsidR="005737E6" w:rsidRPr="00283A43" w:rsidRDefault="005737E6" w:rsidP="00AB12B3">
      <w:pPr>
        <w:spacing w:after="0" w:line="240" w:lineRule="auto"/>
        <w:jc w:val="both"/>
        <w:rPr>
          <w:rFonts w:ascii="Times New Roman" w:hAnsi="Times New Roman" w:cs="Times New Roman"/>
          <w:sz w:val="28"/>
          <w:szCs w:val="28"/>
        </w:rPr>
      </w:pPr>
    </w:p>
    <w:p w:rsidR="00AB12B3" w:rsidRDefault="003C0BEF" w:rsidP="00AB12B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Таблица </w:t>
      </w:r>
      <w:r>
        <w:rPr>
          <w:rFonts w:ascii="Times New Roman" w:hAnsi="Times New Roman" w:cs="Times New Roman"/>
          <w:sz w:val="28"/>
          <w:szCs w:val="28"/>
          <w:lang w:val="kk-KZ"/>
        </w:rPr>
        <w:t>49</w:t>
      </w:r>
      <w:r w:rsidR="007A5C59" w:rsidRPr="00283A43">
        <w:rPr>
          <w:rFonts w:ascii="Times New Roman" w:hAnsi="Times New Roman" w:cs="Times New Roman"/>
          <w:sz w:val="28"/>
          <w:szCs w:val="28"/>
          <w:lang w:val="kk-KZ"/>
        </w:rPr>
        <w:t xml:space="preserve"> -</w:t>
      </w:r>
      <w:r w:rsidR="00AB12B3" w:rsidRPr="00283A43">
        <w:rPr>
          <w:rFonts w:ascii="Times New Roman" w:hAnsi="Times New Roman" w:cs="Times New Roman"/>
          <w:sz w:val="28"/>
          <w:szCs w:val="28"/>
        </w:rPr>
        <w:t xml:space="preserve"> Корреляционный анализ между биохимическими показателями</w:t>
      </w:r>
    </w:p>
    <w:p w:rsidR="00AD11CD" w:rsidRPr="00AD11CD" w:rsidRDefault="00AD11CD" w:rsidP="00AB12B3">
      <w:pPr>
        <w:spacing w:after="0" w:line="240" w:lineRule="auto"/>
        <w:jc w:val="both"/>
        <w:rPr>
          <w:rFonts w:ascii="Times New Roman" w:hAnsi="Times New Roman" w:cs="Times New Roman"/>
          <w:sz w:val="28"/>
          <w:szCs w:val="28"/>
          <w:lang w:val="kk-KZ"/>
        </w:rPr>
      </w:pPr>
    </w:p>
    <w:tbl>
      <w:tblPr>
        <w:tblStyle w:val="af7"/>
        <w:tblW w:w="0" w:type="auto"/>
        <w:tblInd w:w="108" w:type="dxa"/>
        <w:tblLook w:val="04A0" w:firstRow="1" w:lastRow="0" w:firstColumn="1" w:lastColumn="0" w:noHBand="0" w:noVBand="1"/>
      </w:tblPr>
      <w:tblGrid>
        <w:gridCol w:w="1642"/>
        <w:gridCol w:w="1312"/>
        <w:gridCol w:w="1254"/>
        <w:gridCol w:w="1013"/>
        <w:gridCol w:w="1325"/>
        <w:gridCol w:w="1236"/>
        <w:gridCol w:w="1681"/>
      </w:tblGrid>
      <w:tr w:rsidR="00523509" w:rsidRPr="00283A43" w:rsidTr="00105E91">
        <w:trPr>
          <w:trHeight w:val="636"/>
        </w:trPr>
        <w:tc>
          <w:tcPr>
            <w:tcW w:w="1642"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Параметры</w:t>
            </w:r>
          </w:p>
        </w:tc>
        <w:tc>
          <w:tcPr>
            <w:tcW w:w="1312"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ОХС</w:t>
            </w:r>
          </w:p>
          <w:p w:rsidR="00523509" w:rsidRPr="00283A43" w:rsidRDefault="00523509">
            <w:pPr>
              <w:jc w:val="center"/>
              <w:rPr>
                <w:rFonts w:ascii="Times New Roman" w:hAnsi="Times New Roman"/>
                <w:sz w:val="28"/>
                <w:szCs w:val="28"/>
              </w:rPr>
            </w:pPr>
            <w:r w:rsidRPr="00283A43">
              <w:rPr>
                <w:rFonts w:ascii="Times New Roman" w:hAnsi="Times New Roman"/>
                <w:sz w:val="28"/>
                <w:szCs w:val="28"/>
                <w:lang w:val="en-US"/>
              </w:rPr>
              <w:t>r</w:t>
            </w:r>
            <w:r w:rsidRPr="00283A43">
              <w:rPr>
                <w:rFonts w:ascii="Times New Roman" w:hAnsi="Times New Roman"/>
                <w:sz w:val="28"/>
                <w:szCs w:val="28"/>
                <w:vertAlign w:val="subscript"/>
                <w:lang w:val="en-US"/>
              </w:rPr>
              <w:t>S</w:t>
            </w:r>
            <w:r w:rsidRPr="00283A43">
              <w:rPr>
                <w:rFonts w:ascii="Times New Roman" w:hAnsi="Times New Roman"/>
                <w:sz w:val="28"/>
                <w:szCs w:val="28"/>
              </w:rPr>
              <w:t>; р</w:t>
            </w:r>
          </w:p>
        </w:tc>
        <w:tc>
          <w:tcPr>
            <w:tcW w:w="1254"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ТГ</w:t>
            </w:r>
          </w:p>
          <w:p w:rsidR="00523509" w:rsidRPr="00283A43" w:rsidRDefault="00523509">
            <w:pPr>
              <w:jc w:val="center"/>
              <w:rPr>
                <w:rFonts w:ascii="Times New Roman" w:hAnsi="Times New Roman"/>
                <w:sz w:val="28"/>
                <w:szCs w:val="28"/>
              </w:rPr>
            </w:pPr>
            <w:r w:rsidRPr="00283A43">
              <w:rPr>
                <w:rFonts w:ascii="Times New Roman" w:hAnsi="Times New Roman"/>
                <w:sz w:val="28"/>
                <w:szCs w:val="28"/>
                <w:lang w:val="en-US"/>
              </w:rPr>
              <w:t>r</w:t>
            </w:r>
            <w:r w:rsidRPr="00283A43">
              <w:rPr>
                <w:rFonts w:ascii="Times New Roman" w:hAnsi="Times New Roman"/>
                <w:sz w:val="28"/>
                <w:szCs w:val="28"/>
                <w:vertAlign w:val="subscript"/>
                <w:lang w:val="en-US"/>
              </w:rPr>
              <w:t>S</w:t>
            </w:r>
            <w:r w:rsidRPr="00283A43">
              <w:rPr>
                <w:rFonts w:ascii="Times New Roman" w:hAnsi="Times New Roman"/>
                <w:sz w:val="28"/>
                <w:szCs w:val="28"/>
              </w:rPr>
              <w:t>; р</w:t>
            </w:r>
          </w:p>
        </w:tc>
        <w:tc>
          <w:tcPr>
            <w:tcW w:w="1013" w:type="dxa"/>
            <w:tcBorders>
              <w:top w:val="single" w:sz="4" w:space="0" w:color="auto"/>
              <w:left w:val="single" w:sz="4" w:space="0" w:color="auto"/>
              <w:bottom w:val="single" w:sz="4" w:space="0" w:color="auto"/>
              <w:right w:val="single" w:sz="4" w:space="0" w:color="auto"/>
            </w:tcBorders>
          </w:tcPr>
          <w:p w:rsidR="006D7E91" w:rsidRPr="00283A43" w:rsidRDefault="006D7E91" w:rsidP="006D7E91">
            <w:pPr>
              <w:jc w:val="center"/>
              <w:rPr>
                <w:rFonts w:ascii="Times New Roman" w:hAnsi="Times New Roman"/>
                <w:sz w:val="28"/>
                <w:szCs w:val="28"/>
              </w:rPr>
            </w:pPr>
            <w:r w:rsidRPr="00283A43">
              <w:rPr>
                <w:rFonts w:ascii="Times New Roman" w:hAnsi="Times New Roman"/>
                <w:sz w:val="28"/>
                <w:szCs w:val="28"/>
              </w:rPr>
              <w:t>ЛПНП</w:t>
            </w:r>
          </w:p>
          <w:p w:rsidR="00523509" w:rsidRPr="00283A43" w:rsidRDefault="006D7E91" w:rsidP="006D7E91">
            <w:pPr>
              <w:jc w:val="center"/>
              <w:rPr>
                <w:rFonts w:ascii="Times New Roman" w:hAnsi="Times New Roman"/>
                <w:sz w:val="28"/>
                <w:szCs w:val="28"/>
              </w:rPr>
            </w:pPr>
            <w:r w:rsidRPr="00283A43">
              <w:rPr>
                <w:rFonts w:ascii="Times New Roman" w:hAnsi="Times New Roman"/>
                <w:sz w:val="28"/>
                <w:szCs w:val="28"/>
                <w:lang w:val="en-US"/>
              </w:rPr>
              <w:t>r</w:t>
            </w:r>
            <w:r w:rsidRPr="00283A43">
              <w:rPr>
                <w:rFonts w:ascii="Times New Roman" w:hAnsi="Times New Roman"/>
                <w:sz w:val="28"/>
                <w:szCs w:val="28"/>
                <w:vertAlign w:val="subscript"/>
                <w:lang w:val="en-US"/>
              </w:rPr>
              <w:t>S</w:t>
            </w:r>
            <w:r w:rsidRPr="00283A43">
              <w:rPr>
                <w:rFonts w:ascii="Times New Roman" w:hAnsi="Times New Roman"/>
                <w:sz w:val="28"/>
                <w:szCs w:val="28"/>
              </w:rPr>
              <w:t>; р</w:t>
            </w:r>
          </w:p>
        </w:tc>
        <w:tc>
          <w:tcPr>
            <w:tcW w:w="1325"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апоВ</w:t>
            </w:r>
          </w:p>
          <w:p w:rsidR="00523509" w:rsidRPr="00283A43" w:rsidRDefault="00523509">
            <w:pPr>
              <w:jc w:val="center"/>
              <w:rPr>
                <w:rFonts w:ascii="Times New Roman" w:hAnsi="Times New Roman"/>
                <w:sz w:val="28"/>
                <w:szCs w:val="28"/>
              </w:rPr>
            </w:pPr>
            <w:r w:rsidRPr="00283A43">
              <w:rPr>
                <w:rFonts w:ascii="Times New Roman" w:hAnsi="Times New Roman"/>
                <w:sz w:val="28"/>
                <w:szCs w:val="28"/>
                <w:lang w:val="en-US"/>
              </w:rPr>
              <w:t>r</w:t>
            </w:r>
            <w:r w:rsidRPr="00283A43">
              <w:rPr>
                <w:rFonts w:ascii="Times New Roman" w:hAnsi="Times New Roman"/>
                <w:sz w:val="28"/>
                <w:szCs w:val="28"/>
                <w:vertAlign w:val="subscript"/>
                <w:lang w:val="en-US"/>
              </w:rPr>
              <w:t>S</w:t>
            </w:r>
            <w:r w:rsidRPr="00283A43">
              <w:rPr>
                <w:rFonts w:ascii="Times New Roman" w:hAnsi="Times New Roman"/>
                <w:sz w:val="28"/>
                <w:szCs w:val="28"/>
              </w:rPr>
              <w:t>; р</w:t>
            </w:r>
          </w:p>
        </w:tc>
        <w:tc>
          <w:tcPr>
            <w:tcW w:w="1236"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апоА1</w:t>
            </w:r>
          </w:p>
          <w:p w:rsidR="00523509" w:rsidRPr="00283A43" w:rsidRDefault="00523509">
            <w:pPr>
              <w:jc w:val="center"/>
              <w:rPr>
                <w:rFonts w:ascii="Times New Roman" w:hAnsi="Times New Roman"/>
                <w:sz w:val="28"/>
                <w:szCs w:val="28"/>
              </w:rPr>
            </w:pPr>
            <w:r w:rsidRPr="00283A43">
              <w:rPr>
                <w:rFonts w:ascii="Times New Roman" w:hAnsi="Times New Roman"/>
                <w:sz w:val="28"/>
                <w:szCs w:val="28"/>
                <w:lang w:val="en-US"/>
              </w:rPr>
              <w:t>r</w:t>
            </w:r>
            <w:r w:rsidRPr="00283A43">
              <w:rPr>
                <w:rFonts w:ascii="Times New Roman" w:hAnsi="Times New Roman"/>
                <w:sz w:val="28"/>
                <w:szCs w:val="28"/>
                <w:vertAlign w:val="subscript"/>
                <w:lang w:val="en-US"/>
              </w:rPr>
              <w:t>S</w:t>
            </w:r>
            <w:r w:rsidRPr="00283A43">
              <w:rPr>
                <w:rFonts w:ascii="Times New Roman" w:hAnsi="Times New Roman"/>
                <w:sz w:val="28"/>
                <w:szCs w:val="28"/>
              </w:rPr>
              <w:t>; р</w:t>
            </w:r>
          </w:p>
        </w:tc>
        <w:tc>
          <w:tcPr>
            <w:tcW w:w="1681"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апоВ/апоА1</w:t>
            </w:r>
          </w:p>
          <w:p w:rsidR="00523509" w:rsidRPr="00283A43" w:rsidRDefault="00523509">
            <w:pPr>
              <w:jc w:val="center"/>
              <w:rPr>
                <w:rFonts w:ascii="Times New Roman" w:hAnsi="Times New Roman"/>
                <w:sz w:val="28"/>
                <w:szCs w:val="28"/>
              </w:rPr>
            </w:pPr>
            <w:r w:rsidRPr="00283A43">
              <w:rPr>
                <w:rFonts w:ascii="Times New Roman" w:hAnsi="Times New Roman"/>
                <w:sz w:val="28"/>
                <w:szCs w:val="28"/>
                <w:lang w:val="en-US"/>
              </w:rPr>
              <w:t>r</w:t>
            </w:r>
            <w:r w:rsidRPr="00283A43">
              <w:rPr>
                <w:rFonts w:ascii="Times New Roman" w:hAnsi="Times New Roman"/>
                <w:sz w:val="28"/>
                <w:szCs w:val="28"/>
                <w:vertAlign w:val="subscript"/>
                <w:lang w:val="en-US"/>
              </w:rPr>
              <w:t>S</w:t>
            </w:r>
            <w:r w:rsidRPr="00283A43">
              <w:rPr>
                <w:rFonts w:ascii="Times New Roman" w:hAnsi="Times New Roman"/>
                <w:sz w:val="28"/>
                <w:szCs w:val="28"/>
              </w:rPr>
              <w:t>; р</w:t>
            </w:r>
          </w:p>
        </w:tc>
      </w:tr>
      <w:tr w:rsidR="00523509" w:rsidRPr="00283A43" w:rsidTr="00105E91">
        <w:trPr>
          <w:trHeight w:val="651"/>
        </w:trPr>
        <w:tc>
          <w:tcPr>
            <w:tcW w:w="1642"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ТГ</w:t>
            </w:r>
          </w:p>
        </w:tc>
        <w:tc>
          <w:tcPr>
            <w:tcW w:w="1312"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0,08;</w:t>
            </w:r>
          </w:p>
          <w:p w:rsidR="00523509" w:rsidRPr="00283A43" w:rsidRDefault="00523509">
            <w:pPr>
              <w:jc w:val="center"/>
              <w:rPr>
                <w:rFonts w:ascii="Times New Roman" w:hAnsi="Times New Roman"/>
                <w:sz w:val="28"/>
                <w:szCs w:val="28"/>
              </w:rPr>
            </w:pPr>
            <w:r w:rsidRPr="00283A43">
              <w:rPr>
                <w:rFonts w:ascii="Times New Roman" w:hAnsi="Times New Roman"/>
                <w:sz w:val="28"/>
                <w:szCs w:val="28"/>
              </w:rPr>
              <w:t>0,05</w:t>
            </w:r>
          </w:p>
        </w:tc>
        <w:tc>
          <w:tcPr>
            <w:tcW w:w="1254"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w:t>
            </w:r>
          </w:p>
        </w:tc>
        <w:tc>
          <w:tcPr>
            <w:tcW w:w="1013" w:type="dxa"/>
            <w:tcBorders>
              <w:top w:val="single" w:sz="4" w:space="0" w:color="auto"/>
              <w:left w:val="single" w:sz="4" w:space="0" w:color="auto"/>
              <w:bottom w:val="single" w:sz="4" w:space="0" w:color="auto"/>
              <w:right w:val="single" w:sz="4" w:space="0" w:color="auto"/>
            </w:tcBorders>
          </w:tcPr>
          <w:p w:rsidR="00523509" w:rsidRPr="00283A43" w:rsidRDefault="00013865">
            <w:pPr>
              <w:jc w:val="center"/>
              <w:rPr>
                <w:rFonts w:ascii="Times New Roman" w:hAnsi="Times New Roman"/>
                <w:sz w:val="28"/>
                <w:szCs w:val="28"/>
              </w:rPr>
            </w:pPr>
            <w:r w:rsidRPr="00283A43">
              <w:rPr>
                <w:rFonts w:ascii="Times New Roman" w:hAnsi="Times New Roman"/>
                <w:sz w:val="28"/>
                <w:szCs w:val="28"/>
              </w:rPr>
              <w:t>-</w:t>
            </w:r>
          </w:p>
        </w:tc>
        <w:tc>
          <w:tcPr>
            <w:tcW w:w="1325"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w:t>
            </w:r>
          </w:p>
        </w:tc>
        <w:tc>
          <w:tcPr>
            <w:tcW w:w="1236"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w:t>
            </w:r>
          </w:p>
        </w:tc>
        <w:tc>
          <w:tcPr>
            <w:tcW w:w="1681"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w:t>
            </w:r>
          </w:p>
        </w:tc>
      </w:tr>
      <w:tr w:rsidR="00523509" w:rsidRPr="00283A43" w:rsidTr="00105E91">
        <w:trPr>
          <w:trHeight w:val="636"/>
        </w:trPr>
        <w:tc>
          <w:tcPr>
            <w:tcW w:w="1642"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ЛПНП</w:t>
            </w:r>
          </w:p>
        </w:tc>
        <w:tc>
          <w:tcPr>
            <w:tcW w:w="1312" w:type="dxa"/>
            <w:tcBorders>
              <w:top w:val="single" w:sz="4" w:space="0" w:color="auto"/>
              <w:left w:val="single" w:sz="4" w:space="0" w:color="auto"/>
              <w:bottom w:val="single" w:sz="4" w:space="0" w:color="auto"/>
              <w:right w:val="single" w:sz="4" w:space="0" w:color="auto"/>
            </w:tcBorders>
            <w:hideMark/>
          </w:tcPr>
          <w:p w:rsidR="00523509" w:rsidRPr="00283A43" w:rsidRDefault="00523509" w:rsidP="0040435E">
            <w:pPr>
              <w:jc w:val="center"/>
              <w:rPr>
                <w:rFonts w:ascii="Times New Roman" w:hAnsi="Times New Roman"/>
                <w:sz w:val="28"/>
                <w:szCs w:val="28"/>
              </w:rPr>
            </w:pPr>
            <w:r w:rsidRPr="00283A43">
              <w:rPr>
                <w:rFonts w:ascii="Times New Roman" w:hAnsi="Times New Roman"/>
                <w:sz w:val="28"/>
                <w:szCs w:val="28"/>
              </w:rPr>
              <w:t>0,5; 0,0001</w:t>
            </w:r>
          </w:p>
        </w:tc>
        <w:tc>
          <w:tcPr>
            <w:tcW w:w="1254"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w:t>
            </w:r>
          </w:p>
        </w:tc>
        <w:tc>
          <w:tcPr>
            <w:tcW w:w="1013" w:type="dxa"/>
            <w:tcBorders>
              <w:top w:val="single" w:sz="4" w:space="0" w:color="auto"/>
              <w:left w:val="single" w:sz="4" w:space="0" w:color="auto"/>
              <w:bottom w:val="single" w:sz="4" w:space="0" w:color="auto"/>
              <w:right w:val="single" w:sz="4" w:space="0" w:color="auto"/>
            </w:tcBorders>
          </w:tcPr>
          <w:p w:rsidR="00523509" w:rsidRPr="00283A43" w:rsidRDefault="00013865">
            <w:pPr>
              <w:jc w:val="center"/>
              <w:rPr>
                <w:rFonts w:ascii="Times New Roman" w:hAnsi="Times New Roman"/>
                <w:sz w:val="28"/>
                <w:szCs w:val="28"/>
              </w:rPr>
            </w:pPr>
            <w:r w:rsidRPr="00283A43">
              <w:rPr>
                <w:rFonts w:ascii="Times New Roman" w:hAnsi="Times New Roman"/>
                <w:sz w:val="28"/>
                <w:szCs w:val="28"/>
              </w:rPr>
              <w:t>-</w:t>
            </w:r>
          </w:p>
        </w:tc>
        <w:tc>
          <w:tcPr>
            <w:tcW w:w="1325"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0,2;</w:t>
            </w:r>
          </w:p>
          <w:p w:rsidR="00523509" w:rsidRPr="00283A43" w:rsidRDefault="00523509">
            <w:pPr>
              <w:jc w:val="center"/>
              <w:rPr>
                <w:rFonts w:ascii="Times New Roman" w:hAnsi="Times New Roman"/>
                <w:sz w:val="28"/>
                <w:szCs w:val="28"/>
              </w:rPr>
            </w:pPr>
            <w:r w:rsidRPr="00283A43">
              <w:rPr>
                <w:rFonts w:ascii="Times New Roman" w:hAnsi="Times New Roman"/>
                <w:sz w:val="28"/>
                <w:szCs w:val="28"/>
              </w:rPr>
              <w:t xml:space="preserve"> 0,0001</w:t>
            </w:r>
          </w:p>
        </w:tc>
        <w:tc>
          <w:tcPr>
            <w:tcW w:w="1236" w:type="dxa"/>
            <w:tcBorders>
              <w:top w:val="single" w:sz="4" w:space="0" w:color="auto"/>
              <w:left w:val="single" w:sz="4" w:space="0" w:color="auto"/>
              <w:bottom w:val="single" w:sz="4" w:space="0" w:color="auto"/>
              <w:right w:val="single" w:sz="4" w:space="0" w:color="auto"/>
            </w:tcBorders>
            <w:hideMark/>
          </w:tcPr>
          <w:p w:rsidR="00523509" w:rsidRPr="00283A43" w:rsidRDefault="00523509" w:rsidP="0040435E">
            <w:pPr>
              <w:jc w:val="center"/>
              <w:rPr>
                <w:rFonts w:ascii="Times New Roman" w:hAnsi="Times New Roman"/>
                <w:sz w:val="28"/>
                <w:szCs w:val="28"/>
              </w:rPr>
            </w:pPr>
            <w:r w:rsidRPr="00283A43">
              <w:rPr>
                <w:rFonts w:ascii="Times New Roman" w:hAnsi="Times New Roman"/>
                <w:sz w:val="28"/>
                <w:szCs w:val="28"/>
              </w:rPr>
              <w:t>0,1; 0,002</w:t>
            </w:r>
          </w:p>
        </w:tc>
        <w:tc>
          <w:tcPr>
            <w:tcW w:w="1681"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w:t>
            </w:r>
          </w:p>
        </w:tc>
      </w:tr>
      <w:tr w:rsidR="00523509" w:rsidRPr="00283A43" w:rsidTr="00105E91">
        <w:trPr>
          <w:trHeight w:val="651"/>
        </w:trPr>
        <w:tc>
          <w:tcPr>
            <w:tcW w:w="1642"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ЛПВП</w:t>
            </w:r>
          </w:p>
        </w:tc>
        <w:tc>
          <w:tcPr>
            <w:tcW w:w="1312"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w:t>
            </w:r>
          </w:p>
        </w:tc>
        <w:tc>
          <w:tcPr>
            <w:tcW w:w="1254"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w:t>
            </w:r>
          </w:p>
        </w:tc>
        <w:tc>
          <w:tcPr>
            <w:tcW w:w="1013" w:type="dxa"/>
            <w:tcBorders>
              <w:top w:val="single" w:sz="4" w:space="0" w:color="auto"/>
              <w:left w:val="single" w:sz="4" w:space="0" w:color="auto"/>
              <w:bottom w:val="single" w:sz="4" w:space="0" w:color="auto"/>
              <w:right w:val="single" w:sz="4" w:space="0" w:color="auto"/>
            </w:tcBorders>
          </w:tcPr>
          <w:p w:rsidR="00523509" w:rsidRPr="00283A43" w:rsidRDefault="00013865">
            <w:pPr>
              <w:jc w:val="center"/>
              <w:rPr>
                <w:rFonts w:ascii="Times New Roman" w:hAnsi="Times New Roman"/>
                <w:sz w:val="28"/>
                <w:szCs w:val="28"/>
              </w:rPr>
            </w:pPr>
            <w:r w:rsidRPr="00283A43">
              <w:rPr>
                <w:rFonts w:ascii="Times New Roman" w:hAnsi="Times New Roman"/>
                <w:sz w:val="28"/>
                <w:szCs w:val="28"/>
              </w:rPr>
              <w:t>-</w:t>
            </w:r>
          </w:p>
        </w:tc>
        <w:tc>
          <w:tcPr>
            <w:tcW w:w="1325"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0,1;</w:t>
            </w:r>
          </w:p>
          <w:p w:rsidR="00523509" w:rsidRPr="00283A43" w:rsidRDefault="00523509">
            <w:pPr>
              <w:jc w:val="center"/>
              <w:rPr>
                <w:rFonts w:ascii="Times New Roman" w:hAnsi="Times New Roman"/>
                <w:sz w:val="28"/>
                <w:szCs w:val="28"/>
              </w:rPr>
            </w:pPr>
            <w:r w:rsidRPr="00283A43">
              <w:rPr>
                <w:rFonts w:ascii="Times New Roman" w:hAnsi="Times New Roman"/>
                <w:sz w:val="28"/>
                <w:szCs w:val="28"/>
              </w:rPr>
              <w:t xml:space="preserve"> 0,007</w:t>
            </w:r>
          </w:p>
        </w:tc>
        <w:tc>
          <w:tcPr>
            <w:tcW w:w="1236"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-0,1;</w:t>
            </w:r>
          </w:p>
          <w:p w:rsidR="00523509" w:rsidRPr="00283A43" w:rsidRDefault="00523509">
            <w:pPr>
              <w:jc w:val="center"/>
              <w:rPr>
                <w:rFonts w:ascii="Times New Roman" w:hAnsi="Times New Roman"/>
                <w:sz w:val="28"/>
                <w:szCs w:val="28"/>
              </w:rPr>
            </w:pPr>
            <w:r w:rsidRPr="00283A43">
              <w:rPr>
                <w:rFonts w:ascii="Times New Roman" w:hAnsi="Times New Roman"/>
                <w:sz w:val="28"/>
                <w:szCs w:val="28"/>
              </w:rPr>
              <w:t>0,03</w:t>
            </w:r>
          </w:p>
        </w:tc>
        <w:tc>
          <w:tcPr>
            <w:tcW w:w="1681"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0,</w:t>
            </w:r>
            <w:r w:rsidR="0040435E" w:rsidRPr="00283A43">
              <w:rPr>
                <w:rFonts w:ascii="Times New Roman" w:hAnsi="Times New Roman"/>
                <w:sz w:val="28"/>
                <w:szCs w:val="28"/>
              </w:rPr>
              <w:t>2</w:t>
            </w:r>
            <w:r w:rsidRPr="00283A43">
              <w:rPr>
                <w:rFonts w:ascii="Times New Roman" w:hAnsi="Times New Roman"/>
                <w:sz w:val="28"/>
                <w:szCs w:val="28"/>
              </w:rPr>
              <w:t xml:space="preserve">; </w:t>
            </w:r>
          </w:p>
          <w:p w:rsidR="00523509" w:rsidRPr="00283A43" w:rsidRDefault="00523509">
            <w:pPr>
              <w:jc w:val="center"/>
              <w:rPr>
                <w:rFonts w:ascii="Times New Roman" w:hAnsi="Times New Roman"/>
                <w:sz w:val="28"/>
                <w:szCs w:val="28"/>
              </w:rPr>
            </w:pPr>
            <w:r w:rsidRPr="00283A43">
              <w:rPr>
                <w:rFonts w:ascii="Times New Roman" w:hAnsi="Times New Roman"/>
                <w:sz w:val="28"/>
                <w:szCs w:val="28"/>
              </w:rPr>
              <w:t>0,0001</w:t>
            </w:r>
          </w:p>
        </w:tc>
      </w:tr>
      <w:tr w:rsidR="00523509" w:rsidRPr="00283A43" w:rsidTr="00105E91">
        <w:trPr>
          <w:trHeight w:val="651"/>
        </w:trPr>
        <w:tc>
          <w:tcPr>
            <w:tcW w:w="1642"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апоВ</w:t>
            </w:r>
          </w:p>
        </w:tc>
        <w:tc>
          <w:tcPr>
            <w:tcW w:w="1312"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 xml:space="preserve">0,2; </w:t>
            </w:r>
          </w:p>
          <w:p w:rsidR="00523509" w:rsidRPr="00283A43" w:rsidRDefault="00523509">
            <w:pPr>
              <w:jc w:val="center"/>
              <w:rPr>
                <w:rFonts w:ascii="Times New Roman" w:hAnsi="Times New Roman"/>
                <w:sz w:val="28"/>
                <w:szCs w:val="28"/>
              </w:rPr>
            </w:pPr>
            <w:r w:rsidRPr="00283A43">
              <w:rPr>
                <w:rFonts w:ascii="Times New Roman" w:hAnsi="Times New Roman"/>
                <w:sz w:val="28"/>
                <w:szCs w:val="28"/>
              </w:rPr>
              <w:t>0,001</w:t>
            </w:r>
          </w:p>
        </w:tc>
        <w:tc>
          <w:tcPr>
            <w:tcW w:w="1254"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0,4; 0,0001</w:t>
            </w:r>
          </w:p>
        </w:tc>
        <w:tc>
          <w:tcPr>
            <w:tcW w:w="1013" w:type="dxa"/>
            <w:tcBorders>
              <w:top w:val="single" w:sz="4" w:space="0" w:color="auto"/>
              <w:left w:val="single" w:sz="4" w:space="0" w:color="auto"/>
              <w:bottom w:val="single" w:sz="4" w:space="0" w:color="auto"/>
              <w:right w:val="single" w:sz="4" w:space="0" w:color="auto"/>
            </w:tcBorders>
          </w:tcPr>
          <w:p w:rsidR="00523509" w:rsidRPr="00283A43" w:rsidRDefault="00013865">
            <w:pPr>
              <w:jc w:val="center"/>
              <w:rPr>
                <w:rFonts w:ascii="Times New Roman" w:hAnsi="Times New Roman"/>
                <w:sz w:val="28"/>
                <w:szCs w:val="28"/>
              </w:rPr>
            </w:pPr>
            <w:r w:rsidRPr="00283A43">
              <w:rPr>
                <w:rFonts w:ascii="Times New Roman" w:hAnsi="Times New Roman"/>
                <w:sz w:val="28"/>
                <w:szCs w:val="28"/>
              </w:rPr>
              <w:t>-</w:t>
            </w:r>
          </w:p>
        </w:tc>
        <w:tc>
          <w:tcPr>
            <w:tcW w:w="1325"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w:t>
            </w:r>
          </w:p>
        </w:tc>
        <w:tc>
          <w:tcPr>
            <w:tcW w:w="1236"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w:t>
            </w:r>
          </w:p>
        </w:tc>
        <w:tc>
          <w:tcPr>
            <w:tcW w:w="1681"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w:t>
            </w:r>
          </w:p>
        </w:tc>
      </w:tr>
      <w:tr w:rsidR="00523509" w:rsidRPr="00283A43" w:rsidTr="00105E91">
        <w:trPr>
          <w:trHeight w:val="651"/>
        </w:trPr>
        <w:tc>
          <w:tcPr>
            <w:tcW w:w="1642"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апоА1</w:t>
            </w:r>
          </w:p>
        </w:tc>
        <w:tc>
          <w:tcPr>
            <w:tcW w:w="1312"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w:t>
            </w:r>
          </w:p>
        </w:tc>
        <w:tc>
          <w:tcPr>
            <w:tcW w:w="1254" w:type="dxa"/>
            <w:tcBorders>
              <w:top w:val="single" w:sz="4" w:space="0" w:color="auto"/>
              <w:left w:val="single" w:sz="4" w:space="0" w:color="auto"/>
              <w:bottom w:val="single" w:sz="4" w:space="0" w:color="auto"/>
              <w:right w:val="single" w:sz="4" w:space="0" w:color="auto"/>
            </w:tcBorders>
            <w:hideMark/>
          </w:tcPr>
          <w:p w:rsidR="00523509" w:rsidRPr="00283A43" w:rsidRDefault="00523509" w:rsidP="0040435E">
            <w:pPr>
              <w:jc w:val="center"/>
              <w:rPr>
                <w:rFonts w:ascii="Times New Roman" w:hAnsi="Times New Roman"/>
                <w:sz w:val="28"/>
                <w:szCs w:val="28"/>
              </w:rPr>
            </w:pPr>
            <w:r w:rsidRPr="00283A43">
              <w:rPr>
                <w:rFonts w:ascii="Times New Roman" w:hAnsi="Times New Roman"/>
                <w:sz w:val="28"/>
                <w:szCs w:val="28"/>
              </w:rPr>
              <w:t>-0,1; 0,001</w:t>
            </w:r>
          </w:p>
        </w:tc>
        <w:tc>
          <w:tcPr>
            <w:tcW w:w="1013" w:type="dxa"/>
            <w:tcBorders>
              <w:top w:val="single" w:sz="4" w:space="0" w:color="auto"/>
              <w:left w:val="single" w:sz="4" w:space="0" w:color="auto"/>
              <w:bottom w:val="single" w:sz="4" w:space="0" w:color="auto"/>
              <w:right w:val="single" w:sz="4" w:space="0" w:color="auto"/>
            </w:tcBorders>
          </w:tcPr>
          <w:p w:rsidR="00523509" w:rsidRPr="00283A43" w:rsidRDefault="00013865">
            <w:pPr>
              <w:jc w:val="center"/>
              <w:rPr>
                <w:rFonts w:ascii="Times New Roman" w:hAnsi="Times New Roman"/>
                <w:sz w:val="28"/>
                <w:szCs w:val="28"/>
              </w:rPr>
            </w:pPr>
            <w:r w:rsidRPr="00283A43">
              <w:rPr>
                <w:rFonts w:ascii="Times New Roman" w:hAnsi="Times New Roman"/>
                <w:sz w:val="28"/>
                <w:szCs w:val="28"/>
              </w:rPr>
              <w:t>-</w:t>
            </w:r>
          </w:p>
        </w:tc>
        <w:tc>
          <w:tcPr>
            <w:tcW w:w="1325"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-0,01; 0,027</w:t>
            </w:r>
          </w:p>
        </w:tc>
        <w:tc>
          <w:tcPr>
            <w:tcW w:w="1236"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w:t>
            </w:r>
          </w:p>
        </w:tc>
        <w:tc>
          <w:tcPr>
            <w:tcW w:w="1681" w:type="dxa"/>
            <w:tcBorders>
              <w:top w:val="single" w:sz="4" w:space="0" w:color="auto"/>
              <w:left w:val="single" w:sz="4" w:space="0" w:color="auto"/>
              <w:bottom w:val="single" w:sz="4" w:space="0" w:color="auto"/>
              <w:right w:val="single" w:sz="4" w:space="0" w:color="auto"/>
            </w:tcBorders>
            <w:hideMark/>
          </w:tcPr>
          <w:p w:rsidR="00523509" w:rsidRPr="00283A43" w:rsidRDefault="00523509">
            <w:pPr>
              <w:jc w:val="center"/>
              <w:rPr>
                <w:rFonts w:ascii="Times New Roman" w:hAnsi="Times New Roman"/>
                <w:sz w:val="28"/>
                <w:szCs w:val="28"/>
              </w:rPr>
            </w:pPr>
            <w:r w:rsidRPr="00283A43">
              <w:rPr>
                <w:rFonts w:ascii="Times New Roman" w:hAnsi="Times New Roman"/>
                <w:sz w:val="28"/>
                <w:szCs w:val="28"/>
              </w:rPr>
              <w:t>-</w:t>
            </w:r>
          </w:p>
        </w:tc>
      </w:tr>
      <w:tr w:rsidR="00105E91" w:rsidRPr="00283A43" w:rsidTr="00105E91">
        <w:trPr>
          <w:trHeight w:val="651"/>
        </w:trPr>
        <w:tc>
          <w:tcPr>
            <w:tcW w:w="1642" w:type="dxa"/>
            <w:tcBorders>
              <w:top w:val="single" w:sz="4" w:space="0" w:color="auto"/>
              <w:left w:val="single" w:sz="4" w:space="0" w:color="auto"/>
              <w:bottom w:val="single" w:sz="4" w:space="0" w:color="auto"/>
              <w:right w:val="single" w:sz="4" w:space="0" w:color="auto"/>
            </w:tcBorders>
          </w:tcPr>
          <w:p w:rsidR="00105E91" w:rsidRPr="00283A43" w:rsidRDefault="00105E91" w:rsidP="00F66CAF">
            <w:pPr>
              <w:jc w:val="center"/>
              <w:rPr>
                <w:rFonts w:ascii="Times New Roman" w:hAnsi="Times New Roman"/>
                <w:sz w:val="28"/>
                <w:szCs w:val="28"/>
              </w:rPr>
            </w:pPr>
            <w:r w:rsidRPr="00283A43">
              <w:rPr>
                <w:rFonts w:ascii="Times New Roman" w:hAnsi="Times New Roman"/>
                <w:sz w:val="28"/>
                <w:szCs w:val="28"/>
              </w:rPr>
              <w:t>глюкоза</w:t>
            </w:r>
          </w:p>
        </w:tc>
        <w:tc>
          <w:tcPr>
            <w:tcW w:w="1312" w:type="dxa"/>
            <w:tcBorders>
              <w:top w:val="single" w:sz="4" w:space="0" w:color="auto"/>
              <w:left w:val="single" w:sz="4" w:space="0" w:color="auto"/>
              <w:bottom w:val="single" w:sz="4" w:space="0" w:color="auto"/>
              <w:right w:val="single" w:sz="4" w:space="0" w:color="auto"/>
            </w:tcBorders>
          </w:tcPr>
          <w:p w:rsidR="00105E91" w:rsidRPr="00283A43" w:rsidRDefault="00105E91" w:rsidP="00F66CAF">
            <w:pPr>
              <w:jc w:val="center"/>
              <w:rPr>
                <w:rFonts w:ascii="Times New Roman" w:hAnsi="Times New Roman"/>
                <w:sz w:val="28"/>
                <w:szCs w:val="28"/>
              </w:rPr>
            </w:pPr>
            <w:r w:rsidRPr="00283A43">
              <w:rPr>
                <w:rFonts w:ascii="Times New Roman" w:hAnsi="Times New Roman"/>
                <w:sz w:val="28"/>
                <w:szCs w:val="28"/>
              </w:rPr>
              <w:t>-</w:t>
            </w:r>
          </w:p>
        </w:tc>
        <w:tc>
          <w:tcPr>
            <w:tcW w:w="1254" w:type="dxa"/>
            <w:tcBorders>
              <w:top w:val="single" w:sz="4" w:space="0" w:color="auto"/>
              <w:left w:val="single" w:sz="4" w:space="0" w:color="auto"/>
              <w:bottom w:val="single" w:sz="4" w:space="0" w:color="auto"/>
              <w:right w:val="single" w:sz="4" w:space="0" w:color="auto"/>
            </w:tcBorders>
          </w:tcPr>
          <w:p w:rsidR="00105E91" w:rsidRPr="00283A43" w:rsidRDefault="00105E91" w:rsidP="0040435E">
            <w:pPr>
              <w:jc w:val="center"/>
              <w:rPr>
                <w:rFonts w:ascii="Times New Roman" w:hAnsi="Times New Roman"/>
                <w:sz w:val="28"/>
                <w:szCs w:val="28"/>
              </w:rPr>
            </w:pPr>
            <w:r w:rsidRPr="00283A43">
              <w:rPr>
                <w:rFonts w:ascii="Times New Roman" w:hAnsi="Times New Roman"/>
                <w:sz w:val="28"/>
                <w:szCs w:val="28"/>
              </w:rPr>
              <w:t>0,1; 0,003</w:t>
            </w:r>
          </w:p>
        </w:tc>
        <w:tc>
          <w:tcPr>
            <w:tcW w:w="1013" w:type="dxa"/>
            <w:tcBorders>
              <w:top w:val="single" w:sz="4" w:space="0" w:color="auto"/>
              <w:left w:val="single" w:sz="4" w:space="0" w:color="auto"/>
              <w:bottom w:val="single" w:sz="4" w:space="0" w:color="auto"/>
              <w:right w:val="single" w:sz="4" w:space="0" w:color="auto"/>
            </w:tcBorders>
          </w:tcPr>
          <w:p w:rsidR="00105E91" w:rsidRPr="00283A43" w:rsidRDefault="0006539A" w:rsidP="00F66CAF">
            <w:pPr>
              <w:jc w:val="center"/>
              <w:rPr>
                <w:rFonts w:ascii="Times New Roman" w:hAnsi="Times New Roman"/>
                <w:sz w:val="28"/>
                <w:szCs w:val="28"/>
              </w:rPr>
            </w:pPr>
            <w:r>
              <w:rPr>
                <w:rFonts w:ascii="Times New Roman" w:hAnsi="Times New Roman"/>
                <w:sz w:val="28"/>
                <w:szCs w:val="28"/>
              </w:rPr>
              <w:t>-</w:t>
            </w:r>
          </w:p>
        </w:tc>
        <w:tc>
          <w:tcPr>
            <w:tcW w:w="1325" w:type="dxa"/>
            <w:tcBorders>
              <w:top w:val="single" w:sz="4" w:space="0" w:color="auto"/>
              <w:left w:val="single" w:sz="4" w:space="0" w:color="auto"/>
              <w:bottom w:val="single" w:sz="4" w:space="0" w:color="auto"/>
              <w:right w:val="single" w:sz="4" w:space="0" w:color="auto"/>
            </w:tcBorders>
          </w:tcPr>
          <w:p w:rsidR="00105E91" w:rsidRPr="00283A43" w:rsidRDefault="00105E91" w:rsidP="00F66CAF">
            <w:pPr>
              <w:jc w:val="center"/>
              <w:rPr>
                <w:rFonts w:ascii="Times New Roman" w:hAnsi="Times New Roman"/>
                <w:sz w:val="28"/>
                <w:szCs w:val="28"/>
              </w:rPr>
            </w:pPr>
            <w:r w:rsidRPr="00283A43">
              <w:rPr>
                <w:rFonts w:ascii="Times New Roman" w:hAnsi="Times New Roman"/>
                <w:sz w:val="28"/>
                <w:szCs w:val="28"/>
              </w:rPr>
              <w:t>-</w:t>
            </w:r>
          </w:p>
        </w:tc>
        <w:tc>
          <w:tcPr>
            <w:tcW w:w="1236" w:type="dxa"/>
            <w:tcBorders>
              <w:top w:val="single" w:sz="4" w:space="0" w:color="auto"/>
              <w:left w:val="single" w:sz="4" w:space="0" w:color="auto"/>
              <w:bottom w:val="single" w:sz="4" w:space="0" w:color="auto"/>
              <w:right w:val="single" w:sz="4" w:space="0" w:color="auto"/>
            </w:tcBorders>
          </w:tcPr>
          <w:p w:rsidR="00105E91" w:rsidRPr="00283A43" w:rsidRDefault="00105E91" w:rsidP="0040435E">
            <w:pPr>
              <w:jc w:val="center"/>
              <w:rPr>
                <w:rFonts w:ascii="Times New Roman" w:hAnsi="Times New Roman"/>
                <w:sz w:val="28"/>
                <w:szCs w:val="28"/>
              </w:rPr>
            </w:pPr>
            <w:r w:rsidRPr="00283A43">
              <w:rPr>
                <w:rFonts w:ascii="Times New Roman" w:hAnsi="Times New Roman"/>
                <w:sz w:val="28"/>
                <w:szCs w:val="28"/>
              </w:rPr>
              <w:t>-0,1; 0,01</w:t>
            </w:r>
          </w:p>
        </w:tc>
        <w:tc>
          <w:tcPr>
            <w:tcW w:w="1681" w:type="dxa"/>
            <w:tcBorders>
              <w:top w:val="single" w:sz="4" w:space="0" w:color="auto"/>
              <w:left w:val="single" w:sz="4" w:space="0" w:color="auto"/>
              <w:bottom w:val="single" w:sz="4" w:space="0" w:color="auto"/>
              <w:right w:val="single" w:sz="4" w:space="0" w:color="auto"/>
            </w:tcBorders>
          </w:tcPr>
          <w:p w:rsidR="00105E91" w:rsidRPr="00283A43" w:rsidRDefault="00105E91" w:rsidP="00F66CAF">
            <w:pPr>
              <w:jc w:val="center"/>
              <w:rPr>
                <w:rFonts w:ascii="Times New Roman" w:hAnsi="Times New Roman"/>
                <w:sz w:val="28"/>
                <w:szCs w:val="28"/>
              </w:rPr>
            </w:pPr>
            <w:r w:rsidRPr="00283A43">
              <w:rPr>
                <w:rFonts w:ascii="Times New Roman" w:hAnsi="Times New Roman"/>
                <w:sz w:val="28"/>
                <w:szCs w:val="28"/>
              </w:rPr>
              <w:t xml:space="preserve">0,1; </w:t>
            </w:r>
          </w:p>
          <w:p w:rsidR="00105E91" w:rsidRPr="00283A43" w:rsidRDefault="00105E91" w:rsidP="00F66CAF">
            <w:pPr>
              <w:jc w:val="center"/>
              <w:rPr>
                <w:rFonts w:ascii="Times New Roman" w:hAnsi="Times New Roman"/>
                <w:sz w:val="28"/>
                <w:szCs w:val="28"/>
              </w:rPr>
            </w:pPr>
            <w:r w:rsidRPr="00283A43">
              <w:rPr>
                <w:rFonts w:ascii="Times New Roman" w:hAnsi="Times New Roman"/>
                <w:sz w:val="28"/>
                <w:szCs w:val="28"/>
              </w:rPr>
              <w:t>0,004</w:t>
            </w:r>
          </w:p>
        </w:tc>
      </w:tr>
      <w:tr w:rsidR="00105E91" w:rsidRPr="00283A43" w:rsidTr="00105E91">
        <w:trPr>
          <w:trHeight w:val="651"/>
        </w:trPr>
        <w:tc>
          <w:tcPr>
            <w:tcW w:w="1642" w:type="dxa"/>
            <w:tcBorders>
              <w:top w:val="single" w:sz="4" w:space="0" w:color="auto"/>
              <w:left w:val="single" w:sz="4" w:space="0" w:color="auto"/>
              <w:bottom w:val="single" w:sz="4" w:space="0" w:color="auto"/>
              <w:right w:val="single" w:sz="4" w:space="0" w:color="auto"/>
            </w:tcBorders>
          </w:tcPr>
          <w:p w:rsidR="00105E91" w:rsidRPr="00283A43" w:rsidRDefault="00105E91" w:rsidP="00F66CAF">
            <w:pPr>
              <w:jc w:val="center"/>
              <w:rPr>
                <w:rFonts w:ascii="Times New Roman" w:hAnsi="Times New Roman"/>
                <w:sz w:val="28"/>
                <w:szCs w:val="28"/>
              </w:rPr>
            </w:pPr>
            <w:r w:rsidRPr="00283A43">
              <w:rPr>
                <w:rFonts w:ascii="Times New Roman" w:hAnsi="Times New Roman"/>
                <w:sz w:val="28"/>
                <w:szCs w:val="28"/>
              </w:rPr>
              <w:t>Инсулин</w:t>
            </w:r>
          </w:p>
        </w:tc>
        <w:tc>
          <w:tcPr>
            <w:tcW w:w="1312" w:type="dxa"/>
            <w:tcBorders>
              <w:top w:val="single" w:sz="4" w:space="0" w:color="auto"/>
              <w:left w:val="single" w:sz="4" w:space="0" w:color="auto"/>
              <w:bottom w:val="single" w:sz="4" w:space="0" w:color="auto"/>
              <w:right w:val="single" w:sz="4" w:space="0" w:color="auto"/>
            </w:tcBorders>
          </w:tcPr>
          <w:p w:rsidR="00105E91" w:rsidRPr="00283A43" w:rsidRDefault="00105E91" w:rsidP="00F66CAF">
            <w:pPr>
              <w:jc w:val="center"/>
              <w:rPr>
                <w:rFonts w:ascii="Times New Roman" w:hAnsi="Times New Roman"/>
                <w:sz w:val="28"/>
                <w:szCs w:val="28"/>
              </w:rPr>
            </w:pPr>
            <w:r w:rsidRPr="00283A43">
              <w:rPr>
                <w:rFonts w:ascii="Times New Roman" w:hAnsi="Times New Roman"/>
                <w:sz w:val="28"/>
                <w:szCs w:val="28"/>
              </w:rPr>
              <w:t>-0,1;</w:t>
            </w:r>
          </w:p>
          <w:p w:rsidR="00105E91" w:rsidRPr="00283A43" w:rsidRDefault="00105E91" w:rsidP="00F66CAF">
            <w:pPr>
              <w:jc w:val="center"/>
              <w:rPr>
                <w:rFonts w:ascii="Times New Roman" w:hAnsi="Times New Roman"/>
                <w:sz w:val="28"/>
                <w:szCs w:val="28"/>
              </w:rPr>
            </w:pPr>
            <w:r w:rsidRPr="00283A43">
              <w:rPr>
                <w:rFonts w:ascii="Times New Roman" w:hAnsi="Times New Roman"/>
                <w:sz w:val="28"/>
                <w:szCs w:val="28"/>
              </w:rPr>
              <w:t>0,05</w:t>
            </w:r>
          </w:p>
        </w:tc>
        <w:tc>
          <w:tcPr>
            <w:tcW w:w="1254" w:type="dxa"/>
            <w:tcBorders>
              <w:top w:val="single" w:sz="4" w:space="0" w:color="auto"/>
              <w:left w:val="single" w:sz="4" w:space="0" w:color="auto"/>
              <w:bottom w:val="single" w:sz="4" w:space="0" w:color="auto"/>
              <w:right w:val="single" w:sz="4" w:space="0" w:color="auto"/>
            </w:tcBorders>
          </w:tcPr>
          <w:p w:rsidR="00105E91" w:rsidRPr="00283A43" w:rsidRDefault="00105E91" w:rsidP="00F66CAF">
            <w:pPr>
              <w:jc w:val="center"/>
              <w:rPr>
                <w:rFonts w:ascii="Times New Roman" w:hAnsi="Times New Roman"/>
                <w:sz w:val="28"/>
                <w:szCs w:val="28"/>
              </w:rPr>
            </w:pPr>
            <w:r w:rsidRPr="00283A43">
              <w:rPr>
                <w:rFonts w:ascii="Times New Roman" w:hAnsi="Times New Roman"/>
                <w:sz w:val="28"/>
                <w:szCs w:val="28"/>
              </w:rPr>
              <w:t>0,3; 0,0001</w:t>
            </w:r>
          </w:p>
        </w:tc>
        <w:tc>
          <w:tcPr>
            <w:tcW w:w="1013" w:type="dxa"/>
            <w:tcBorders>
              <w:top w:val="single" w:sz="4" w:space="0" w:color="auto"/>
              <w:left w:val="single" w:sz="4" w:space="0" w:color="auto"/>
              <w:bottom w:val="single" w:sz="4" w:space="0" w:color="auto"/>
              <w:right w:val="single" w:sz="4" w:space="0" w:color="auto"/>
            </w:tcBorders>
          </w:tcPr>
          <w:p w:rsidR="00105E91" w:rsidRPr="00283A43" w:rsidRDefault="00105E91" w:rsidP="00F66CAF">
            <w:pPr>
              <w:jc w:val="center"/>
              <w:rPr>
                <w:rFonts w:ascii="Times New Roman" w:hAnsi="Times New Roman"/>
                <w:sz w:val="28"/>
                <w:szCs w:val="28"/>
              </w:rPr>
            </w:pPr>
            <w:r w:rsidRPr="00283A43">
              <w:rPr>
                <w:rFonts w:ascii="Times New Roman" w:hAnsi="Times New Roman"/>
                <w:sz w:val="28"/>
                <w:szCs w:val="28"/>
              </w:rPr>
              <w:t>-0,1;</w:t>
            </w:r>
          </w:p>
          <w:p w:rsidR="00105E91" w:rsidRPr="00283A43" w:rsidRDefault="00105E91" w:rsidP="00F66CAF">
            <w:pPr>
              <w:jc w:val="center"/>
              <w:rPr>
                <w:rFonts w:ascii="Times New Roman" w:hAnsi="Times New Roman"/>
                <w:sz w:val="28"/>
                <w:szCs w:val="28"/>
              </w:rPr>
            </w:pPr>
            <w:r w:rsidRPr="00283A43">
              <w:rPr>
                <w:rFonts w:ascii="Times New Roman" w:hAnsi="Times New Roman"/>
                <w:sz w:val="28"/>
                <w:szCs w:val="28"/>
              </w:rPr>
              <w:t>0,02</w:t>
            </w:r>
          </w:p>
        </w:tc>
        <w:tc>
          <w:tcPr>
            <w:tcW w:w="1325" w:type="dxa"/>
            <w:tcBorders>
              <w:top w:val="single" w:sz="4" w:space="0" w:color="auto"/>
              <w:left w:val="single" w:sz="4" w:space="0" w:color="auto"/>
              <w:bottom w:val="single" w:sz="4" w:space="0" w:color="auto"/>
              <w:right w:val="single" w:sz="4" w:space="0" w:color="auto"/>
            </w:tcBorders>
          </w:tcPr>
          <w:p w:rsidR="00105E91" w:rsidRPr="00283A43" w:rsidRDefault="00105E91" w:rsidP="00F66CAF">
            <w:pPr>
              <w:jc w:val="center"/>
              <w:rPr>
                <w:rFonts w:ascii="Times New Roman" w:hAnsi="Times New Roman"/>
                <w:sz w:val="28"/>
                <w:szCs w:val="28"/>
              </w:rPr>
            </w:pPr>
            <w:r w:rsidRPr="00283A43">
              <w:rPr>
                <w:rFonts w:ascii="Times New Roman" w:hAnsi="Times New Roman"/>
                <w:sz w:val="28"/>
                <w:szCs w:val="28"/>
              </w:rPr>
              <w:t>0,1;</w:t>
            </w:r>
          </w:p>
          <w:p w:rsidR="00105E91" w:rsidRPr="00283A43" w:rsidRDefault="00105E91" w:rsidP="00F66CAF">
            <w:pPr>
              <w:jc w:val="center"/>
              <w:rPr>
                <w:rFonts w:ascii="Times New Roman" w:hAnsi="Times New Roman"/>
                <w:sz w:val="28"/>
                <w:szCs w:val="28"/>
              </w:rPr>
            </w:pPr>
            <w:r w:rsidRPr="00283A43">
              <w:rPr>
                <w:rFonts w:ascii="Times New Roman" w:hAnsi="Times New Roman"/>
                <w:sz w:val="28"/>
                <w:szCs w:val="28"/>
              </w:rPr>
              <w:t xml:space="preserve"> 0,003</w:t>
            </w:r>
          </w:p>
        </w:tc>
        <w:tc>
          <w:tcPr>
            <w:tcW w:w="1236" w:type="dxa"/>
            <w:tcBorders>
              <w:top w:val="single" w:sz="4" w:space="0" w:color="auto"/>
              <w:left w:val="single" w:sz="4" w:space="0" w:color="auto"/>
              <w:bottom w:val="single" w:sz="4" w:space="0" w:color="auto"/>
              <w:right w:val="single" w:sz="4" w:space="0" w:color="auto"/>
            </w:tcBorders>
          </w:tcPr>
          <w:p w:rsidR="00105E91" w:rsidRPr="00283A43" w:rsidRDefault="00105E91" w:rsidP="00F66CAF">
            <w:pPr>
              <w:jc w:val="center"/>
              <w:rPr>
                <w:rFonts w:ascii="Times New Roman" w:hAnsi="Times New Roman"/>
                <w:sz w:val="28"/>
                <w:szCs w:val="28"/>
              </w:rPr>
            </w:pPr>
            <w:r w:rsidRPr="00283A43">
              <w:rPr>
                <w:rFonts w:ascii="Times New Roman" w:hAnsi="Times New Roman"/>
                <w:sz w:val="28"/>
                <w:szCs w:val="28"/>
              </w:rPr>
              <w:t>-</w:t>
            </w:r>
          </w:p>
        </w:tc>
        <w:tc>
          <w:tcPr>
            <w:tcW w:w="1681" w:type="dxa"/>
            <w:tcBorders>
              <w:top w:val="single" w:sz="4" w:space="0" w:color="auto"/>
              <w:left w:val="single" w:sz="4" w:space="0" w:color="auto"/>
              <w:bottom w:val="single" w:sz="4" w:space="0" w:color="auto"/>
              <w:right w:val="single" w:sz="4" w:space="0" w:color="auto"/>
            </w:tcBorders>
          </w:tcPr>
          <w:p w:rsidR="00105E91" w:rsidRPr="00283A43" w:rsidRDefault="00105E91" w:rsidP="00F66CAF">
            <w:pPr>
              <w:jc w:val="center"/>
              <w:rPr>
                <w:rFonts w:ascii="Times New Roman" w:hAnsi="Times New Roman"/>
                <w:sz w:val="28"/>
                <w:szCs w:val="28"/>
              </w:rPr>
            </w:pPr>
            <w:r w:rsidRPr="00283A43">
              <w:rPr>
                <w:rFonts w:ascii="Times New Roman" w:hAnsi="Times New Roman"/>
                <w:sz w:val="28"/>
                <w:szCs w:val="28"/>
              </w:rPr>
              <w:t>0,01;</w:t>
            </w:r>
          </w:p>
          <w:p w:rsidR="00105E91" w:rsidRPr="00283A43" w:rsidRDefault="00105E91" w:rsidP="00F66CAF">
            <w:pPr>
              <w:jc w:val="center"/>
              <w:rPr>
                <w:rFonts w:ascii="Times New Roman" w:hAnsi="Times New Roman"/>
                <w:sz w:val="28"/>
                <w:szCs w:val="28"/>
              </w:rPr>
            </w:pPr>
            <w:r w:rsidRPr="00283A43">
              <w:rPr>
                <w:rFonts w:ascii="Times New Roman" w:hAnsi="Times New Roman"/>
                <w:sz w:val="28"/>
                <w:szCs w:val="28"/>
              </w:rPr>
              <w:t xml:space="preserve"> 0,025</w:t>
            </w:r>
          </w:p>
        </w:tc>
      </w:tr>
      <w:tr w:rsidR="00105E91" w:rsidRPr="00283A43" w:rsidTr="00105E91">
        <w:trPr>
          <w:trHeight w:val="651"/>
        </w:trPr>
        <w:tc>
          <w:tcPr>
            <w:tcW w:w="1642" w:type="dxa"/>
            <w:tcBorders>
              <w:top w:val="single" w:sz="4" w:space="0" w:color="auto"/>
              <w:left w:val="single" w:sz="4" w:space="0" w:color="auto"/>
              <w:bottom w:val="single" w:sz="4" w:space="0" w:color="auto"/>
              <w:right w:val="single" w:sz="4" w:space="0" w:color="auto"/>
            </w:tcBorders>
            <w:hideMark/>
          </w:tcPr>
          <w:p w:rsidR="00105E91" w:rsidRPr="00283A43" w:rsidRDefault="00105E91">
            <w:pPr>
              <w:jc w:val="center"/>
              <w:rPr>
                <w:rFonts w:ascii="Times New Roman" w:hAnsi="Times New Roman"/>
                <w:sz w:val="28"/>
                <w:szCs w:val="28"/>
              </w:rPr>
            </w:pPr>
            <w:r w:rsidRPr="00283A43">
              <w:rPr>
                <w:rFonts w:ascii="Times New Roman" w:hAnsi="Times New Roman"/>
                <w:sz w:val="28"/>
                <w:szCs w:val="28"/>
              </w:rPr>
              <w:t>HOMA-IR</w:t>
            </w:r>
          </w:p>
        </w:tc>
        <w:tc>
          <w:tcPr>
            <w:tcW w:w="1312" w:type="dxa"/>
            <w:tcBorders>
              <w:top w:val="single" w:sz="4" w:space="0" w:color="auto"/>
              <w:left w:val="single" w:sz="4" w:space="0" w:color="auto"/>
              <w:bottom w:val="single" w:sz="4" w:space="0" w:color="auto"/>
              <w:right w:val="single" w:sz="4" w:space="0" w:color="auto"/>
            </w:tcBorders>
            <w:hideMark/>
          </w:tcPr>
          <w:p w:rsidR="00105E91" w:rsidRPr="00283A43" w:rsidRDefault="00105E91">
            <w:pPr>
              <w:jc w:val="center"/>
              <w:rPr>
                <w:rFonts w:ascii="Times New Roman" w:hAnsi="Times New Roman"/>
                <w:sz w:val="28"/>
                <w:szCs w:val="28"/>
              </w:rPr>
            </w:pPr>
            <w:r w:rsidRPr="00283A43">
              <w:rPr>
                <w:rFonts w:ascii="Times New Roman" w:hAnsi="Times New Roman"/>
                <w:sz w:val="28"/>
                <w:szCs w:val="28"/>
              </w:rPr>
              <w:t>-</w:t>
            </w:r>
          </w:p>
        </w:tc>
        <w:tc>
          <w:tcPr>
            <w:tcW w:w="1254" w:type="dxa"/>
            <w:tcBorders>
              <w:top w:val="single" w:sz="4" w:space="0" w:color="auto"/>
              <w:left w:val="single" w:sz="4" w:space="0" w:color="auto"/>
              <w:bottom w:val="single" w:sz="4" w:space="0" w:color="auto"/>
              <w:right w:val="single" w:sz="4" w:space="0" w:color="auto"/>
            </w:tcBorders>
            <w:hideMark/>
          </w:tcPr>
          <w:p w:rsidR="00105E91" w:rsidRPr="00283A43" w:rsidRDefault="00105E91">
            <w:pPr>
              <w:jc w:val="center"/>
              <w:rPr>
                <w:rFonts w:ascii="Times New Roman" w:hAnsi="Times New Roman"/>
                <w:sz w:val="28"/>
                <w:szCs w:val="28"/>
              </w:rPr>
            </w:pPr>
            <w:r w:rsidRPr="00283A43">
              <w:rPr>
                <w:rFonts w:ascii="Times New Roman" w:hAnsi="Times New Roman"/>
                <w:sz w:val="28"/>
                <w:szCs w:val="28"/>
              </w:rPr>
              <w:t>0,3; 0,0001</w:t>
            </w:r>
          </w:p>
        </w:tc>
        <w:tc>
          <w:tcPr>
            <w:tcW w:w="1013" w:type="dxa"/>
            <w:tcBorders>
              <w:top w:val="single" w:sz="4" w:space="0" w:color="auto"/>
              <w:left w:val="single" w:sz="4" w:space="0" w:color="auto"/>
              <w:bottom w:val="single" w:sz="4" w:space="0" w:color="auto"/>
              <w:right w:val="single" w:sz="4" w:space="0" w:color="auto"/>
            </w:tcBorders>
          </w:tcPr>
          <w:p w:rsidR="00105E91" w:rsidRPr="00283A43" w:rsidRDefault="0006539A">
            <w:pPr>
              <w:jc w:val="center"/>
              <w:rPr>
                <w:rFonts w:ascii="Times New Roman" w:hAnsi="Times New Roman"/>
                <w:sz w:val="28"/>
                <w:szCs w:val="28"/>
              </w:rPr>
            </w:pPr>
            <w:r>
              <w:rPr>
                <w:rFonts w:ascii="Times New Roman" w:hAnsi="Times New Roman"/>
                <w:sz w:val="28"/>
                <w:szCs w:val="28"/>
              </w:rPr>
              <w:t>-</w:t>
            </w:r>
          </w:p>
        </w:tc>
        <w:tc>
          <w:tcPr>
            <w:tcW w:w="1325" w:type="dxa"/>
            <w:tcBorders>
              <w:top w:val="single" w:sz="4" w:space="0" w:color="auto"/>
              <w:left w:val="single" w:sz="4" w:space="0" w:color="auto"/>
              <w:bottom w:val="single" w:sz="4" w:space="0" w:color="auto"/>
              <w:right w:val="single" w:sz="4" w:space="0" w:color="auto"/>
            </w:tcBorders>
            <w:hideMark/>
          </w:tcPr>
          <w:p w:rsidR="00105E91" w:rsidRPr="00283A43" w:rsidRDefault="00105E91">
            <w:pPr>
              <w:jc w:val="center"/>
              <w:rPr>
                <w:rFonts w:ascii="Times New Roman" w:hAnsi="Times New Roman"/>
                <w:sz w:val="28"/>
                <w:szCs w:val="28"/>
              </w:rPr>
            </w:pPr>
            <w:r w:rsidRPr="00283A43">
              <w:rPr>
                <w:rFonts w:ascii="Times New Roman" w:hAnsi="Times New Roman"/>
                <w:sz w:val="28"/>
                <w:szCs w:val="28"/>
              </w:rPr>
              <w:t xml:space="preserve">0,1; </w:t>
            </w:r>
          </w:p>
          <w:p w:rsidR="00105E91" w:rsidRPr="00283A43" w:rsidRDefault="00105E91">
            <w:pPr>
              <w:jc w:val="center"/>
              <w:rPr>
                <w:rFonts w:ascii="Times New Roman" w:hAnsi="Times New Roman"/>
                <w:sz w:val="28"/>
                <w:szCs w:val="28"/>
              </w:rPr>
            </w:pPr>
            <w:r w:rsidRPr="00283A43">
              <w:rPr>
                <w:rFonts w:ascii="Times New Roman" w:hAnsi="Times New Roman"/>
                <w:sz w:val="28"/>
                <w:szCs w:val="28"/>
              </w:rPr>
              <w:t>0,002</w:t>
            </w:r>
          </w:p>
        </w:tc>
        <w:tc>
          <w:tcPr>
            <w:tcW w:w="1236" w:type="dxa"/>
            <w:tcBorders>
              <w:top w:val="single" w:sz="4" w:space="0" w:color="auto"/>
              <w:left w:val="single" w:sz="4" w:space="0" w:color="auto"/>
              <w:bottom w:val="single" w:sz="4" w:space="0" w:color="auto"/>
              <w:right w:val="single" w:sz="4" w:space="0" w:color="auto"/>
            </w:tcBorders>
            <w:hideMark/>
          </w:tcPr>
          <w:p w:rsidR="00105E91" w:rsidRPr="00283A43" w:rsidRDefault="00105E91" w:rsidP="0040435E">
            <w:pPr>
              <w:jc w:val="center"/>
              <w:rPr>
                <w:rFonts w:ascii="Times New Roman" w:hAnsi="Times New Roman"/>
                <w:sz w:val="28"/>
                <w:szCs w:val="28"/>
              </w:rPr>
            </w:pPr>
            <w:r w:rsidRPr="00283A43">
              <w:rPr>
                <w:rFonts w:ascii="Times New Roman" w:hAnsi="Times New Roman"/>
                <w:sz w:val="28"/>
                <w:szCs w:val="28"/>
              </w:rPr>
              <w:t>-0,1; 0,02</w:t>
            </w:r>
          </w:p>
        </w:tc>
        <w:tc>
          <w:tcPr>
            <w:tcW w:w="1681" w:type="dxa"/>
            <w:tcBorders>
              <w:top w:val="single" w:sz="4" w:space="0" w:color="auto"/>
              <w:left w:val="single" w:sz="4" w:space="0" w:color="auto"/>
              <w:bottom w:val="single" w:sz="4" w:space="0" w:color="auto"/>
              <w:right w:val="single" w:sz="4" w:space="0" w:color="auto"/>
            </w:tcBorders>
            <w:hideMark/>
          </w:tcPr>
          <w:p w:rsidR="00105E91" w:rsidRPr="00283A43" w:rsidRDefault="00105E91">
            <w:pPr>
              <w:jc w:val="center"/>
              <w:rPr>
                <w:rFonts w:ascii="Times New Roman" w:hAnsi="Times New Roman"/>
                <w:sz w:val="28"/>
                <w:szCs w:val="28"/>
              </w:rPr>
            </w:pPr>
            <w:r w:rsidRPr="00283A43">
              <w:rPr>
                <w:rFonts w:ascii="Times New Roman" w:hAnsi="Times New Roman"/>
                <w:sz w:val="28"/>
                <w:szCs w:val="28"/>
              </w:rPr>
              <w:t>0,1;</w:t>
            </w:r>
          </w:p>
          <w:p w:rsidR="00105E91" w:rsidRPr="00283A43" w:rsidRDefault="00105E91">
            <w:pPr>
              <w:jc w:val="center"/>
              <w:rPr>
                <w:rFonts w:ascii="Times New Roman" w:hAnsi="Times New Roman"/>
                <w:sz w:val="28"/>
                <w:szCs w:val="28"/>
              </w:rPr>
            </w:pPr>
            <w:r w:rsidRPr="00283A43">
              <w:rPr>
                <w:rFonts w:ascii="Times New Roman" w:hAnsi="Times New Roman"/>
                <w:sz w:val="28"/>
                <w:szCs w:val="28"/>
              </w:rPr>
              <w:t xml:space="preserve"> 0,001</w:t>
            </w:r>
          </w:p>
        </w:tc>
      </w:tr>
      <w:tr w:rsidR="00105E91" w:rsidRPr="00283A43" w:rsidTr="00790F5F">
        <w:trPr>
          <w:trHeight w:val="341"/>
        </w:trPr>
        <w:tc>
          <w:tcPr>
            <w:tcW w:w="9463" w:type="dxa"/>
            <w:gridSpan w:val="7"/>
            <w:tcBorders>
              <w:top w:val="single" w:sz="4" w:space="0" w:color="auto"/>
              <w:left w:val="single" w:sz="4" w:space="0" w:color="auto"/>
              <w:bottom w:val="single" w:sz="4" w:space="0" w:color="auto"/>
              <w:right w:val="single" w:sz="4" w:space="0" w:color="auto"/>
            </w:tcBorders>
          </w:tcPr>
          <w:p w:rsidR="00105E91" w:rsidRPr="00283A43" w:rsidRDefault="00105E91">
            <w:pPr>
              <w:rPr>
                <w:rFonts w:ascii="Times New Roman" w:hAnsi="Times New Roman"/>
              </w:rPr>
            </w:pPr>
            <w:r w:rsidRPr="00283A43">
              <w:rPr>
                <w:rFonts w:ascii="Times New Roman" w:hAnsi="Times New Roman"/>
                <w:lang w:val="en-US"/>
              </w:rPr>
              <w:t>r</w:t>
            </w:r>
            <w:r w:rsidRPr="00283A43">
              <w:rPr>
                <w:rFonts w:ascii="Times New Roman" w:hAnsi="Times New Roman"/>
                <w:vertAlign w:val="subscript"/>
                <w:lang w:val="en-US"/>
              </w:rPr>
              <w:t>S</w:t>
            </w:r>
            <w:r w:rsidRPr="00283A43">
              <w:rPr>
                <w:rFonts w:ascii="Times New Roman" w:hAnsi="Times New Roman"/>
              </w:rPr>
              <w:t>– коэффициент корреляции Спирмена</w:t>
            </w:r>
          </w:p>
        </w:tc>
      </w:tr>
    </w:tbl>
    <w:p w:rsidR="00AB12B3" w:rsidRPr="00283A43" w:rsidRDefault="00AB12B3" w:rsidP="00AB12B3">
      <w:pPr>
        <w:spacing w:after="0" w:line="240" w:lineRule="auto"/>
        <w:jc w:val="both"/>
        <w:rPr>
          <w:rFonts w:ascii="Times New Roman" w:hAnsi="Times New Roman" w:cs="Times New Roman"/>
          <w:sz w:val="28"/>
          <w:szCs w:val="28"/>
        </w:rPr>
      </w:pPr>
    </w:p>
    <w:p w:rsidR="0098045F" w:rsidRPr="00283A43" w:rsidRDefault="0098045F" w:rsidP="0098045F">
      <w:pPr>
        <w:spacing w:after="0" w:line="240" w:lineRule="auto"/>
        <w:ind w:firstLine="708"/>
        <w:jc w:val="both"/>
        <w:rPr>
          <w:rFonts w:ascii="Times New Roman" w:hAnsi="Times New Roman" w:cs="Times New Roman"/>
          <w:sz w:val="28"/>
          <w:szCs w:val="28"/>
        </w:rPr>
      </w:pPr>
      <w:r w:rsidRPr="00283A43">
        <w:rPr>
          <w:rFonts w:ascii="Times New Roman" w:hAnsi="Times New Roman" w:cs="Times New Roman"/>
          <w:sz w:val="28"/>
          <w:szCs w:val="28"/>
        </w:rPr>
        <w:t>Нами установлена слабая негативная корреляция между уровнями инсулина и ЛПНП (r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 xml:space="preserve"> =-0,1; p=0,02), инсулина и ОХС (r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=-0,1; p=0,05) (таблица 4</w:t>
      </w:r>
      <w:r>
        <w:rPr>
          <w:rFonts w:ascii="Times New Roman" w:hAnsi="Times New Roman" w:cs="Times New Roman"/>
          <w:sz w:val="28"/>
          <w:szCs w:val="28"/>
          <w:lang w:val="kk-KZ"/>
        </w:rPr>
        <w:t>9</w:t>
      </w:r>
      <w:r w:rsidRPr="00283A43">
        <w:rPr>
          <w:rFonts w:ascii="Times New Roman" w:hAnsi="Times New Roman" w:cs="Times New Roman"/>
          <w:sz w:val="28"/>
          <w:szCs w:val="28"/>
        </w:rPr>
        <w:t>), а также была выявлена слабая положительная корреляция между инсулином и ТГ (r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=0,3; p=0,0001), инсулина и апоВ (r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=0,1; p=0,003), инсулина и глюкозы (r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 xml:space="preserve">=0,1; p=0,04). </w:t>
      </w:r>
    </w:p>
    <w:p w:rsidR="00D46BA1" w:rsidRPr="00283A43" w:rsidRDefault="00D46BA1" w:rsidP="00D46BA1">
      <w:pPr>
        <w:spacing w:after="0" w:line="240" w:lineRule="auto"/>
        <w:ind w:firstLine="708"/>
        <w:jc w:val="both"/>
        <w:rPr>
          <w:rFonts w:ascii="Times New Roman" w:hAnsi="Times New Roman" w:cs="Times New Roman"/>
          <w:sz w:val="28"/>
          <w:szCs w:val="28"/>
        </w:rPr>
      </w:pPr>
      <w:r w:rsidRPr="00283A43">
        <w:rPr>
          <w:rFonts w:ascii="Times New Roman" w:hAnsi="Times New Roman" w:cs="Times New Roman"/>
          <w:sz w:val="28"/>
          <w:szCs w:val="28"/>
        </w:rPr>
        <w:t xml:space="preserve">Уровень </w:t>
      </w:r>
      <w:r w:rsidRPr="00283A43">
        <w:rPr>
          <w:rFonts w:ascii="Times New Roman" w:hAnsi="Times New Roman"/>
          <w:sz w:val="28"/>
          <w:szCs w:val="28"/>
        </w:rPr>
        <w:t xml:space="preserve">HOMA-IR был слабо </w:t>
      </w:r>
      <w:r w:rsidRPr="00283A43">
        <w:rPr>
          <w:rFonts w:ascii="Times New Roman" w:hAnsi="Times New Roman" w:cs="Times New Roman"/>
          <w:sz w:val="28"/>
          <w:szCs w:val="28"/>
        </w:rPr>
        <w:t>достоверно</w:t>
      </w:r>
      <w:r w:rsidRPr="00283A43">
        <w:rPr>
          <w:rFonts w:ascii="Times New Roman" w:hAnsi="Times New Roman"/>
          <w:sz w:val="28"/>
          <w:szCs w:val="28"/>
        </w:rPr>
        <w:t xml:space="preserve"> коррелирован с уровнем ТГ (</w:t>
      </w:r>
      <w:r w:rsidRPr="00283A43">
        <w:rPr>
          <w:rFonts w:ascii="Times New Roman" w:hAnsi="Times New Roman" w:cs="Times New Roman"/>
          <w:sz w:val="28"/>
          <w:szCs w:val="28"/>
        </w:rPr>
        <w:t>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 xml:space="preserve">=0,3; p=0,0001) </w:t>
      </w:r>
      <w:r w:rsidRPr="00283A43">
        <w:rPr>
          <w:rFonts w:ascii="Times New Roman" w:hAnsi="Times New Roman"/>
          <w:sz w:val="28"/>
          <w:szCs w:val="28"/>
        </w:rPr>
        <w:t xml:space="preserve">и очень слабо </w:t>
      </w:r>
      <w:r w:rsidRPr="00283A43">
        <w:rPr>
          <w:rFonts w:ascii="Times New Roman" w:hAnsi="Times New Roman" w:cs="Times New Roman"/>
          <w:sz w:val="28"/>
          <w:szCs w:val="28"/>
        </w:rPr>
        <w:t>положительно коррелировал</w:t>
      </w:r>
      <w:r w:rsidRPr="00283A43">
        <w:rPr>
          <w:rFonts w:ascii="Times New Roman" w:hAnsi="Times New Roman"/>
          <w:sz w:val="28"/>
          <w:szCs w:val="28"/>
        </w:rPr>
        <w:t xml:space="preserve"> с уровнями апоВ (</w:t>
      </w:r>
      <w:r w:rsidRPr="00283A43">
        <w:rPr>
          <w:rFonts w:ascii="Times New Roman" w:hAnsi="Times New Roman" w:cs="Times New Roman"/>
          <w:sz w:val="28"/>
          <w:szCs w:val="28"/>
        </w:rPr>
        <w:t>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 xml:space="preserve">=0,1; p=0,002) </w:t>
      </w:r>
      <w:r w:rsidRPr="00283A43">
        <w:rPr>
          <w:rFonts w:ascii="Times New Roman" w:hAnsi="Times New Roman"/>
          <w:sz w:val="28"/>
          <w:szCs w:val="28"/>
        </w:rPr>
        <w:t>и апоВ/апоА1 (</w:t>
      </w:r>
      <w:r w:rsidRPr="00283A43">
        <w:rPr>
          <w:rFonts w:ascii="Times New Roman" w:hAnsi="Times New Roman" w:cs="Times New Roman"/>
          <w:sz w:val="28"/>
          <w:szCs w:val="28"/>
        </w:rPr>
        <w:t>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 xml:space="preserve">=0,1; p=0,001), а также выявлена слабая негативная корреляция с уровнем апоА1 </w:t>
      </w:r>
      <w:r w:rsidRPr="00283A43">
        <w:rPr>
          <w:rFonts w:ascii="Times New Roman" w:hAnsi="Times New Roman"/>
          <w:sz w:val="28"/>
          <w:szCs w:val="28"/>
        </w:rPr>
        <w:t>(</w:t>
      </w:r>
      <w:r w:rsidRPr="00283A43">
        <w:rPr>
          <w:rFonts w:ascii="Times New Roman" w:hAnsi="Times New Roman" w:cs="Times New Roman"/>
          <w:sz w:val="28"/>
          <w:szCs w:val="28"/>
        </w:rPr>
        <w:t>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w:t>
      </w:r>
      <w:r w:rsidRPr="00283A43">
        <w:rPr>
          <w:rFonts w:ascii="Times New Roman" w:hAnsi="Times New Roman"/>
          <w:sz w:val="28"/>
          <w:szCs w:val="28"/>
        </w:rPr>
        <w:t xml:space="preserve">-0,1; </w:t>
      </w:r>
      <w:r w:rsidRPr="00283A43">
        <w:rPr>
          <w:rFonts w:ascii="Times New Roman" w:hAnsi="Times New Roman" w:cs="Times New Roman"/>
          <w:sz w:val="28"/>
          <w:szCs w:val="28"/>
        </w:rPr>
        <w:t>p=</w:t>
      </w:r>
      <w:r w:rsidRPr="00283A43">
        <w:rPr>
          <w:rFonts w:ascii="Times New Roman" w:hAnsi="Times New Roman"/>
          <w:sz w:val="28"/>
          <w:szCs w:val="28"/>
        </w:rPr>
        <w:t>0,02) (таблица 4</w:t>
      </w:r>
      <w:r>
        <w:rPr>
          <w:rFonts w:ascii="Times New Roman" w:hAnsi="Times New Roman"/>
          <w:sz w:val="28"/>
          <w:szCs w:val="28"/>
          <w:lang w:val="kk-KZ"/>
        </w:rPr>
        <w:t>9</w:t>
      </w:r>
      <w:r w:rsidRPr="00283A43">
        <w:rPr>
          <w:rFonts w:ascii="Times New Roman" w:hAnsi="Times New Roman"/>
          <w:sz w:val="28"/>
          <w:szCs w:val="28"/>
        </w:rPr>
        <w:t>). А уровень глюкозы был одинаково слабо значимо связан с уровнями ТГ (</w:t>
      </w:r>
      <w:r w:rsidRPr="00283A43">
        <w:rPr>
          <w:rFonts w:ascii="Times New Roman" w:hAnsi="Times New Roman" w:cs="Times New Roman"/>
          <w:sz w:val="28"/>
          <w:szCs w:val="28"/>
        </w:rPr>
        <w:t>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 xml:space="preserve">=0,1; p=0,003) </w:t>
      </w:r>
      <w:r w:rsidRPr="00283A43">
        <w:rPr>
          <w:rFonts w:ascii="Times New Roman" w:hAnsi="Times New Roman"/>
          <w:sz w:val="28"/>
          <w:szCs w:val="28"/>
        </w:rPr>
        <w:t>и апоВ/апоА1 (</w:t>
      </w:r>
      <w:r w:rsidRPr="00283A43">
        <w:rPr>
          <w:rFonts w:ascii="Times New Roman" w:hAnsi="Times New Roman" w:cs="Times New Roman"/>
          <w:sz w:val="28"/>
          <w:szCs w:val="28"/>
        </w:rPr>
        <w:t>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=0,1; p=0,004) (таблица 4</w:t>
      </w:r>
      <w:r>
        <w:rPr>
          <w:rFonts w:ascii="Times New Roman" w:hAnsi="Times New Roman" w:cs="Times New Roman"/>
          <w:sz w:val="28"/>
          <w:szCs w:val="28"/>
          <w:lang w:val="kk-KZ"/>
        </w:rPr>
        <w:t>9</w:t>
      </w:r>
      <w:r w:rsidRPr="00283A43">
        <w:rPr>
          <w:rFonts w:ascii="Times New Roman" w:hAnsi="Times New Roman" w:cs="Times New Roman"/>
          <w:sz w:val="28"/>
          <w:szCs w:val="28"/>
        </w:rPr>
        <w:t>)</w:t>
      </w:r>
      <w:r w:rsidRPr="00283A43">
        <w:rPr>
          <w:rFonts w:ascii="Times New Roman" w:hAnsi="Times New Roman"/>
          <w:sz w:val="28"/>
          <w:szCs w:val="28"/>
        </w:rPr>
        <w:t xml:space="preserve">. Слабая </w:t>
      </w:r>
      <w:r w:rsidRPr="00283A43">
        <w:rPr>
          <w:rFonts w:ascii="Times New Roman" w:hAnsi="Times New Roman"/>
          <w:sz w:val="28"/>
          <w:szCs w:val="28"/>
        </w:rPr>
        <w:lastRenderedPageBreak/>
        <w:t>положительная корреляция уровня апоВ была с уровнем ОХС (</w:t>
      </w:r>
      <w:r w:rsidRPr="00283A43">
        <w:rPr>
          <w:rFonts w:ascii="Times New Roman" w:hAnsi="Times New Roman" w:cs="Times New Roman"/>
          <w:sz w:val="28"/>
          <w:szCs w:val="28"/>
        </w:rPr>
        <w:t>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=0,2; p=0,001)</w:t>
      </w:r>
      <w:r w:rsidRPr="00283A43">
        <w:rPr>
          <w:rFonts w:ascii="Times New Roman" w:hAnsi="Times New Roman"/>
          <w:sz w:val="28"/>
          <w:szCs w:val="28"/>
        </w:rPr>
        <w:t xml:space="preserve"> и средняя положительная корреляция – с уровнем ТГ (</w:t>
      </w:r>
      <w:r w:rsidRPr="00283A43">
        <w:rPr>
          <w:rFonts w:ascii="Times New Roman" w:hAnsi="Times New Roman" w:cs="Times New Roman"/>
          <w:sz w:val="28"/>
          <w:szCs w:val="28"/>
        </w:rPr>
        <w:t>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=0,4; p=0,0001)</w:t>
      </w:r>
      <w:r>
        <w:rPr>
          <w:rFonts w:ascii="Times New Roman" w:hAnsi="Times New Roman"/>
          <w:sz w:val="28"/>
          <w:szCs w:val="28"/>
        </w:rPr>
        <w:t xml:space="preserve"> (таблица 4</w:t>
      </w:r>
      <w:r>
        <w:rPr>
          <w:rFonts w:ascii="Times New Roman" w:hAnsi="Times New Roman"/>
          <w:sz w:val="28"/>
          <w:szCs w:val="28"/>
          <w:lang w:val="kk-KZ"/>
        </w:rPr>
        <w:t>9</w:t>
      </w:r>
      <w:r w:rsidRPr="00283A43">
        <w:rPr>
          <w:rFonts w:ascii="Times New Roman" w:hAnsi="Times New Roman"/>
          <w:sz w:val="28"/>
          <w:szCs w:val="28"/>
        </w:rPr>
        <w:t xml:space="preserve">) </w:t>
      </w:r>
      <w:r w:rsidRPr="00283A43">
        <w:rPr>
          <w:rFonts w:ascii="Times New Roman" w:hAnsi="Times New Roman"/>
          <w:sz w:val="28"/>
          <w:szCs w:val="28"/>
          <w:lang w:val="kk-KZ"/>
        </w:rPr>
        <w:fldChar w:fldCharType="begin" w:fldLock="1"/>
      </w:r>
      <w:r w:rsidR="00375D69">
        <w:rPr>
          <w:rFonts w:ascii="Times New Roman" w:hAnsi="Times New Roman"/>
          <w:sz w:val="28"/>
          <w:szCs w:val="28"/>
          <w:lang w:val="kk-KZ"/>
        </w:rPr>
        <w:instrText>ADDIN CSL_CITATION {"citationItems":[{"id":"ITEM-1","itemData":{"author":[{"dropping-particle":"","family":"Шаханова","given":"Айжан Т","non-dropping-particle":"","parse-names":false,"suffix":""},{"dropping-particle":"","family":"Аукенов","given":"Нурлан Е","non-dropping-particle":"","parse-names":false,"suffix":""},{"dropping-particle":"","family":"Нуртазина","given":"Алма У","non-dropping-particle":"","parse-names":false,"suffix":""},{"dropping-particle":"","family":"Шаханов","given":"Тунгышхан Е","non-dropping-particle":"","parse-names":false,"suffix":""},{"dropping-particle":"","family":"Масабаева Меруерт Р","given":"","non-dropping-particle":"","parse-names":false,"suffix":""},{"dropping-particle":"","family":"Кожахметова","given":"Дана К","non-dropping-particle":"","parse-names":false,"suffix":""},{"dropping-particle":"","family":"Ж.У.","given":"Козыкенова","non-dropping-particle":"","parse-names":false,"suffix":""},{"dropping-particle":"","family":"Н.М.","given":"Уразалина","non-dropping-particle":"","parse-names":false,"suffix":""}],"container-title":"Вестник КазНМУ","id":"ITEM-1","issued":{"date-parts":[["2020"]]},"page":"494-498","title":"Анализ взаимосвязи гиперинсулинемии и дислипидемии у лиц казахской популяции","type":"article-journal","volume":"1"},"uris":["http://www.mendeley.com/documents/?uuid=60c66f99-ae1f-44fe-a898-6da6a5c37c82"]}],"mendeley":{"formattedCitation":"[194]","manualFormatting":"[194, с. 496]","plainTextFormattedCitation":"[194]","previouslyFormattedCitation":"[194]"},"properties":{"noteIndex":0},"schema":"https://github.com/citation-style-language/schema/raw/master/csl-citation.json"}</w:instrText>
      </w:r>
      <w:r w:rsidRPr="00283A43">
        <w:rPr>
          <w:rFonts w:ascii="Times New Roman" w:hAnsi="Times New Roman"/>
          <w:sz w:val="28"/>
          <w:szCs w:val="28"/>
          <w:lang w:val="kk-KZ"/>
        </w:rPr>
        <w:fldChar w:fldCharType="separate"/>
      </w:r>
      <w:r w:rsidR="00375D69" w:rsidRPr="00375D69">
        <w:rPr>
          <w:rFonts w:ascii="Times New Roman" w:hAnsi="Times New Roman"/>
          <w:noProof/>
          <w:sz w:val="28"/>
          <w:szCs w:val="28"/>
          <w:lang w:val="kk-KZ"/>
        </w:rPr>
        <w:t>[194</w:t>
      </w:r>
      <w:r w:rsidR="00375D69">
        <w:rPr>
          <w:rFonts w:ascii="Times New Roman" w:hAnsi="Times New Roman"/>
          <w:noProof/>
          <w:sz w:val="28"/>
          <w:szCs w:val="28"/>
          <w:lang w:val="kk-KZ"/>
        </w:rPr>
        <w:t>, с. 496</w:t>
      </w:r>
      <w:r w:rsidR="00375D69" w:rsidRPr="00375D69">
        <w:rPr>
          <w:rFonts w:ascii="Times New Roman" w:hAnsi="Times New Roman"/>
          <w:noProof/>
          <w:sz w:val="28"/>
          <w:szCs w:val="28"/>
          <w:lang w:val="kk-KZ"/>
        </w:rPr>
        <w:t>]</w:t>
      </w:r>
      <w:r w:rsidRPr="00283A43">
        <w:rPr>
          <w:rFonts w:ascii="Times New Roman" w:hAnsi="Times New Roman"/>
          <w:sz w:val="28"/>
          <w:szCs w:val="28"/>
          <w:lang w:val="kk-KZ"/>
        </w:rPr>
        <w:fldChar w:fldCharType="end"/>
      </w:r>
      <w:r w:rsidRPr="00283A43">
        <w:rPr>
          <w:rFonts w:ascii="Times New Roman" w:hAnsi="Times New Roman"/>
          <w:sz w:val="28"/>
          <w:szCs w:val="28"/>
        </w:rPr>
        <w:t>. Также была выявлена</w:t>
      </w:r>
      <w:r w:rsidRPr="00283A43">
        <w:rPr>
          <w:rFonts w:ascii="Times New Roman" w:hAnsi="Times New Roman" w:cs="Times New Roman"/>
          <w:sz w:val="28"/>
          <w:szCs w:val="28"/>
        </w:rPr>
        <w:t xml:space="preserve"> достоверная</w:t>
      </w:r>
      <w:r w:rsidRPr="00283A43">
        <w:rPr>
          <w:rFonts w:ascii="Times New Roman" w:hAnsi="Times New Roman"/>
          <w:sz w:val="28"/>
          <w:szCs w:val="28"/>
        </w:rPr>
        <w:t xml:space="preserve"> сильная негативная связь между уровнями ОХС и ЛПНП (</w:t>
      </w:r>
      <w:r w:rsidRPr="00283A43">
        <w:rPr>
          <w:rFonts w:ascii="Times New Roman" w:hAnsi="Times New Roman" w:cs="Times New Roman"/>
          <w:sz w:val="28"/>
          <w:szCs w:val="28"/>
        </w:rPr>
        <w:t>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=-0,5; p=0,0001)</w:t>
      </w:r>
      <w:r w:rsidRPr="00283A43">
        <w:rPr>
          <w:rFonts w:ascii="Times New Roman" w:hAnsi="Times New Roman"/>
          <w:sz w:val="28"/>
          <w:szCs w:val="28"/>
        </w:rPr>
        <w:t xml:space="preserve">. </w:t>
      </w:r>
      <w:r w:rsidR="00F851B7">
        <w:rPr>
          <w:rFonts w:ascii="Times New Roman" w:hAnsi="Times New Roman"/>
          <w:sz w:val="28"/>
          <w:szCs w:val="28"/>
        </w:rPr>
        <w:t>С о</w:t>
      </w:r>
      <w:r w:rsidRPr="00283A43">
        <w:rPr>
          <w:rFonts w:ascii="Times New Roman" w:hAnsi="Times New Roman"/>
          <w:sz w:val="28"/>
          <w:szCs w:val="28"/>
        </w:rPr>
        <w:t xml:space="preserve">стальными биохимическими показателями значимые корреляции не </w:t>
      </w:r>
      <w:r w:rsidR="00F851B7">
        <w:rPr>
          <w:rFonts w:ascii="Times New Roman" w:hAnsi="Times New Roman"/>
          <w:sz w:val="28"/>
          <w:szCs w:val="28"/>
        </w:rPr>
        <w:t>обнаруже</w:t>
      </w:r>
      <w:r w:rsidRPr="00283A43">
        <w:rPr>
          <w:rFonts w:ascii="Times New Roman" w:hAnsi="Times New Roman"/>
          <w:sz w:val="28"/>
          <w:szCs w:val="28"/>
        </w:rPr>
        <w:t>но.</w:t>
      </w:r>
      <w:r>
        <w:rPr>
          <w:rFonts w:ascii="Times New Roman" w:hAnsi="Times New Roman"/>
          <w:sz w:val="28"/>
          <w:szCs w:val="28"/>
        </w:rPr>
        <w:t xml:space="preserve"> </w:t>
      </w:r>
      <w:r w:rsidRPr="00283A43">
        <w:rPr>
          <w:rFonts w:ascii="Times New Roman" w:hAnsi="Times New Roman" w:cs="Times New Roman"/>
          <w:sz w:val="28"/>
          <w:szCs w:val="28"/>
        </w:rPr>
        <w:t xml:space="preserve">Слабые положительные корреляции были обнаружены между уровнями ЛПВП и апоВ </w:t>
      </w:r>
      <w:r w:rsidRPr="00283A43">
        <w:rPr>
          <w:rFonts w:ascii="Times New Roman" w:hAnsi="Times New Roman"/>
          <w:sz w:val="28"/>
          <w:szCs w:val="28"/>
        </w:rPr>
        <w:t>(</w:t>
      </w:r>
      <w:r w:rsidRPr="00283A43">
        <w:rPr>
          <w:rFonts w:ascii="Times New Roman" w:hAnsi="Times New Roman" w:cs="Times New Roman"/>
          <w:sz w:val="28"/>
          <w:szCs w:val="28"/>
        </w:rPr>
        <w:t>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 xml:space="preserve">=0,1; p=0,007), апоВ/апоА1 </w:t>
      </w:r>
      <w:r w:rsidRPr="00283A43">
        <w:rPr>
          <w:rFonts w:ascii="Times New Roman" w:hAnsi="Times New Roman"/>
          <w:sz w:val="28"/>
          <w:szCs w:val="28"/>
        </w:rPr>
        <w:t>(</w:t>
      </w:r>
      <w:r w:rsidRPr="00283A43">
        <w:rPr>
          <w:rFonts w:ascii="Times New Roman" w:hAnsi="Times New Roman" w:cs="Times New Roman"/>
          <w:sz w:val="28"/>
          <w:szCs w:val="28"/>
        </w:rPr>
        <w:t>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 xml:space="preserve">=0,2; p=0,0001), также выявлена отрицательная слабая корреляция с уровнем апоА1 </w:t>
      </w:r>
      <w:r w:rsidRPr="00283A43">
        <w:rPr>
          <w:rFonts w:ascii="Times New Roman" w:hAnsi="Times New Roman"/>
          <w:sz w:val="28"/>
          <w:szCs w:val="28"/>
        </w:rPr>
        <w:t>(</w:t>
      </w:r>
      <w:r w:rsidRPr="00283A43">
        <w:rPr>
          <w:rFonts w:ascii="Times New Roman" w:hAnsi="Times New Roman" w:cs="Times New Roman"/>
          <w:sz w:val="28"/>
          <w:szCs w:val="28"/>
        </w:rPr>
        <w:t>r</w:t>
      </w:r>
      <w:r w:rsidRPr="00283A43">
        <w:rPr>
          <w:rFonts w:ascii="Times New Roman" w:hAnsi="Times New Roman" w:cs="Times New Roman"/>
          <w:sz w:val="28"/>
          <w:szCs w:val="28"/>
          <w:vertAlign w:val="subscript"/>
        </w:rPr>
        <w:t>S</w:t>
      </w:r>
      <w:r w:rsidRPr="00283A43">
        <w:rPr>
          <w:rFonts w:ascii="Times New Roman" w:hAnsi="Times New Roman" w:cs="Times New Roman"/>
          <w:sz w:val="28"/>
          <w:szCs w:val="28"/>
        </w:rPr>
        <w:t>=-0,1; p=0,03) (таблица 4</w:t>
      </w:r>
      <w:r>
        <w:rPr>
          <w:rFonts w:ascii="Times New Roman" w:hAnsi="Times New Roman" w:cs="Times New Roman"/>
          <w:sz w:val="28"/>
          <w:szCs w:val="28"/>
          <w:lang w:val="kk-KZ"/>
        </w:rPr>
        <w:t>9</w:t>
      </w:r>
      <w:r w:rsidRPr="00283A43">
        <w:rPr>
          <w:rFonts w:ascii="Times New Roman" w:hAnsi="Times New Roman" w:cs="Times New Roman"/>
          <w:sz w:val="28"/>
          <w:szCs w:val="28"/>
        </w:rPr>
        <w:t>).</w:t>
      </w:r>
    </w:p>
    <w:p w:rsidR="005737E6" w:rsidRPr="00283A43" w:rsidRDefault="005737E6" w:rsidP="00D46BA1">
      <w:pPr>
        <w:spacing w:after="0" w:line="240" w:lineRule="auto"/>
        <w:ind w:firstLine="708"/>
        <w:jc w:val="both"/>
        <w:rPr>
          <w:rFonts w:ascii="Times New Roman" w:hAnsi="Times New Roman" w:cs="Times New Roman"/>
          <w:sz w:val="28"/>
          <w:szCs w:val="28"/>
        </w:rPr>
      </w:pPr>
      <w:r w:rsidRPr="00283A43">
        <w:rPr>
          <w:rFonts w:ascii="Times New Roman" w:hAnsi="Times New Roman" w:cs="Times New Roman"/>
          <w:sz w:val="28"/>
          <w:szCs w:val="28"/>
        </w:rPr>
        <w:t>Похожие результаты</w:t>
      </w:r>
      <w:r w:rsidR="003708E2" w:rsidRPr="00283A43">
        <w:rPr>
          <w:rFonts w:ascii="Times New Roman" w:hAnsi="Times New Roman" w:cs="Times New Roman"/>
          <w:sz w:val="28"/>
          <w:szCs w:val="28"/>
        </w:rPr>
        <w:t xml:space="preserve"> были получены </w:t>
      </w:r>
      <w:r w:rsidR="003708E2" w:rsidRPr="00283A43">
        <w:rPr>
          <w:rFonts w:ascii="Times New Roman" w:hAnsi="Times New Roman" w:cs="Times New Roman"/>
          <w:noProof/>
          <w:sz w:val="28"/>
          <w:szCs w:val="24"/>
        </w:rPr>
        <w:t>Yan Y. и его соавторами</w:t>
      </w:r>
      <w:r w:rsidRPr="00283A43">
        <w:rPr>
          <w:rFonts w:ascii="Times New Roman" w:hAnsi="Times New Roman" w:cs="Times New Roman"/>
          <w:sz w:val="28"/>
          <w:szCs w:val="28"/>
        </w:rPr>
        <w:t xml:space="preserve">, где в казахской популяции ИМТ, уровень ТГ и ТРГ/ЛПВП коррелировал с </w:t>
      </w:r>
      <w:r w:rsidRPr="00283A43">
        <w:rPr>
          <w:rFonts w:ascii="Times New Roman" w:hAnsi="Times New Roman"/>
          <w:sz w:val="28"/>
          <w:szCs w:val="28"/>
        </w:rPr>
        <w:t>HOMA-IR</w:t>
      </w:r>
      <w:r w:rsidRPr="00283A43">
        <w:rPr>
          <w:rFonts w:ascii="Times New Roman" w:hAnsi="Times New Roman" w:cs="Times New Roman"/>
          <w:sz w:val="28"/>
          <w:szCs w:val="28"/>
        </w:rPr>
        <w:t xml:space="preserve">. Авторы отмечают, что казахские мужчины </w:t>
      </w:r>
      <w:r w:rsidR="00EA4BFC">
        <w:rPr>
          <w:rFonts w:ascii="Times New Roman" w:hAnsi="Times New Roman" w:cs="Times New Roman"/>
          <w:sz w:val="28"/>
          <w:szCs w:val="28"/>
        </w:rPr>
        <w:t>характеризовались высоким уровнем</w:t>
      </w:r>
      <w:r w:rsidRPr="00283A43">
        <w:rPr>
          <w:rFonts w:ascii="Times New Roman" w:hAnsi="Times New Roman" w:cs="Times New Roman"/>
          <w:sz w:val="28"/>
          <w:szCs w:val="28"/>
        </w:rPr>
        <w:t xml:space="preserve"> инсулиночувствительности по сравнению с женщинами-казашками </w:t>
      </w:r>
      <w:r w:rsidR="00EA0E64" w:rsidRPr="00283A43">
        <w:rPr>
          <w:rFonts w:ascii="Times New Roman" w:hAnsi="Times New Roman" w:cs="Times New Roman"/>
          <w:sz w:val="28"/>
          <w:szCs w:val="28"/>
        </w:rPr>
        <w:fldChar w:fldCharType="begin" w:fldLock="1"/>
      </w:r>
      <w:r w:rsidR="00375D69">
        <w:rPr>
          <w:rFonts w:ascii="Times New Roman" w:hAnsi="Times New Roman" w:cs="Times New Roman"/>
          <w:sz w:val="28"/>
          <w:szCs w:val="28"/>
        </w:rPr>
        <w:instrText>ADDIN CSL_CITATION {"citationItems":[{"id":"ITEM-1","itemData":{"DOI":"10.1186/s12944-018-0863-9","author":[{"dropping-particle":"","family":"Wang","given":"Yan","non-dropping-particle":"","parse-names":false,"suffix":""},{"dropping-particle":"","family":"Zhang","given":"Jun","non-dropping-particle":"","parse-names":false,"suffix":""},{"dropping-particle":"","family":"Ma","given":"Yanrong","non-dropping-particle":"","parse-names":false,"suffix":""},{"dropping-particle":"","family":"Song","given":"Xiangxin","non-dropping-particle":"","parse-names":false,"suffix":""},{"dropping-particle":"","family":"Li","given":"Suli","non-dropping-particle":"","parse-names":false,"suffix":""},{"dropping-particle":"","family":"Zhan","given":"Xianqin","non-dropping-particle":"","parse-names":false,"suffix":""},{"dropping-particle":"","family":"Wu","given":"Lan","non-dropping-particle":"","parse-names":false,"suffix":""}],"container-title":"Lipids in Health and Disease","id":"ITEM-1","issue":"209","issued":{"date-parts":[["2018"]]},"page":"1-7","publisher":"Lipids in Health and Disease","title":"Different lipid profiles, insulin sensitivity, and insulin resistance among Han, Uygur, and Kazak men with normal glucose tolerance in Xinjiang, China","type":"article-journal","volume":"17"},"uris":["http://www.mendeley.com/documents/?uuid=934cb716-8a0e-44c5-a62c-6ad568ea3c58"]}],"mendeley":{"formattedCitation":"[195]","manualFormatting":"[195, р. 4]","plainTextFormattedCitation":"[195]","previouslyFormattedCitation":"[195]"},"properties":{"noteIndex":0},"schema":"https://github.com/citation-style-language/schema/raw/master/csl-citation.json"}</w:instrText>
      </w:r>
      <w:r w:rsidR="00EA0E64" w:rsidRPr="00283A43">
        <w:rPr>
          <w:rFonts w:ascii="Times New Roman" w:hAnsi="Times New Roman" w:cs="Times New Roman"/>
          <w:sz w:val="28"/>
          <w:szCs w:val="28"/>
        </w:rPr>
        <w:fldChar w:fldCharType="separate"/>
      </w:r>
      <w:r w:rsidR="00375D69" w:rsidRPr="00375D69">
        <w:rPr>
          <w:rFonts w:ascii="Times New Roman" w:hAnsi="Times New Roman" w:cs="Times New Roman"/>
          <w:noProof/>
          <w:sz w:val="28"/>
          <w:szCs w:val="28"/>
        </w:rPr>
        <w:t>[195</w:t>
      </w:r>
      <w:r w:rsidR="00375D69">
        <w:rPr>
          <w:rFonts w:ascii="Times New Roman" w:hAnsi="Times New Roman" w:cs="Times New Roman"/>
          <w:noProof/>
          <w:sz w:val="28"/>
          <w:szCs w:val="28"/>
        </w:rPr>
        <w:t>, р. 4</w:t>
      </w:r>
      <w:r w:rsidR="00375D69" w:rsidRPr="00375D69">
        <w:rPr>
          <w:rFonts w:ascii="Times New Roman" w:hAnsi="Times New Roman" w:cs="Times New Roman"/>
          <w:noProof/>
          <w:sz w:val="28"/>
          <w:szCs w:val="28"/>
        </w:rPr>
        <w:t>]</w:t>
      </w:r>
      <w:r w:rsidR="00EA0E64" w:rsidRPr="00283A43">
        <w:rPr>
          <w:rFonts w:ascii="Times New Roman" w:hAnsi="Times New Roman" w:cs="Times New Roman"/>
          <w:sz w:val="28"/>
          <w:szCs w:val="28"/>
        </w:rPr>
        <w:fldChar w:fldCharType="end"/>
      </w:r>
      <w:r w:rsidRPr="00283A43">
        <w:rPr>
          <w:rFonts w:ascii="Times New Roman" w:hAnsi="Times New Roman" w:cs="Times New Roman"/>
          <w:sz w:val="28"/>
          <w:szCs w:val="28"/>
        </w:rPr>
        <w:t xml:space="preserve">. </w:t>
      </w:r>
    </w:p>
    <w:p w:rsidR="000C512C" w:rsidRDefault="000C512C" w:rsidP="000C512C">
      <w:pPr>
        <w:spacing w:after="0" w:line="240" w:lineRule="auto"/>
        <w:ind w:firstLine="708"/>
        <w:jc w:val="both"/>
        <w:rPr>
          <w:rFonts w:ascii="Times New Roman" w:hAnsi="Times New Roman" w:cs="Times New Roman"/>
          <w:sz w:val="28"/>
          <w:szCs w:val="28"/>
        </w:rPr>
      </w:pPr>
      <w:r w:rsidRPr="00283A43">
        <w:rPr>
          <w:rFonts w:ascii="Times New Roman" w:hAnsi="Times New Roman" w:cs="Times New Roman"/>
          <w:sz w:val="28"/>
          <w:szCs w:val="28"/>
        </w:rPr>
        <w:t>Исходя из этого, результаты проведенного нами исследования показали, что в</w:t>
      </w:r>
      <w:r w:rsidR="00CA55EA">
        <w:rPr>
          <w:rFonts w:ascii="Times New Roman" w:hAnsi="Times New Roman" w:cs="Times New Roman"/>
          <w:sz w:val="28"/>
          <w:szCs w:val="28"/>
        </w:rPr>
        <w:t xml:space="preserve"> исследуемой выборке</w:t>
      </w:r>
      <w:r w:rsidRPr="00283A43">
        <w:rPr>
          <w:rFonts w:ascii="Times New Roman" w:hAnsi="Times New Roman" w:cs="Times New Roman"/>
          <w:sz w:val="28"/>
          <w:szCs w:val="28"/>
        </w:rPr>
        <w:t xml:space="preserve"> гиперинсулинемия</w:t>
      </w:r>
      <w:r w:rsidR="003708E2" w:rsidRPr="00283A43">
        <w:rPr>
          <w:rFonts w:ascii="Times New Roman" w:hAnsi="Times New Roman" w:cs="Times New Roman"/>
          <w:sz w:val="28"/>
          <w:szCs w:val="28"/>
        </w:rPr>
        <w:t xml:space="preserve"> коррелирует</w:t>
      </w:r>
      <w:r w:rsidRPr="00283A43">
        <w:rPr>
          <w:rFonts w:ascii="Times New Roman" w:hAnsi="Times New Roman" w:cs="Times New Roman"/>
          <w:sz w:val="28"/>
          <w:szCs w:val="28"/>
        </w:rPr>
        <w:t xml:space="preserve"> с гипераполипопротеинемией В и гипертриглицеридемией независимо от пола, возраста, ИМТ, окружности талии и статуса курения </w:t>
      </w:r>
      <w:r w:rsidR="00EA0E64" w:rsidRPr="00283A43">
        <w:rPr>
          <w:rFonts w:ascii="Times New Roman" w:hAnsi="Times New Roman" w:cs="Times New Roman"/>
          <w:sz w:val="28"/>
          <w:szCs w:val="28"/>
          <w:lang w:val="kk-KZ"/>
        </w:rPr>
        <w:fldChar w:fldCharType="begin" w:fldLock="1"/>
      </w:r>
      <w:r w:rsidR="00375D69">
        <w:rPr>
          <w:rFonts w:ascii="Times New Roman" w:hAnsi="Times New Roman" w:cs="Times New Roman"/>
          <w:sz w:val="28"/>
          <w:szCs w:val="28"/>
          <w:lang w:val="kk-KZ"/>
        </w:rPr>
        <w:instrText>ADDIN CSL_CITATION {"citationItems":[{"id":"ITEM-1","itemData":{"author":[{"dropping-particle":"","family":"Шаханова","given":"Айжан Т","non-dropping-particle":"","parse-names":false,"suffix":""},{"dropping-particle":"","family":"Аукенов","given":"Нурлан Е","non-dropping-particle":"","parse-names":false,"suffix":""},{"dropping-particle":"","family":"Нуртазина","given":"Алма У","non-dropping-particle":"","parse-names":false,"suffix":""},{"dropping-particle":"","family":"Шаханов","given":"Тунгышхан Е","non-dropping-particle":"","parse-names":false,"suffix":""},{"dropping-particle":"","family":"Масабаева Меруерт Р","given":"","non-dropping-particle":"","parse-names":false,"suffix":""},{"dropping-particle":"","family":"Кожахметова","given":"Дана К","non-dropping-particle":"","parse-names":false,"suffix":""},{"dropping-particle":"","family":"Ж.У.","given":"Козыкенова","non-dropping-particle":"","parse-names":false,"suffix":""},{"dropping-particle":"","family":"Н.М.","given":"Уразалина","non-dropping-particle":"","parse-names":false,"suffix":""}],"container-title":"Вестник КазНМУ","id":"ITEM-1","issued":{"date-parts":[["2020"]]},"page":"494-498","title":"Анализ взаимосвязи гиперинсулинемии и дислипидемии у лиц казахской популяции","type":"article-journal","volume":"1"},"uris":["http://www.mendeley.com/documents/?uuid=60c66f99-ae1f-44fe-a898-6da6a5c37c82"]}],"mendeley":{"formattedCitation":"[194]","manualFormatting":"[194, с. 497]","plainTextFormattedCitation":"[194]","previouslyFormattedCitation":"[194]"},"properties":{"noteIndex":0},"schema":"https://github.com/citation-style-language/schema/raw/master/csl-citation.json"}</w:instrText>
      </w:r>
      <w:r w:rsidR="00EA0E64" w:rsidRPr="00283A43">
        <w:rPr>
          <w:rFonts w:ascii="Times New Roman" w:hAnsi="Times New Roman" w:cs="Times New Roman"/>
          <w:sz w:val="28"/>
          <w:szCs w:val="28"/>
          <w:lang w:val="kk-KZ"/>
        </w:rPr>
        <w:fldChar w:fldCharType="separate"/>
      </w:r>
      <w:r w:rsidR="00375D69" w:rsidRPr="00375D69">
        <w:rPr>
          <w:rFonts w:ascii="Times New Roman" w:hAnsi="Times New Roman" w:cs="Times New Roman"/>
          <w:noProof/>
          <w:sz w:val="28"/>
          <w:szCs w:val="28"/>
          <w:lang w:val="kk-KZ"/>
        </w:rPr>
        <w:t>[194</w:t>
      </w:r>
      <w:r w:rsidR="00375D69">
        <w:rPr>
          <w:rFonts w:ascii="Times New Roman" w:hAnsi="Times New Roman" w:cs="Times New Roman"/>
          <w:noProof/>
          <w:sz w:val="28"/>
          <w:szCs w:val="28"/>
          <w:lang w:val="kk-KZ"/>
        </w:rPr>
        <w:t>, с. 497</w:t>
      </w:r>
      <w:r w:rsidR="00375D69" w:rsidRPr="00375D69">
        <w:rPr>
          <w:rFonts w:ascii="Times New Roman" w:hAnsi="Times New Roman" w:cs="Times New Roman"/>
          <w:noProof/>
          <w:sz w:val="28"/>
          <w:szCs w:val="28"/>
          <w:lang w:val="kk-KZ"/>
        </w:rPr>
        <w:t>]</w:t>
      </w:r>
      <w:r w:rsidR="00EA0E64" w:rsidRPr="00283A43">
        <w:rPr>
          <w:rFonts w:ascii="Times New Roman" w:hAnsi="Times New Roman" w:cs="Times New Roman"/>
          <w:sz w:val="28"/>
          <w:szCs w:val="28"/>
          <w:lang w:val="kk-KZ"/>
        </w:rPr>
        <w:fldChar w:fldCharType="end"/>
      </w:r>
      <w:r w:rsidRPr="00283A43">
        <w:rPr>
          <w:rFonts w:ascii="Times New Roman" w:hAnsi="Times New Roman" w:cs="Times New Roman"/>
          <w:sz w:val="28"/>
          <w:szCs w:val="28"/>
        </w:rPr>
        <w:t>.</w:t>
      </w:r>
    </w:p>
    <w:p w:rsidR="00055B48" w:rsidRDefault="00055B48" w:rsidP="00AB12B3">
      <w:pPr>
        <w:spacing w:after="0" w:line="240" w:lineRule="auto"/>
        <w:ind w:firstLine="708"/>
        <w:jc w:val="both"/>
        <w:rPr>
          <w:rFonts w:ascii="Times New Roman" w:hAnsi="Times New Roman" w:cs="Times New Roman"/>
          <w:sz w:val="28"/>
          <w:szCs w:val="28"/>
        </w:rPr>
      </w:pPr>
    </w:p>
    <w:p w:rsidR="00055B48" w:rsidRPr="000415A2" w:rsidRDefault="00055B48" w:rsidP="00AB12B3">
      <w:pPr>
        <w:spacing w:after="0" w:line="240" w:lineRule="auto"/>
        <w:ind w:firstLine="708"/>
        <w:jc w:val="both"/>
        <w:rPr>
          <w:rFonts w:ascii="Times New Roman" w:hAnsi="Times New Roman" w:cs="Times New Roman"/>
          <w:i/>
          <w:sz w:val="28"/>
          <w:szCs w:val="28"/>
        </w:rPr>
      </w:pPr>
      <w:r w:rsidRPr="000415A2">
        <w:rPr>
          <w:rFonts w:ascii="Times New Roman" w:hAnsi="Times New Roman" w:cs="Times New Roman"/>
          <w:i/>
          <w:sz w:val="28"/>
          <w:szCs w:val="28"/>
        </w:rPr>
        <w:t>Множественная логистическая регрессия</w:t>
      </w:r>
      <w:r w:rsidR="004109A3" w:rsidRPr="000415A2">
        <w:rPr>
          <w:rFonts w:ascii="Times New Roman" w:hAnsi="Times New Roman" w:cs="Times New Roman"/>
          <w:i/>
          <w:sz w:val="28"/>
          <w:szCs w:val="28"/>
        </w:rPr>
        <w:t xml:space="preserve"> между</w:t>
      </w:r>
      <w:r w:rsidRPr="000415A2">
        <w:rPr>
          <w:rFonts w:ascii="Times New Roman" w:hAnsi="Times New Roman" w:cs="Times New Roman"/>
          <w:i/>
          <w:sz w:val="28"/>
          <w:szCs w:val="28"/>
        </w:rPr>
        <w:t xml:space="preserve"> фактор</w:t>
      </w:r>
      <w:r w:rsidR="004109A3" w:rsidRPr="000415A2">
        <w:rPr>
          <w:rFonts w:ascii="Times New Roman" w:hAnsi="Times New Roman" w:cs="Times New Roman"/>
          <w:i/>
          <w:sz w:val="28"/>
          <w:szCs w:val="28"/>
        </w:rPr>
        <w:t>ами риска</w:t>
      </w:r>
      <w:r w:rsidR="00144304">
        <w:rPr>
          <w:rFonts w:ascii="Times New Roman" w:hAnsi="Times New Roman" w:cs="Times New Roman"/>
          <w:i/>
          <w:sz w:val="28"/>
          <w:szCs w:val="28"/>
        </w:rPr>
        <w:t xml:space="preserve"> </w:t>
      </w:r>
      <w:r w:rsidR="004109A3" w:rsidRPr="000415A2">
        <w:rPr>
          <w:rFonts w:ascii="Times New Roman" w:hAnsi="Times New Roman" w:cs="Times New Roman"/>
          <w:i/>
          <w:sz w:val="28"/>
          <w:szCs w:val="28"/>
        </w:rPr>
        <w:t>и</w:t>
      </w:r>
      <w:r w:rsidRPr="000415A2">
        <w:rPr>
          <w:rFonts w:ascii="Times New Roman" w:hAnsi="Times New Roman" w:cs="Times New Roman"/>
          <w:i/>
          <w:sz w:val="28"/>
          <w:szCs w:val="28"/>
        </w:rPr>
        <w:t xml:space="preserve"> показателями липидного</w:t>
      </w:r>
      <w:r w:rsidR="00144304">
        <w:rPr>
          <w:rFonts w:ascii="Times New Roman" w:hAnsi="Times New Roman" w:cs="Times New Roman"/>
          <w:i/>
          <w:sz w:val="28"/>
          <w:szCs w:val="28"/>
        </w:rPr>
        <w:t>,</w:t>
      </w:r>
      <w:r w:rsidRPr="000415A2">
        <w:rPr>
          <w:rFonts w:ascii="Times New Roman" w:hAnsi="Times New Roman" w:cs="Times New Roman"/>
          <w:i/>
          <w:sz w:val="28"/>
          <w:szCs w:val="28"/>
        </w:rPr>
        <w:t xml:space="preserve"> углеводного обмен</w:t>
      </w:r>
      <w:r w:rsidR="00144304">
        <w:rPr>
          <w:rFonts w:ascii="Times New Roman" w:hAnsi="Times New Roman" w:cs="Times New Roman"/>
          <w:i/>
          <w:sz w:val="28"/>
          <w:szCs w:val="28"/>
        </w:rPr>
        <w:t>ов</w:t>
      </w:r>
    </w:p>
    <w:p w:rsidR="00E148A3" w:rsidRPr="000415A2" w:rsidRDefault="00E148A3" w:rsidP="002F5748">
      <w:pPr>
        <w:spacing w:after="0" w:line="240" w:lineRule="auto"/>
        <w:ind w:firstLine="708"/>
        <w:jc w:val="both"/>
        <w:rPr>
          <w:rFonts w:ascii="Times New Roman" w:hAnsi="Times New Roman" w:cs="Times New Roman"/>
          <w:sz w:val="28"/>
          <w:szCs w:val="28"/>
        </w:rPr>
      </w:pPr>
      <w:r w:rsidRPr="000415A2">
        <w:rPr>
          <w:rFonts w:ascii="Times New Roman" w:hAnsi="Times New Roman" w:cs="Times New Roman"/>
          <w:sz w:val="28"/>
          <w:szCs w:val="28"/>
        </w:rPr>
        <w:t>При построении моделей логистической регрессии факторы риска, как пол, возраст, показатели ИМТ</w:t>
      </w:r>
      <w:r w:rsidR="00E6510F">
        <w:rPr>
          <w:rFonts w:ascii="Times New Roman" w:hAnsi="Times New Roman" w:cs="Times New Roman"/>
          <w:sz w:val="28"/>
          <w:szCs w:val="28"/>
        </w:rPr>
        <w:t>, статус курения</w:t>
      </w:r>
      <w:r w:rsidRPr="000415A2">
        <w:rPr>
          <w:rFonts w:ascii="Times New Roman" w:hAnsi="Times New Roman" w:cs="Times New Roman"/>
          <w:sz w:val="28"/>
          <w:szCs w:val="28"/>
        </w:rPr>
        <w:t>, включали</w:t>
      </w:r>
      <w:r w:rsidR="00EA4BFC">
        <w:rPr>
          <w:rFonts w:ascii="Times New Roman" w:hAnsi="Times New Roman" w:cs="Times New Roman"/>
          <w:sz w:val="28"/>
          <w:szCs w:val="28"/>
        </w:rPr>
        <w:t>сь как независимые переменные, так и</w:t>
      </w:r>
      <w:r w:rsidRPr="000415A2">
        <w:rPr>
          <w:rFonts w:ascii="Times New Roman" w:hAnsi="Times New Roman" w:cs="Times New Roman"/>
          <w:sz w:val="28"/>
          <w:szCs w:val="28"/>
        </w:rPr>
        <w:t xml:space="preserve"> </w:t>
      </w:r>
      <w:r w:rsidR="00EA4BFC" w:rsidRPr="000415A2">
        <w:rPr>
          <w:rFonts w:ascii="Times New Roman" w:hAnsi="Times New Roman" w:cs="Times New Roman"/>
          <w:sz w:val="28"/>
          <w:szCs w:val="28"/>
        </w:rPr>
        <w:t xml:space="preserve">зависимые переменные - как </w:t>
      </w:r>
      <w:r w:rsidRPr="000415A2">
        <w:rPr>
          <w:rFonts w:ascii="Times New Roman" w:hAnsi="Times New Roman" w:cs="Times New Roman"/>
          <w:sz w:val="28"/>
          <w:szCs w:val="28"/>
        </w:rPr>
        <w:t>биохимические показатели.</w:t>
      </w:r>
      <w:r w:rsidR="00783482" w:rsidRPr="000415A2">
        <w:rPr>
          <w:rFonts w:ascii="Times New Roman" w:hAnsi="Times New Roman" w:cs="Times New Roman"/>
          <w:sz w:val="28"/>
          <w:szCs w:val="28"/>
        </w:rPr>
        <w:t xml:space="preserve"> Всего было построено 10 моделей логистической регрессии</w:t>
      </w:r>
      <w:r w:rsidR="00E6510F">
        <w:rPr>
          <w:rFonts w:ascii="Times New Roman" w:hAnsi="Times New Roman" w:cs="Times New Roman"/>
          <w:sz w:val="28"/>
          <w:szCs w:val="28"/>
        </w:rPr>
        <w:t>, из них статистически значимые 4 модели</w:t>
      </w:r>
      <w:r w:rsidR="003C0BEF">
        <w:rPr>
          <w:rFonts w:ascii="Times New Roman" w:hAnsi="Times New Roman" w:cs="Times New Roman"/>
          <w:sz w:val="28"/>
          <w:szCs w:val="28"/>
          <w:lang w:val="kk-KZ"/>
        </w:rPr>
        <w:t xml:space="preserve"> (таблица 50)</w:t>
      </w:r>
      <w:r w:rsidR="00783482" w:rsidRPr="000415A2">
        <w:rPr>
          <w:rFonts w:ascii="Times New Roman" w:hAnsi="Times New Roman" w:cs="Times New Roman"/>
          <w:sz w:val="28"/>
          <w:szCs w:val="28"/>
        </w:rPr>
        <w:t>.</w:t>
      </w:r>
    </w:p>
    <w:p w:rsidR="00AD11CD" w:rsidRDefault="00AD11CD" w:rsidP="00AD11CD">
      <w:pPr>
        <w:spacing w:after="0" w:line="240" w:lineRule="auto"/>
        <w:jc w:val="both"/>
        <w:rPr>
          <w:rFonts w:ascii="Times New Roman" w:hAnsi="Times New Roman" w:cs="Times New Roman"/>
          <w:sz w:val="28"/>
          <w:szCs w:val="28"/>
          <w:lang w:val="kk-KZ"/>
        </w:rPr>
      </w:pPr>
    </w:p>
    <w:p w:rsidR="00AD11CD" w:rsidRDefault="00AD11CD" w:rsidP="00AD11C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Таблица </w:t>
      </w:r>
      <w:r>
        <w:rPr>
          <w:rFonts w:ascii="Times New Roman" w:hAnsi="Times New Roman" w:cs="Times New Roman"/>
          <w:sz w:val="28"/>
          <w:szCs w:val="28"/>
          <w:lang w:val="kk-KZ"/>
        </w:rPr>
        <w:t>50</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Множественная логистическая регрессия между факторами риска и биохимическими показателями</w:t>
      </w:r>
    </w:p>
    <w:p w:rsidR="00AD11CD" w:rsidRPr="00E83EC5" w:rsidRDefault="00AD11CD" w:rsidP="00AD11CD">
      <w:pPr>
        <w:spacing w:after="0" w:line="240" w:lineRule="auto"/>
        <w:jc w:val="both"/>
        <w:rPr>
          <w:rFonts w:ascii="Times New Roman" w:hAnsi="Times New Roman" w:cs="Times New Roman"/>
          <w:sz w:val="28"/>
          <w:szCs w:val="28"/>
          <w:lang w:val="kk-KZ"/>
        </w:rPr>
      </w:pPr>
    </w:p>
    <w:tbl>
      <w:tblPr>
        <w:tblStyle w:val="af7"/>
        <w:tblW w:w="0" w:type="auto"/>
        <w:jc w:val="center"/>
        <w:tblLook w:val="04A0" w:firstRow="1" w:lastRow="0" w:firstColumn="1" w:lastColumn="0" w:noHBand="0" w:noVBand="1"/>
      </w:tblPr>
      <w:tblGrid>
        <w:gridCol w:w="1526"/>
        <w:gridCol w:w="1984"/>
        <w:gridCol w:w="4536"/>
        <w:gridCol w:w="1525"/>
      </w:tblGrid>
      <w:tr w:rsidR="00AD11CD" w:rsidTr="00C55712">
        <w:trPr>
          <w:jc w:val="center"/>
        </w:trPr>
        <w:tc>
          <w:tcPr>
            <w:tcW w:w="1526" w:type="dxa"/>
          </w:tcPr>
          <w:p w:rsidR="00AD11CD" w:rsidRDefault="00AD11CD" w:rsidP="00C55712">
            <w:pPr>
              <w:jc w:val="center"/>
              <w:rPr>
                <w:rFonts w:ascii="Times New Roman" w:hAnsi="Times New Roman"/>
                <w:sz w:val="28"/>
                <w:szCs w:val="28"/>
              </w:rPr>
            </w:pPr>
            <w:r>
              <w:rPr>
                <w:rFonts w:ascii="Times New Roman" w:hAnsi="Times New Roman"/>
                <w:sz w:val="28"/>
                <w:szCs w:val="28"/>
              </w:rPr>
              <w:t>Фактор риска</w:t>
            </w:r>
          </w:p>
        </w:tc>
        <w:tc>
          <w:tcPr>
            <w:tcW w:w="1984" w:type="dxa"/>
          </w:tcPr>
          <w:p w:rsidR="00AD11CD" w:rsidRDefault="00AD11CD" w:rsidP="00C55712">
            <w:pPr>
              <w:jc w:val="center"/>
              <w:rPr>
                <w:rFonts w:ascii="Times New Roman" w:hAnsi="Times New Roman"/>
                <w:sz w:val="28"/>
                <w:szCs w:val="28"/>
              </w:rPr>
            </w:pPr>
            <w:r>
              <w:rPr>
                <w:rFonts w:ascii="Times New Roman" w:hAnsi="Times New Roman"/>
                <w:sz w:val="28"/>
                <w:szCs w:val="28"/>
              </w:rPr>
              <w:t>В</w:t>
            </w:r>
          </w:p>
        </w:tc>
        <w:tc>
          <w:tcPr>
            <w:tcW w:w="4536" w:type="dxa"/>
          </w:tcPr>
          <w:p w:rsidR="00AD11CD" w:rsidRDefault="00AD11CD" w:rsidP="00C55712">
            <w:pPr>
              <w:jc w:val="center"/>
              <w:rPr>
                <w:rFonts w:ascii="Times New Roman" w:hAnsi="Times New Roman"/>
                <w:sz w:val="28"/>
                <w:szCs w:val="28"/>
              </w:rPr>
            </w:pPr>
            <w:r>
              <w:rPr>
                <w:rFonts w:ascii="Times New Roman" w:hAnsi="Times New Roman"/>
                <w:sz w:val="28"/>
                <w:szCs w:val="28"/>
              </w:rPr>
              <w:t>Скоррективанное ОШ (95% ДИ)</w:t>
            </w:r>
          </w:p>
        </w:tc>
        <w:tc>
          <w:tcPr>
            <w:tcW w:w="1525" w:type="dxa"/>
          </w:tcPr>
          <w:p w:rsidR="00AD11CD" w:rsidRDefault="00AD11CD" w:rsidP="00C55712">
            <w:pPr>
              <w:jc w:val="center"/>
              <w:rPr>
                <w:rFonts w:ascii="Times New Roman" w:hAnsi="Times New Roman"/>
                <w:sz w:val="28"/>
                <w:szCs w:val="28"/>
              </w:rPr>
            </w:pPr>
            <w:r>
              <w:rPr>
                <w:rFonts w:ascii="Times New Roman" w:hAnsi="Times New Roman"/>
                <w:sz w:val="28"/>
                <w:szCs w:val="28"/>
              </w:rPr>
              <w:t>р</w:t>
            </w:r>
          </w:p>
        </w:tc>
      </w:tr>
      <w:tr w:rsidR="00AD11CD" w:rsidTr="00C55712">
        <w:trPr>
          <w:jc w:val="center"/>
        </w:trPr>
        <w:tc>
          <w:tcPr>
            <w:tcW w:w="9571" w:type="dxa"/>
            <w:gridSpan w:val="4"/>
          </w:tcPr>
          <w:p w:rsidR="00AD11CD" w:rsidRDefault="00AD11CD" w:rsidP="00C55712">
            <w:pPr>
              <w:jc w:val="center"/>
              <w:rPr>
                <w:rFonts w:ascii="Times New Roman" w:hAnsi="Times New Roman"/>
                <w:sz w:val="28"/>
                <w:szCs w:val="28"/>
              </w:rPr>
            </w:pPr>
            <w:r>
              <w:rPr>
                <w:rFonts w:ascii="Times New Roman" w:hAnsi="Times New Roman"/>
                <w:sz w:val="28"/>
                <w:szCs w:val="28"/>
              </w:rPr>
              <w:t>Триглицериды</w:t>
            </w:r>
          </w:p>
        </w:tc>
      </w:tr>
      <w:tr w:rsidR="00AD11CD" w:rsidTr="00C55712">
        <w:trPr>
          <w:jc w:val="center"/>
        </w:trPr>
        <w:tc>
          <w:tcPr>
            <w:tcW w:w="1526" w:type="dxa"/>
          </w:tcPr>
          <w:p w:rsidR="00AD11CD" w:rsidRDefault="00AD11CD" w:rsidP="00C55712">
            <w:pPr>
              <w:jc w:val="center"/>
              <w:rPr>
                <w:rFonts w:ascii="Times New Roman" w:hAnsi="Times New Roman"/>
                <w:sz w:val="28"/>
                <w:szCs w:val="28"/>
              </w:rPr>
            </w:pPr>
            <w:r>
              <w:rPr>
                <w:rFonts w:ascii="Times New Roman" w:hAnsi="Times New Roman"/>
                <w:sz w:val="28"/>
                <w:szCs w:val="28"/>
              </w:rPr>
              <w:t>ИМТ</w:t>
            </w:r>
          </w:p>
        </w:tc>
        <w:tc>
          <w:tcPr>
            <w:tcW w:w="1984" w:type="dxa"/>
          </w:tcPr>
          <w:p w:rsidR="00AD11CD" w:rsidRDefault="00AD11CD" w:rsidP="00C55712">
            <w:pPr>
              <w:jc w:val="center"/>
              <w:rPr>
                <w:rFonts w:ascii="Times New Roman" w:hAnsi="Times New Roman"/>
                <w:sz w:val="28"/>
                <w:szCs w:val="28"/>
              </w:rPr>
            </w:pPr>
            <w:r>
              <w:rPr>
                <w:rFonts w:ascii="Times New Roman" w:hAnsi="Times New Roman"/>
                <w:sz w:val="28"/>
                <w:szCs w:val="28"/>
              </w:rPr>
              <w:t>-2,37</w:t>
            </w:r>
          </w:p>
        </w:tc>
        <w:tc>
          <w:tcPr>
            <w:tcW w:w="4536" w:type="dxa"/>
          </w:tcPr>
          <w:p w:rsidR="00AD11CD" w:rsidRDefault="00AD11CD" w:rsidP="00C55712">
            <w:pPr>
              <w:jc w:val="center"/>
              <w:rPr>
                <w:rFonts w:ascii="Times New Roman" w:hAnsi="Times New Roman"/>
                <w:sz w:val="28"/>
                <w:szCs w:val="28"/>
              </w:rPr>
            </w:pPr>
            <w:r>
              <w:rPr>
                <w:rFonts w:ascii="Times New Roman" w:hAnsi="Times New Roman"/>
                <w:sz w:val="28"/>
                <w:szCs w:val="28"/>
              </w:rPr>
              <w:t>1,04 (1,0-1,1)</w:t>
            </w:r>
          </w:p>
        </w:tc>
        <w:tc>
          <w:tcPr>
            <w:tcW w:w="1525" w:type="dxa"/>
          </w:tcPr>
          <w:p w:rsidR="00AD11CD" w:rsidRDefault="00AD11CD" w:rsidP="00C55712">
            <w:pPr>
              <w:jc w:val="center"/>
              <w:rPr>
                <w:rFonts w:ascii="Times New Roman" w:hAnsi="Times New Roman"/>
                <w:sz w:val="28"/>
                <w:szCs w:val="28"/>
              </w:rPr>
            </w:pPr>
            <w:r>
              <w:rPr>
                <w:rFonts w:ascii="Times New Roman" w:hAnsi="Times New Roman"/>
                <w:sz w:val="28"/>
                <w:szCs w:val="28"/>
              </w:rPr>
              <w:t>0,0001</w:t>
            </w:r>
          </w:p>
        </w:tc>
      </w:tr>
      <w:tr w:rsidR="00AD11CD" w:rsidTr="00C55712">
        <w:trPr>
          <w:jc w:val="center"/>
        </w:trPr>
        <w:tc>
          <w:tcPr>
            <w:tcW w:w="9571" w:type="dxa"/>
            <w:gridSpan w:val="4"/>
          </w:tcPr>
          <w:p w:rsidR="00AD11CD" w:rsidRDefault="00AD11CD" w:rsidP="00C55712">
            <w:pPr>
              <w:jc w:val="center"/>
              <w:rPr>
                <w:rFonts w:ascii="Times New Roman" w:hAnsi="Times New Roman"/>
                <w:sz w:val="28"/>
                <w:szCs w:val="28"/>
              </w:rPr>
            </w:pPr>
            <w:r>
              <w:rPr>
                <w:rFonts w:ascii="Times New Roman" w:hAnsi="Times New Roman"/>
                <w:sz w:val="28"/>
                <w:szCs w:val="28"/>
              </w:rPr>
              <w:t>Аполипопротеин А1</w:t>
            </w:r>
          </w:p>
        </w:tc>
      </w:tr>
      <w:tr w:rsidR="00AD11CD" w:rsidTr="00C55712">
        <w:trPr>
          <w:jc w:val="center"/>
        </w:trPr>
        <w:tc>
          <w:tcPr>
            <w:tcW w:w="1526" w:type="dxa"/>
          </w:tcPr>
          <w:p w:rsidR="00AD11CD" w:rsidRDefault="00AD11CD" w:rsidP="00C55712">
            <w:pPr>
              <w:jc w:val="center"/>
              <w:rPr>
                <w:rFonts w:ascii="Times New Roman" w:hAnsi="Times New Roman"/>
                <w:sz w:val="28"/>
                <w:szCs w:val="28"/>
              </w:rPr>
            </w:pPr>
            <w:r>
              <w:rPr>
                <w:rFonts w:ascii="Times New Roman" w:hAnsi="Times New Roman"/>
                <w:sz w:val="28"/>
                <w:szCs w:val="28"/>
              </w:rPr>
              <w:t>Статус курения</w:t>
            </w:r>
          </w:p>
        </w:tc>
        <w:tc>
          <w:tcPr>
            <w:tcW w:w="1984" w:type="dxa"/>
          </w:tcPr>
          <w:p w:rsidR="00AD11CD" w:rsidRPr="00CB65A7" w:rsidRDefault="00AD11CD" w:rsidP="00C55712">
            <w:pPr>
              <w:jc w:val="center"/>
              <w:rPr>
                <w:rFonts w:ascii="Times New Roman" w:hAnsi="Times New Roman"/>
                <w:sz w:val="28"/>
                <w:szCs w:val="28"/>
                <w:lang w:val="kk-KZ"/>
              </w:rPr>
            </w:pPr>
            <w:r>
              <w:rPr>
                <w:rFonts w:ascii="Times New Roman" w:hAnsi="Times New Roman"/>
                <w:sz w:val="28"/>
                <w:szCs w:val="28"/>
              </w:rPr>
              <w:t>-3,1</w:t>
            </w:r>
            <w:r>
              <w:rPr>
                <w:rFonts w:ascii="Times New Roman" w:hAnsi="Times New Roman"/>
                <w:sz w:val="28"/>
                <w:szCs w:val="28"/>
                <w:lang w:val="kk-KZ"/>
              </w:rPr>
              <w:t>3</w:t>
            </w:r>
          </w:p>
        </w:tc>
        <w:tc>
          <w:tcPr>
            <w:tcW w:w="4536" w:type="dxa"/>
          </w:tcPr>
          <w:p w:rsidR="00AD11CD" w:rsidRDefault="00AD11CD" w:rsidP="00C55712">
            <w:pPr>
              <w:jc w:val="center"/>
              <w:rPr>
                <w:rFonts w:ascii="Times New Roman" w:hAnsi="Times New Roman"/>
                <w:sz w:val="28"/>
                <w:szCs w:val="28"/>
              </w:rPr>
            </w:pPr>
            <w:r>
              <w:rPr>
                <w:rFonts w:ascii="Times New Roman" w:hAnsi="Times New Roman"/>
                <w:sz w:val="28"/>
                <w:szCs w:val="28"/>
              </w:rPr>
              <w:t>1,88 (1,03-3,19)</w:t>
            </w:r>
          </w:p>
        </w:tc>
        <w:tc>
          <w:tcPr>
            <w:tcW w:w="1525" w:type="dxa"/>
          </w:tcPr>
          <w:p w:rsidR="00AD11CD" w:rsidRDefault="00AD11CD" w:rsidP="00C55712">
            <w:pPr>
              <w:jc w:val="center"/>
              <w:rPr>
                <w:rFonts w:ascii="Times New Roman" w:hAnsi="Times New Roman"/>
                <w:sz w:val="28"/>
                <w:szCs w:val="28"/>
              </w:rPr>
            </w:pPr>
            <w:r>
              <w:rPr>
                <w:rFonts w:ascii="Times New Roman" w:hAnsi="Times New Roman"/>
                <w:sz w:val="28"/>
                <w:szCs w:val="28"/>
              </w:rPr>
              <w:t>0,0001</w:t>
            </w:r>
          </w:p>
        </w:tc>
      </w:tr>
      <w:tr w:rsidR="00AD11CD" w:rsidTr="00C55712">
        <w:trPr>
          <w:jc w:val="center"/>
        </w:trPr>
        <w:tc>
          <w:tcPr>
            <w:tcW w:w="9571" w:type="dxa"/>
            <w:gridSpan w:val="4"/>
          </w:tcPr>
          <w:p w:rsidR="00AD11CD" w:rsidRDefault="00AD11CD" w:rsidP="00C55712">
            <w:pPr>
              <w:jc w:val="center"/>
              <w:rPr>
                <w:rFonts w:ascii="Times New Roman" w:hAnsi="Times New Roman"/>
                <w:sz w:val="28"/>
                <w:szCs w:val="28"/>
              </w:rPr>
            </w:pPr>
            <w:r>
              <w:rPr>
                <w:rFonts w:ascii="Times New Roman" w:hAnsi="Times New Roman"/>
                <w:sz w:val="28"/>
                <w:szCs w:val="28"/>
              </w:rPr>
              <w:t>Аполипопротеин В</w:t>
            </w:r>
          </w:p>
        </w:tc>
      </w:tr>
      <w:tr w:rsidR="00AD11CD" w:rsidTr="00C55712">
        <w:trPr>
          <w:jc w:val="center"/>
        </w:trPr>
        <w:tc>
          <w:tcPr>
            <w:tcW w:w="1526" w:type="dxa"/>
          </w:tcPr>
          <w:p w:rsidR="00AD11CD" w:rsidRDefault="00AD11CD" w:rsidP="00C55712">
            <w:pPr>
              <w:jc w:val="center"/>
              <w:rPr>
                <w:rFonts w:ascii="Times New Roman" w:hAnsi="Times New Roman"/>
                <w:sz w:val="28"/>
                <w:szCs w:val="28"/>
              </w:rPr>
            </w:pPr>
            <w:r>
              <w:rPr>
                <w:rFonts w:ascii="Times New Roman" w:hAnsi="Times New Roman"/>
                <w:sz w:val="28"/>
                <w:szCs w:val="28"/>
              </w:rPr>
              <w:t xml:space="preserve">Возраст </w:t>
            </w:r>
          </w:p>
        </w:tc>
        <w:tc>
          <w:tcPr>
            <w:tcW w:w="1984" w:type="dxa"/>
          </w:tcPr>
          <w:p w:rsidR="00AD11CD" w:rsidRDefault="00AD11CD" w:rsidP="00C55712">
            <w:pPr>
              <w:jc w:val="center"/>
              <w:rPr>
                <w:rFonts w:ascii="Times New Roman" w:hAnsi="Times New Roman"/>
                <w:sz w:val="28"/>
                <w:szCs w:val="28"/>
              </w:rPr>
            </w:pPr>
            <w:r>
              <w:rPr>
                <w:rFonts w:ascii="Times New Roman" w:hAnsi="Times New Roman"/>
                <w:sz w:val="28"/>
                <w:szCs w:val="28"/>
              </w:rPr>
              <w:t>-0,84</w:t>
            </w:r>
          </w:p>
        </w:tc>
        <w:tc>
          <w:tcPr>
            <w:tcW w:w="4536" w:type="dxa"/>
          </w:tcPr>
          <w:p w:rsidR="00AD11CD" w:rsidRDefault="00AD11CD" w:rsidP="00C55712">
            <w:pPr>
              <w:jc w:val="center"/>
              <w:rPr>
                <w:rFonts w:ascii="Times New Roman" w:hAnsi="Times New Roman"/>
                <w:sz w:val="28"/>
                <w:szCs w:val="28"/>
              </w:rPr>
            </w:pPr>
            <w:r>
              <w:rPr>
                <w:rFonts w:ascii="Times New Roman" w:hAnsi="Times New Roman"/>
                <w:sz w:val="28"/>
                <w:szCs w:val="28"/>
              </w:rPr>
              <w:t>1,04 (1,01-1,05)</w:t>
            </w:r>
          </w:p>
        </w:tc>
        <w:tc>
          <w:tcPr>
            <w:tcW w:w="1525" w:type="dxa"/>
          </w:tcPr>
          <w:p w:rsidR="00AD11CD" w:rsidRDefault="00AD11CD" w:rsidP="00C55712">
            <w:pPr>
              <w:jc w:val="center"/>
              <w:rPr>
                <w:rFonts w:ascii="Times New Roman" w:hAnsi="Times New Roman"/>
                <w:sz w:val="28"/>
                <w:szCs w:val="28"/>
              </w:rPr>
            </w:pPr>
            <w:r>
              <w:rPr>
                <w:rFonts w:ascii="Times New Roman" w:hAnsi="Times New Roman"/>
                <w:sz w:val="28"/>
                <w:szCs w:val="28"/>
              </w:rPr>
              <w:t>0,04</w:t>
            </w:r>
          </w:p>
        </w:tc>
      </w:tr>
      <w:tr w:rsidR="00AD11CD" w:rsidTr="00C55712">
        <w:trPr>
          <w:jc w:val="center"/>
        </w:trPr>
        <w:tc>
          <w:tcPr>
            <w:tcW w:w="9571" w:type="dxa"/>
            <w:gridSpan w:val="4"/>
          </w:tcPr>
          <w:p w:rsidR="00AD11CD" w:rsidRPr="000403C4" w:rsidRDefault="00AD11CD" w:rsidP="00C55712">
            <w:pPr>
              <w:jc w:val="center"/>
              <w:rPr>
                <w:rFonts w:ascii="Times New Roman" w:hAnsi="Times New Roman"/>
                <w:sz w:val="28"/>
                <w:szCs w:val="28"/>
                <w:lang w:val="en-US"/>
              </w:rPr>
            </w:pPr>
            <w:r>
              <w:rPr>
                <w:rFonts w:ascii="Times New Roman" w:hAnsi="Times New Roman"/>
                <w:sz w:val="28"/>
                <w:szCs w:val="28"/>
                <w:lang w:val="en-US"/>
              </w:rPr>
              <w:t>HOMA-IR</w:t>
            </w:r>
          </w:p>
        </w:tc>
      </w:tr>
      <w:tr w:rsidR="00AD11CD" w:rsidTr="00C55712">
        <w:trPr>
          <w:jc w:val="center"/>
        </w:trPr>
        <w:tc>
          <w:tcPr>
            <w:tcW w:w="1526" w:type="dxa"/>
          </w:tcPr>
          <w:p w:rsidR="00AD11CD" w:rsidRPr="000403C4" w:rsidRDefault="00AD11CD" w:rsidP="00C55712">
            <w:pPr>
              <w:jc w:val="center"/>
              <w:rPr>
                <w:rFonts w:ascii="Times New Roman" w:hAnsi="Times New Roman"/>
                <w:sz w:val="28"/>
                <w:szCs w:val="28"/>
              </w:rPr>
            </w:pPr>
            <w:r>
              <w:rPr>
                <w:rFonts w:ascii="Times New Roman" w:hAnsi="Times New Roman"/>
                <w:sz w:val="28"/>
                <w:szCs w:val="28"/>
              </w:rPr>
              <w:t>Пол</w:t>
            </w:r>
          </w:p>
        </w:tc>
        <w:tc>
          <w:tcPr>
            <w:tcW w:w="1984" w:type="dxa"/>
          </w:tcPr>
          <w:p w:rsidR="00AD11CD" w:rsidRDefault="00AD11CD" w:rsidP="00C55712">
            <w:pPr>
              <w:jc w:val="center"/>
              <w:rPr>
                <w:rFonts w:ascii="Times New Roman" w:hAnsi="Times New Roman"/>
                <w:sz w:val="28"/>
                <w:szCs w:val="28"/>
              </w:rPr>
            </w:pPr>
            <w:r>
              <w:rPr>
                <w:rFonts w:ascii="Times New Roman" w:hAnsi="Times New Roman"/>
                <w:sz w:val="28"/>
                <w:szCs w:val="28"/>
              </w:rPr>
              <w:t>-0,29</w:t>
            </w:r>
          </w:p>
        </w:tc>
        <w:tc>
          <w:tcPr>
            <w:tcW w:w="4536" w:type="dxa"/>
          </w:tcPr>
          <w:p w:rsidR="00AD11CD" w:rsidRDefault="00AD11CD" w:rsidP="00C55712">
            <w:pPr>
              <w:jc w:val="center"/>
              <w:rPr>
                <w:rFonts w:ascii="Times New Roman" w:hAnsi="Times New Roman"/>
                <w:sz w:val="28"/>
                <w:szCs w:val="28"/>
              </w:rPr>
            </w:pPr>
            <w:r>
              <w:rPr>
                <w:rFonts w:ascii="Times New Roman" w:hAnsi="Times New Roman"/>
                <w:sz w:val="28"/>
                <w:szCs w:val="28"/>
              </w:rPr>
              <w:t>0,75 (0,49-1,0)</w:t>
            </w:r>
          </w:p>
        </w:tc>
        <w:tc>
          <w:tcPr>
            <w:tcW w:w="1525" w:type="dxa"/>
          </w:tcPr>
          <w:p w:rsidR="00AD11CD" w:rsidRDefault="00AD11CD" w:rsidP="00C55712">
            <w:pPr>
              <w:jc w:val="center"/>
              <w:rPr>
                <w:rFonts w:ascii="Times New Roman" w:hAnsi="Times New Roman"/>
                <w:sz w:val="28"/>
                <w:szCs w:val="28"/>
              </w:rPr>
            </w:pPr>
            <w:r>
              <w:rPr>
                <w:rFonts w:ascii="Times New Roman" w:hAnsi="Times New Roman"/>
                <w:sz w:val="28"/>
                <w:szCs w:val="28"/>
              </w:rPr>
              <w:t>0,02</w:t>
            </w:r>
          </w:p>
        </w:tc>
      </w:tr>
    </w:tbl>
    <w:p w:rsidR="00AD11CD" w:rsidRDefault="00AD11CD" w:rsidP="00AD11CD">
      <w:pPr>
        <w:spacing w:after="0" w:line="240" w:lineRule="auto"/>
        <w:ind w:firstLine="708"/>
        <w:jc w:val="both"/>
        <w:rPr>
          <w:rFonts w:ascii="Times New Roman" w:hAnsi="Times New Roman" w:cs="Times New Roman"/>
          <w:sz w:val="28"/>
          <w:szCs w:val="28"/>
        </w:rPr>
      </w:pPr>
    </w:p>
    <w:p w:rsidR="00AD11CD" w:rsidRDefault="00AD11CD" w:rsidP="003449C6">
      <w:pPr>
        <w:spacing w:after="0" w:line="240" w:lineRule="auto"/>
        <w:ind w:firstLine="708"/>
        <w:jc w:val="both"/>
        <w:rPr>
          <w:rFonts w:ascii="Times New Roman" w:hAnsi="Times New Roman" w:cs="Times New Roman"/>
          <w:sz w:val="28"/>
          <w:szCs w:val="28"/>
          <w:lang w:val="kk-KZ"/>
        </w:rPr>
      </w:pPr>
    </w:p>
    <w:p w:rsidR="00E6510F" w:rsidRDefault="00E6510F" w:rsidP="003449C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Наблюдаемая зависимость триглицеридов к ИМТ описывается уравнением </w:t>
      </w:r>
    </w:p>
    <w:p w:rsidR="003449C6" w:rsidRDefault="003449C6" w:rsidP="003449C6">
      <w:pPr>
        <w:spacing w:after="0" w:line="240" w:lineRule="auto"/>
        <w:ind w:firstLine="708"/>
        <w:jc w:val="both"/>
        <w:rPr>
          <w:rFonts w:ascii="Times New Roman" w:hAnsi="Times New Roman" w:cs="Times New Roman"/>
          <w:sz w:val="28"/>
          <w:szCs w:val="28"/>
        </w:rPr>
      </w:pPr>
    </w:p>
    <w:p w:rsidR="00E6510F" w:rsidRPr="008B1A47" w:rsidRDefault="00E6510F" w:rsidP="00E6510F">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lang w:val="en-US"/>
        </w:rPr>
        <w:t>p</w:t>
      </w:r>
      <w:r>
        <w:rPr>
          <w:rFonts w:ascii="Times New Roman" w:hAnsi="Times New Roman" w:cs="Times New Roman"/>
          <w:sz w:val="28"/>
          <w:szCs w:val="28"/>
        </w:rPr>
        <w:t xml:space="preserve"> = 1 / (1+е</w:t>
      </w:r>
      <w:r>
        <w:rPr>
          <w:rFonts w:ascii="Times New Roman" w:hAnsi="Times New Roman" w:cs="Times New Roman"/>
          <w:sz w:val="28"/>
          <w:szCs w:val="28"/>
          <w:vertAlign w:val="superscript"/>
        </w:rPr>
        <w:t>-</w:t>
      </w:r>
      <w:r>
        <w:rPr>
          <w:rFonts w:ascii="Times New Roman" w:hAnsi="Times New Roman" w:cs="Times New Roman"/>
          <w:sz w:val="28"/>
          <w:szCs w:val="28"/>
          <w:vertAlign w:val="superscript"/>
          <w:lang w:val="en-US"/>
        </w:rPr>
        <w:t>z</w:t>
      </w:r>
      <w:r>
        <w:rPr>
          <w:rFonts w:ascii="Times New Roman" w:hAnsi="Times New Roman" w:cs="Times New Roman"/>
          <w:sz w:val="28"/>
          <w:szCs w:val="28"/>
        </w:rPr>
        <w:t>)</w:t>
      </w:r>
      <w:r w:rsidRPr="008B1A47">
        <w:rPr>
          <w:rFonts w:ascii="Times New Roman" w:hAnsi="Times New Roman" w:cs="Times New Roman"/>
          <w:sz w:val="28"/>
          <w:szCs w:val="28"/>
        </w:rPr>
        <w:t xml:space="preserve"> </w:t>
      </w:r>
      <w:r w:rsidRPr="0014686D">
        <w:rPr>
          <w:rFonts w:ascii="Times New Roman" w:hAnsi="Times New Roman" w:cs="Times New Roman"/>
          <w:sz w:val="28"/>
          <w:szCs w:val="28"/>
        </w:rPr>
        <w:t>*</w:t>
      </w:r>
      <w:r w:rsidRPr="008B1A47">
        <w:rPr>
          <w:rFonts w:ascii="Times New Roman" w:hAnsi="Times New Roman" w:cs="Times New Roman"/>
          <w:sz w:val="28"/>
          <w:szCs w:val="28"/>
        </w:rPr>
        <w:t xml:space="preserve"> 100%</w:t>
      </w:r>
    </w:p>
    <w:p w:rsidR="00E6510F" w:rsidRPr="008B1A47" w:rsidRDefault="00E6510F" w:rsidP="00E6510F">
      <w:pPr>
        <w:spacing w:after="0" w:line="240" w:lineRule="auto"/>
        <w:ind w:firstLine="708"/>
        <w:jc w:val="center"/>
        <w:rPr>
          <w:rFonts w:ascii="Times New Roman" w:hAnsi="Times New Roman" w:cs="Times New Roman"/>
          <w:sz w:val="28"/>
          <w:szCs w:val="28"/>
        </w:rPr>
      </w:pPr>
    </w:p>
    <w:p w:rsidR="00E6510F" w:rsidRDefault="00E6510F" w:rsidP="00AD11CD">
      <w:pPr>
        <w:spacing w:after="0" w:line="240" w:lineRule="auto"/>
        <w:ind w:firstLine="708"/>
        <w:jc w:val="right"/>
        <w:rPr>
          <w:rFonts w:ascii="Times New Roman" w:hAnsi="Times New Roman" w:cs="Times New Roman"/>
          <w:sz w:val="28"/>
          <w:szCs w:val="28"/>
        </w:rPr>
      </w:pPr>
      <w:r>
        <w:rPr>
          <w:rFonts w:ascii="Times New Roman" w:hAnsi="Times New Roman" w:cs="Times New Roman"/>
          <w:sz w:val="28"/>
          <w:szCs w:val="28"/>
          <w:lang w:val="en-US"/>
        </w:rPr>
        <w:t>z</w:t>
      </w:r>
      <w:r w:rsidRPr="008B1A47">
        <w:rPr>
          <w:rFonts w:ascii="Times New Roman" w:hAnsi="Times New Roman" w:cs="Times New Roman"/>
          <w:sz w:val="28"/>
          <w:szCs w:val="28"/>
        </w:rPr>
        <w:t xml:space="preserve"> = </w:t>
      </w:r>
      <w:r>
        <w:rPr>
          <w:rFonts w:ascii="Times New Roman" w:hAnsi="Times New Roman" w:cs="Times New Roman"/>
          <w:sz w:val="28"/>
          <w:szCs w:val="28"/>
        </w:rPr>
        <w:t>1</w:t>
      </w:r>
      <w:r w:rsidRPr="008B1A47">
        <w:rPr>
          <w:rFonts w:ascii="Times New Roman" w:hAnsi="Times New Roman" w:cs="Times New Roman"/>
          <w:sz w:val="28"/>
          <w:szCs w:val="28"/>
        </w:rPr>
        <w:t>,</w:t>
      </w:r>
      <w:r>
        <w:rPr>
          <w:rFonts w:ascii="Times New Roman" w:hAnsi="Times New Roman" w:cs="Times New Roman"/>
          <w:sz w:val="28"/>
          <w:szCs w:val="28"/>
        </w:rPr>
        <w:t>0</w:t>
      </w:r>
      <w:r w:rsidRPr="008B1A47">
        <w:rPr>
          <w:rFonts w:ascii="Times New Roman" w:hAnsi="Times New Roman" w:cs="Times New Roman"/>
          <w:sz w:val="28"/>
          <w:szCs w:val="28"/>
        </w:rPr>
        <w:t>4 + (-</w:t>
      </w:r>
      <w:r>
        <w:rPr>
          <w:rFonts w:ascii="Times New Roman" w:hAnsi="Times New Roman" w:cs="Times New Roman"/>
          <w:sz w:val="28"/>
          <w:szCs w:val="28"/>
        </w:rPr>
        <w:t>2,37</w:t>
      </w:r>
      <w:r w:rsidRPr="008B1A47">
        <w:rPr>
          <w:rFonts w:ascii="Times New Roman" w:hAnsi="Times New Roman" w:cs="Times New Roman"/>
          <w:sz w:val="28"/>
          <w:szCs w:val="28"/>
        </w:rPr>
        <w:t xml:space="preserve">) </w:t>
      </w:r>
      <w:r w:rsidRPr="0014686D">
        <w:rPr>
          <w:rFonts w:ascii="Times New Roman" w:hAnsi="Times New Roman" w:cs="Times New Roman"/>
          <w:sz w:val="28"/>
          <w:szCs w:val="28"/>
        </w:rPr>
        <w:t xml:space="preserve">* </w:t>
      </w:r>
      <w:r>
        <w:rPr>
          <w:rFonts w:ascii="Times New Roman" w:hAnsi="Times New Roman" w:cs="Times New Roman"/>
          <w:sz w:val="28"/>
          <w:szCs w:val="28"/>
          <w:lang w:val="en-US"/>
        </w:rPr>
        <w:t>X</w:t>
      </w:r>
      <w:r>
        <w:rPr>
          <w:rFonts w:ascii="Times New Roman" w:hAnsi="Times New Roman" w:cs="Times New Roman"/>
          <w:sz w:val="28"/>
          <w:szCs w:val="28"/>
          <w:vertAlign w:val="subscript"/>
        </w:rPr>
        <w:t xml:space="preserve">ИМТ </w:t>
      </w:r>
      <w:r>
        <w:rPr>
          <w:rFonts w:ascii="Times New Roman" w:hAnsi="Times New Roman" w:cs="Times New Roman"/>
          <w:sz w:val="28"/>
          <w:szCs w:val="28"/>
        </w:rPr>
        <w:t xml:space="preserve">      </w:t>
      </w:r>
      <w:r w:rsidR="00AD11CD">
        <w:rPr>
          <w:rFonts w:ascii="Times New Roman" w:hAnsi="Times New Roman" w:cs="Times New Roman"/>
          <w:sz w:val="28"/>
          <w:szCs w:val="28"/>
          <w:lang w:val="kk-KZ"/>
        </w:rPr>
        <w:t xml:space="preserve">                             </w:t>
      </w:r>
      <w:r>
        <w:rPr>
          <w:rFonts w:ascii="Times New Roman" w:hAnsi="Times New Roman" w:cs="Times New Roman"/>
          <w:sz w:val="28"/>
          <w:szCs w:val="28"/>
        </w:rPr>
        <w:t>(1)</w:t>
      </w:r>
    </w:p>
    <w:p w:rsidR="00E6510F" w:rsidRDefault="00E6510F" w:rsidP="00E6510F">
      <w:pPr>
        <w:spacing w:after="0" w:line="240" w:lineRule="auto"/>
        <w:ind w:firstLine="708"/>
        <w:jc w:val="center"/>
        <w:rPr>
          <w:rFonts w:ascii="Times New Roman" w:hAnsi="Times New Roman" w:cs="Times New Roman"/>
          <w:sz w:val="28"/>
          <w:szCs w:val="28"/>
        </w:rPr>
      </w:pPr>
    </w:p>
    <w:p w:rsidR="00E6510F" w:rsidRDefault="00E6510F" w:rsidP="00E6510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где р – вероятность наличия гипертриглицеридемии (%), Х</w:t>
      </w:r>
      <w:r>
        <w:rPr>
          <w:rFonts w:ascii="Times New Roman" w:hAnsi="Times New Roman" w:cs="Times New Roman"/>
          <w:sz w:val="28"/>
          <w:szCs w:val="28"/>
          <w:vertAlign w:val="subscript"/>
        </w:rPr>
        <w:t xml:space="preserve">ИМТ </w:t>
      </w:r>
      <w:r>
        <w:rPr>
          <w:rFonts w:ascii="Times New Roman" w:hAnsi="Times New Roman" w:cs="Times New Roman"/>
          <w:sz w:val="28"/>
          <w:szCs w:val="28"/>
        </w:rPr>
        <w:t>– индекс массы тела (кг/м</w:t>
      </w:r>
      <w:r>
        <w:rPr>
          <w:rFonts w:ascii="Times New Roman" w:hAnsi="Times New Roman" w:cs="Times New Roman"/>
          <w:sz w:val="28"/>
          <w:szCs w:val="28"/>
          <w:vertAlign w:val="superscript"/>
        </w:rPr>
        <w:t>2</w:t>
      </w:r>
      <w:r>
        <w:rPr>
          <w:rFonts w:ascii="Times New Roman" w:hAnsi="Times New Roman" w:cs="Times New Roman"/>
          <w:sz w:val="28"/>
          <w:szCs w:val="28"/>
        </w:rPr>
        <w:t>).</w:t>
      </w:r>
    </w:p>
    <w:p w:rsidR="00EA4BFC" w:rsidRDefault="00EA4BFC" w:rsidP="00EA4BF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Полученная регрессионная модель является статистически значимой (р=0,02). Исходя из значений коэффициента детерминации Найджелкерка, модель (1) учитывает 13% фактора, определяющий вероятность развития гипертриглицеридемии. Исходя из значений регрессионных коэффициентов, фактор ИМТ имеет значимую связь с вероятностью развития гипертриглицеридемии. Увеличение ИМТ на 1 кг/м</w:t>
      </w:r>
      <w:r w:rsidRPr="0014686D">
        <w:rPr>
          <w:rFonts w:ascii="Times New Roman" w:hAnsi="Times New Roman" w:cs="Times New Roman"/>
          <w:sz w:val="28"/>
          <w:szCs w:val="28"/>
          <w:vertAlign w:val="superscript"/>
        </w:rPr>
        <w:t>2</w:t>
      </w:r>
      <w:r>
        <w:rPr>
          <w:rFonts w:ascii="Times New Roman" w:hAnsi="Times New Roman" w:cs="Times New Roman"/>
          <w:sz w:val="28"/>
          <w:szCs w:val="28"/>
        </w:rPr>
        <w:t xml:space="preserve"> увеличивал шансы гипертриглицеридемии в </w:t>
      </w:r>
      <w:r>
        <w:rPr>
          <w:rFonts w:ascii="Times New Roman" w:hAnsi="Times New Roman"/>
          <w:sz w:val="28"/>
          <w:szCs w:val="28"/>
        </w:rPr>
        <w:t>1,04 раза (1,0-1,1).</w:t>
      </w:r>
    </w:p>
    <w:p w:rsidR="00013853" w:rsidRDefault="00013853" w:rsidP="0001385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Наблюдаемая зависимость </w:t>
      </w:r>
      <w:r w:rsidR="001E7525">
        <w:rPr>
          <w:rFonts w:ascii="Times New Roman" w:hAnsi="Times New Roman" w:cs="Times New Roman"/>
          <w:sz w:val="28"/>
          <w:szCs w:val="28"/>
        </w:rPr>
        <w:t>апоА1</w:t>
      </w:r>
      <w:r>
        <w:rPr>
          <w:rFonts w:ascii="Times New Roman" w:hAnsi="Times New Roman" w:cs="Times New Roman"/>
          <w:sz w:val="28"/>
          <w:szCs w:val="28"/>
        </w:rPr>
        <w:t xml:space="preserve"> от статуса курения описывается уравнением </w:t>
      </w:r>
    </w:p>
    <w:p w:rsidR="00013853" w:rsidRDefault="00013853" w:rsidP="00013853">
      <w:pPr>
        <w:spacing w:after="0" w:line="240" w:lineRule="auto"/>
        <w:ind w:firstLine="708"/>
        <w:jc w:val="center"/>
        <w:rPr>
          <w:rFonts w:ascii="Times New Roman" w:hAnsi="Times New Roman" w:cs="Times New Roman"/>
          <w:sz w:val="28"/>
          <w:szCs w:val="28"/>
        </w:rPr>
      </w:pPr>
    </w:p>
    <w:p w:rsidR="00013853" w:rsidRPr="008B1A47" w:rsidRDefault="00013853" w:rsidP="00013853">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lang w:val="en-US"/>
        </w:rPr>
        <w:t>p</w:t>
      </w:r>
      <w:r>
        <w:rPr>
          <w:rFonts w:ascii="Times New Roman" w:hAnsi="Times New Roman" w:cs="Times New Roman"/>
          <w:sz w:val="28"/>
          <w:szCs w:val="28"/>
        </w:rPr>
        <w:t xml:space="preserve"> = 1 / (1+е</w:t>
      </w:r>
      <w:r>
        <w:rPr>
          <w:rFonts w:ascii="Times New Roman" w:hAnsi="Times New Roman" w:cs="Times New Roman"/>
          <w:sz w:val="28"/>
          <w:szCs w:val="28"/>
          <w:vertAlign w:val="superscript"/>
        </w:rPr>
        <w:t>-</w:t>
      </w:r>
      <w:r>
        <w:rPr>
          <w:rFonts w:ascii="Times New Roman" w:hAnsi="Times New Roman" w:cs="Times New Roman"/>
          <w:sz w:val="28"/>
          <w:szCs w:val="28"/>
          <w:vertAlign w:val="superscript"/>
          <w:lang w:val="en-US"/>
        </w:rPr>
        <w:t>z</w:t>
      </w:r>
      <w:r>
        <w:rPr>
          <w:rFonts w:ascii="Times New Roman" w:hAnsi="Times New Roman" w:cs="Times New Roman"/>
          <w:sz w:val="28"/>
          <w:szCs w:val="28"/>
        </w:rPr>
        <w:t>)</w:t>
      </w:r>
      <w:r w:rsidRPr="008B1A47">
        <w:rPr>
          <w:rFonts w:ascii="Times New Roman" w:hAnsi="Times New Roman" w:cs="Times New Roman"/>
          <w:sz w:val="28"/>
          <w:szCs w:val="28"/>
        </w:rPr>
        <w:t xml:space="preserve"> </w:t>
      </w:r>
      <w:r w:rsidRPr="0014686D">
        <w:rPr>
          <w:rFonts w:ascii="Times New Roman" w:hAnsi="Times New Roman" w:cs="Times New Roman"/>
          <w:sz w:val="28"/>
          <w:szCs w:val="28"/>
        </w:rPr>
        <w:t>*</w:t>
      </w:r>
      <w:r w:rsidRPr="008B1A47">
        <w:rPr>
          <w:rFonts w:ascii="Times New Roman" w:hAnsi="Times New Roman" w:cs="Times New Roman"/>
          <w:sz w:val="28"/>
          <w:szCs w:val="28"/>
        </w:rPr>
        <w:t xml:space="preserve"> 100%</w:t>
      </w:r>
    </w:p>
    <w:p w:rsidR="00013853" w:rsidRPr="008B1A47" w:rsidRDefault="00013853" w:rsidP="00013853">
      <w:pPr>
        <w:spacing w:after="0" w:line="240" w:lineRule="auto"/>
        <w:ind w:firstLine="708"/>
        <w:jc w:val="center"/>
        <w:rPr>
          <w:rFonts w:ascii="Times New Roman" w:hAnsi="Times New Roman" w:cs="Times New Roman"/>
          <w:sz w:val="28"/>
          <w:szCs w:val="28"/>
        </w:rPr>
      </w:pPr>
    </w:p>
    <w:p w:rsidR="00013853" w:rsidRDefault="00013853" w:rsidP="00AD11CD">
      <w:pPr>
        <w:spacing w:after="0" w:line="240" w:lineRule="auto"/>
        <w:ind w:firstLine="708"/>
        <w:jc w:val="right"/>
        <w:rPr>
          <w:rFonts w:ascii="Times New Roman" w:hAnsi="Times New Roman" w:cs="Times New Roman"/>
          <w:sz w:val="28"/>
          <w:szCs w:val="28"/>
        </w:rPr>
      </w:pPr>
      <w:r>
        <w:rPr>
          <w:rFonts w:ascii="Times New Roman" w:hAnsi="Times New Roman" w:cs="Times New Roman"/>
          <w:sz w:val="28"/>
          <w:szCs w:val="28"/>
          <w:lang w:val="en-US"/>
        </w:rPr>
        <w:t>z</w:t>
      </w:r>
      <w:r w:rsidRPr="008B1A47">
        <w:rPr>
          <w:rFonts w:ascii="Times New Roman" w:hAnsi="Times New Roman" w:cs="Times New Roman"/>
          <w:sz w:val="28"/>
          <w:szCs w:val="28"/>
        </w:rPr>
        <w:t xml:space="preserve"> = </w:t>
      </w:r>
      <w:r w:rsidR="00CB65A7">
        <w:rPr>
          <w:rFonts w:ascii="Times New Roman" w:hAnsi="Times New Roman" w:cs="Times New Roman"/>
          <w:sz w:val="28"/>
          <w:szCs w:val="28"/>
          <w:lang w:val="kk-KZ"/>
        </w:rPr>
        <w:t>1</w:t>
      </w:r>
      <w:r w:rsidRPr="008B1A47">
        <w:rPr>
          <w:rFonts w:ascii="Times New Roman" w:hAnsi="Times New Roman" w:cs="Times New Roman"/>
          <w:sz w:val="28"/>
          <w:szCs w:val="28"/>
        </w:rPr>
        <w:t>,</w:t>
      </w:r>
      <w:r w:rsidR="001E7525">
        <w:rPr>
          <w:rFonts w:ascii="Times New Roman" w:hAnsi="Times New Roman" w:cs="Times New Roman"/>
          <w:sz w:val="28"/>
          <w:szCs w:val="28"/>
        </w:rPr>
        <w:t>8</w:t>
      </w:r>
      <w:r w:rsidR="00CB65A7">
        <w:rPr>
          <w:rFonts w:ascii="Times New Roman" w:hAnsi="Times New Roman" w:cs="Times New Roman"/>
          <w:sz w:val="28"/>
          <w:szCs w:val="28"/>
          <w:lang w:val="kk-KZ"/>
        </w:rPr>
        <w:t>8</w:t>
      </w:r>
      <w:r w:rsidRPr="008B1A47">
        <w:rPr>
          <w:rFonts w:ascii="Times New Roman" w:hAnsi="Times New Roman" w:cs="Times New Roman"/>
          <w:sz w:val="28"/>
          <w:szCs w:val="28"/>
        </w:rPr>
        <w:t xml:space="preserve"> + (</w:t>
      </w:r>
      <w:r w:rsidR="001E7525">
        <w:rPr>
          <w:rFonts w:ascii="Times New Roman" w:hAnsi="Times New Roman" w:cs="Times New Roman"/>
          <w:sz w:val="28"/>
          <w:szCs w:val="28"/>
        </w:rPr>
        <w:t>-3</w:t>
      </w:r>
      <w:r>
        <w:rPr>
          <w:rFonts w:ascii="Times New Roman" w:hAnsi="Times New Roman" w:cs="Times New Roman"/>
          <w:sz w:val="28"/>
          <w:szCs w:val="28"/>
        </w:rPr>
        <w:t>,</w:t>
      </w:r>
      <w:r w:rsidR="001E7525">
        <w:rPr>
          <w:rFonts w:ascii="Times New Roman" w:hAnsi="Times New Roman" w:cs="Times New Roman"/>
          <w:sz w:val="28"/>
          <w:szCs w:val="28"/>
        </w:rPr>
        <w:t>13</w:t>
      </w:r>
      <w:r w:rsidRPr="008B1A47">
        <w:rPr>
          <w:rFonts w:ascii="Times New Roman" w:hAnsi="Times New Roman" w:cs="Times New Roman"/>
          <w:sz w:val="28"/>
          <w:szCs w:val="28"/>
        </w:rPr>
        <w:t xml:space="preserve">) </w:t>
      </w:r>
      <w:r w:rsidRPr="0014686D">
        <w:rPr>
          <w:rFonts w:ascii="Times New Roman" w:hAnsi="Times New Roman" w:cs="Times New Roman"/>
          <w:sz w:val="28"/>
          <w:szCs w:val="28"/>
        </w:rPr>
        <w:t xml:space="preserve">* </w:t>
      </w:r>
      <w:r>
        <w:rPr>
          <w:rFonts w:ascii="Times New Roman" w:hAnsi="Times New Roman" w:cs="Times New Roman"/>
          <w:sz w:val="28"/>
          <w:szCs w:val="28"/>
          <w:lang w:val="en-US"/>
        </w:rPr>
        <w:t>X</w:t>
      </w:r>
      <w:r>
        <w:rPr>
          <w:rFonts w:ascii="Times New Roman" w:hAnsi="Times New Roman" w:cs="Times New Roman"/>
          <w:sz w:val="28"/>
          <w:szCs w:val="28"/>
          <w:vertAlign w:val="subscript"/>
        </w:rPr>
        <w:t xml:space="preserve">курение </w:t>
      </w:r>
      <w:r>
        <w:rPr>
          <w:rFonts w:ascii="Times New Roman" w:hAnsi="Times New Roman" w:cs="Times New Roman"/>
          <w:sz w:val="28"/>
          <w:szCs w:val="28"/>
        </w:rPr>
        <w:t xml:space="preserve">    </w:t>
      </w:r>
      <w:r w:rsidR="00AD11CD">
        <w:rPr>
          <w:rFonts w:ascii="Times New Roman" w:hAnsi="Times New Roman" w:cs="Times New Roman"/>
          <w:sz w:val="28"/>
          <w:szCs w:val="28"/>
          <w:lang w:val="kk-KZ"/>
        </w:rPr>
        <w:t xml:space="preserve">                          </w:t>
      </w:r>
      <w:r>
        <w:rPr>
          <w:rFonts w:ascii="Times New Roman" w:hAnsi="Times New Roman" w:cs="Times New Roman"/>
          <w:sz w:val="28"/>
          <w:szCs w:val="28"/>
        </w:rPr>
        <w:t xml:space="preserve">  (2)</w:t>
      </w:r>
    </w:p>
    <w:p w:rsidR="00013853" w:rsidRDefault="00013853" w:rsidP="00013853">
      <w:pPr>
        <w:spacing w:after="0" w:line="240" w:lineRule="auto"/>
        <w:ind w:firstLine="708"/>
        <w:jc w:val="center"/>
        <w:rPr>
          <w:rFonts w:ascii="Times New Roman" w:hAnsi="Times New Roman" w:cs="Times New Roman"/>
          <w:sz w:val="28"/>
          <w:szCs w:val="28"/>
        </w:rPr>
      </w:pPr>
    </w:p>
    <w:p w:rsidR="00013853" w:rsidRDefault="00013853" w:rsidP="0001385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где р – вероятность наличия низкого уровня </w:t>
      </w:r>
      <w:r w:rsidR="001E7525">
        <w:rPr>
          <w:rFonts w:ascii="Times New Roman" w:hAnsi="Times New Roman" w:cs="Times New Roman"/>
          <w:sz w:val="28"/>
          <w:szCs w:val="28"/>
        </w:rPr>
        <w:t>апоА1</w:t>
      </w:r>
      <w:r>
        <w:rPr>
          <w:rFonts w:ascii="Times New Roman" w:hAnsi="Times New Roman" w:cs="Times New Roman"/>
          <w:sz w:val="28"/>
          <w:szCs w:val="28"/>
        </w:rPr>
        <w:t xml:space="preserve"> (%), Х</w:t>
      </w:r>
      <w:r>
        <w:rPr>
          <w:rFonts w:ascii="Times New Roman" w:hAnsi="Times New Roman" w:cs="Times New Roman"/>
          <w:sz w:val="28"/>
          <w:szCs w:val="28"/>
          <w:vertAlign w:val="subscript"/>
        </w:rPr>
        <w:t xml:space="preserve">курение </w:t>
      </w:r>
      <w:r>
        <w:rPr>
          <w:rFonts w:ascii="Times New Roman" w:hAnsi="Times New Roman" w:cs="Times New Roman"/>
          <w:sz w:val="28"/>
          <w:szCs w:val="28"/>
        </w:rPr>
        <w:t>– наличие курения (0 – некурящие, 1 – курящие, 2 – бросил курит).</w:t>
      </w:r>
    </w:p>
    <w:p w:rsidR="00013853" w:rsidRDefault="00013853" w:rsidP="0001385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Полученная регрессионная модель является статистически значимой (р=0,0</w:t>
      </w:r>
      <w:r w:rsidR="001E7525">
        <w:rPr>
          <w:rFonts w:ascii="Times New Roman" w:hAnsi="Times New Roman" w:cs="Times New Roman"/>
          <w:sz w:val="28"/>
          <w:szCs w:val="28"/>
        </w:rPr>
        <w:t>5</w:t>
      </w:r>
      <w:r>
        <w:rPr>
          <w:rFonts w:ascii="Times New Roman" w:hAnsi="Times New Roman" w:cs="Times New Roman"/>
          <w:sz w:val="28"/>
          <w:szCs w:val="28"/>
        </w:rPr>
        <w:t xml:space="preserve">). Исходя из значений коэффициента детерминации Найджелкерка, модель (2) учитывает </w:t>
      </w:r>
      <w:r w:rsidR="001E7525">
        <w:rPr>
          <w:rFonts w:ascii="Times New Roman" w:hAnsi="Times New Roman" w:cs="Times New Roman"/>
          <w:sz w:val="28"/>
          <w:szCs w:val="28"/>
        </w:rPr>
        <w:t>22</w:t>
      </w:r>
      <w:r>
        <w:rPr>
          <w:rFonts w:ascii="Times New Roman" w:hAnsi="Times New Roman" w:cs="Times New Roman"/>
          <w:sz w:val="28"/>
          <w:szCs w:val="28"/>
        </w:rPr>
        <w:t xml:space="preserve">% фактора, определяющий вероятность развития низкого уровня </w:t>
      </w:r>
      <w:r w:rsidR="001E7525">
        <w:rPr>
          <w:rFonts w:ascii="Times New Roman" w:hAnsi="Times New Roman" w:cs="Times New Roman"/>
          <w:sz w:val="28"/>
          <w:szCs w:val="28"/>
        </w:rPr>
        <w:t>апоА1</w:t>
      </w:r>
      <w:r>
        <w:rPr>
          <w:rFonts w:ascii="Times New Roman" w:hAnsi="Times New Roman" w:cs="Times New Roman"/>
          <w:sz w:val="28"/>
          <w:szCs w:val="28"/>
        </w:rPr>
        <w:t xml:space="preserve">. Исходя из значений регрессионных коэффициентов, фактор курение имеет значимую связь с вероятностью развития низкого уровня </w:t>
      </w:r>
      <w:r w:rsidR="001E7525">
        <w:rPr>
          <w:rFonts w:ascii="Times New Roman" w:hAnsi="Times New Roman" w:cs="Times New Roman"/>
          <w:sz w:val="28"/>
          <w:szCs w:val="28"/>
        </w:rPr>
        <w:t>апоА1</w:t>
      </w:r>
      <w:r>
        <w:rPr>
          <w:rFonts w:ascii="Times New Roman" w:hAnsi="Times New Roman" w:cs="Times New Roman"/>
          <w:sz w:val="28"/>
          <w:szCs w:val="28"/>
        </w:rPr>
        <w:t xml:space="preserve">. Курение увеличивает шансы низкого уровня </w:t>
      </w:r>
      <w:r w:rsidR="001E7525">
        <w:rPr>
          <w:rFonts w:ascii="Times New Roman" w:hAnsi="Times New Roman" w:cs="Times New Roman"/>
          <w:sz w:val="28"/>
          <w:szCs w:val="28"/>
        </w:rPr>
        <w:t>апоА1</w:t>
      </w:r>
      <w:r>
        <w:rPr>
          <w:rFonts w:ascii="Times New Roman" w:hAnsi="Times New Roman" w:cs="Times New Roman"/>
          <w:sz w:val="28"/>
          <w:szCs w:val="28"/>
        </w:rPr>
        <w:t xml:space="preserve"> в </w:t>
      </w:r>
      <w:r w:rsidR="001E7525">
        <w:rPr>
          <w:rFonts w:ascii="Times New Roman" w:hAnsi="Times New Roman" w:cs="Times New Roman"/>
          <w:sz w:val="28"/>
          <w:szCs w:val="28"/>
        </w:rPr>
        <w:t>1</w:t>
      </w:r>
      <w:r>
        <w:rPr>
          <w:rFonts w:ascii="Times New Roman" w:hAnsi="Times New Roman"/>
          <w:sz w:val="28"/>
          <w:szCs w:val="28"/>
        </w:rPr>
        <w:t>,</w:t>
      </w:r>
      <w:r w:rsidR="001E7525">
        <w:rPr>
          <w:rFonts w:ascii="Times New Roman" w:hAnsi="Times New Roman"/>
          <w:sz w:val="28"/>
          <w:szCs w:val="28"/>
        </w:rPr>
        <w:t>88</w:t>
      </w:r>
      <w:r>
        <w:rPr>
          <w:rFonts w:ascii="Times New Roman" w:hAnsi="Times New Roman"/>
          <w:sz w:val="28"/>
          <w:szCs w:val="28"/>
        </w:rPr>
        <w:t xml:space="preserve"> раза (</w:t>
      </w:r>
      <w:r w:rsidR="001E7525">
        <w:rPr>
          <w:rFonts w:ascii="Times New Roman" w:hAnsi="Times New Roman"/>
          <w:sz w:val="28"/>
          <w:szCs w:val="28"/>
        </w:rPr>
        <w:t>1</w:t>
      </w:r>
      <w:r>
        <w:rPr>
          <w:rFonts w:ascii="Times New Roman" w:hAnsi="Times New Roman"/>
          <w:sz w:val="28"/>
          <w:szCs w:val="28"/>
        </w:rPr>
        <w:t>,</w:t>
      </w:r>
      <w:r w:rsidR="001E7525">
        <w:rPr>
          <w:rFonts w:ascii="Times New Roman" w:hAnsi="Times New Roman"/>
          <w:sz w:val="28"/>
          <w:szCs w:val="28"/>
        </w:rPr>
        <w:t>03</w:t>
      </w:r>
      <w:r>
        <w:rPr>
          <w:rFonts w:ascii="Times New Roman" w:hAnsi="Times New Roman"/>
          <w:sz w:val="28"/>
          <w:szCs w:val="28"/>
        </w:rPr>
        <w:t>-</w:t>
      </w:r>
      <w:r w:rsidR="001E7525">
        <w:rPr>
          <w:rFonts w:ascii="Times New Roman" w:hAnsi="Times New Roman"/>
          <w:sz w:val="28"/>
          <w:szCs w:val="28"/>
        </w:rPr>
        <w:t>3</w:t>
      </w:r>
      <w:r>
        <w:rPr>
          <w:rFonts w:ascii="Times New Roman" w:hAnsi="Times New Roman"/>
          <w:sz w:val="28"/>
          <w:szCs w:val="28"/>
        </w:rPr>
        <w:t>,</w:t>
      </w:r>
      <w:r w:rsidR="001E7525">
        <w:rPr>
          <w:rFonts w:ascii="Times New Roman" w:hAnsi="Times New Roman"/>
          <w:sz w:val="28"/>
          <w:szCs w:val="28"/>
        </w:rPr>
        <w:t>1</w:t>
      </w:r>
      <w:r w:rsidR="008B183E">
        <w:rPr>
          <w:rFonts w:ascii="Times New Roman" w:hAnsi="Times New Roman"/>
          <w:sz w:val="28"/>
          <w:szCs w:val="28"/>
        </w:rPr>
        <w:t>9</w:t>
      </w:r>
      <w:r>
        <w:rPr>
          <w:rFonts w:ascii="Times New Roman" w:hAnsi="Times New Roman"/>
          <w:sz w:val="28"/>
          <w:szCs w:val="28"/>
        </w:rPr>
        <w:t>).</w:t>
      </w:r>
    </w:p>
    <w:p w:rsidR="00AE58FC" w:rsidRDefault="00AE58FC" w:rsidP="00AE58F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Наблюдаемая зависимость апоВ от </w:t>
      </w:r>
      <w:r w:rsidR="00D15376">
        <w:rPr>
          <w:rFonts w:ascii="Times New Roman" w:hAnsi="Times New Roman" w:cs="Times New Roman"/>
          <w:sz w:val="28"/>
          <w:szCs w:val="28"/>
        </w:rPr>
        <w:t>возраста</w:t>
      </w:r>
      <w:r>
        <w:rPr>
          <w:rFonts w:ascii="Times New Roman" w:hAnsi="Times New Roman" w:cs="Times New Roman"/>
          <w:sz w:val="28"/>
          <w:szCs w:val="28"/>
        </w:rPr>
        <w:t xml:space="preserve"> описывается уравнением </w:t>
      </w:r>
    </w:p>
    <w:p w:rsidR="00AE58FC" w:rsidRDefault="00AE58FC" w:rsidP="00AE58FC">
      <w:pPr>
        <w:spacing w:after="0" w:line="240" w:lineRule="auto"/>
        <w:ind w:firstLine="708"/>
        <w:jc w:val="center"/>
        <w:rPr>
          <w:rFonts w:ascii="Times New Roman" w:hAnsi="Times New Roman" w:cs="Times New Roman"/>
          <w:sz w:val="28"/>
          <w:szCs w:val="28"/>
        </w:rPr>
      </w:pPr>
    </w:p>
    <w:p w:rsidR="00AE58FC" w:rsidRPr="008B1A47" w:rsidRDefault="00AE58FC" w:rsidP="00AE58FC">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lang w:val="en-US"/>
        </w:rPr>
        <w:t>p</w:t>
      </w:r>
      <w:r>
        <w:rPr>
          <w:rFonts w:ascii="Times New Roman" w:hAnsi="Times New Roman" w:cs="Times New Roman"/>
          <w:sz w:val="28"/>
          <w:szCs w:val="28"/>
        </w:rPr>
        <w:t xml:space="preserve"> = 1 / (1+е</w:t>
      </w:r>
      <w:r>
        <w:rPr>
          <w:rFonts w:ascii="Times New Roman" w:hAnsi="Times New Roman" w:cs="Times New Roman"/>
          <w:sz w:val="28"/>
          <w:szCs w:val="28"/>
          <w:vertAlign w:val="superscript"/>
        </w:rPr>
        <w:t>-</w:t>
      </w:r>
      <w:r>
        <w:rPr>
          <w:rFonts w:ascii="Times New Roman" w:hAnsi="Times New Roman" w:cs="Times New Roman"/>
          <w:sz w:val="28"/>
          <w:szCs w:val="28"/>
          <w:vertAlign w:val="superscript"/>
          <w:lang w:val="en-US"/>
        </w:rPr>
        <w:t>z</w:t>
      </w:r>
      <w:r>
        <w:rPr>
          <w:rFonts w:ascii="Times New Roman" w:hAnsi="Times New Roman" w:cs="Times New Roman"/>
          <w:sz w:val="28"/>
          <w:szCs w:val="28"/>
        </w:rPr>
        <w:t>)</w:t>
      </w:r>
      <w:r w:rsidRPr="008B1A47">
        <w:rPr>
          <w:rFonts w:ascii="Times New Roman" w:hAnsi="Times New Roman" w:cs="Times New Roman"/>
          <w:sz w:val="28"/>
          <w:szCs w:val="28"/>
        </w:rPr>
        <w:t xml:space="preserve"> </w:t>
      </w:r>
      <w:r w:rsidRPr="0014686D">
        <w:rPr>
          <w:rFonts w:ascii="Times New Roman" w:hAnsi="Times New Roman" w:cs="Times New Roman"/>
          <w:sz w:val="28"/>
          <w:szCs w:val="28"/>
        </w:rPr>
        <w:t>*</w:t>
      </w:r>
      <w:r w:rsidRPr="008B1A47">
        <w:rPr>
          <w:rFonts w:ascii="Times New Roman" w:hAnsi="Times New Roman" w:cs="Times New Roman"/>
          <w:sz w:val="28"/>
          <w:szCs w:val="28"/>
        </w:rPr>
        <w:t xml:space="preserve"> 100%</w:t>
      </w:r>
    </w:p>
    <w:p w:rsidR="00AE58FC" w:rsidRPr="008B1A47" w:rsidRDefault="00AE58FC" w:rsidP="00AE58FC">
      <w:pPr>
        <w:spacing w:after="0" w:line="240" w:lineRule="auto"/>
        <w:ind w:firstLine="708"/>
        <w:jc w:val="center"/>
        <w:rPr>
          <w:rFonts w:ascii="Times New Roman" w:hAnsi="Times New Roman" w:cs="Times New Roman"/>
          <w:sz w:val="28"/>
          <w:szCs w:val="28"/>
        </w:rPr>
      </w:pPr>
    </w:p>
    <w:p w:rsidR="00AE58FC" w:rsidRDefault="00AE58FC" w:rsidP="00AD11CD">
      <w:pPr>
        <w:spacing w:after="0" w:line="240" w:lineRule="auto"/>
        <w:ind w:firstLine="708"/>
        <w:jc w:val="right"/>
        <w:rPr>
          <w:rFonts w:ascii="Times New Roman" w:hAnsi="Times New Roman" w:cs="Times New Roman"/>
          <w:sz w:val="28"/>
          <w:szCs w:val="28"/>
        </w:rPr>
      </w:pPr>
      <w:r>
        <w:rPr>
          <w:rFonts w:ascii="Times New Roman" w:hAnsi="Times New Roman" w:cs="Times New Roman"/>
          <w:sz w:val="28"/>
          <w:szCs w:val="28"/>
          <w:lang w:val="en-US"/>
        </w:rPr>
        <w:t>z</w:t>
      </w:r>
      <w:r w:rsidRPr="008B1A47">
        <w:rPr>
          <w:rFonts w:ascii="Times New Roman" w:hAnsi="Times New Roman" w:cs="Times New Roman"/>
          <w:sz w:val="28"/>
          <w:szCs w:val="28"/>
        </w:rPr>
        <w:t xml:space="preserve"> = </w:t>
      </w:r>
      <w:r w:rsidR="0042326A">
        <w:rPr>
          <w:rFonts w:ascii="Times New Roman" w:hAnsi="Times New Roman" w:cs="Times New Roman"/>
          <w:sz w:val="28"/>
          <w:szCs w:val="28"/>
          <w:lang w:val="kk-KZ"/>
        </w:rPr>
        <w:t>1</w:t>
      </w:r>
      <w:r w:rsidRPr="008B1A47">
        <w:rPr>
          <w:rFonts w:ascii="Times New Roman" w:hAnsi="Times New Roman" w:cs="Times New Roman"/>
          <w:sz w:val="28"/>
          <w:szCs w:val="28"/>
        </w:rPr>
        <w:t>,</w:t>
      </w:r>
      <w:r w:rsidR="0042326A">
        <w:rPr>
          <w:rFonts w:ascii="Times New Roman" w:hAnsi="Times New Roman" w:cs="Times New Roman"/>
          <w:sz w:val="28"/>
          <w:szCs w:val="28"/>
          <w:lang w:val="kk-KZ"/>
        </w:rPr>
        <w:t>0</w:t>
      </w:r>
      <w:r>
        <w:rPr>
          <w:rFonts w:ascii="Times New Roman" w:hAnsi="Times New Roman" w:cs="Times New Roman"/>
          <w:sz w:val="28"/>
          <w:szCs w:val="28"/>
        </w:rPr>
        <w:t>4</w:t>
      </w:r>
      <w:r w:rsidRPr="008B1A47">
        <w:rPr>
          <w:rFonts w:ascii="Times New Roman" w:hAnsi="Times New Roman" w:cs="Times New Roman"/>
          <w:sz w:val="28"/>
          <w:szCs w:val="28"/>
        </w:rPr>
        <w:t xml:space="preserve"> + (</w:t>
      </w:r>
      <w:r w:rsidR="00DF7DD8">
        <w:rPr>
          <w:rFonts w:ascii="Times New Roman" w:hAnsi="Times New Roman" w:cs="Times New Roman"/>
          <w:sz w:val="28"/>
          <w:szCs w:val="28"/>
          <w:lang w:val="kk-KZ"/>
        </w:rPr>
        <w:t>-</w:t>
      </w:r>
      <w:r w:rsidR="0042326A">
        <w:rPr>
          <w:rFonts w:ascii="Times New Roman" w:hAnsi="Times New Roman" w:cs="Times New Roman"/>
          <w:sz w:val="28"/>
          <w:szCs w:val="28"/>
          <w:lang w:val="kk-KZ"/>
        </w:rPr>
        <w:t>0,84</w:t>
      </w:r>
      <w:r w:rsidRPr="008B1A47">
        <w:rPr>
          <w:rFonts w:ascii="Times New Roman" w:hAnsi="Times New Roman" w:cs="Times New Roman"/>
          <w:sz w:val="28"/>
          <w:szCs w:val="28"/>
        </w:rPr>
        <w:t xml:space="preserve">) </w:t>
      </w:r>
      <w:r w:rsidRPr="0014686D">
        <w:rPr>
          <w:rFonts w:ascii="Times New Roman" w:hAnsi="Times New Roman" w:cs="Times New Roman"/>
          <w:sz w:val="28"/>
          <w:szCs w:val="28"/>
        </w:rPr>
        <w:t xml:space="preserve">* </w:t>
      </w:r>
      <w:r>
        <w:rPr>
          <w:rFonts w:ascii="Times New Roman" w:hAnsi="Times New Roman" w:cs="Times New Roman"/>
          <w:sz w:val="28"/>
          <w:szCs w:val="28"/>
          <w:lang w:val="en-US"/>
        </w:rPr>
        <w:t>X</w:t>
      </w:r>
      <w:r>
        <w:rPr>
          <w:rFonts w:ascii="Times New Roman" w:hAnsi="Times New Roman" w:cs="Times New Roman"/>
          <w:sz w:val="28"/>
          <w:szCs w:val="28"/>
          <w:vertAlign w:val="subscript"/>
        </w:rPr>
        <w:t xml:space="preserve">возраст </w:t>
      </w:r>
      <w:r>
        <w:rPr>
          <w:rFonts w:ascii="Times New Roman" w:hAnsi="Times New Roman" w:cs="Times New Roman"/>
          <w:sz w:val="28"/>
          <w:szCs w:val="28"/>
        </w:rPr>
        <w:t xml:space="preserve">   </w:t>
      </w:r>
      <w:r w:rsidR="00AD11CD">
        <w:rPr>
          <w:rFonts w:ascii="Times New Roman" w:hAnsi="Times New Roman" w:cs="Times New Roman"/>
          <w:sz w:val="28"/>
          <w:szCs w:val="28"/>
          <w:lang w:val="kk-KZ"/>
        </w:rPr>
        <w:t xml:space="preserve">                          </w:t>
      </w:r>
      <w:r>
        <w:rPr>
          <w:rFonts w:ascii="Times New Roman" w:hAnsi="Times New Roman" w:cs="Times New Roman"/>
          <w:sz w:val="28"/>
          <w:szCs w:val="28"/>
        </w:rPr>
        <w:t xml:space="preserve">   (3)</w:t>
      </w:r>
    </w:p>
    <w:p w:rsidR="00AE58FC" w:rsidRDefault="00AE58FC" w:rsidP="00AE58FC">
      <w:pPr>
        <w:spacing w:after="0" w:line="240" w:lineRule="auto"/>
        <w:ind w:firstLine="708"/>
        <w:jc w:val="center"/>
        <w:rPr>
          <w:rFonts w:ascii="Times New Roman" w:hAnsi="Times New Roman" w:cs="Times New Roman"/>
          <w:sz w:val="28"/>
          <w:szCs w:val="28"/>
        </w:rPr>
      </w:pPr>
    </w:p>
    <w:p w:rsidR="00AE58FC" w:rsidRDefault="00AE58FC" w:rsidP="00AE58F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где р – вероятность наличия </w:t>
      </w:r>
      <w:r w:rsidR="00D15376">
        <w:rPr>
          <w:rFonts w:ascii="Times New Roman" w:hAnsi="Times New Roman" w:cs="Times New Roman"/>
          <w:sz w:val="28"/>
          <w:szCs w:val="28"/>
        </w:rPr>
        <w:t>гипераполипопротеинемии В</w:t>
      </w:r>
      <w:r>
        <w:rPr>
          <w:rFonts w:ascii="Times New Roman" w:hAnsi="Times New Roman" w:cs="Times New Roman"/>
          <w:sz w:val="28"/>
          <w:szCs w:val="28"/>
        </w:rPr>
        <w:t xml:space="preserve"> (%), Х</w:t>
      </w:r>
      <w:r>
        <w:rPr>
          <w:rFonts w:ascii="Times New Roman" w:hAnsi="Times New Roman" w:cs="Times New Roman"/>
          <w:sz w:val="28"/>
          <w:szCs w:val="28"/>
          <w:vertAlign w:val="subscript"/>
        </w:rPr>
        <w:t xml:space="preserve">возраст </w:t>
      </w:r>
      <w:r>
        <w:rPr>
          <w:rFonts w:ascii="Times New Roman" w:hAnsi="Times New Roman" w:cs="Times New Roman"/>
          <w:sz w:val="28"/>
          <w:szCs w:val="28"/>
        </w:rPr>
        <w:t>– возраст (полных лет).</w:t>
      </w:r>
    </w:p>
    <w:p w:rsidR="00AE58FC" w:rsidRDefault="00AE58FC" w:rsidP="00AE58F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Полученная регрессионная модель является статистически значимой (р=0,001). Исходя из значений коэффициента детерминации Найджелкерка, модель (3) учитывает 28% фактора, определяющий вероятность развития гипераполипопротеинемии В. Исходя из значений регрессионных коэффициентов, фактор возраст имеет значимую связь с вероятностью </w:t>
      </w:r>
      <w:r>
        <w:rPr>
          <w:rFonts w:ascii="Times New Roman" w:hAnsi="Times New Roman" w:cs="Times New Roman"/>
          <w:sz w:val="28"/>
          <w:szCs w:val="28"/>
        </w:rPr>
        <w:lastRenderedPageBreak/>
        <w:t xml:space="preserve">развития гипераполипопротеинемии В. </w:t>
      </w:r>
      <w:r w:rsidR="004F2982">
        <w:rPr>
          <w:rFonts w:ascii="Times New Roman" w:hAnsi="Times New Roman" w:cs="Times New Roman"/>
          <w:sz w:val="28"/>
          <w:szCs w:val="28"/>
        </w:rPr>
        <w:t>Увеличение возраста на 1 год</w:t>
      </w:r>
      <w:r>
        <w:rPr>
          <w:rFonts w:ascii="Times New Roman" w:hAnsi="Times New Roman" w:cs="Times New Roman"/>
          <w:sz w:val="28"/>
          <w:szCs w:val="28"/>
        </w:rPr>
        <w:t xml:space="preserve"> увеличивает шансы</w:t>
      </w:r>
      <w:r w:rsidR="004F2982">
        <w:rPr>
          <w:rFonts w:ascii="Times New Roman" w:hAnsi="Times New Roman" w:cs="Times New Roman"/>
          <w:sz w:val="28"/>
          <w:szCs w:val="28"/>
        </w:rPr>
        <w:t xml:space="preserve"> гипераполипопротеинемии В</w:t>
      </w:r>
      <w:r>
        <w:rPr>
          <w:rFonts w:ascii="Times New Roman" w:hAnsi="Times New Roman" w:cs="Times New Roman"/>
          <w:sz w:val="28"/>
          <w:szCs w:val="28"/>
        </w:rPr>
        <w:t xml:space="preserve"> в 1</w:t>
      </w:r>
      <w:r>
        <w:rPr>
          <w:rFonts w:ascii="Times New Roman" w:hAnsi="Times New Roman"/>
          <w:sz w:val="28"/>
          <w:szCs w:val="28"/>
        </w:rPr>
        <w:t>,</w:t>
      </w:r>
      <w:r w:rsidR="004F2982">
        <w:rPr>
          <w:rFonts w:ascii="Times New Roman" w:hAnsi="Times New Roman"/>
          <w:sz w:val="28"/>
          <w:szCs w:val="28"/>
        </w:rPr>
        <w:t>04</w:t>
      </w:r>
      <w:r>
        <w:rPr>
          <w:rFonts w:ascii="Times New Roman" w:hAnsi="Times New Roman"/>
          <w:sz w:val="28"/>
          <w:szCs w:val="28"/>
        </w:rPr>
        <w:t xml:space="preserve"> раза (1,0</w:t>
      </w:r>
      <w:r w:rsidR="004F2982">
        <w:rPr>
          <w:rFonts w:ascii="Times New Roman" w:hAnsi="Times New Roman"/>
          <w:sz w:val="28"/>
          <w:szCs w:val="28"/>
        </w:rPr>
        <w:t>1</w:t>
      </w:r>
      <w:r>
        <w:rPr>
          <w:rFonts w:ascii="Times New Roman" w:hAnsi="Times New Roman"/>
          <w:sz w:val="28"/>
          <w:szCs w:val="28"/>
        </w:rPr>
        <w:t>-</w:t>
      </w:r>
      <w:r w:rsidR="004F2982">
        <w:rPr>
          <w:rFonts w:ascii="Times New Roman" w:hAnsi="Times New Roman"/>
          <w:sz w:val="28"/>
          <w:szCs w:val="28"/>
        </w:rPr>
        <w:t>1</w:t>
      </w:r>
      <w:r>
        <w:rPr>
          <w:rFonts w:ascii="Times New Roman" w:hAnsi="Times New Roman"/>
          <w:sz w:val="28"/>
          <w:szCs w:val="28"/>
        </w:rPr>
        <w:t>,</w:t>
      </w:r>
      <w:r w:rsidR="004F2982">
        <w:rPr>
          <w:rFonts w:ascii="Times New Roman" w:hAnsi="Times New Roman"/>
          <w:sz w:val="28"/>
          <w:szCs w:val="28"/>
        </w:rPr>
        <w:t>05</w:t>
      </w:r>
      <w:r>
        <w:rPr>
          <w:rFonts w:ascii="Times New Roman" w:hAnsi="Times New Roman"/>
          <w:sz w:val="28"/>
          <w:szCs w:val="28"/>
        </w:rPr>
        <w:t>).</w:t>
      </w:r>
    </w:p>
    <w:p w:rsidR="008B1A47" w:rsidRDefault="008B1A47" w:rsidP="008B1A4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Наблюдаемая зависимость описывается уравнением </w:t>
      </w:r>
    </w:p>
    <w:p w:rsidR="008B1A47" w:rsidRDefault="008B1A47" w:rsidP="0014686D">
      <w:pPr>
        <w:spacing w:after="0" w:line="240" w:lineRule="auto"/>
        <w:ind w:firstLine="708"/>
        <w:jc w:val="center"/>
        <w:rPr>
          <w:rFonts w:ascii="Times New Roman" w:hAnsi="Times New Roman" w:cs="Times New Roman"/>
          <w:sz w:val="28"/>
          <w:szCs w:val="28"/>
        </w:rPr>
      </w:pPr>
    </w:p>
    <w:p w:rsidR="008B1A47" w:rsidRPr="008B1A47" w:rsidRDefault="008B1A47" w:rsidP="0014686D">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lang w:val="en-US"/>
        </w:rPr>
        <w:t>p</w:t>
      </w:r>
      <w:r>
        <w:rPr>
          <w:rFonts w:ascii="Times New Roman" w:hAnsi="Times New Roman" w:cs="Times New Roman"/>
          <w:sz w:val="28"/>
          <w:szCs w:val="28"/>
        </w:rPr>
        <w:t xml:space="preserve"> = 1 / (1+е</w:t>
      </w:r>
      <w:r>
        <w:rPr>
          <w:rFonts w:ascii="Times New Roman" w:hAnsi="Times New Roman" w:cs="Times New Roman"/>
          <w:sz w:val="28"/>
          <w:szCs w:val="28"/>
          <w:vertAlign w:val="superscript"/>
        </w:rPr>
        <w:t>-</w:t>
      </w:r>
      <w:r>
        <w:rPr>
          <w:rFonts w:ascii="Times New Roman" w:hAnsi="Times New Roman" w:cs="Times New Roman"/>
          <w:sz w:val="28"/>
          <w:szCs w:val="28"/>
          <w:vertAlign w:val="superscript"/>
          <w:lang w:val="en-US"/>
        </w:rPr>
        <w:t>z</w:t>
      </w:r>
      <w:r>
        <w:rPr>
          <w:rFonts w:ascii="Times New Roman" w:hAnsi="Times New Roman" w:cs="Times New Roman"/>
          <w:sz w:val="28"/>
          <w:szCs w:val="28"/>
        </w:rPr>
        <w:t>)</w:t>
      </w:r>
      <w:r w:rsidRPr="008B1A47">
        <w:rPr>
          <w:rFonts w:ascii="Times New Roman" w:hAnsi="Times New Roman" w:cs="Times New Roman"/>
          <w:sz w:val="28"/>
          <w:szCs w:val="28"/>
        </w:rPr>
        <w:t xml:space="preserve"> </w:t>
      </w:r>
      <w:r w:rsidRPr="00013853">
        <w:rPr>
          <w:rFonts w:ascii="Times New Roman" w:hAnsi="Times New Roman" w:cs="Times New Roman"/>
          <w:sz w:val="28"/>
          <w:szCs w:val="28"/>
        </w:rPr>
        <w:t>*</w:t>
      </w:r>
      <w:r w:rsidRPr="008B1A47">
        <w:rPr>
          <w:rFonts w:ascii="Times New Roman" w:hAnsi="Times New Roman" w:cs="Times New Roman"/>
          <w:sz w:val="28"/>
          <w:szCs w:val="28"/>
        </w:rPr>
        <w:t xml:space="preserve"> 100%</w:t>
      </w:r>
    </w:p>
    <w:p w:rsidR="008B1A47" w:rsidRPr="008B1A47" w:rsidRDefault="008B1A47" w:rsidP="0014686D">
      <w:pPr>
        <w:spacing w:after="0" w:line="240" w:lineRule="auto"/>
        <w:ind w:firstLine="708"/>
        <w:jc w:val="center"/>
        <w:rPr>
          <w:rFonts w:ascii="Times New Roman" w:hAnsi="Times New Roman" w:cs="Times New Roman"/>
          <w:sz w:val="28"/>
          <w:szCs w:val="28"/>
        </w:rPr>
      </w:pPr>
    </w:p>
    <w:p w:rsidR="008B1A47" w:rsidRDefault="008B1A47" w:rsidP="00AD11CD">
      <w:pPr>
        <w:spacing w:after="0" w:line="240" w:lineRule="auto"/>
        <w:ind w:firstLine="708"/>
        <w:jc w:val="right"/>
        <w:rPr>
          <w:rFonts w:ascii="Times New Roman" w:hAnsi="Times New Roman" w:cs="Times New Roman"/>
          <w:sz w:val="28"/>
          <w:szCs w:val="28"/>
        </w:rPr>
      </w:pPr>
      <w:r>
        <w:rPr>
          <w:rFonts w:ascii="Times New Roman" w:hAnsi="Times New Roman" w:cs="Times New Roman"/>
          <w:sz w:val="28"/>
          <w:szCs w:val="28"/>
          <w:lang w:val="en-US"/>
        </w:rPr>
        <w:t>z</w:t>
      </w:r>
      <w:r w:rsidR="006C34D7">
        <w:rPr>
          <w:rFonts w:ascii="Times New Roman" w:hAnsi="Times New Roman" w:cs="Times New Roman"/>
          <w:sz w:val="28"/>
          <w:szCs w:val="28"/>
        </w:rPr>
        <w:t xml:space="preserve"> = 0,</w:t>
      </w:r>
      <w:r w:rsidR="006C34D7">
        <w:rPr>
          <w:rFonts w:ascii="Times New Roman" w:hAnsi="Times New Roman" w:cs="Times New Roman"/>
          <w:sz w:val="28"/>
          <w:szCs w:val="28"/>
          <w:lang w:val="kk-KZ"/>
        </w:rPr>
        <w:t>75</w:t>
      </w:r>
      <w:r w:rsidR="00CB65A7">
        <w:rPr>
          <w:rFonts w:ascii="Times New Roman" w:hAnsi="Times New Roman" w:cs="Times New Roman"/>
          <w:sz w:val="28"/>
          <w:szCs w:val="28"/>
        </w:rPr>
        <w:t xml:space="preserve"> + (-0</w:t>
      </w:r>
      <w:r w:rsidR="00CB65A7">
        <w:rPr>
          <w:rFonts w:ascii="Times New Roman" w:hAnsi="Times New Roman" w:cs="Times New Roman"/>
          <w:sz w:val="28"/>
          <w:szCs w:val="28"/>
          <w:lang w:val="kk-KZ"/>
        </w:rPr>
        <w:t>,</w:t>
      </w:r>
      <w:r w:rsidRPr="008B1A47">
        <w:rPr>
          <w:rFonts w:ascii="Times New Roman" w:hAnsi="Times New Roman" w:cs="Times New Roman"/>
          <w:sz w:val="28"/>
          <w:szCs w:val="28"/>
        </w:rPr>
        <w:t xml:space="preserve">29) </w:t>
      </w:r>
      <w:r w:rsidRPr="00013853">
        <w:rPr>
          <w:rFonts w:ascii="Times New Roman" w:hAnsi="Times New Roman" w:cs="Times New Roman"/>
          <w:sz w:val="28"/>
          <w:szCs w:val="28"/>
        </w:rPr>
        <w:t xml:space="preserve">* </w:t>
      </w:r>
      <w:r>
        <w:rPr>
          <w:rFonts w:ascii="Times New Roman" w:hAnsi="Times New Roman" w:cs="Times New Roman"/>
          <w:sz w:val="28"/>
          <w:szCs w:val="28"/>
          <w:lang w:val="en-US"/>
        </w:rPr>
        <w:t>X</w:t>
      </w:r>
      <w:r>
        <w:rPr>
          <w:rFonts w:ascii="Times New Roman" w:hAnsi="Times New Roman" w:cs="Times New Roman"/>
          <w:sz w:val="28"/>
          <w:szCs w:val="28"/>
          <w:vertAlign w:val="subscript"/>
        </w:rPr>
        <w:t xml:space="preserve">пол </w:t>
      </w:r>
      <w:r>
        <w:rPr>
          <w:rFonts w:ascii="Times New Roman" w:hAnsi="Times New Roman" w:cs="Times New Roman"/>
          <w:sz w:val="28"/>
          <w:szCs w:val="28"/>
        </w:rPr>
        <w:t xml:space="preserve">    </w:t>
      </w:r>
      <w:r w:rsidR="00AD11CD">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sidR="004B4DE2">
        <w:rPr>
          <w:rFonts w:ascii="Times New Roman" w:hAnsi="Times New Roman" w:cs="Times New Roman"/>
          <w:sz w:val="28"/>
          <w:szCs w:val="28"/>
        </w:rPr>
        <w:t>4</w:t>
      </w:r>
      <w:r>
        <w:rPr>
          <w:rFonts w:ascii="Times New Roman" w:hAnsi="Times New Roman" w:cs="Times New Roman"/>
          <w:sz w:val="28"/>
          <w:szCs w:val="28"/>
        </w:rPr>
        <w:t>)</w:t>
      </w:r>
    </w:p>
    <w:p w:rsidR="008B1A47" w:rsidRDefault="008B1A47" w:rsidP="0014686D">
      <w:pPr>
        <w:spacing w:after="0" w:line="240" w:lineRule="auto"/>
        <w:ind w:firstLine="708"/>
        <w:jc w:val="center"/>
        <w:rPr>
          <w:rFonts w:ascii="Times New Roman" w:hAnsi="Times New Roman" w:cs="Times New Roman"/>
          <w:sz w:val="28"/>
          <w:szCs w:val="28"/>
        </w:rPr>
      </w:pPr>
    </w:p>
    <w:p w:rsidR="008B1A47" w:rsidRDefault="008B1A47" w:rsidP="008B1A4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где р – вероятность наличия ИР (%), Х</w:t>
      </w:r>
      <w:r>
        <w:rPr>
          <w:rFonts w:ascii="Times New Roman" w:hAnsi="Times New Roman" w:cs="Times New Roman"/>
          <w:sz w:val="28"/>
          <w:szCs w:val="28"/>
          <w:vertAlign w:val="subscript"/>
        </w:rPr>
        <w:t xml:space="preserve">пол </w:t>
      </w:r>
      <w:r>
        <w:rPr>
          <w:rFonts w:ascii="Times New Roman" w:hAnsi="Times New Roman" w:cs="Times New Roman"/>
          <w:sz w:val="28"/>
          <w:szCs w:val="28"/>
        </w:rPr>
        <w:t>– пол (мужской или женский).</w:t>
      </w:r>
    </w:p>
    <w:p w:rsidR="000403C4" w:rsidRDefault="008B1A47" w:rsidP="008B1A4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Полученная регрессионная модель является статистически значимой (р=0,05). Исходя из значений коэффициента детерминации Найджелкерка, модель (</w:t>
      </w:r>
      <w:r w:rsidR="004B4DE2">
        <w:rPr>
          <w:rFonts w:ascii="Times New Roman" w:hAnsi="Times New Roman" w:cs="Times New Roman"/>
          <w:sz w:val="28"/>
          <w:szCs w:val="28"/>
        </w:rPr>
        <w:t>4</w:t>
      </w:r>
      <w:r>
        <w:rPr>
          <w:rFonts w:ascii="Times New Roman" w:hAnsi="Times New Roman" w:cs="Times New Roman"/>
          <w:sz w:val="28"/>
          <w:szCs w:val="28"/>
        </w:rPr>
        <w:t xml:space="preserve">) учитывает 10% фактора, определяющий вероятность развития ИР. </w:t>
      </w:r>
      <w:r w:rsidR="001E243C">
        <w:rPr>
          <w:rFonts w:ascii="Times New Roman" w:hAnsi="Times New Roman" w:cs="Times New Roman"/>
          <w:sz w:val="28"/>
          <w:szCs w:val="28"/>
        </w:rPr>
        <w:t xml:space="preserve">Исходя из значений регрессионных коэффициентов, фактор пол имеет </w:t>
      </w:r>
      <w:r w:rsidR="00013853">
        <w:rPr>
          <w:rFonts w:ascii="Times New Roman" w:hAnsi="Times New Roman" w:cs="Times New Roman"/>
          <w:sz w:val="28"/>
          <w:szCs w:val="28"/>
        </w:rPr>
        <w:t>значимую</w:t>
      </w:r>
      <w:r w:rsidR="001E243C">
        <w:rPr>
          <w:rFonts w:ascii="Times New Roman" w:hAnsi="Times New Roman" w:cs="Times New Roman"/>
          <w:sz w:val="28"/>
          <w:szCs w:val="28"/>
        </w:rPr>
        <w:t xml:space="preserve"> связь с вероятностью развития ИР. Мужской пол снижает </w:t>
      </w:r>
      <w:r>
        <w:rPr>
          <w:rFonts w:ascii="Times New Roman" w:hAnsi="Times New Roman" w:cs="Times New Roman"/>
          <w:sz w:val="28"/>
          <w:szCs w:val="28"/>
        </w:rPr>
        <w:t xml:space="preserve">шансы ИР в </w:t>
      </w:r>
      <w:r>
        <w:rPr>
          <w:rFonts w:ascii="Times New Roman" w:hAnsi="Times New Roman"/>
          <w:sz w:val="28"/>
          <w:szCs w:val="28"/>
        </w:rPr>
        <w:t>0,75 раза (0,49-1,0) по сравнению с женским полом.</w:t>
      </w:r>
    </w:p>
    <w:p w:rsidR="00E6510F" w:rsidRPr="004735C2" w:rsidRDefault="00E6510F" w:rsidP="00E6510F">
      <w:pPr>
        <w:spacing w:after="0" w:line="240" w:lineRule="auto"/>
        <w:ind w:firstLine="708"/>
        <w:jc w:val="both"/>
        <w:rPr>
          <w:rFonts w:ascii="Times New Roman" w:hAnsi="Times New Roman" w:cs="Times New Roman"/>
          <w:sz w:val="28"/>
          <w:szCs w:val="28"/>
        </w:rPr>
      </w:pPr>
      <w:r w:rsidRPr="004735C2">
        <w:rPr>
          <w:rFonts w:ascii="Times New Roman" w:hAnsi="Times New Roman" w:cs="Times New Roman"/>
          <w:sz w:val="28"/>
          <w:szCs w:val="28"/>
        </w:rPr>
        <w:t xml:space="preserve">В заключении отметим, что нами установлено </w:t>
      </w:r>
      <w:r w:rsidRPr="004735C2">
        <w:rPr>
          <w:rFonts w:ascii="Times New Roman" w:hAnsi="Times New Roman" w:cs="Times New Roman"/>
          <w:sz w:val="28"/>
          <w:szCs w:val="28"/>
          <w:lang w:val="kk-KZ"/>
        </w:rPr>
        <w:t xml:space="preserve">у женщин – казашек </w:t>
      </w:r>
      <w:r w:rsidR="007E3BBE">
        <w:rPr>
          <w:rFonts w:ascii="Times New Roman" w:hAnsi="Times New Roman" w:cs="Times New Roman"/>
          <w:sz w:val="28"/>
          <w:szCs w:val="28"/>
          <w:lang w:val="kk-KZ"/>
        </w:rPr>
        <w:t xml:space="preserve">в нашем исследовании </w:t>
      </w:r>
      <w:r w:rsidRPr="004735C2">
        <w:rPr>
          <w:rFonts w:ascii="Times New Roman" w:hAnsi="Times New Roman" w:cs="Times New Roman"/>
          <w:sz w:val="28"/>
          <w:szCs w:val="28"/>
          <w:lang w:val="kk-KZ"/>
        </w:rPr>
        <w:t xml:space="preserve">ИР встречается чаще, чем у мужчин – казахов, а также ИР был связан с уровнем апоВ и ТГ. Гипертриглицеридемия чаще </w:t>
      </w:r>
      <w:r w:rsidRPr="004735C2">
        <w:rPr>
          <w:rFonts w:ascii="Times New Roman" w:hAnsi="Times New Roman" w:cs="Times New Roman"/>
          <w:sz w:val="28"/>
          <w:szCs w:val="28"/>
        </w:rPr>
        <w:t>встречалась</w:t>
      </w:r>
      <w:r w:rsidRPr="004735C2">
        <w:rPr>
          <w:rFonts w:ascii="Times New Roman" w:hAnsi="Times New Roman" w:cs="Times New Roman"/>
          <w:sz w:val="28"/>
          <w:szCs w:val="28"/>
          <w:lang w:val="kk-KZ"/>
        </w:rPr>
        <w:t xml:space="preserve"> у лиц с абдоминальным ожирением и часто сопровождалась гипераполипопротеинемией В, гиперхолестеринемией, высоким уровнем ЛПВП, гиперинсулинемией, гипергликемией и ИР. При гипераполипопротеинеми</w:t>
      </w:r>
      <w:r w:rsidR="007E3BBE">
        <w:rPr>
          <w:rFonts w:ascii="Times New Roman" w:hAnsi="Times New Roman" w:cs="Times New Roman"/>
          <w:sz w:val="28"/>
          <w:szCs w:val="28"/>
          <w:lang w:val="kk-KZ"/>
        </w:rPr>
        <w:t>и</w:t>
      </w:r>
      <w:r w:rsidRPr="004735C2">
        <w:rPr>
          <w:rFonts w:ascii="Times New Roman" w:hAnsi="Times New Roman" w:cs="Times New Roman"/>
          <w:sz w:val="28"/>
          <w:szCs w:val="28"/>
          <w:lang w:val="kk-KZ"/>
        </w:rPr>
        <w:t xml:space="preserve"> В чаще наблюдались высоки</w:t>
      </w:r>
      <w:r w:rsidR="007E3BBE">
        <w:rPr>
          <w:rFonts w:ascii="Times New Roman" w:hAnsi="Times New Roman" w:cs="Times New Roman"/>
          <w:sz w:val="28"/>
          <w:szCs w:val="28"/>
          <w:lang w:val="kk-KZ"/>
        </w:rPr>
        <w:t>й</w:t>
      </w:r>
      <w:r w:rsidRPr="004735C2">
        <w:rPr>
          <w:rFonts w:ascii="Times New Roman" w:hAnsi="Times New Roman" w:cs="Times New Roman"/>
          <w:sz w:val="28"/>
          <w:szCs w:val="28"/>
          <w:lang w:val="kk-KZ"/>
        </w:rPr>
        <w:t xml:space="preserve"> уров</w:t>
      </w:r>
      <w:r w:rsidR="007E3BBE">
        <w:rPr>
          <w:rFonts w:ascii="Times New Roman" w:hAnsi="Times New Roman" w:cs="Times New Roman"/>
          <w:sz w:val="28"/>
          <w:szCs w:val="28"/>
          <w:lang w:val="kk-KZ"/>
        </w:rPr>
        <w:t>е</w:t>
      </w:r>
      <w:r w:rsidRPr="004735C2">
        <w:rPr>
          <w:rFonts w:ascii="Times New Roman" w:hAnsi="Times New Roman" w:cs="Times New Roman"/>
          <w:sz w:val="28"/>
          <w:szCs w:val="28"/>
          <w:lang w:val="kk-KZ"/>
        </w:rPr>
        <w:t>н</w:t>
      </w:r>
      <w:r w:rsidR="007E3BBE">
        <w:rPr>
          <w:rFonts w:ascii="Times New Roman" w:hAnsi="Times New Roman" w:cs="Times New Roman"/>
          <w:sz w:val="28"/>
          <w:szCs w:val="28"/>
          <w:lang w:val="kk-KZ"/>
        </w:rPr>
        <w:t>ь</w:t>
      </w:r>
      <w:r w:rsidRPr="004735C2">
        <w:rPr>
          <w:rFonts w:ascii="Times New Roman" w:hAnsi="Times New Roman" w:cs="Times New Roman"/>
          <w:sz w:val="28"/>
          <w:szCs w:val="28"/>
          <w:lang w:val="kk-KZ"/>
        </w:rPr>
        <w:t xml:space="preserve"> инсулина и </w:t>
      </w:r>
      <w:r w:rsidRPr="004735C2">
        <w:rPr>
          <w:rFonts w:ascii="Times New Roman" w:hAnsi="Times New Roman"/>
          <w:sz w:val="28"/>
          <w:szCs w:val="28"/>
        </w:rPr>
        <w:t>HOMA-IR</w:t>
      </w:r>
      <w:r w:rsidRPr="004735C2">
        <w:rPr>
          <w:rFonts w:ascii="Times New Roman" w:hAnsi="Times New Roman" w:cs="Times New Roman"/>
          <w:sz w:val="28"/>
          <w:szCs w:val="28"/>
          <w:lang w:val="kk-KZ"/>
        </w:rPr>
        <w:t xml:space="preserve">. </w:t>
      </w:r>
      <w:r w:rsidRPr="004735C2">
        <w:rPr>
          <w:rFonts w:ascii="Times New Roman" w:hAnsi="Times New Roman" w:cs="Times New Roman"/>
          <w:sz w:val="28"/>
          <w:szCs w:val="28"/>
        </w:rPr>
        <w:t>Уровень апоВ имел достоверную корреляционную связь с уровнями ОХС и ТГ. Уровень глюкозы имел корреляционную значимую связь с уровнями ТГ и апоВ/апоА1.</w:t>
      </w:r>
    </w:p>
    <w:p w:rsidR="00AB12B3" w:rsidRDefault="00F33524" w:rsidP="00634364">
      <w:pPr>
        <w:spacing w:after="0" w:line="240" w:lineRule="auto"/>
        <w:ind w:firstLine="708"/>
        <w:jc w:val="both"/>
        <w:rPr>
          <w:rFonts w:ascii="Times New Roman" w:hAnsi="Times New Roman"/>
          <w:sz w:val="28"/>
          <w:szCs w:val="28"/>
        </w:rPr>
      </w:pPr>
      <w:r>
        <w:rPr>
          <w:rFonts w:ascii="Times New Roman" w:hAnsi="Times New Roman"/>
          <w:bCs/>
          <w:sz w:val="28"/>
          <w:szCs w:val="28"/>
        </w:rPr>
        <w:t>Таким образом</w:t>
      </w:r>
      <w:r w:rsidR="00634364">
        <w:rPr>
          <w:rFonts w:ascii="Times New Roman" w:hAnsi="Times New Roman"/>
          <w:bCs/>
          <w:sz w:val="28"/>
          <w:szCs w:val="28"/>
        </w:rPr>
        <w:t>, можно предположить, что</w:t>
      </w:r>
      <w:r w:rsidR="00634364">
        <w:rPr>
          <w:rFonts w:ascii="Times New Roman" w:hAnsi="Times New Roman" w:cs="Times New Roman"/>
          <w:sz w:val="28"/>
          <w:szCs w:val="28"/>
        </w:rPr>
        <w:t xml:space="preserve"> </w:t>
      </w:r>
      <w:r w:rsidR="007E3BBE">
        <w:rPr>
          <w:rFonts w:ascii="Times New Roman" w:hAnsi="Times New Roman" w:cs="Times New Roman"/>
          <w:sz w:val="28"/>
          <w:szCs w:val="28"/>
        </w:rPr>
        <w:t xml:space="preserve">анализ </w:t>
      </w:r>
      <w:r w:rsidR="00634364">
        <w:rPr>
          <w:rFonts w:ascii="Times New Roman" w:hAnsi="Times New Roman" w:cs="Times New Roman"/>
          <w:sz w:val="28"/>
          <w:szCs w:val="28"/>
        </w:rPr>
        <w:t>уровн</w:t>
      </w:r>
      <w:r w:rsidR="007E3BBE">
        <w:rPr>
          <w:rFonts w:ascii="Times New Roman" w:hAnsi="Times New Roman" w:cs="Times New Roman"/>
          <w:sz w:val="28"/>
          <w:szCs w:val="28"/>
        </w:rPr>
        <w:t>я</w:t>
      </w:r>
      <w:r w:rsidR="00634364">
        <w:rPr>
          <w:rFonts w:ascii="Times New Roman" w:hAnsi="Times New Roman" w:cs="Times New Roman"/>
          <w:sz w:val="28"/>
          <w:szCs w:val="28"/>
        </w:rPr>
        <w:t xml:space="preserve"> ТГ</w:t>
      </w:r>
      <w:r w:rsidR="001009B7">
        <w:rPr>
          <w:rFonts w:ascii="Times New Roman" w:hAnsi="Times New Roman" w:cs="Times New Roman"/>
          <w:sz w:val="28"/>
          <w:szCs w:val="28"/>
        </w:rPr>
        <w:t>,</w:t>
      </w:r>
      <w:r w:rsidR="00634364">
        <w:rPr>
          <w:rFonts w:ascii="Times New Roman" w:hAnsi="Times New Roman" w:cs="Times New Roman"/>
          <w:sz w:val="28"/>
          <w:szCs w:val="28"/>
        </w:rPr>
        <w:t xml:space="preserve"> апоВ</w:t>
      </w:r>
      <w:r w:rsidR="001009B7" w:rsidRPr="001009B7">
        <w:rPr>
          <w:rFonts w:ascii="Times New Roman" w:hAnsi="Times New Roman" w:cs="Times New Roman"/>
          <w:sz w:val="28"/>
          <w:szCs w:val="28"/>
        </w:rPr>
        <w:t xml:space="preserve"> </w:t>
      </w:r>
      <w:r w:rsidR="001009B7">
        <w:rPr>
          <w:rFonts w:ascii="Times New Roman" w:hAnsi="Times New Roman" w:cs="Times New Roman"/>
          <w:sz w:val="28"/>
          <w:szCs w:val="28"/>
        </w:rPr>
        <w:t xml:space="preserve">и </w:t>
      </w:r>
      <w:r w:rsidR="00045EBD">
        <w:rPr>
          <w:rFonts w:ascii="Times New Roman" w:hAnsi="Times New Roman" w:cs="Times New Roman"/>
          <w:sz w:val="28"/>
          <w:szCs w:val="28"/>
        </w:rPr>
        <w:t xml:space="preserve">значение </w:t>
      </w:r>
      <w:r w:rsidR="001009B7">
        <w:rPr>
          <w:rFonts w:ascii="Times New Roman" w:hAnsi="Times New Roman" w:cs="Times New Roman"/>
          <w:sz w:val="28"/>
          <w:szCs w:val="28"/>
        </w:rPr>
        <w:t>соотношения апоВ/апоА1</w:t>
      </w:r>
      <w:r w:rsidR="00634364">
        <w:rPr>
          <w:rFonts w:ascii="Times New Roman" w:hAnsi="Times New Roman" w:cs="Times New Roman"/>
          <w:sz w:val="28"/>
          <w:szCs w:val="28"/>
        </w:rPr>
        <w:t xml:space="preserve"> могут быть рекомендованы как ранние предикторы риска гиперинсулинемии и </w:t>
      </w:r>
      <w:r w:rsidR="002D1825">
        <w:rPr>
          <w:rFonts w:ascii="Times New Roman" w:hAnsi="Times New Roman" w:cs="Times New Roman"/>
          <w:sz w:val="28"/>
          <w:szCs w:val="28"/>
        </w:rPr>
        <w:t>ИР</w:t>
      </w:r>
      <w:r w:rsidR="00634364">
        <w:rPr>
          <w:rFonts w:ascii="Times New Roman" w:hAnsi="Times New Roman" w:cs="Times New Roman"/>
          <w:sz w:val="28"/>
          <w:szCs w:val="28"/>
        </w:rPr>
        <w:t xml:space="preserve"> в казахской популяции.</w:t>
      </w:r>
    </w:p>
    <w:p w:rsidR="00701FB5" w:rsidRDefault="00701FB5" w:rsidP="00AB12B3">
      <w:pPr>
        <w:spacing w:after="0" w:line="240" w:lineRule="auto"/>
        <w:rPr>
          <w:rFonts w:ascii="Times New Roman" w:hAnsi="Times New Roman"/>
          <w:sz w:val="28"/>
          <w:szCs w:val="28"/>
        </w:rPr>
      </w:pPr>
    </w:p>
    <w:p w:rsidR="00701FB5" w:rsidRDefault="00701FB5" w:rsidP="00AB12B3">
      <w:pPr>
        <w:spacing w:after="0" w:line="240" w:lineRule="auto"/>
        <w:rPr>
          <w:rFonts w:ascii="Times New Roman" w:hAnsi="Times New Roman"/>
          <w:sz w:val="28"/>
          <w:szCs w:val="28"/>
        </w:rPr>
        <w:sectPr w:rsidR="00701FB5" w:rsidSect="005B1090">
          <w:pgSz w:w="11906" w:h="16838"/>
          <w:pgMar w:top="1134" w:right="850" w:bottom="1134" w:left="1701" w:header="708" w:footer="708" w:gutter="0"/>
          <w:cols w:space="720"/>
        </w:sectPr>
      </w:pPr>
    </w:p>
    <w:p w:rsidR="00AB12B3" w:rsidRPr="00AD11CD" w:rsidRDefault="00AD11CD" w:rsidP="00AD11CD">
      <w:pPr>
        <w:spacing w:after="0" w:line="240" w:lineRule="auto"/>
        <w:ind w:left="-57" w:firstLine="765"/>
        <w:jc w:val="both"/>
        <w:rPr>
          <w:rFonts w:ascii="Times New Roman" w:hAnsi="Times New Roman"/>
          <w:b/>
          <w:sz w:val="28"/>
          <w:szCs w:val="28"/>
          <w:lang w:val="kk-KZ"/>
        </w:rPr>
      </w:pPr>
      <w:r>
        <w:rPr>
          <w:rFonts w:ascii="Times New Roman" w:hAnsi="Times New Roman"/>
          <w:b/>
          <w:sz w:val="28"/>
          <w:szCs w:val="28"/>
          <w:lang w:val="kk-KZ"/>
        </w:rPr>
        <w:lastRenderedPageBreak/>
        <w:t xml:space="preserve">4 </w:t>
      </w:r>
      <w:r w:rsidR="00AB12B3" w:rsidRPr="00AD11CD">
        <w:rPr>
          <w:rFonts w:ascii="Times New Roman" w:hAnsi="Times New Roman"/>
          <w:b/>
          <w:sz w:val="28"/>
          <w:szCs w:val="28"/>
          <w:lang w:val="kk-KZ"/>
        </w:rPr>
        <w:t>ВЗАИМОСВЯЗ</w:t>
      </w:r>
      <w:r w:rsidR="00D66622" w:rsidRPr="00AD11CD">
        <w:rPr>
          <w:rFonts w:ascii="Times New Roman" w:hAnsi="Times New Roman"/>
          <w:b/>
          <w:sz w:val="28"/>
          <w:szCs w:val="28"/>
          <w:lang w:val="kk-KZ"/>
        </w:rPr>
        <w:t>Ь</w:t>
      </w:r>
      <w:r w:rsidR="00AB12B3" w:rsidRPr="00AD11CD">
        <w:rPr>
          <w:rFonts w:ascii="Times New Roman" w:hAnsi="Times New Roman"/>
          <w:b/>
          <w:sz w:val="28"/>
          <w:szCs w:val="28"/>
          <w:lang w:val="kk-KZ"/>
        </w:rPr>
        <w:t xml:space="preserve"> ПОЛИМОРФИЗМОВ ГЕНОВ </w:t>
      </w:r>
      <w:r w:rsidR="00AB12B3" w:rsidRPr="00AD11CD">
        <w:rPr>
          <w:rFonts w:ascii="Times New Roman" w:hAnsi="Times New Roman"/>
          <w:b/>
          <w:i/>
          <w:sz w:val="28"/>
          <w:szCs w:val="28"/>
          <w:lang w:val="kk-KZ"/>
        </w:rPr>
        <w:t xml:space="preserve">LPL </w:t>
      </w:r>
      <w:r w:rsidR="00AB12B3" w:rsidRPr="00AD11CD">
        <w:rPr>
          <w:rFonts w:ascii="Times New Roman" w:hAnsi="Times New Roman"/>
          <w:b/>
          <w:sz w:val="28"/>
          <w:szCs w:val="28"/>
          <w:lang w:val="kk-KZ"/>
        </w:rPr>
        <w:t xml:space="preserve">SER447TER </w:t>
      </w:r>
      <w:r w:rsidR="00AB12B3" w:rsidRPr="00AD11CD">
        <w:rPr>
          <w:rFonts w:ascii="Times New Roman" w:hAnsi="Times New Roman"/>
          <w:b/>
          <w:i/>
          <w:sz w:val="28"/>
          <w:szCs w:val="28"/>
          <w:lang w:val="kk-KZ"/>
        </w:rPr>
        <w:t>(</w:t>
      </w:r>
      <w:r w:rsidR="00AB12B3" w:rsidRPr="00AD11CD">
        <w:rPr>
          <w:rFonts w:ascii="Times New Roman" w:hAnsi="Times New Roman"/>
          <w:b/>
          <w:sz w:val="28"/>
          <w:szCs w:val="28"/>
          <w:lang w:val="kk-KZ"/>
        </w:rPr>
        <w:t>RS328</w:t>
      </w:r>
      <w:r w:rsidR="00AB12B3" w:rsidRPr="00AD11CD">
        <w:rPr>
          <w:rFonts w:ascii="Times New Roman" w:hAnsi="Times New Roman"/>
          <w:b/>
          <w:i/>
          <w:sz w:val="28"/>
          <w:szCs w:val="28"/>
          <w:lang w:val="kk-KZ"/>
        </w:rPr>
        <w:t xml:space="preserve">), ADRB2 </w:t>
      </w:r>
      <w:r w:rsidR="00AB12B3" w:rsidRPr="00AD11CD">
        <w:rPr>
          <w:rFonts w:ascii="Times New Roman" w:hAnsi="Times New Roman"/>
          <w:b/>
          <w:sz w:val="28"/>
          <w:szCs w:val="28"/>
          <w:lang w:val="kk-KZ"/>
        </w:rPr>
        <w:t>GLN27GLU (RS1042714)</w:t>
      </w:r>
      <w:r w:rsidR="00AB12B3" w:rsidRPr="00AD11CD">
        <w:rPr>
          <w:rFonts w:ascii="Times New Roman" w:hAnsi="Times New Roman"/>
          <w:b/>
          <w:i/>
          <w:sz w:val="28"/>
          <w:szCs w:val="28"/>
          <w:lang w:val="kk-KZ"/>
        </w:rPr>
        <w:t xml:space="preserve">, AGT </w:t>
      </w:r>
      <w:r w:rsidR="00AB12B3" w:rsidRPr="00AD11CD">
        <w:rPr>
          <w:rFonts w:ascii="Times New Roman" w:hAnsi="Times New Roman"/>
          <w:b/>
          <w:sz w:val="28"/>
          <w:szCs w:val="28"/>
          <w:lang w:val="kk-KZ"/>
        </w:rPr>
        <w:t>THR174MET (RS4762),</w:t>
      </w:r>
      <w:r w:rsidR="00AB12B3" w:rsidRPr="00AD11CD">
        <w:rPr>
          <w:rFonts w:ascii="Times New Roman" w:hAnsi="Times New Roman"/>
          <w:b/>
          <w:i/>
          <w:sz w:val="28"/>
          <w:szCs w:val="28"/>
          <w:lang w:val="kk-KZ"/>
        </w:rPr>
        <w:t xml:space="preserve"> AGTR1 </w:t>
      </w:r>
      <w:r w:rsidR="00AB12B3" w:rsidRPr="00AD11CD">
        <w:rPr>
          <w:rFonts w:ascii="Times New Roman" w:hAnsi="Times New Roman"/>
          <w:b/>
          <w:sz w:val="28"/>
          <w:szCs w:val="28"/>
          <w:lang w:val="kk-KZ"/>
        </w:rPr>
        <w:t>A1166C (RS5186) С НАРУШЕНИЯМИ ЛИПИДНОГО ОБМЕНА У ПАЦИЕНТОВ С ДИСЛИПИДЕМИЕЙ И ИНСУЛИНОРЕЗИСТЕНТНОСТЬЮ</w:t>
      </w:r>
    </w:p>
    <w:p w:rsidR="00AB12B3" w:rsidRPr="00E83EC5" w:rsidRDefault="00AB12B3" w:rsidP="00AB12B3">
      <w:pPr>
        <w:spacing w:after="0" w:line="240" w:lineRule="auto"/>
        <w:jc w:val="both"/>
        <w:rPr>
          <w:rFonts w:ascii="Times New Roman" w:hAnsi="Times New Roman" w:cs="Times New Roman"/>
          <w:b/>
          <w:sz w:val="28"/>
          <w:szCs w:val="28"/>
          <w:lang w:val="kk-KZ"/>
        </w:rPr>
      </w:pPr>
    </w:p>
    <w:p w:rsidR="00AB12B3" w:rsidRDefault="00AB12B3" w:rsidP="00E83EC5">
      <w:pPr>
        <w:spacing w:after="0" w:line="240" w:lineRule="auto"/>
        <w:ind w:firstLine="708"/>
        <w:jc w:val="both"/>
        <w:rPr>
          <w:rFonts w:ascii="Times New Roman" w:hAnsi="Times New Roman" w:cs="Times New Roman"/>
          <w:b/>
          <w:sz w:val="28"/>
          <w:szCs w:val="28"/>
          <w:lang w:val="kk-KZ"/>
        </w:rPr>
      </w:pPr>
      <w:r w:rsidRPr="00E83EC5">
        <w:rPr>
          <w:rFonts w:ascii="Times New Roman" w:hAnsi="Times New Roman"/>
          <w:b/>
          <w:sz w:val="28"/>
          <w:szCs w:val="28"/>
          <w:lang w:val="kk-KZ"/>
        </w:rPr>
        <w:t xml:space="preserve">4.1 Связь полиморфизмов генов </w:t>
      </w:r>
      <w:r w:rsidRPr="00E83EC5">
        <w:rPr>
          <w:rFonts w:ascii="Times New Roman" w:hAnsi="Times New Roman"/>
          <w:b/>
          <w:i/>
          <w:sz w:val="28"/>
          <w:szCs w:val="28"/>
          <w:lang w:val="kk-KZ"/>
        </w:rPr>
        <w:t xml:space="preserve">LPL </w:t>
      </w:r>
      <w:r w:rsidRPr="00E83EC5">
        <w:rPr>
          <w:rFonts w:ascii="Times New Roman" w:hAnsi="Times New Roman"/>
          <w:b/>
          <w:sz w:val="28"/>
          <w:szCs w:val="28"/>
          <w:lang w:val="kk-KZ"/>
        </w:rPr>
        <w:t>Ser447Ter (rs328),</w:t>
      </w:r>
      <w:r w:rsidRPr="00E83EC5">
        <w:rPr>
          <w:rFonts w:ascii="Times New Roman" w:hAnsi="Times New Roman"/>
          <w:b/>
          <w:i/>
          <w:sz w:val="28"/>
          <w:szCs w:val="28"/>
          <w:lang w:val="kk-KZ"/>
        </w:rPr>
        <w:t xml:space="preserve"> ADRB2 </w:t>
      </w:r>
      <w:r w:rsidRPr="00E83EC5">
        <w:rPr>
          <w:rFonts w:ascii="Times New Roman" w:hAnsi="Times New Roman"/>
          <w:b/>
          <w:sz w:val="28"/>
          <w:szCs w:val="28"/>
          <w:lang w:val="kk-KZ"/>
        </w:rPr>
        <w:t>Gln27Glu (rs1042714)</w:t>
      </w:r>
      <w:r w:rsidRPr="00E83EC5">
        <w:rPr>
          <w:rFonts w:ascii="Times New Roman" w:hAnsi="Times New Roman"/>
          <w:b/>
          <w:i/>
          <w:sz w:val="28"/>
          <w:szCs w:val="28"/>
          <w:lang w:val="kk-KZ"/>
        </w:rPr>
        <w:t xml:space="preserve">, AGT </w:t>
      </w:r>
      <w:r w:rsidRPr="00E83EC5">
        <w:rPr>
          <w:rFonts w:ascii="Times New Roman" w:hAnsi="Times New Roman"/>
          <w:b/>
          <w:sz w:val="28"/>
          <w:szCs w:val="28"/>
          <w:lang w:val="kk-KZ"/>
        </w:rPr>
        <w:t>Thr174Met (rs4762),</w:t>
      </w:r>
      <w:r w:rsidRPr="00E83EC5">
        <w:rPr>
          <w:rFonts w:ascii="Times New Roman" w:hAnsi="Times New Roman"/>
          <w:b/>
          <w:i/>
          <w:sz w:val="28"/>
          <w:szCs w:val="28"/>
          <w:lang w:val="kk-KZ"/>
        </w:rPr>
        <w:t xml:space="preserve"> AGTR1 </w:t>
      </w:r>
      <w:r w:rsidRPr="00E83EC5">
        <w:rPr>
          <w:rFonts w:ascii="Times New Roman" w:hAnsi="Times New Roman"/>
          <w:b/>
          <w:sz w:val="28"/>
          <w:szCs w:val="28"/>
          <w:lang w:val="kk-KZ"/>
        </w:rPr>
        <w:t>A1166C (rs5186)</w:t>
      </w:r>
      <w:r w:rsidR="003E11D9" w:rsidRPr="00E83EC5">
        <w:rPr>
          <w:rFonts w:ascii="Times New Roman" w:hAnsi="Times New Roman"/>
          <w:b/>
          <w:sz w:val="28"/>
          <w:szCs w:val="28"/>
          <w:lang w:val="kk-KZ"/>
        </w:rPr>
        <w:t xml:space="preserve"> </w:t>
      </w:r>
      <w:r w:rsidRPr="00E83EC5">
        <w:rPr>
          <w:rFonts w:ascii="Times New Roman" w:hAnsi="Times New Roman"/>
          <w:b/>
          <w:sz w:val="28"/>
          <w:szCs w:val="28"/>
          <w:lang w:val="kk-KZ"/>
        </w:rPr>
        <w:t xml:space="preserve">с дислипидемией и </w:t>
      </w:r>
      <w:r>
        <w:rPr>
          <w:rFonts w:ascii="Times New Roman" w:hAnsi="Times New Roman"/>
          <w:b/>
          <w:sz w:val="28"/>
          <w:szCs w:val="28"/>
          <w:lang w:val="kk-KZ"/>
        </w:rPr>
        <w:t>инсулинорезистентностью</w:t>
      </w:r>
    </w:p>
    <w:p w:rsidR="00AB12B3" w:rsidRDefault="00AB12B3" w:rsidP="00AB12B3">
      <w:pPr>
        <w:spacing w:after="0" w:line="240" w:lineRule="auto"/>
        <w:jc w:val="both"/>
        <w:rPr>
          <w:rFonts w:ascii="Times New Roman" w:eastAsia="Times New Roman" w:hAnsi="Times New Roman" w:cs="Times New Roman"/>
          <w:sz w:val="28"/>
          <w:szCs w:val="21"/>
        </w:rPr>
      </w:pPr>
      <w:r w:rsidRPr="00E83EC5">
        <w:rPr>
          <w:rFonts w:ascii="Times New Roman" w:hAnsi="Times New Roman" w:cs="Times New Roman"/>
          <w:b/>
          <w:sz w:val="28"/>
          <w:szCs w:val="28"/>
          <w:lang w:val="kk-KZ"/>
        </w:rPr>
        <w:tab/>
      </w:r>
      <w:r>
        <w:rPr>
          <w:rFonts w:ascii="Times New Roman" w:hAnsi="Times New Roman" w:cs="Times New Roman"/>
          <w:sz w:val="28"/>
          <w:szCs w:val="28"/>
        </w:rPr>
        <w:t>В последнее</w:t>
      </w:r>
      <w:r w:rsidR="00413CAD">
        <w:rPr>
          <w:rFonts w:ascii="Times New Roman" w:hAnsi="Times New Roman" w:cs="Times New Roman"/>
          <w:sz w:val="28"/>
          <w:szCs w:val="28"/>
        </w:rPr>
        <w:t xml:space="preserve"> </w:t>
      </w:r>
      <w:r>
        <w:rPr>
          <w:rFonts w:ascii="Times New Roman" w:hAnsi="Times New Roman" w:cs="Times New Roman"/>
          <w:sz w:val="28"/>
          <w:szCs w:val="28"/>
        </w:rPr>
        <w:t>время все больше исследовани</w:t>
      </w:r>
      <w:r w:rsidR="00D66622">
        <w:rPr>
          <w:rFonts w:ascii="Times New Roman" w:hAnsi="Times New Roman" w:cs="Times New Roman"/>
          <w:sz w:val="28"/>
          <w:szCs w:val="28"/>
        </w:rPr>
        <w:t>й</w:t>
      </w:r>
      <w:r w:rsidRPr="00C67F46">
        <w:rPr>
          <w:rFonts w:ascii="Century" w:hAnsi="Century" w:cs="Times New Roman"/>
          <w:sz w:val="28"/>
          <w:szCs w:val="28"/>
        </w:rPr>
        <w:t xml:space="preserve">, </w:t>
      </w:r>
      <w:r w:rsidR="00B767DB">
        <w:rPr>
          <w:rFonts w:ascii="Times New Roman" w:hAnsi="Times New Roman" w:cs="Times New Roman"/>
          <w:sz w:val="28"/>
          <w:szCs w:val="28"/>
        </w:rPr>
        <w:t>направленных на</w:t>
      </w:r>
      <w:r>
        <w:rPr>
          <w:rFonts w:ascii="Times New Roman" w:hAnsi="Times New Roman" w:cs="Times New Roman"/>
          <w:sz w:val="28"/>
          <w:szCs w:val="28"/>
        </w:rPr>
        <w:t xml:space="preserve"> изуч</w:t>
      </w:r>
      <w:r w:rsidR="00B767DB">
        <w:rPr>
          <w:rFonts w:ascii="Times New Roman" w:hAnsi="Times New Roman" w:cs="Times New Roman"/>
          <w:sz w:val="28"/>
          <w:szCs w:val="28"/>
        </w:rPr>
        <w:t>ение</w:t>
      </w:r>
      <w:r>
        <w:rPr>
          <w:rFonts w:ascii="Times New Roman" w:hAnsi="Times New Roman" w:cs="Times New Roman"/>
          <w:sz w:val="28"/>
          <w:szCs w:val="28"/>
        </w:rPr>
        <w:t xml:space="preserve"> в</w:t>
      </w:r>
      <w:r w:rsidR="00B767DB">
        <w:rPr>
          <w:rFonts w:ascii="Times New Roman" w:hAnsi="Times New Roman" w:cs="Times New Roman"/>
          <w:sz w:val="28"/>
          <w:szCs w:val="28"/>
        </w:rPr>
        <w:t>клада</w:t>
      </w:r>
      <w:r>
        <w:rPr>
          <w:rFonts w:ascii="Times New Roman" w:hAnsi="Times New Roman" w:cs="Times New Roman"/>
          <w:sz w:val="28"/>
          <w:szCs w:val="28"/>
        </w:rPr>
        <w:t xml:space="preserve"> ген</w:t>
      </w:r>
      <w:r w:rsidR="00B767DB">
        <w:rPr>
          <w:rFonts w:ascii="Times New Roman" w:hAnsi="Times New Roman" w:cs="Times New Roman"/>
          <w:sz w:val="28"/>
          <w:szCs w:val="28"/>
        </w:rPr>
        <w:t>етического компонента</w:t>
      </w:r>
      <w:r w:rsidR="003D1CF6">
        <w:rPr>
          <w:rFonts w:ascii="Times New Roman" w:hAnsi="Times New Roman" w:cs="Times New Roman"/>
          <w:sz w:val="28"/>
          <w:szCs w:val="28"/>
          <w:lang w:val="kk-KZ"/>
        </w:rPr>
        <w:t xml:space="preserve"> </w:t>
      </w:r>
      <w:r w:rsidR="003D1CF6">
        <w:rPr>
          <w:rFonts w:ascii="Times New Roman" w:hAnsi="Times New Roman" w:cs="Times New Roman"/>
          <w:sz w:val="28"/>
          <w:szCs w:val="28"/>
        </w:rPr>
        <w:t>в</w:t>
      </w:r>
      <w:r>
        <w:rPr>
          <w:rFonts w:ascii="Times New Roman" w:hAnsi="Times New Roman" w:cs="Times New Roman"/>
          <w:sz w:val="28"/>
          <w:szCs w:val="28"/>
        </w:rPr>
        <w:t xml:space="preserve"> развити</w:t>
      </w:r>
      <w:r w:rsidR="00B767DB">
        <w:rPr>
          <w:rFonts w:ascii="Times New Roman" w:hAnsi="Times New Roman" w:cs="Times New Roman"/>
          <w:sz w:val="28"/>
          <w:szCs w:val="28"/>
        </w:rPr>
        <w:t>и</w:t>
      </w:r>
      <w:r>
        <w:rPr>
          <w:rFonts w:ascii="Times New Roman" w:hAnsi="Times New Roman" w:cs="Times New Roman"/>
          <w:sz w:val="28"/>
          <w:szCs w:val="28"/>
        </w:rPr>
        <w:t xml:space="preserve"> </w:t>
      </w:r>
      <w:r w:rsidR="00B767DB">
        <w:rPr>
          <w:rFonts w:ascii="Times New Roman" w:hAnsi="Times New Roman" w:cs="Times New Roman"/>
          <w:sz w:val="28"/>
          <w:szCs w:val="28"/>
        </w:rPr>
        <w:t>мультифакториальных</w:t>
      </w:r>
      <w:r>
        <w:rPr>
          <w:rFonts w:ascii="Times New Roman" w:hAnsi="Times New Roman" w:cs="Times New Roman"/>
          <w:sz w:val="28"/>
          <w:szCs w:val="28"/>
        </w:rPr>
        <w:t xml:space="preserve"> заболевани</w:t>
      </w:r>
      <w:r w:rsidR="006F00E2">
        <w:rPr>
          <w:rFonts w:ascii="Times New Roman" w:hAnsi="Times New Roman" w:cs="Times New Roman"/>
          <w:sz w:val="28"/>
          <w:szCs w:val="28"/>
        </w:rPr>
        <w:t>й</w:t>
      </w:r>
      <w:r>
        <w:rPr>
          <w:rFonts w:ascii="Times New Roman" w:hAnsi="Times New Roman" w:cs="Times New Roman"/>
          <w:sz w:val="28"/>
          <w:szCs w:val="28"/>
        </w:rPr>
        <w:t xml:space="preserve"> и состояни</w:t>
      </w:r>
      <w:r w:rsidR="006F00E2">
        <w:rPr>
          <w:rFonts w:ascii="Times New Roman" w:hAnsi="Times New Roman" w:cs="Times New Roman"/>
          <w:sz w:val="28"/>
          <w:szCs w:val="28"/>
        </w:rPr>
        <w:t>й</w:t>
      </w:r>
      <w:r>
        <w:rPr>
          <w:rFonts w:ascii="Times New Roman" w:hAnsi="Times New Roman" w:cs="Times New Roman"/>
          <w:sz w:val="28"/>
          <w:szCs w:val="28"/>
        </w:rPr>
        <w:t>.</w:t>
      </w:r>
      <w:r w:rsidR="005C67E7">
        <w:rPr>
          <w:rFonts w:ascii="Times New Roman" w:hAnsi="Times New Roman" w:cs="Times New Roman"/>
          <w:sz w:val="28"/>
          <w:szCs w:val="28"/>
        </w:rPr>
        <w:t xml:space="preserve"> </w:t>
      </w:r>
      <w:r w:rsidR="006F00E2">
        <w:rPr>
          <w:rFonts w:ascii="Times New Roman" w:hAnsi="Times New Roman" w:cs="Times New Roman"/>
          <w:sz w:val="28"/>
          <w:szCs w:val="28"/>
        </w:rPr>
        <w:t>Некоторые авторы отмечают</w:t>
      </w:r>
      <w:r w:rsidR="006F00E2" w:rsidRPr="00232511">
        <w:rPr>
          <w:rFonts w:ascii="Century" w:hAnsi="Century" w:cs="Times New Roman"/>
          <w:sz w:val="28"/>
          <w:szCs w:val="28"/>
        </w:rPr>
        <w:t xml:space="preserve">, </w:t>
      </w:r>
      <w:r w:rsidR="006F00E2">
        <w:rPr>
          <w:rFonts w:ascii="Times New Roman" w:hAnsi="Times New Roman" w:cs="Times New Roman"/>
          <w:sz w:val="28"/>
          <w:szCs w:val="28"/>
        </w:rPr>
        <w:t>что</w:t>
      </w:r>
      <w:r w:rsidR="004C0D08">
        <w:rPr>
          <w:rFonts w:ascii="Times New Roman" w:hAnsi="Times New Roman" w:cs="Times New Roman"/>
          <w:sz w:val="28"/>
          <w:szCs w:val="28"/>
        </w:rPr>
        <w:t xml:space="preserve"> </w:t>
      </w:r>
      <w:r w:rsidR="00B767DB">
        <w:rPr>
          <w:rFonts w:ascii="Times New Roman" w:hAnsi="Times New Roman" w:cs="Times New Roman"/>
          <w:sz w:val="28"/>
        </w:rPr>
        <w:t>исследования ассоциации различных</w:t>
      </w:r>
      <w:r>
        <w:rPr>
          <w:rFonts w:ascii="Times New Roman" w:hAnsi="Times New Roman" w:cs="Times New Roman"/>
          <w:sz w:val="28"/>
        </w:rPr>
        <w:t xml:space="preserve"> п</w:t>
      </w:r>
      <w:r w:rsidR="00D66622">
        <w:rPr>
          <w:rFonts w:ascii="Times New Roman" w:hAnsi="Times New Roman" w:cs="Times New Roman"/>
          <w:sz w:val="28"/>
        </w:rPr>
        <w:t>олиморфизм</w:t>
      </w:r>
      <w:r w:rsidR="00B767DB">
        <w:rPr>
          <w:rFonts w:ascii="Times New Roman" w:hAnsi="Times New Roman" w:cs="Times New Roman"/>
          <w:sz w:val="28"/>
        </w:rPr>
        <w:t>ов в развитии</w:t>
      </w:r>
      <w:r>
        <w:rPr>
          <w:rFonts w:ascii="Times New Roman" w:hAnsi="Times New Roman" w:cs="Times New Roman"/>
          <w:sz w:val="28"/>
        </w:rPr>
        <w:t xml:space="preserve"> заболевани</w:t>
      </w:r>
      <w:r w:rsidR="00B767DB">
        <w:rPr>
          <w:rFonts w:ascii="Times New Roman" w:hAnsi="Times New Roman" w:cs="Times New Roman"/>
          <w:sz w:val="28"/>
        </w:rPr>
        <w:t>й</w:t>
      </w:r>
      <w:r>
        <w:rPr>
          <w:rFonts w:ascii="Times New Roman" w:hAnsi="Times New Roman" w:cs="Times New Roman"/>
          <w:sz w:val="28"/>
        </w:rPr>
        <w:t xml:space="preserve"> в разных популяциях показывают противоречивые результаты</w:t>
      </w:r>
      <w:r w:rsidRPr="00232511">
        <w:rPr>
          <w:rFonts w:ascii="Century" w:hAnsi="Century" w:cs="Times New Roman"/>
          <w:sz w:val="28"/>
        </w:rPr>
        <w:t xml:space="preserve">, </w:t>
      </w:r>
      <w:r>
        <w:rPr>
          <w:rFonts w:ascii="Times New Roman" w:hAnsi="Times New Roman" w:cs="Times New Roman"/>
          <w:sz w:val="28"/>
        </w:rPr>
        <w:t>это вероятно связан</w:t>
      </w:r>
      <w:r w:rsidR="006F00E2">
        <w:rPr>
          <w:rFonts w:ascii="Times New Roman" w:hAnsi="Times New Roman" w:cs="Times New Roman"/>
          <w:sz w:val="28"/>
        </w:rPr>
        <w:t>о</w:t>
      </w:r>
      <w:r>
        <w:rPr>
          <w:rFonts w:ascii="Times New Roman" w:hAnsi="Times New Roman" w:cs="Times New Roman"/>
          <w:sz w:val="28"/>
        </w:rPr>
        <w:t xml:space="preserve"> с социальным</w:t>
      </w:r>
      <w:r w:rsidR="006F00E2">
        <w:rPr>
          <w:rFonts w:ascii="Times New Roman" w:hAnsi="Times New Roman" w:cs="Times New Roman"/>
          <w:sz w:val="28"/>
        </w:rPr>
        <w:t xml:space="preserve"> статусом </w:t>
      </w:r>
      <w:r>
        <w:rPr>
          <w:rFonts w:ascii="Times New Roman" w:hAnsi="Times New Roman" w:cs="Times New Roman"/>
          <w:sz w:val="28"/>
        </w:rPr>
        <w:t>и условиями окружающей среды</w:t>
      </w:r>
      <w:r w:rsidR="00B767DB">
        <w:rPr>
          <w:rFonts w:ascii="Times New Roman" w:hAnsi="Times New Roman" w:cs="Times New Roman"/>
          <w:sz w:val="28"/>
        </w:rPr>
        <w:t xml:space="preserve"> и другими факторами</w:t>
      </w:r>
      <w:r w:rsidRPr="00232511">
        <w:rPr>
          <w:rFonts w:ascii="Century" w:hAnsi="Century" w:cs="Times New Roman"/>
          <w:sz w:val="28"/>
        </w:rPr>
        <w:t>,</w:t>
      </w:r>
      <w:r>
        <w:rPr>
          <w:rFonts w:ascii="Times New Roman" w:hAnsi="Times New Roman" w:cs="Times New Roman"/>
          <w:sz w:val="28"/>
        </w:rPr>
        <w:t xml:space="preserve"> </w:t>
      </w:r>
      <w:r w:rsidR="00B767DB">
        <w:rPr>
          <w:rFonts w:ascii="Times New Roman" w:hAnsi="Times New Roman" w:cs="Times New Roman"/>
          <w:sz w:val="28"/>
        </w:rPr>
        <w:t xml:space="preserve">характеризующими условия проживания </w:t>
      </w:r>
      <w:r>
        <w:rPr>
          <w:rFonts w:ascii="Times New Roman" w:hAnsi="Times New Roman" w:cs="Times New Roman"/>
          <w:sz w:val="28"/>
        </w:rPr>
        <w:t>эти</w:t>
      </w:r>
      <w:r w:rsidR="00B767DB">
        <w:rPr>
          <w:rFonts w:ascii="Times New Roman" w:hAnsi="Times New Roman" w:cs="Times New Roman"/>
          <w:sz w:val="28"/>
        </w:rPr>
        <w:t>х</w:t>
      </w:r>
      <w:r>
        <w:rPr>
          <w:rFonts w:ascii="Times New Roman" w:hAnsi="Times New Roman" w:cs="Times New Roman"/>
          <w:sz w:val="28"/>
        </w:rPr>
        <w:t xml:space="preserve"> популяци</w:t>
      </w:r>
      <w:r w:rsidR="00B767DB">
        <w:rPr>
          <w:rFonts w:ascii="Times New Roman" w:hAnsi="Times New Roman" w:cs="Times New Roman"/>
          <w:sz w:val="28"/>
        </w:rPr>
        <w:t>й</w:t>
      </w:r>
      <w:r w:rsidR="009620E4">
        <w:rPr>
          <w:rFonts w:ascii="Times New Roman" w:hAnsi="Times New Roman" w:cs="Times New Roman"/>
          <w:sz w:val="28"/>
        </w:rPr>
        <w:t xml:space="preserve"> </w:t>
      </w:r>
      <w:r w:rsidR="002A5F9F">
        <w:rPr>
          <w:rFonts w:ascii="Times New Roman" w:hAnsi="Times New Roman" w:cs="Times New Roman"/>
          <w:sz w:val="28"/>
          <w:lang w:val="kk-KZ"/>
        </w:rPr>
        <w:t>[72, р. 243]</w:t>
      </w:r>
      <w:r w:rsidRPr="00232511">
        <w:rPr>
          <w:rFonts w:ascii="Century" w:hAnsi="Century" w:cs="Times New Roman"/>
          <w:sz w:val="28"/>
        </w:rPr>
        <w:t>.</w:t>
      </w:r>
      <w:r>
        <w:rPr>
          <w:rFonts w:ascii="Times New Roman" w:hAnsi="Times New Roman" w:cs="Times New Roman"/>
          <w:sz w:val="28"/>
          <w:szCs w:val="28"/>
        </w:rPr>
        <w:t xml:space="preserve"> Как известно, фенотип чаще формируется на основании молекулярн</w:t>
      </w:r>
      <w:r w:rsidR="00FE5AEF">
        <w:rPr>
          <w:rFonts w:ascii="Times New Roman" w:hAnsi="Times New Roman" w:cs="Times New Roman"/>
          <w:sz w:val="28"/>
          <w:szCs w:val="28"/>
        </w:rPr>
        <w:t>о - генетических механизмов, которые регулирую</w:t>
      </w:r>
      <w:r>
        <w:rPr>
          <w:rFonts w:ascii="Times New Roman" w:hAnsi="Times New Roman" w:cs="Times New Roman"/>
          <w:sz w:val="28"/>
          <w:szCs w:val="28"/>
        </w:rPr>
        <w:t xml:space="preserve">тся различными </w:t>
      </w:r>
      <w:r w:rsidR="00FE5AEF">
        <w:rPr>
          <w:rFonts w:ascii="Times New Roman" w:hAnsi="Times New Roman" w:cs="Times New Roman"/>
          <w:sz w:val="28"/>
          <w:szCs w:val="28"/>
        </w:rPr>
        <w:t xml:space="preserve">межгенными </w:t>
      </w:r>
      <w:r>
        <w:rPr>
          <w:rFonts w:ascii="Times New Roman" w:hAnsi="Times New Roman" w:cs="Times New Roman"/>
          <w:sz w:val="28"/>
          <w:szCs w:val="28"/>
        </w:rPr>
        <w:t xml:space="preserve">взаимодействиями. Это может быть </w:t>
      </w:r>
      <w:r w:rsidR="00D66622">
        <w:rPr>
          <w:rFonts w:ascii="Times New Roman" w:hAnsi="Times New Roman" w:cs="Times New Roman"/>
          <w:sz w:val="28"/>
          <w:szCs w:val="28"/>
        </w:rPr>
        <w:t xml:space="preserve">как </w:t>
      </w:r>
      <w:r>
        <w:rPr>
          <w:rFonts w:ascii="Times New Roman" w:hAnsi="Times New Roman" w:cs="Times New Roman"/>
          <w:sz w:val="28"/>
          <w:szCs w:val="28"/>
        </w:rPr>
        <w:t>следствие влияния одно нуклеотидных полиморфизмов, так и результатом генно</w:t>
      </w:r>
      <w:r w:rsidR="004744F5">
        <w:rPr>
          <w:rFonts w:ascii="Times New Roman" w:hAnsi="Times New Roman" w:cs="Times New Roman"/>
          <w:sz w:val="28"/>
          <w:szCs w:val="28"/>
        </w:rPr>
        <w:t xml:space="preserve"> </w:t>
      </w:r>
      <w:r w:rsidR="00C16F07">
        <w:rPr>
          <w:rFonts w:ascii="Times New Roman" w:hAnsi="Times New Roman" w:cs="Times New Roman"/>
          <w:sz w:val="28"/>
          <w:szCs w:val="28"/>
        </w:rPr>
        <w:t>–</w:t>
      </w:r>
      <w:r>
        <w:rPr>
          <w:rFonts w:ascii="Times New Roman" w:hAnsi="Times New Roman" w:cs="Times New Roman"/>
          <w:sz w:val="28"/>
          <w:szCs w:val="28"/>
        </w:rPr>
        <w:t xml:space="preserve"> генных взаимодействи</w:t>
      </w:r>
      <w:r w:rsidR="006F00E2">
        <w:rPr>
          <w:rFonts w:ascii="Times New Roman" w:hAnsi="Times New Roman" w:cs="Times New Roman"/>
          <w:sz w:val="28"/>
          <w:szCs w:val="28"/>
        </w:rPr>
        <w:t>й</w:t>
      </w:r>
      <w:r w:rsidR="005C67E7">
        <w:rPr>
          <w:rFonts w:ascii="Times New Roman" w:hAnsi="Times New Roman" w:cs="Times New Roman"/>
          <w:sz w:val="28"/>
          <w:szCs w:val="28"/>
        </w:rPr>
        <w:t xml:space="preserve"> </w:t>
      </w:r>
      <w:r w:rsidR="00EA0E64">
        <w:rPr>
          <w:rFonts w:ascii="Times New Roman" w:hAnsi="Times New Roman" w:cs="Times New Roman"/>
          <w:sz w:val="28"/>
        </w:rPr>
        <w:fldChar w:fldCharType="begin" w:fldLock="1"/>
      </w:r>
      <w:r w:rsidR="00D66A76">
        <w:rPr>
          <w:rFonts w:ascii="Times New Roman" w:hAnsi="Times New Roman" w:cs="Times New Roman"/>
          <w:sz w:val="28"/>
        </w:rPr>
        <w:instrText>ADDIN CSL_CITATION {"citationItems":[{"id":"ITEM-1","itemData":{"DOI":"10.1016/j.tig.2007.12.005","ISSN":"01689525","author":[{"dropping-particle":"","family":"Oti","given":"Martin","non-dropping-particle":"","parse-names":false,"suffix":""},{"dropping-particle":"","family":"Huynen","given":"Martijn A.","non-dropping-particle":"","parse-names":false,"suffix":""},{"dropping-particle":"","family":"Brunner","given":"Han G.","non-dropping-particle":"","parse-names":false,"suffix":""}],"container-title":"Trends in Genetics","id":"ITEM-1","issue":"3","issued":{"date-parts":[["2008","3"]]},"page":"103-106","title":"Phenome connections","type":"article-journal","volume":"24"},"uris":["http://www.mendeley.com/documents/?uuid=6de02283-ebdf-4561-8ada-28586d1bef51","http://www.mendeley.com/documents/?uuid=3f86ab8a-7b43-4012-84d4-11e206a32528"]}],"mendeley":{"formattedCitation":"[144]","manualFormatting":"[144, р. 104]","plainTextFormattedCitation":"[144]","previouslyFormattedCitation":"[144]"},"properties":{"noteIndex":0},"schema":"https://github.com/citation-style-language/schema/raw/master/csl-citation.json"}</w:instrText>
      </w:r>
      <w:r w:rsidR="00EA0E64">
        <w:rPr>
          <w:rFonts w:ascii="Times New Roman" w:hAnsi="Times New Roman" w:cs="Times New Roman"/>
          <w:sz w:val="28"/>
        </w:rPr>
        <w:fldChar w:fldCharType="separate"/>
      </w:r>
      <w:r w:rsidR="00D66A76" w:rsidRPr="00D66A76">
        <w:rPr>
          <w:rFonts w:ascii="Times New Roman" w:hAnsi="Times New Roman" w:cs="Times New Roman"/>
          <w:noProof/>
          <w:sz w:val="28"/>
        </w:rPr>
        <w:t>[144</w:t>
      </w:r>
      <w:r w:rsidR="00D66A76">
        <w:rPr>
          <w:rFonts w:ascii="Times New Roman" w:hAnsi="Times New Roman" w:cs="Times New Roman"/>
          <w:noProof/>
          <w:sz w:val="28"/>
        </w:rPr>
        <w:t>, р. 104</w:t>
      </w:r>
      <w:r w:rsidR="00D66A76" w:rsidRPr="00D66A76">
        <w:rPr>
          <w:rFonts w:ascii="Times New Roman" w:hAnsi="Times New Roman" w:cs="Times New Roman"/>
          <w:noProof/>
          <w:sz w:val="28"/>
        </w:rPr>
        <w:t>]</w:t>
      </w:r>
      <w:r w:rsidR="00EA0E64">
        <w:rPr>
          <w:rFonts w:ascii="Times New Roman" w:hAnsi="Times New Roman" w:cs="Times New Roman"/>
          <w:sz w:val="28"/>
        </w:rPr>
        <w:fldChar w:fldCharType="end"/>
      </w:r>
      <w:r>
        <w:rPr>
          <w:rFonts w:ascii="Times New Roman" w:hAnsi="Times New Roman" w:cs="Times New Roman"/>
          <w:sz w:val="28"/>
        </w:rPr>
        <w:t>.</w:t>
      </w:r>
    </w:p>
    <w:p w:rsidR="00AB12B3" w:rsidRDefault="00AB12B3" w:rsidP="00AB12B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Дислипидемия является одн</w:t>
      </w:r>
      <w:r w:rsidR="009644F9">
        <w:rPr>
          <w:rFonts w:ascii="Times New Roman" w:hAnsi="Times New Roman" w:cs="Times New Roman"/>
          <w:sz w:val="28"/>
          <w:szCs w:val="28"/>
        </w:rPr>
        <w:t>им</w:t>
      </w:r>
      <w:r>
        <w:rPr>
          <w:rFonts w:ascii="Times New Roman" w:hAnsi="Times New Roman" w:cs="Times New Roman"/>
          <w:sz w:val="28"/>
          <w:szCs w:val="28"/>
        </w:rPr>
        <w:t xml:space="preserve"> из факторов риска МС</w:t>
      </w:r>
      <w:r w:rsidRPr="00794D21">
        <w:rPr>
          <w:rFonts w:ascii="Century" w:hAnsi="Century" w:cs="Times New Roman"/>
          <w:sz w:val="28"/>
          <w:szCs w:val="28"/>
        </w:rPr>
        <w:t xml:space="preserve">, </w:t>
      </w:r>
      <w:r>
        <w:rPr>
          <w:rFonts w:ascii="Times New Roman" w:hAnsi="Times New Roman" w:cs="Times New Roman"/>
          <w:sz w:val="28"/>
          <w:szCs w:val="28"/>
        </w:rPr>
        <w:t xml:space="preserve">что в свою очередь повышает риск развития </w:t>
      </w:r>
      <w:r w:rsidR="005C7F0E">
        <w:rPr>
          <w:rFonts w:ascii="Times New Roman" w:hAnsi="Times New Roman" w:cs="Times New Roman"/>
          <w:sz w:val="28"/>
          <w:szCs w:val="28"/>
        </w:rPr>
        <w:t xml:space="preserve">таких </w:t>
      </w:r>
      <w:r w:rsidR="009644F9">
        <w:rPr>
          <w:rFonts w:ascii="Times New Roman" w:hAnsi="Times New Roman" w:cs="Times New Roman"/>
          <w:sz w:val="28"/>
          <w:szCs w:val="28"/>
        </w:rPr>
        <w:t>осложнений</w:t>
      </w:r>
      <w:r w:rsidR="005C7F0E">
        <w:rPr>
          <w:rFonts w:ascii="Times New Roman" w:hAnsi="Times New Roman" w:cs="Times New Roman"/>
          <w:sz w:val="28"/>
          <w:szCs w:val="28"/>
        </w:rPr>
        <w:t>,</w:t>
      </w:r>
      <w:r w:rsidR="009644F9">
        <w:rPr>
          <w:rFonts w:ascii="Times New Roman" w:hAnsi="Times New Roman" w:cs="Times New Roman"/>
          <w:sz w:val="28"/>
          <w:szCs w:val="28"/>
        </w:rPr>
        <w:t xml:space="preserve"> как</w:t>
      </w:r>
      <w:r w:rsidR="005C7F0E">
        <w:rPr>
          <w:rFonts w:ascii="Times New Roman" w:hAnsi="Times New Roman" w:cs="Times New Roman"/>
          <w:sz w:val="28"/>
          <w:szCs w:val="28"/>
        </w:rPr>
        <w:t xml:space="preserve"> -</w:t>
      </w:r>
      <w:r w:rsidR="009644F9" w:rsidRPr="00794D21">
        <w:rPr>
          <w:rFonts w:ascii="Century" w:hAnsi="Century" w:cs="Times New Roman"/>
          <w:sz w:val="28"/>
          <w:szCs w:val="28"/>
        </w:rPr>
        <w:t xml:space="preserve"> </w:t>
      </w:r>
      <w:r>
        <w:rPr>
          <w:rFonts w:ascii="Times New Roman" w:hAnsi="Times New Roman" w:cs="Times New Roman"/>
          <w:sz w:val="28"/>
          <w:szCs w:val="28"/>
        </w:rPr>
        <w:t>БСК</w:t>
      </w:r>
      <w:r w:rsidRPr="00794D21">
        <w:rPr>
          <w:rFonts w:ascii="Times New Roman" w:hAnsi="Times New Roman" w:cs="Times New Roman"/>
          <w:sz w:val="28"/>
          <w:szCs w:val="28"/>
        </w:rPr>
        <w:t xml:space="preserve">. </w:t>
      </w:r>
      <w:r>
        <w:rPr>
          <w:rFonts w:ascii="Times New Roman" w:hAnsi="Times New Roman" w:cs="Times New Roman"/>
          <w:sz w:val="28"/>
          <w:szCs w:val="28"/>
        </w:rPr>
        <w:t>ИР у людей с ожирением возникает в результате длительного избытка питательных веществ и проявляется в увеличении потока жирных кислот</w:t>
      </w:r>
      <w:r w:rsidRPr="00794D21">
        <w:rPr>
          <w:rFonts w:ascii="Century" w:hAnsi="Century" w:cs="Times New Roman"/>
          <w:sz w:val="28"/>
          <w:szCs w:val="28"/>
        </w:rPr>
        <w:t xml:space="preserve">, </w:t>
      </w:r>
      <w:r>
        <w:rPr>
          <w:rFonts w:ascii="Times New Roman" w:hAnsi="Times New Roman" w:cs="Times New Roman"/>
          <w:sz w:val="28"/>
          <w:szCs w:val="28"/>
        </w:rPr>
        <w:t>перегрузке питательными веществами</w:t>
      </w:r>
      <w:r w:rsidRPr="00794D21">
        <w:rPr>
          <w:rFonts w:ascii="Century" w:hAnsi="Century" w:cs="Times New Roman"/>
          <w:sz w:val="28"/>
          <w:szCs w:val="28"/>
        </w:rPr>
        <w:t xml:space="preserve">, </w:t>
      </w:r>
      <w:r>
        <w:rPr>
          <w:rFonts w:ascii="Times New Roman" w:hAnsi="Times New Roman" w:cs="Times New Roman"/>
          <w:sz w:val="28"/>
          <w:szCs w:val="28"/>
        </w:rPr>
        <w:t>гипоксии жировой ткани</w:t>
      </w:r>
      <w:r w:rsidRPr="00794D21">
        <w:rPr>
          <w:rFonts w:ascii="Century" w:hAnsi="Century" w:cs="Times New Roman"/>
          <w:sz w:val="28"/>
          <w:szCs w:val="28"/>
        </w:rPr>
        <w:t xml:space="preserve">, </w:t>
      </w:r>
      <w:r>
        <w:rPr>
          <w:rFonts w:ascii="Times New Roman" w:hAnsi="Times New Roman" w:cs="Times New Roman"/>
          <w:sz w:val="28"/>
          <w:szCs w:val="28"/>
        </w:rPr>
        <w:t>стрессе эндоплазматического ретикулума</w:t>
      </w:r>
      <w:r w:rsidRPr="00794D21">
        <w:rPr>
          <w:rFonts w:ascii="Century" w:hAnsi="Century" w:cs="Times New Roman"/>
          <w:sz w:val="28"/>
          <w:szCs w:val="28"/>
        </w:rPr>
        <w:t xml:space="preserve">, </w:t>
      </w:r>
      <w:r>
        <w:rPr>
          <w:rFonts w:ascii="Times New Roman" w:hAnsi="Times New Roman" w:cs="Times New Roman"/>
          <w:sz w:val="28"/>
          <w:szCs w:val="28"/>
        </w:rPr>
        <w:t>секреции цитокинов в адипоцитах</w:t>
      </w:r>
      <w:r w:rsidRPr="00794D21">
        <w:rPr>
          <w:rFonts w:ascii="Century" w:hAnsi="Century" w:cs="Times New Roman"/>
          <w:sz w:val="28"/>
          <w:szCs w:val="28"/>
        </w:rPr>
        <w:t xml:space="preserve">, </w:t>
      </w:r>
      <w:r>
        <w:rPr>
          <w:rFonts w:ascii="Times New Roman" w:hAnsi="Times New Roman" w:cs="Times New Roman"/>
          <w:sz w:val="28"/>
          <w:szCs w:val="28"/>
        </w:rPr>
        <w:t>хроническом воспалении тканей и генетической предрасположенности</w:t>
      </w:r>
      <w:r w:rsidRPr="00794D21">
        <w:rPr>
          <w:rFonts w:ascii="Century" w:hAnsi="Century" w:cs="Times New Roman"/>
          <w:sz w:val="28"/>
          <w:szCs w:val="28"/>
        </w:rPr>
        <w:t xml:space="preserve">. </w:t>
      </w:r>
      <w:r>
        <w:rPr>
          <w:rFonts w:ascii="Times New Roman" w:hAnsi="Times New Roman" w:cs="Times New Roman"/>
          <w:sz w:val="28"/>
          <w:szCs w:val="28"/>
        </w:rPr>
        <w:t xml:space="preserve">Механизмы резистентности к инсулину могут быть различными у пациентов </w:t>
      </w:r>
      <w:r w:rsidR="00E400E6">
        <w:rPr>
          <w:rFonts w:ascii="Times New Roman" w:hAnsi="Times New Roman" w:cs="Times New Roman"/>
          <w:sz w:val="28"/>
          <w:szCs w:val="28"/>
        </w:rPr>
        <w:t>различных</w:t>
      </w:r>
      <w:r w:rsidR="001C6C54">
        <w:rPr>
          <w:rFonts w:ascii="Times New Roman" w:hAnsi="Times New Roman" w:cs="Times New Roman"/>
          <w:sz w:val="28"/>
          <w:szCs w:val="28"/>
        </w:rPr>
        <w:t xml:space="preserve"> популяци</w:t>
      </w:r>
      <w:r w:rsidR="00E400E6">
        <w:rPr>
          <w:rFonts w:ascii="Times New Roman" w:hAnsi="Times New Roman" w:cs="Times New Roman"/>
          <w:sz w:val="28"/>
          <w:szCs w:val="28"/>
        </w:rPr>
        <w:t>ях</w:t>
      </w:r>
      <w:r w:rsidR="005C67E7">
        <w:rPr>
          <w:rFonts w:ascii="Times New Roman" w:hAnsi="Times New Roman" w:cs="Times New Roman"/>
          <w:sz w:val="28"/>
          <w:szCs w:val="28"/>
        </w:rPr>
        <w:t xml:space="preserve"> </w:t>
      </w:r>
      <w:r w:rsidR="00EA0E64">
        <w:rPr>
          <w:rFonts w:ascii="Times New Roman" w:hAnsi="Times New Roman" w:cs="Times New Roman"/>
          <w:sz w:val="28"/>
          <w:szCs w:val="28"/>
        </w:rPr>
        <w:fldChar w:fldCharType="begin" w:fldLock="1"/>
      </w:r>
      <w:r w:rsidR="00602DA4">
        <w:rPr>
          <w:rFonts w:ascii="Times New Roman" w:hAnsi="Times New Roman" w:cs="Times New Roman"/>
          <w:sz w:val="28"/>
          <w:szCs w:val="28"/>
          <w:lang w:val="en-US"/>
        </w:rPr>
        <w:instrText>ADDINCSL</w:instrText>
      </w:r>
      <w:r w:rsidR="00602DA4" w:rsidRPr="00602DA4">
        <w:rPr>
          <w:rFonts w:ascii="Times New Roman" w:hAnsi="Times New Roman" w:cs="Times New Roman"/>
          <w:sz w:val="28"/>
          <w:szCs w:val="28"/>
        </w:rPr>
        <w:instrText>_</w:instrText>
      </w:r>
      <w:r w:rsidR="00602DA4">
        <w:rPr>
          <w:rFonts w:ascii="Times New Roman" w:hAnsi="Times New Roman" w:cs="Times New Roman"/>
          <w:sz w:val="28"/>
          <w:szCs w:val="28"/>
          <w:lang w:val="en-US"/>
        </w:rPr>
        <w:instrText>CITATION</w:instrText>
      </w:r>
      <w:r w:rsidR="00602DA4" w:rsidRPr="00602DA4">
        <w:rPr>
          <w:rFonts w:ascii="Times New Roman" w:hAnsi="Times New Roman" w:cs="Times New Roman"/>
          <w:sz w:val="28"/>
          <w:szCs w:val="28"/>
        </w:rPr>
        <w:instrText xml:space="preserve"> {"</w:instrText>
      </w:r>
      <w:r w:rsidR="00602DA4">
        <w:rPr>
          <w:rFonts w:ascii="Times New Roman" w:hAnsi="Times New Roman" w:cs="Times New Roman"/>
          <w:sz w:val="28"/>
          <w:szCs w:val="28"/>
          <w:lang w:val="en-US"/>
        </w:rPr>
        <w:instrText>citationItems</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id</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ITEM</w:instrText>
      </w:r>
      <w:r w:rsidR="00602DA4" w:rsidRPr="00602DA4">
        <w:rPr>
          <w:rFonts w:ascii="Times New Roman" w:hAnsi="Times New Roman" w:cs="Times New Roman"/>
          <w:sz w:val="28"/>
          <w:szCs w:val="28"/>
        </w:rPr>
        <w:instrText>-1","</w:instrText>
      </w:r>
      <w:r w:rsidR="00602DA4">
        <w:rPr>
          <w:rFonts w:ascii="Times New Roman" w:hAnsi="Times New Roman" w:cs="Times New Roman"/>
          <w:sz w:val="28"/>
          <w:szCs w:val="28"/>
          <w:lang w:val="en-US"/>
        </w:rPr>
        <w:instrText>itemData</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DOI</w:instrText>
      </w:r>
      <w:r w:rsidR="00602DA4" w:rsidRPr="00602DA4">
        <w:rPr>
          <w:rFonts w:ascii="Times New Roman" w:hAnsi="Times New Roman" w:cs="Times New Roman"/>
          <w:sz w:val="28"/>
          <w:szCs w:val="28"/>
        </w:rPr>
        <w:instrText>":"10.1172/</w:instrText>
      </w:r>
      <w:r w:rsidR="00602DA4">
        <w:rPr>
          <w:rFonts w:ascii="Times New Roman" w:hAnsi="Times New Roman" w:cs="Times New Roman"/>
          <w:sz w:val="28"/>
          <w:szCs w:val="28"/>
          <w:lang w:val="en-US"/>
        </w:rPr>
        <w:instrText>JCI</w:instrText>
      </w:r>
      <w:r w:rsidR="00602DA4" w:rsidRPr="00602DA4">
        <w:rPr>
          <w:rFonts w:ascii="Times New Roman" w:hAnsi="Times New Roman" w:cs="Times New Roman"/>
          <w:sz w:val="28"/>
          <w:szCs w:val="28"/>
        </w:rPr>
        <w:instrText>34260","</w:instrText>
      </w:r>
      <w:r w:rsidR="00602DA4">
        <w:rPr>
          <w:rFonts w:ascii="Times New Roman" w:hAnsi="Times New Roman" w:cs="Times New Roman"/>
          <w:sz w:val="28"/>
          <w:szCs w:val="28"/>
          <w:lang w:val="en-US"/>
        </w:rPr>
        <w:instrText>ISSN</w:instrText>
      </w:r>
      <w:r w:rsidR="00602DA4" w:rsidRPr="00602DA4">
        <w:rPr>
          <w:rFonts w:ascii="Times New Roman" w:hAnsi="Times New Roman" w:cs="Times New Roman"/>
          <w:sz w:val="28"/>
          <w:szCs w:val="28"/>
        </w:rPr>
        <w:instrText>":"0021-9738","</w:instrText>
      </w:r>
      <w:r w:rsidR="00602DA4">
        <w:rPr>
          <w:rFonts w:ascii="Times New Roman" w:hAnsi="Times New Roman" w:cs="Times New Roman"/>
          <w:sz w:val="28"/>
          <w:szCs w:val="28"/>
          <w:lang w:val="en-US"/>
        </w:rPr>
        <w:instrText>author</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dropping</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particle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family</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Schenk</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given</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Simon</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non</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dropping</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particle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parse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names</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false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suffix</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dropping</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particle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family</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Saberi</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given</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Maziyar</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non</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dropping</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particle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parse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names</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false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suffix</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dropping</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particle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family</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Olefsky</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given</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JerroldM</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non</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dropping</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particle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parse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names</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false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suffix</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container</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title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JournalofClinicalInvestigation</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id</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ITEM</w:instrText>
      </w:r>
      <w:r w:rsidR="00602DA4" w:rsidRPr="00602DA4">
        <w:rPr>
          <w:rFonts w:ascii="Times New Roman" w:hAnsi="Times New Roman" w:cs="Times New Roman"/>
          <w:sz w:val="28"/>
          <w:szCs w:val="28"/>
        </w:rPr>
        <w:instrText>-1","</w:instrText>
      </w:r>
      <w:r w:rsidR="00602DA4">
        <w:rPr>
          <w:rFonts w:ascii="Times New Roman" w:hAnsi="Times New Roman" w:cs="Times New Roman"/>
          <w:sz w:val="28"/>
          <w:szCs w:val="28"/>
          <w:lang w:val="en-US"/>
        </w:rPr>
        <w:instrText>issue</w:instrText>
      </w:r>
      <w:r w:rsidR="00602DA4" w:rsidRPr="00602DA4">
        <w:rPr>
          <w:rFonts w:ascii="Times New Roman" w:hAnsi="Times New Roman" w:cs="Times New Roman"/>
          <w:sz w:val="28"/>
          <w:szCs w:val="28"/>
        </w:rPr>
        <w:instrText>":"9","</w:instrText>
      </w:r>
      <w:r w:rsidR="00602DA4">
        <w:rPr>
          <w:rFonts w:ascii="Times New Roman" w:hAnsi="Times New Roman" w:cs="Times New Roman"/>
          <w:sz w:val="28"/>
          <w:szCs w:val="28"/>
          <w:lang w:val="en-US"/>
        </w:rPr>
        <w:instrText>issued</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date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parts</w:instrText>
      </w:r>
      <w:r w:rsidR="00602DA4" w:rsidRPr="00602DA4">
        <w:rPr>
          <w:rFonts w:ascii="Times New Roman" w:hAnsi="Times New Roman" w:cs="Times New Roman"/>
          <w:sz w:val="28"/>
          <w:szCs w:val="28"/>
        </w:rPr>
        <w:instrText>":[["2008","9"]]},"</w:instrText>
      </w:r>
      <w:r w:rsidR="00602DA4">
        <w:rPr>
          <w:rFonts w:ascii="Times New Roman" w:hAnsi="Times New Roman" w:cs="Times New Roman"/>
          <w:sz w:val="28"/>
          <w:szCs w:val="28"/>
          <w:lang w:val="en-US"/>
        </w:rPr>
        <w:instrText>page</w:instrText>
      </w:r>
      <w:r w:rsidR="00602DA4" w:rsidRPr="00602DA4">
        <w:rPr>
          <w:rFonts w:ascii="Times New Roman" w:hAnsi="Times New Roman" w:cs="Times New Roman"/>
          <w:sz w:val="28"/>
          <w:szCs w:val="28"/>
        </w:rPr>
        <w:instrText>":"2992-3002","</w:instrText>
      </w:r>
      <w:r w:rsidR="00602DA4">
        <w:rPr>
          <w:rFonts w:ascii="Times New Roman" w:hAnsi="Times New Roman" w:cs="Times New Roman"/>
          <w:sz w:val="28"/>
          <w:szCs w:val="28"/>
          <w:lang w:val="en-US"/>
        </w:rPr>
        <w:instrText>title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Insulinsensitivity</w:instrText>
      </w:r>
      <w:r w:rsidR="00602DA4" w:rsidRPr="00602DA4">
        <w:rPr>
          <w:rFonts w:ascii="Times New Roman" w:hAnsi="Times New Roman" w:cs="Times New Roman"/>
          <w:sz w:val="28"/>
          <w:szCs w:val="28"/>
        </w:rPr>
        <w:instrText xml:space="preserve">: </w:instrText>
      </w:r>
      <w:r w:rsidR="00602DA4">
        <w:rPr>
          <w:rFonts w:ascii="Times New Roman" w:hAnsi="Times New Roman" w:cs="Times New Roman"/>
          <w:sz w:val="28"/>
          <w:szCs w:val="28"/>
          <w:lang w:val="en-US"/>
        </w:rPr>
        <w:instrText>modulationbynutrientsandinflammation</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type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article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journal</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volume</w:instrText>
      </w:r>
      <w:r w:rsidR="00602DA4" w:rsidRPr="00602DA4">
        <w:rPr>
          <w:rFonts w:ascii="Times New Roman" w:hAnsi="Times New Roman" w:cs="Times New Roman"/>
          <w:sz w:val="28"/>
          <w:szCs w:val="28"/>
        </w:rPr>
        <w:instrText>":"118"},"</w:instrText>
      </w:r>
      <w:r w:rsidR="00602DA4">
        <w:rPr>
          <w:rFonts w:ascii="Times New Roman" w:hAnsi="Times New Roman" w:cs="Times New Roman"/>
          <w:sz w:val="28"/>
          <w:szCs w:val="28"/>
          <w:lang w:val="en-US"/>
        </w:rPr>
        <w:instrText>uris</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http</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www</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mendeley</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com</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documents</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uuid</w:instrText>
      </w:r>
      <w:r w:rsidR="00602DA4" w:rsidRPr="00602DA4">
        <w:rPr>
          <w:rFonts w:ascii="Times New Roman" w:hAnsi="Times New Roman" w:cs="Times New Roman"/>
          <w:sz w:val="28"/>
          <w:szCs w:val="28"/>
        </w:rPr>
        <w:instrText>=9</w:instrText>
      </w:r>
      <w:r w:rsidR="00602DA4">
        <w:rPr>
          <w:rFonts w:ascii="Times New Roman" w:hAnsi="Times New Roman" w:cs="Times New Roman"/>
          <w:sz w:val="28"/>
          <w:szCs w:val="28"/>
          <w:lang w:val="en-US"/>
        </w:rPr>
        <w:instrText>f</w:instrText>
      </w:r>
      <w:r w:rsidR="00602DA4" w:rsidRPr="00602DA4">
        <w:rPr>
          <w:rFonts w:ascii="Times New Roman" w:hAnsi="Times New Roman" w:cs="Times New Roman"/>
          <w:sz w:val="28"/>
          <w:szCs w:val="28"/>
        </w:rPr>
        <w:instrText>34</w:instrText>
      </w:r>
      <w:r w:rsidR="00602DA4">
        <w:rPr>
          <w:rFonts w:ascii="Times New Roman" w:hAnsi="Times New Roman" w:cs="Times New Roman"/>
          <w:sz w:val="28"/>
          <w:szCs w:val="28"/>
          <w:lang w:val="en-US"/>
        </w:rPr>
        <w:instrText>d</w:instrText>
      </w:r>
      <w:r w:rsidR="00602DA4" w:rsidRPr="00602DA4">
        <w:rPr>
          <w:rFonts w:ascii="Times New Roman" w:hAnsi="Times New Roman" w:cs="Times New Roman"/>
          <w:sz w:val="28"/>
          <w:szCs w:val="28"/>
        </w:rPr>
        <w:instrText>604-</w:instrText>
      </w:r>
      <w:r w:rsidR="00602DA4">
        <w:rPr>
          <w:rFonts w:ascii="Times New Roman" w:hAnsi="Times New Roman" w:cs="Times New Roman"/>
          <w:sz w:val="28"/>
          <w:szCs w:val="28"/>
          <w:lang w:val="en-US"/>
        </w:rPr>
        <w:instrText>dc</w:instrText>
      </w:r>
      <w:r w:rsidR="00602DA4" w:rsidRPr="00602DA4">
        <w:rPr>
          <w:rFonts w:ascii="Times New Roman" w:hAnsi="Times New Roman" w:cs="Times New Roman"/>
          <w:sz w:val="28"/>
          <w:szCs w:val="28"/>
        </w:rPr>
        <w:instrText>35-44</w:instrText>
      </w:r>
      <w:r w:rsidR="00602DA4">
        <w:rPr>
          <w:rFonts w:ascii="Times New Roman" w:hAnsi="Times New Roman" w:cs="Times New Roman"/>
          <w:sz w:val="28"/>
          <w:szCs w:val="28"/>
          <w:lang w:val="en-US"/>
        </w:rPr>
        <w:instrText>fe</w:instrText>
      </w:r>
      <w:r w:rsidR="00602DA4" w:rsidRPr="00602DA4">
        <w:rPr>
          <w:rFonts w:ascii="Times New Roman" w:hAnsi="Times New Roman" w:cs="Times New Roman"/>
          <w:sz w:val="28"/>
          <w:szCs w:val="28"/>
        </w:rPr>
        <w:instrText>-9</w:instrText>
      </w:r>
      <w:r w:rsidR="00602DA4">
        <w:rPr>
          <w:rFonts w:ascii="Times New Roman" w:hAnsi="Times New Roman" w:cs="Times New Roman"/>
          <w:sz w:val="28"/>
          <w:szCs w:val="28"/>
          <w:lang w:val="en-US"/>
        </w:rPr>
        <w:instrText>bf</w:instrText>
      </w:r>
      <w:r w:rsidR="00602DA4" w:rsidRPr="00602DA4">
        <w:rPr>
          <w:rFonts w:ascii="Times New Roman" w:hAnsi="Times New Roman" w:cs="Times New Roman"/>
          <w:sz w:val="28"/>
          <w:szCs w:val="28"/>
        </w:rPr>
        <w:instrText>8-246</w:instrText>
      </w:r>
      <w:r w:rsidR="00602DA4">
        <w:rPr>
          <w:rFonts w:ascii="Times New Roman" w:hAnsi="Times New Roman" w:cs="Times New Roman"/>
          <w:sz w:val="28"/>
          <w:szCs w:val="28"/>
          <w:lang w:val="en-US"/>
        </w:rPr>
        <w:instrText>c</w:instrText>
      </w:r>
      <w:r w:rsidR="00602DA4" w:rsidRPr="00602DA4">
        <w:rPr>
          <w:rFonts w:ascii="Times New Roman" w:hAnsi="Times New Roman" w:cs="Times New Roman"/>
          <w:sz w:val="28"/>
          <w:szCs w:val="28"/>
        </w:rPr>
        <w:instrText>01</w:instrText>
      </w:r>
      <w:r w:rsidR="00602DA4">
        <w:rPr>
          <w:rFonts w:ascii="Times New Roman" w:hAnsi="Times New Roman" w:cs="Times New Roman"/>
          <w:sz w:val="28"/>
          <w:szCs w:val="28"/>
          <w:lang w:val="en-US"/>
        </w:rPr>
        <w:instrText>e</w:instrText>
      </w:r>
      <w:r w:rsidR="00602DA4" w:rsidRPr="00602DA4">
        <w:rPr>
          <w:rFonts w:ascii="Times New Roman" w:hAnsi="Times New Roman" w:cs="Times New Roman"/>
          <w:sz w:val="28"/>
          <w:szCs w:val="28"/>
        </w:rPr>
        <w:instrText>5</w:instrText>
      </w:r>
      <w:r w:rsidR="00602DA4">
        <w:rPr>
          <w:rFonts w:ascii="Times New Roman" w:hAnsi="Times New Roman" w:cs="Times New Roman"/>
          <w:sz w:val="28"/>
          <w:szCs w:val="28"/>
          <w:lang w:val="en-US"/>
        </w:rPr>
        <w:instrText>cebd</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mendeley</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formattedCitation</w:instrText>
      </w:r>
      <w:r w:rsidR="00602DA4" w:rsidRPr="00602DA4">
        <w:rPr>
          <w:rFonts w:ascii="Times New Roman" w:hAnsi="Times New Roman" w:cs="Times New Roman"/>
          <w:sz w:val="28"/>
          <w:szCs w:val="28"/>
        </w:rPr>
        <w:instrText>":"[190]","</w:instrText>
      </w:r>
      <w:r w:rsidR="00602DA4">
        <w:rPr>
          <w:rFonts w:ascii="Times New Roman" w:hAnsi="Times New Roman" w:cs="Times New Roman"/>
          <w:sz w:val="28"/>
          <w:szCs w:val="28"/>
          <w:lang w:val="en-US"/>
        </w:rPr>
        <w:instrText>plainTextFormattedCitation</w:instrText>
      </w:r>
      <w:r w:rsidR="00602DA4" w:rsidRPr="00602DA4">
        <w:rPr>
          <w:rFonts w:ascii="Times New Roman" w:hAnsi="Times New Roman" w:cs="Times New Roman"/>
          <w:sz w:val="28"/>
          <w:szCs w:val="28"/>
        </w:rPr>
        <w:instrText>":"[190]","</w:instrText>
      </w:r>
      <w:r w:rsidR="00602DA4">
        <w:rPr>
          <w:rFonts w:ascii="Times New Roman" w:hAnsi="Times New Roman" w:cs="Times New Roman"/>
          <w:sz w:val="28"/>
          <w:szCs w:val="28"/>
          <w:lang w:val="en-US"/>
        </w:rPr>
        <w:instrText>previouslyFormattedCitation</w:instrText>
      </w:r>
      <w:r w:rsidR="00602DA4" w:rsidRPr="00602DA4">
        <w:rPr>
          <w:rFonts w:ascii="Times New Roman" w:hAnsi="Times New Roman" w:cs="Times New Roman"/>
          <w:sz w:val="28"/>
          <w:szCs w:val="28"/>
        </w:rPr>
        <w:instrText>":"[190]"},"</w:instrText>
      </w:r>
      <w:r w:rsidR="00602DA4">
        <w:rPr>
          <w:rFonts w:ascii="Times New Roman" w:hAnsi="Times New Roman" w:cs="Times New Roman"/>
          <w:sz w:val="28"/>
          <w:szCs w:val="28"/>
          <w:lang w:val="en-US"/>
        </w:rPr>
        <w:instrText>properties</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noteIndex</w:instrText>
      </w:r>
      <w:r w:rsidR="00602DA4" w:rsidRPr="00602DA4">
        <w:rPr>
          <w:rFonts w:ascii="Times New Roman" w:hAnsi="Times New Roman" w:cs="Times New Roman"/>
          <w:sz w:val="28"/>
          <w:szCs w:val="28"/>
        </w:rPr>
        <w:instrText>":0},"</w:instrText>
      </w:r>
      <w:r w:rsidR="00602DA4">
        <w:rPr>
          <w:rFonts w:ascii="Times New Roman" w:hAnsi="Times New Roman" w:cs="Times New Roman"/>
          <w:sz w:val="28"/>
          <w:szCs w:val="28"/>
          <w:lang w:val="en-US"/>
        </w:rPr>
        <w:instrText>schema</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https</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github</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com</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citation</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style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language</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schema</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raw</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master</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csl</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citation</w:instrText>
      </w:r>
      <w:r w:rsidR="00602DA4" w:rsidRPr="00602DA4">
        <w:rPr>
          <w:rFonts w:ascii="Times New Roman" w:hAnsi="Times New Roman" w:cs="Times New Roman"/>
          <w:sz w:val="28"/>
          <w:szCs w:val="28"/>
        </w:rPr>
        <w:instrText>.</w:instrText>
      </w:r>
      <w:r w:rsidR="00602DA4">
        <w:rPr>
          <w:rFonts w:ascii="Times New Roman" w:hAnsi="Times New Roman" w:cs="Times New Roman"/>
          <w:sz w:val="28"/>
          <w:szCs w:val="28"/>
          <w:lang w:val="en-US"/>
        </w:rPr>
        <w:instrText>json</w:instrText>
      </w:r>
      <w:r w:rsidR="00602DA4" w:rsidRPr="00602DA4">
        <w:rPr>
          <w:rFonts w:ascii="Times New Roman" w:hAnsi="Times New Roman" w:cs="Times New Roman"/>
          <w:sz w:val="28"/>
          <w:szCs w:val="28"/>
        </w:rPr>
        <w:instrText>"}</w:instrText>
      </w:r>
      <w:r w:rsidR="00EA0E64">
        <w:rPr>
          <w:rFonts w:ascii="Times New Roman" w:hAnsi="Times New Roman" w:cs="Times New Roman"/>
          <w:sz w:val="28"/>
          <w:szCs w:val="28"/>
        </w:rPr>
        <w:fldChar w:fldCharType="separate"/>
      </w:r>
      <w:r w:rsidR="00497DF9" w:rsidRPr="00497DF9">
        <w:rPr>
          <w:rFonts w:ascii="Times New Roman" w:hAnsi="Times New Roman" w:cs="Times New Roman"/>
          <w:noProof/>
          <w:sz w:val="28"/>
          <w:szCs w:val="28"/>
        </w:rPr>
        <w:t>[190</w:t>
      </w:r>
      <w:r w:rsidR="00D66A76">
        <w:rPr>
          <w:rFonts w:ascii="Times New Roman" w:hAnsi="Times New Roman" w:cs="Times New Roman"/>
          <w:noProof/>
          <w:sz w:val="28"/>
          <w:szCs w:val="28"/>
        </w:rPr>
        <w:t xml:space="preserve">, р. </w:t>
      </w:r>
      <w:r w:rsidR="00027D70">
        <w:rPr>
          <w:rFonts w:ascii="Times New Roman" w:hAnsi="Times New Roman" w:cs="Times New Roman"/>
          <w:noProof/>
          <w:sz w:val="28"/>
          <w:szCs w:val="28"/>
        </w:rPr>
        <w:t>177</w:t>
      </w:r>
      <w:r w:rsidR="00497DF9" w:rsidRPr="00497DF9">
        <w:rPr>
          <w:rFonts w:ascii="Times New Roman" w:hAnsi="Times New Roman" w:cs="Times New Roman"/>
          <w:noProof/>
          <w:sz w:val="28"/>
          <w:szCs w:val="28"/>
        </w:rPr>
        <w:t>]</w:t>
      </w:r>
      <w:r w:rsidR="00EA0E64">
        <w:rPr>
          <w:rFonts w:ascii="Times New Roman" w:hAnsi="Times New Roman" w:cs="Times New Roman"/>
          <w:sz w:val="28"/>
          <w:szCs w:val="28"/>
        </w:rPr>
        <w:fldChar w:fldCharType="end"/>
      </w:r>
      <w:r w:rsidRPr="00794D21">
        <w:rPr>
          <w:rFonts w:ascii="Century" w:hAnsi="Century" w:cs="Times New Roman"/>
          <w:sz w:val="28"/>
          <w:szCs w:val="28"/>
        </w:rPr>
        <w:t xml:space="preserve">. </w:t>
      </w:r>
    </w:p>
    <w:p w:rsidR="00AB12B3" w:rsidRDefault="00AB12B3" w:rsidP="00AB12B3">
      <w:pPr>
        <w:spacing w:after="0" w:line="240" w:lineRule="auto"/>
        <w:ind w:firstLine="708"/>
        <w:jc w:val="both"/>
        <w:rPr>
          <w:rFonts w:ascii="Times New Roman" w:hAnsi="Times New Roman" w:cs="Times New Roman"/>
          <w:sz w:val="28"/>
          <w:szCs w:val="28"/>
          <w:u w:val="single"/>
          <w:lang w:val="kk-KZ"/>
        </w:rPr>
      </w:pPr>
    </w:p>
    <w:p w:rsidR="00AB12B3" w:rsidRPr="007256CD" w:rsidRDefault="00AB12B3" w:rsidP="00AB12B3">
      <w:pPr>
        <w:spacing w:after="0" w:line="240" w:lineRule="auto"/>
        <w:ind w:firstLine="708"/>
        <w:jc w:val="both"/>
        <w:rPr>
          <w:rFonts w:ascii="Times New Roman" w:hAnsi="Times New Roman" w:cs="Times New Roman"/>
          <w:i/>
          <w:sz w:val="28"/>
          <w:szCs w:val="28"/>
          <w:lang w:val="kk-KZ"/>
        </w:rPr>
      </w:pPr>
      <w:r w:rsidRPr="007256CD">
        <w:rPr>
          <w:rFonts w:ascii="Times New Roman" w:hAnsi="Times New Roman" w:cs="Times New Roman"/>
          <w:i/>
          <w:sz w:val="28"/>
          <w:szCs w:val="28"/>
          <w:lang w:val="kk-KZ"/>
        </w:rPr>
        <w:t>Ген, кодирующий</w:t>
      </w:r>
      <w:r w:rsidR="00794D21">
        <w:rPr>
          <w:rFonts w:ascii="Times New Roman" w:hAnsi="Times New Roman" w:cs="Times New Roman"/>
          <w:i/>
          <w:sz w:val="28"/>
          <w:szCs w:val="28"/>
          <w:lang w:val="kk-KZ"/>
        </w:rPr>
        <w:t xml:space="preserve"> </w:t>
      </w:r>
      <w:r w:rsidRPr="007256CD">
        <w:rPr>
          <w:rFonts w:ascii="Times New Roman" w:hAnsi="Times New Roman" w:cs="Times New Roman"/>
          <w:i/>
          <w:sz w:val="28"/>
          <w:szCs w:val="28"/>
          <w:lang w:val="kk-KZ"/>
        </w:rPr>
        <w:t>липопротеинлипазу LPL Ser447Ter (rs328)</w:t>
      </w:r>
    </w:p>
    <w:p w:rsidR="00AB12B3" w:rsidRDefault="00AB12B3" w:rsidP="00AB12B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Сравнительная характеристика полиморфизма Ser447Ter (rs328) гена </w:t>
      </w:r>
      <w:r>
        <w:rPr>
          <w:rFonts w:ascii="Times New Roman" w:hAnsi="Times New Roman" w:cs="Times New Roman"/>
          <w:i/>
          <w:sz w:val="28"/>
          <w:szCs w:val="28"/>
        </w:rPr>
        <w:t xml:space="preserve">LPL </w:t>
      </w:r>
      <w:r>
        <w:rPr>
          <w:rFonts w:ascii="Times New Roman" w:hAnsi="Times New Roman" w:cs="Times New Roman"/>
          <w:sz w:val="28"/>
          <w:szCs w:val="28"/>
        </w:rPr>
        <w:t xml:space="preserve">в исследуемой </w:t>
      </w:r>
      <w:r w:rsidR="00045EBD">
        <w:rPr>
          <w:rFonts w:ascii="Times New Roman" w:hAnsi="Times New Roman" w:cs="Times New Roman"/>
          <w:sz w:val="28"/>
          <w:szCs w:val="28"/>
        </w:rPr>
        <w:t>выборке</w:t>
      </w:r>
      <w:r>
        <w:rPr>
          <w:rFonts w:ascii="Times New Roman" w:hAnsi="Times New Roman" w:cs="Times New Roman"/>
          <w:sz w:val="28"/>
          <w:szCs w:val="28"/>
        </w:rPr>
        <w:t xml:space="preserve"> представлен</w:t>
      </w:r>
      <w:r w:rsidR="00246991">
        <w:rPr>
          <w:rFonts w:ascii="Times New Roman" w:hAnsi="Times New Roman" w:cs="Times New Roman"/>
          <w:sz w:val="28"/>
          <w:szCs w:val="28"/>
        </w:rPr>
        <w:t>а</w:t>
      </w:r>
      <w:r w:rsidR="00F82B71">
        <w:rPr>
          <w:rFonts w:ascii="Times New Roman" w:hAnsi="Times New Roman" w:cs="Times New Roman"/>
          <w:sz w:val="28"/>
          <w:szCs w:val="28"/>
        </w:rPr>
        <w:t xml:space="preserve"> в таблице 5</w:t>
      </w:r>
      <w:r w:rsidR="003C0BEF">
        <w:rPr>
          <w:rFonts w:ascii="Times New Roman" w:hAnsi="Times New Roman" w:cs="Times New Roman"/>
          <w:sz w:val="28"/>
          <w:szCs w:val="28"/>
          <w:lang w:val="kk-KZ"/>
        </w:rPr>
        <w:t>1</w:t>
      </w:r>
      <w:r w:rsidRPr="009211C3">
        <w:rPr>
          <w:rFonts w:ascii="Century" w:hAnsi="Century" w:cs="Times New Roman"/>
          <w:sz w:val="28"/>
          <w:szCs w:val="28"/>
        </w:rPr>
        <w:t xml:space="preserve">. </w:t>
      </w:r>
      <w:r>
        <w:rPr>
          <w:rFonts w:ascii="Times New Roman" w:hAnsi="Times New Roman" w:cs="Times New Roman"/>
          <w:sz w:val="28"/>
          <w:szCs w:val="28"/>
        </w:rPr>
        <w:t xml:space="preserve">Распределение аллелей и генотипов полиморфизма Ser447Ter (rs328) гена </w:t>
      </w:r>
      <w:r>
        <w:rPr>
          <w:rFonts w:ascii="Times New Roman" w:hAnsi="Times New Roman" w:cs="Times New Roman"/>
          <w:i/>
          <w:sz w:val="28"/>
          <w:szCs w:val="28"/>
        </w:rPr>
        <w:t>LPL</w:t>
      </w:r>
      <w:r>
        <w:rPr>
          <w:rFonts w:ascii="Times New Roman" w:hAnsi="Times New Roman" w:cs="Times New Roman"/>
          <w:sz w:val="28"/>
          <w:szCs w:val="28"/>
        </w:rPr>
        <w:t xml:space="preserve"> имело отклонение от равновесия Харди – Вайнберга (р=0,0001).</w:t>
      </w:r>
    </w:p>
    <w:p w:rsidR="00AB12B3" w:rsidRDefault="00AB12B3" w:rsidP="00AB12B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w:t>
      </w:r>
      <w:r w:rsidR="000219C4">
        <w:rPr>
          <w:rFonts w:ascii="Times New Roman" w:hAnsi="Times New Roman" w:cs="Times New Roman"/>
          <w:sz w:val="28"/>
          <w:szCs w:val="28"/>
        </w:rPr>
        <w:t xml:space="preserve"> изучении наличи</w:t>
      </w:r>
      <w:r w:rsidR="000219C4">
        <w:rPr>
          <w:rFonts w:ascii="Times New Roman" w:hAnsi="Times New Roman" w:cs="Times New Roman"/>
          <w:sz w:val="28"/>
          <w:szCs w:val="28"/>
          <w:lang w:val="kk-KZ"/>
        </w:rPr>
        <w:t>я</w:t>
      </w:r>
      <w:r>
        <w:rPr>
          <w:rFonts w:ascii="Times New Roman" w:hAnsi="Times New Roman" w:cs="Times New Roman"/>
          <w:sz w:val="28"/>
          <w:szCs w:val="28"/>
        </w:rPr>
        <w:t xml:space="preserve"> взаимосвязи между полом (р=0,09), ИМТ и полиморфизм</w:t>
      </w:r>
      <w:r w:rsidR="00246991">
        <w:rPr>
          <w:rFonts w:ascii="Times New Roman" w:hAnsi="Times New Roman" w:cs="Times New Roman"/>
          <w:sz w:val="28"/>
          <w:szCs w:val="28"/>
        </w:rPr>
        <w:t>ом</w:t>
      </w:r>
      <w:r>
        <w:rPr>
          <w:rFonts w:ascii="Times New Roman" w:hAnsi="Times New Roman" w:cs="Times New Roman"/>
          <w:sz w:val="28"/>
          <w:szCs w:val="28"/>
        </w:rPr>
        <w:t xml:space="preserve"> Ser447Ter (rs328) гена </w:t>
      </w:r>
      <w:r>
        <w:rPr>
          <w:rFonts w:ascii="Times New Roman" w:hAnsi="Times New Roman" w:cs="Times New Roman"/>
          <w:i/>
          <w:sz w:val="28"/>
          <w:szCs w:val="28"/>
        </w:rPr>
        <w:t xml:space="preserve">LPL </w:t>
      </w:r>
      <w:r w:rsidR="004744F5">
        <w:rPr>
          <w:rFonts w:ascii="Times New Roman" w:hAnsi="Times New Roman" w:cs="Times New Roman"/>
          <w:iCs/>
          <w:sz w:val="28"/>
          <w:szCs w:val="28"/>
        </w:rPr>
        <w:t>нам не удалось выявить</w:t>
      </w:r>
      <w:r>
        <w:rPr>
          <w:rFonts w:ascii="Times New Roman" w:hAnsi="Times New Roman" w:cs="Times New Roman"/>
          <w:sz w:val="28"/>
          <w:szCs w:val="28"/>
        </w:rPr>
        <w:t xml:space="preserve"> </w:t>
      </w:r>
      <w:r w:rsidR="004744F5">
        <w:rPr>
          <w:rFonts w:ascii="Times New Roman" w:hAnsi="Times New Roman" w:cs="Times New Roman"/>
          <w:sz w:val="28"/>
          <w:szCs w:val="28"/>
        </w:rPr>
        <w:t xml:space="preserve">достоверную </w:t>
      </w:r>
      <w:r>
        <w:rPr>
          <w:rFonts w:ascii="Times New Roman" w:hAnsi="Times New Roman" w:cs="Times New Roman"/>
          <w:sz w:val="28"/>
          <w:szCs w:val="28"/>
        </w:rPr>
        <w:t>связ</w:t>
      </w:r>
      <w:r w:rsidR="004744F5">
        <w:rPr>
          <w:rFonts w:ascii="Times New Roman" w:hAnsi="Times New Roman" w:cs="Times New Roman"/>
          <w:sz w:val="28"/>
          <w:szCs w:val="28"/>
        </w:rPr>
        <w:t>ь</w:t>
      </w:r>
      <w:r>
        <w:rPr>
          <w:rFonts w:ascii="Times New Roman" w:hAnsi="Times New Roman" w:cs="Times New Roman"/>
          <w:sz w:val="28"/>
          <w:szCs w:val="28"/>
        </w:rPr>
        <w:t xml:space="preserve"> </w:t>
      </w:r>
      <w:r w:rsidR="00F02C21">
        <w:rPr>
          <w:rFonts w:ascii="Times New Roman" w:hAnsi="Times New Roman" w:cs="Times New Roman"/>
          <w:sz w:val="28"/>
          <w:szCs w:val="28"/>
        </w:rPr>
        <w:t>(р=</w:t>
      </w:r>
      <w:r>
        <w:rPr>
          <w:rFonts w:ascii="Times New Roman" w:hAnsi="Times New Roman" w:cs="Times New Roman"/>
          <w:sz w:val="28"/>
          <w:szCs w:val="28"/>
        </w:rPr>
        <w:t>0,4</w:t>
      </w:r>
      <w:r>
        <w:rPr>
          <w:rFonts w:ascii="Times New Roman" w:hAnsi="Times New Roman" w:cs="Times New Roman"/>
          <w:sz w:val="28"/>
          <w:szCs w:val="28"/>
          <w:lang w:val="kk-KZ"/>
        </w:rPr>
        <w:t>5</w:t>
      </w:r>
      <w:r w:rsidR="000219C4">
        <w:rPr>
          <w:rFonts w:ascii="Times New Roman" w:hAnsi="Times New Roman" w:cs="Times New Roman"/>
          <w:sz w:val="28"/>
          <w:szCs w:val="28"/>
        </w:rPr>
        <w:t>). Взаимосвяз</w:t>
      </w:r>
      <w:r w:rsidR="000219C4">
        <w:rPr>
          <w:rFonts w:ascii="Times New Roman" w:hAnsi="Times New Roman" w:cs="Times New Roman"/>
          <w:sz w:val="28"/>
          <w:szCs w:val="28"/>
          <w:lang w:val="kk-KZ"/>
        </w:rPr>
        <w:t>ь</w:t>
      </w:r>
      <w:r>
        <w:rPr>
          <w:rFonts w:ascii="Times New Roman" w:hAnsi="Times New Roman" w:cs="Times New Roman"/>
          <w:sz w:val="28"/>
          <w:szCs w:val="28"/>
        </w:rPr>
        <w:t xml:space="preserve"> с полиморфизмом Ser447Ter (rs328) гена </w:t>
      </w:r>
      <w:r>
        <w:rPr>
          <w:rFonts w:ascii="Times New Roman" w:hAnsi="Times New Roman" w:cs="Times New Roman"/>
          <w:i/>
          <w:sz w:val="28"/>
          <w:szCs w:val="28"/>
        </w:rPr>
        <w:t>LPL</w:t>
      </w:r>
      <w:r w:rsidR="003D1CF6">
        <w:rPr>
          <w:rFonts w:ascii="Times New Roman" w:hAnsi="Times New Roman" w:cs="Times New Roman"/>
          <w:sz w:val="28"/>
          <w:szCs w:val="28"/>
        </w:rPr>
        <w:t xml:space="preserve"> выявлены только с </w:t>
      </w:r>
      <w:r w:rsidR="000219C4">
        <w:rPr>
          <w:rFonts w:ascii="Times New Roman" w:hAnsi="Times New Roman" w:cs="Times New Roman"/>
          <w:sz w:val="28"/>
          <w:szCs w:val="28"/>
          <w:lang w:val="kk-KZ"/>
        </w:rPr>
        <w:t xml:space="preserve">показателями </w:t>
      </w:r>
      <w:r w:rsidR="003D1CF6">
        <w:rPr>
          <w:rFonts w:ascii="Times New Roman" w:hAnsi="Times New Roman" w:cs="Times New Roman"/>
          <w:sz w:val="28"/>
          <w:szCs w:val="28"/>
        </w:rPr>
        <w:t>уровн</w:t>
      </w:r>
      <w:r w:rsidR="000219C4">
        <w:rPr>
          <w:rFonts w:ascii="Times New Roman" w:hAnsi="Times New Roman" w:cs="Times New Roman"/>
          <w:sz w:val="28"/>
          <w:szCs w:val="28"/>
          <w:lang w:val="kk-KZ"/>
        </w:rPr>
        <w:t>я</w:t>
      </w:r>
      <w:r>
        <w:rPr>
          <w:rFonts w:ascii="Times New Roman" w:hAnsi="Times New Roman" w:cs="Times New Roman"/>
          <w:sz w:val="28"/>
          <w:szCs w:val="28"/>
        </w:rPr>
        <w:t xml:space="preserve"> инсулина и глюкозы (таблица </w:t>
      </w:r>
      <w:r w:rsidR="00F82B71">
        <w:rPr>
          <w:rFonts w:ascii="Times New Roman" w:hAnsi="Times New Roman" w:cs="Times New Roman"/>
          <w:sz w:val="28"/>
          <w:szCs w:val="28"/>
        </w:rPr>
        <w:t>5</w:t>
      </w:r>
      <w:r w:rsidR="003C0BEF">
        <w:rPr>
          <w:rFonts w:ascii="Times New Roman" w:hAnsi="Times New Roman" w:cs="Times New Roman"/>
          <w:sz w:val="28"/>
          <w:szCs w:val="28"/>
          <w:lang w:val="kk-KZ"/>
        </w:rPr>
        <w:t>1</w:t>
      </w:r>
      <w:r>
        <w:rPr>
          <w:rFonts w:ascii="Times New Roman" w:hAnsi="Times New Roman" w:cs="Times New Roman"/>
          <w:sz w:val="28"/>
          <w:szCs w:val="28"/>
        </w:rPr>
        <w:t xml:space="preserve">). </w:t>
      </w:r>
      <w:r w:rsidR="00246991">
        <w:rPr>
          <w:rFonts w:ascii="Times New Roman" w:hAnsi="Times New Roman" w:cs="Times New Roman"/>
          <w:sz w:val="28"/>
          <w:szCs w:val="28"/>
        </w:rPr>
        <w:t>Также не было установлено</w:t>
      </w:r>
      <w:r>
        <w:rPr>
          <w:rFonts w:ascii="Times New Roman" w:hAnsi="Times New Roman" w:cs="Times New Roman"/>
          <w:sz w:val="28"/>
          <w:szCs w:val="28"/>
        </w:rPr>
        <w:t xml:space="preserve"> связ</w:t>
      </w:r>
      <w:r w:rsidR="00246991">
        <w:rPr>
          <w:rFonts w:ascii="Times New Roman" w:hAnsi="Times New Roman" w:cs="Times New Roman"/>
          <w:sz w:val="28"/>
          <w:szCs w:val="28"/>
        </w:rPr>
        <w:t>и</w:t>
      </w:r>
      <w:r>
        <w:rPr>
          <w:rFonts w:ascii="Times New Roman" w:hAnsi="Times New Roman" w:cs="Times New Roman"/>
          <w:sz w:val="28"/>
          <w:szCs w:val="28"/>
        </w:rPr>
        <w:t xml:space="preserve"> полиморфизма Ser447Ter (rs328) гена </w:t>
      </w:r>
      <w:r>
        <w:rPr>
          <w:rFonts w:ascii="Times New Roman" w:hAnsi="Times New Roman" w:cs="Times New Roman"/>
          <w:i/>
          <w:sz w:val="28"/>
          <w:szCs w:val="28"/>
        </w:rPr>
        <w:t>LPL</w:t>
      </w:r>
      <w:r>
        <w:rPr>
          <w:rFonts w:ascii="Times New Roman" w:hAnsi="Times New Roman" w:cs="Times New Roman"/>
          <w:sz w:val="28"/>
          <w:szCs w:val="28"/>
        </w:rPr>
        <w:t xml:space="preserve"> с друг</w:t>
      </w:r>
      <w:r w:rsidR="00246991">
        <w:rPr>
          <w:rFonts w:ascii="Times New Roman" w:hAnsi="Times New Roman" w:cs="Times New Roman"/>
          <w:sz w:val="28"/>
          <w:szCs w:val="28"/>
        </w:rPr>
        <w:t>ими биохимическими показателями</w:t>
      </w:r>
      <w:r>
        <w:rPr>
          <w:rFonts w:ascii="Times New Roman" w:hAnsi="Times New Roman" w:cs="Times New Roman"/>
          <w:sz w:val="28"/>
          <w:szCs w:val="28"/>
        </w:rPr>
        <w:t>.</w:t>
      </w:r>
    </w:p>
    <w:p w:rsidR="00FA4A2F" w:rsidRDefault="00FA4A2F" w:rsidP="00AB12B3">
      <w:pPr>
        <w:spacing w:after="0" w:line="240" w:lineRule="auto"/>
        <w:ind w:firstLine="567"/>
        <w:jc w:val="both"/>
        <w:outlineLvl w:val="0"/>
        <w:rPr>
          <w:rFonts w:ascii="Times New Roman" w:hAnsi="Times New Roman" w:cs="Times New Roman"/>
          <w:sz w:val="28"/>
          <w:szCs w:val="24"/>
        </w:rPr>
        <w:sectPr w:rsidR="00FA4A2F">
          <w:pgSz w:w="11906" w:h="16838"/>
          <w:pgMar w:top="1134" w:right="850" w:bottom="1134" w:left="1701" w:header="708" w:footer="708" w:gutter="0"/>
          <w:cols w:space="720"/>
        </w:sectPr>
      </w:pPr>
    </w:p>
    <w:p w:rsidR="00AB12B3" w:rsidRDefault="00AB12B3" w:rsidP="00B648CF">
      <w:pPr>
        <w:spacing w:after="0" w:line="240" w:lineRule="auto"/>
        <w:jc w:val="both"/>
        <w:outlineLvl w:val="0"/>
        <w:rPr>
          <w:rFonts w:ascii="Times New Roman" w:hAnsi="Times New Roman" w:cs="Times New Roman"/>
          <w:sz w:val="28"/>
          <w:szCs w:val="24"/>
          <w:lang w:val="kk-KZ"/>
        </w:rPr>
      </w:pPr>
      <w:r>
        <w:rPr>
          <w:rFonts w:ascii="Times New Roman" w:hAnsi="Times New Roman" w:cs="Times New Roman"/>
          <w:sz w:val="28"/>
          <w:szCs w:val="24"/>
        </w:rPr>
        <w:lastRenderedPageBreak/>
        <w:t xml:space="preserve">Таблица </w:t>
      </w:r>
      <w:r w:rsidR="00F82B71">
        <w:rPr>
          <w:rFonts w:ascii="Times New Roman" w:hAnsi="Times New Roman" w:cs="Times New Roman"/>
          <w:sz w:val="28"/>
          <w:szCs w:val="24"/>
        </w:rPr>
        <w:t>5</w:t>
      </w:r>
      <w:r w:rsidR="003C0BEF">
        <w:rPr>
          <w:rFonts w:ascii="Times New Roman" w:hAnsi="Times New Roman" w:cs="Times New Roman"/>
          <w:sz w:val="28"/>
          <w:szCs w:val="24"/>
          <w:lang w:val="kk-KZ"/>
        </w:rPr>
        <w:t>1</w:t>
      </w:r>
      <w:r>
        <w:rPr>
          <w:rFonts w:ascii="Times New Roman" w:hAnsi="Times New Roman" w:cs="Times New Roman"/>
          <w:sz w:val="28"/>
          <w:szCs w:val="24"/>
        </w:rPr>
        <w:t xml:space="preserve"> – Сравнительная характеристика полиморфизма </w:t>
      </w:r>
      <w:r>
        <w:rPr>
          <w:rFonts w:ascii="Times New Roman" w:hAnsi="Times New Roman" w:cs="Times New Roman"/>
          <w:sz w:val="28"/>
          <w:szCs w:val="28"/>
        </w:rPr>
        <w:t xml:space="preserve">Ser447Ter (rs328) гена </w:t>
      </w:r>
      <w:r>
        <w:rPr>
          <w:rFonts w:ascii="Times New Roman" w:hAnsi="Times New Roman" w:cs="Times New Roman"/>
          <w:i/>
          <w:sz w:val="28"/>
          <w:szCs w:val="28"/>
        </w:rPr>
        <w:t>LPL</w:t>
      </w:r>
      <w:r>
        <w:rPr>
          <w:rFonts w:ascii="Times New Roman" w:hAnsi="Times New Roman" w:cs="Times New Roman"/>
          <w:sz w:val="28"/>
          <w:szCs w:val="24"/>
          <w:lang w:val="kk-KZ"/>
        </w:rPr>
        <w:t xml:space="preserve"> в исследуемой</w:t>
      </w:r>
      <w:r w:rsidR="005C67E7">
        <w:rPr>
          <w:rFonts w:ascii="Times New Roman" w:hAnsi="Times New Roman" w:cs="Times New Roman"/>
          <w:sz w:val="28"/>
          <w:szCs w:val="24"/>
          <w:lang w:val="kk-KZ"/>
        </w:rPr>
        <w:t xml:space="preserve"> </w:t>
      </w:r>
      <w:r w:rsidR="003D1CF6">
        <w:rPr>
          <w:rFonts w:ascii="Times New Roman" w:hAnsi="Times New Roman" w:cs="Times New Roman"/>
          <w:sz w:val="28"/>
          <w:szCs w:val="24"/>
          <w:lang w:val="kk-KZ"/>
        </w:rPr>
        <w:t>выборке</w:t>
      </w:r>
    </w:p>
    <w:p w:rsidR="00E83EC5" w:rsidRDefault="00E83EC5" w:rsidP="00B648CF">
      <w:pPr>
        <w:spacing w:after="0" w:line="240" w:lineRule="auto"/>
        <w:jc w:val="both"/>
        <w:outlineLvl w:val="0"/>
        <w:rPr>
          <w:rFonts w:ascii="Times New Roman" w:hAnsi="Times New Roman" w:cs="Times New Roman"/>
          <w:sz w:val="28"/>
          <w:szCs w:val="24"/>
          <w:lang w:val="kk-KZ"/>
        </w:rPr>
      </w:pPr>
    </w:p>
    <w:tbl>
      <w:tblPr>
        <w:tblStyle w:val="21"/>
        <w:tblW w:w="949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1699"/>
        <w:gridCol w:w="1134"/>
        <w:gridCol w:w="992"/>
        <w:gridCol w:w="992"/>
        <w:gridCol w:w="993"/>
        <w:gridCol w:w="992"/>
        <w:gridCol w:w="1276"/>
      </w:tblGrid>
      <w:tr w:rsidR="00AB12B3" w:rsidTr="002469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gridSpan w:val="2"/>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b w:val="0"/>
                <w:sz w:val="28"/>
                <w:szCs w:val="28"/>
              </w:rPr>
            </w:pPr>
            <w:r>
              <w:rPr>
                <w:rFonts w:ascii="Times New Roman" w:hAnsi="Times New Roman" w:cs="Times New Roman"/>
                <w:b w:val="0"/>
                <w:sz w:val="28"/>
                <w:szCs w:val="28"/>
              </w:rPr>
              <w:t>Полиморфизм гена</w:t>
            </w:r>
          </w:p>
        </w:tc>
        <w:tc>
          <w:tcPr>
            <w:tcW w:w="3118" w:type="dxa"/>
            <w:gridSpan w:val="3"/>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 xml:space="preserve">Генотипы </w:t>
            </w:r>
            <w:r>
              <w:rPr>
                <w:rFonts w:ascii="Times New Roman" w:hAnsi="Times New Roman" w:cs="Times New Roman"/>
                <w:b w:val="0"/>
                <w:sz w:val="28"/>
                <w:szCs w:val="28"/>
                <w:lang w:val="en-US"/>
              </w:rPr>
              <w:t>n</w:t>
            </w:r>
          </w:p>
        </w:tc>
        <w:tc>
          <w:tcPr>
            <w:tcW w:w="1985" w:type="dxa"/>
            <w:gridSpan w:val="2"/>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Аллели</w:t>
            </w:r>
            <w:r>
              <w:rPr>
                <w:rFonts w:ascii="Times New Roman" w:hAnsi="Times New Roman" w:cs="Times New Roman"/>
                <w:b w:val="0"/>
                <w:sz w:val="28"/>
                <w:szCs w:val="28"/>
                <w:lang w:val="en-US"/>
              </w:rPr>
              <w:t xml:space="preserve"> n</w:t>
            </w:r>
          </w:p>
        </w:tc>
        <w:tc>
          <w:tcPr>
            <w:tcW w:w="1276"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p*</w:t>
            </w:r>
          </w:p>
        </w:tc>
      </w:tr>
      <w:tr w:rsidR="00AB12B3" w:rsidTr="00246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gridSpan w:val="2"/>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sz w:val="28"/>
                <w:szCs w:val="28"/>
              </w:rPr>
            </w:pPr>
            <w:r>
              <w:rPr>
                <w:rFonts w:ascii="Times New Roman" w:hAnsi="Times New Roman" w:cs="Times New Roman"/>
                <w:b w:val="0"/>
                <w:i/>
                <w:sz w:val="28"/>
                <w:szCs w:val="28"/>
              </w:rPr>
              <w:t xml:space="preserve">LPL </w:t>
            </w:r>
            <w:r>
              <w:rPr>
                <w:rFonts w:ascii="Times New Roman" w:hAnsi="Times New Roman" w:cs="Times New Roman"/>
                <w:b w:val="0"/>
                <w:sz w:val="28"/>
                <w:szCs w:val="28"/>
              </w:rPr>
              <w:t>Ser447Ter (</w:t>
            </w:r>
            <w:r>
              <w:rPr>
                <w:rFonts w:ascii="Times New Roman" w:hAnsi="Times New Roman" w:cs="Times New Roman"/>
                <w:b w:val="0"/>
                <w:sz w:val="28"/>
                <w:szCs w:val="28"/>
                <w:lang w:val="en-US"/>
              </w:rPr>
              <w:t>rs328</w:t>
            </w:r>
            <w:r>
              <w:rPr>
                <w:rFonts w:ascii="Times New Roman" w:hAnsi="Times New Roman" w:cs="Times New Roman"/>
                <w:b w:val="0"/>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C/C</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C/G</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G/G</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C</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G</w:t>
            </w:r>
          </w:p>
        </w:tc>
        <w:tc>
          <w:tcPr>
            <w:tcW w:w="127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sz w:val="28"/>
                <w:szCs w:val="28"/>
              </w:rPr>
              <w:t>0,0001</w:t>
            </w:r>
            <w:r>
              <w:rPr>
                <w:rFonts w:ascii="Times New Roman" w:hAnsi="Times New Roman"/>
                <w:sz w:val="28"/>
                <w:szCs w:val="28"/>
                <w:lang w:val="kk-KZ"/>
              </w:rPr>
              <w:t>**</w:t>
            </w:r>
          </w:p>
        </w:tc>
      </w:tr>
      <w:tr w:rsidR="00AB12B3" w:rsidTr="00246991">
        <w:tc>
          <w:tcPr>
            <w:cnfStyle w:val="001000000000" w:firstRow="0" w:lastRow="0" w:firstColumn="1" w:lastColumn="0" w:oddVBand="0" w:evenVBand="0" w:oddHBand="0" w:evenHBand="0" w:firstRowFirstColumn="0" w:firstRowLastColumn="0" w:lastRowFirstColumn="0" w:lastRowLastColumn="0"/>
            <w:tcW w:w="3116" w:type="dxa"/>
            <w:gridSpan w:val="2"/>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sz w:val="28"/>
                <w:szCs w:val="28"/>
                <w:lang w:val="en-US"/>
              </w:rPr>
            </w:pPr>
            <w:r>
              <w:rPr>
                <w:rFonts w:ascii="Times New Roman" w:hAnsi="Times New Roman" w:cs="Times New Roman"/>
                <w:b w:val="0"/>
                <w:sz w:val="28"/>
                <w:szCs w:val="28"/>
              </w:rPr>
              <w:t>Всего</w:t>
            </w:r>
            <w:r w:rsidR="005C67E7">
              <w:rPr>
                <w:rFonts w:ascii="Times New Roman" w:hAnsi="Times New Roman" w:cs="Times New Roman"/>
                <w:b w:val="0"/>
                <w:sz w:val="28"/>
                <w:szCs w:val="28"/>
              </w:rPr>
              <w:t xml:space="preserve"> </w:t>
            </w:r>
            <w:r>
              <w:rPr>
                <w:rFonts w:ascii="Times New Roman" w:hAnsi="Times New Roman" w:cs="Times New Roman"/>
                <w:b w:val="0"/>
                <w:sz w:val="28"/>
                <w:szCs w:val="28"/>
                <w:lang w:val="en-US"/>
              </w:rPr>
              <w:t>n=460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354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86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20</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794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126</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p>
        </w:tc>
      </w:tr>
      <w:tr w:rsidR="00AB12B3" w:rsidTr="00246991">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b w:val="0"/>
                <w:sz w:val="28"/>
                <w:szCs w:val="28"/>
              </w:rPr>
            </w:pPr>
            <w:r>
              <w:rPr>
                <w:rFonts w:ascii="Times New Roman" w:hAnsi="Times New Roman" w:cs="Times New Roman"/>
                <w:b w:val="0"/>
                <w:sz w:val="28"/>
                <w:szCs w:val="28"/>
              </w:rPr>
              <w:t>Пол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Муж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186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39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6</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411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51</w:t>
            </w:r>
          </w:p>
        </w:tc>
        <w:tc>
          <w:tcPr>
            <w:tcW w:w="127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0,09</w:t>
            </w:r>
          </w:p>
        </w:tc>
      </w:tr>
      <w:tr w:rsidR="00AB12B3" w:rsidTr="00246991">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Жен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168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47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14</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383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75</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p>
        </w:tc>
      </w:tr>
      <w:tr w:rsidR="00AB12B3" w:rsidTr="00246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b w:val="0"/>
                <w:sz w:val="28"/>
                <w:szCs w:val="28"/>
              </w:rPr>
            </w:pPr>
            <w:r>
              <w:rPr>
                <w:rFonts w:ascii="Times New Roman" w:hAnsi="Times New Roman" w:cs="Times New Roman"/>
                <w:b w:val="0"/>
                <w:sz w:val="28"/>
                <w:szCs w:val="28"/>
              </w:rPr>
              <w:t>ИМТ</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НВ</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139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312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58</w:t>
            </w:r>
          </w:p>
        </w:tc>
        <w:tc>
          <w:tcPr>
            <w:tcW w:w="127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0,45</w:t>
            </w:r>
          </w:p>
        </w:tc>
      </w:tr>
      <w:tr w:rsidR="00AB12B3" w:rsidTr="00246991">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rPr>
              <w:t>ИВ</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152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339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59</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p>
        </w:tc>
      </w:tr>
      <w:tr w:rsidR="00AB12B3" w:rsidTr="00246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Ож</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143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246991">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ОХС, ммоль/л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≤4,9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311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698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114</w:t>
            </w:r>
          </w:p>
        </w:tc>
        <w:tc>
          <w:tcPr>
            <w:tcW w:w="127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0,63</w:t>
            </w:r>
          </w:p>
        </w:tc>
      </w:tr>
      <w:tr w:rsidR="00AB12B3" w:rsidTr="00246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&gt;4,9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43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96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246991">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ТГ, ммоль/л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263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61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12</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587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85</w:t>
            </w:r>
          </w:p>
        </w:tc>
        <w:tc>
          <w:tcPr>
            <w:tcW w:w="127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0,33</w:t>
            </w:r>
          </w:p>
        </w:tc>
      </w:tr>
      <w:tr w:rsidR="00AB12B3" w:rsidTr="00246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pPr>
            <w:r>
              <w:rPr>
                <w:rFonts w:ascii="Times New Roman" w:hAnsi="Times New Roman"/>
                <w:sz w:val="28"/>
                <w:szCs w:val="28"/>
              </w:rPr>
              <w:t>&gt;1,7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91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8</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207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41</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246991">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7F7F7F" w:themeColor="text1" w:themeTint="80"/>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ЛПВП, ммоль/л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Муж ≥1,0</w:t>
            </w:r>
          </w:p>
          <w:p w:rsidR="00AB12B3" w:rsidRDefault="00AB12B3">
            <w:pPr>
              <w:jc w:val="center"/>
              <w:cnfStyle w:val="000000000000" w:firstRow="0" w:lastRow="0" w:firstColumn="0" w:lastColumn="0" w:oddVBand="0" w:evenVBand="0" w:oddHBand="0" w:evenHBand="0" w:firstRowFirstColumn="0" w:firstRowLastColumn="0" w:lastRowFirstColumn="0" w:lastRowLastColumn="0"/>
            </w:pPr>
            <w:r>
              <w:rPr>
                <w:rFonts w:ascii="Times New Roman" w:hAnsi="Times New Roman"/>
                <w:sz w:val="28"/>
                <w:szCs w:val="28"/>
              </w:rPr>
              <w:t>Жен ≥1,2</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141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307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41</w:t>
            </w:r>
          </w:p>
        </w:tc>
        <w:tc>
          <w:tcPr>
            <w:tcW w:w="1276"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lang w:val="kk-KZ"/>
              </w:rPr>
              <w:t>0,14</w:t>
            </w:r>
          </w:p>
        </w:tc>
      </w:tr>
      <w:tr w:rsidR="00AB12B3" w:rsidTr="00246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left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Муж &lt;1,0</w:t>
            </w:r>
          </w:p>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Жен &lt;1,2</w:t>
            </w:r>
          </w:p>
        </w:tc>
        <w:tc>
          <w:tcPr>
            <w:tcW w:w="1134" w:type="dxa"/>
            <w:tcBorders>
              <w:left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213</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61</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993"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487</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89</w:t>
            </w:r>
          </w:p>
        </w:tc>
        <w:tc>
          <w:tcPr>
            <w:tcW w:w="1276" w:type="dxa"/>
            <w:vMerge/>
            <w:tcBorders>
              <w:top w:val="single" w:sz="4" w:space="0" w:color="auto"/>
              <w:left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246991">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 xml:space="preserve">ЛПНП, ммоль/л </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306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685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127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0,49</w:t>
            </w:r>
          </w:p>
        </w:tc>
      </w:tr>
      <w:tr w:rsidR="00AB12B3" w:rsidTr="00246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&gt;3, 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48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109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246991">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апоВ, г/л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&lt;0,9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131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295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47</w:t>
            </w:r>
          </w:p>
        </w:tc>
        <w:tc>
          <w:tcPr>
            <w:tcW w:w="127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lang w:val="kk-KZ"/>
              </w:rPr>
              <w:t>0,95</w:t>
            </w:r>
          </w:p>
        </w:tc>
      </w:tr>
      <w:tr w:rsidR="00AB12B3" w:rsidTr="00246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≥0,9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223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499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79</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246991">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7F7F7F" w:themeColor="text1" w:themeTint="80"/>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апоА1, г</w:t>
            </w:r>
            <w:r w:rsidRPr="0046162C">
              <w:rPr>
                <w:rFonts w:ascii="Century" w:hAnsi="Century"/>
                <w:b w:val="0"/>
                <w:sz w:val="28"/>
                <w:szCs w:val="28"/>
              </w:rPr>
              <w:t>/</w:t>
            </w:r>
            <w:r>
              <w:rPr>
                <w:rFonts w:ascii="Times New Roman" w:hAnsi="Times New Roman"/>
                <w:b w:val="0"/>
                <w:sz w:val="28"/>
                <w:szCs w:val="28"/>
              </w:rPr>
              <w:t>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szCs w:val="28"/>
              </w:rPr>
            </w:pPr>
            <w:r>
              <w:rPr>
                <w:rFonts w:ascii="Times New Roman" w:hAnsi="Times New Roman"/>
                <w:color w:val="000000"/>
                <w:sz w:val="28"/>
                <w:szCs w:val="28"/>
              </w:rPr>
              <w:t xml:space="preserve">Муж </w:t>
            </w:r>
            <w:r w:rsidRPr="0046162C">
              <w:rPr>
                <w:rFonts w:ascii="Century" w:hAnsi="Century"/>
                <w:color w:val="000000"/>
                <w:sz w:val="28"/>
                <w:szCs w:val="28"/>
              </w:rPr>
              <w:t>≥</w:t>
            </w:r>
            <w:r>
              <w:rPr>
                <w:rFonts w:ascii="Times New Roman" w:hAnsi="Times New Roman"/>
                <w:color w:val="000000"/>
                <w:sz w:val="28"/>
                <w:szCs w:val="28"/>
              </w:rPr>
              <w:t>1</w:t>
            </w:r>
            <w:r w:rsidRPr="0046162C">
              <w:rPr>
                <w:rFonts w:ascii="Century" w:hAnsi="Century"/>
                <w:color w:val="000000"/>
                <w:sz w:val="28"/>
                <w:szCs w:val="28"/>
              </w:rPr>
              <w:t>,</w:t>
            </w:r>
            <w:r>
              <w:rPr>
                <w:rFonts w:ascii="Times New Roman" w:hAnsi="Times New Roman"/>
                <w:color w:val="000000"/>
                <w:sz w:val="28"/>
                <w:szCs w:val="28"/>
              </w:rPr>
              <w:t>04</w:t>
            </w:r>
          </w:p>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color w:val="000000"/>
                <w:sz w:val="28"/>
                <w:szCs w:val="28"/>
              </w:rPr>
              <w:t xml:space="preserve">Жен </w:t>
            </w:r>
            <w:r w:rsidRPr="0046162C">
              <w:rPr>
                <w:rFonts w:ascii="Century" w:hAnsi="Century"/>
                <w:color w:val="000000"/>
                <w:sz w:val="28"/>
                <w:szCs w:val="28"/>
              </w:rPr>
              <w:t>≥</w:t>
            </w:r>
            <w:r>
              <w:rPr>
                <w:rFonts w:ascii="Times New Roman" w:hAnsi="Times New Roman"/>
                <w:color w:val="000000"/>
                <w:sz w:val="28"/>
                <w:szCs w:val="28"/>
              </w:rPr>
              <w:t>1</w:t>
            </w:r>
            <w:r w:rsidRPr="0046162C">
              <w:rPr>
                <w:rFonts w:ascii="Century" w:hAnsi="Century" w:cs="Times New Roman"/>
                <w:color w:val="000000"/>
                <w:sz w:val="28"/>
                <w:szCs w:val="28"/>
              </w:rPr>
              <w:t>,</w:t>
            </w:r>
            <w:r>
              <w:rPr>
                <w:rFonts w:ascii="Times New Roman" w:hAnsi="Times New Roman"/>
                <w:color w:val="000000"/>
                <w:sz w:val="28"/>
                <w:szCs w:val="28"/>
              </w:rPr>
              <w:t xml:space="preserve">08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332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745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121</w:t>
            </w:r>
          </w:p>
        </w:tc>
        <w:tc>
          <w:tcPr>
            <w:tcW w:w="1276"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w:t>
            </w:r>
            <w:r w:rsidRPr="0046162C">
              <w:rPr>
                <w:rFonts w:ascii="Century" w:hAnsi="Century" w:cs="Times New Roman"/>
                <w:sz w:val="28"/>
                <w:szCs w:val="28"/>
                <w:lang w:val="kk-KZ"/>
              </w:rPr>
              <w:t>,</w:t>
            </w:r>
            <w:r>
              <w:rPr>
                <w:rFonts w:ascii="Times New Roman" w:hAnsi="Times New Roman" w:cs="Times New Roman"/>
                <w:sz w:val="28"/>
                <w:szCs w:val="28"/>
                <w:lang w:val="kk-KZ"/>
              </w:rPr>
              <w:t>43</w:t>
            </w:r>
          </w:p>
        </w:tc>
      </w:tr>
      <w:tr w:rsidR="00AB12B3" w:rsidTr="00246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left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szCs w:val="28"/>
              </w:rPr>
            </w:pPr>
            <w:r>
              <w:rPr>
                <w:rFonts w:ascii="Times New Roman" w:hAnsi="Times New Roman"/>
                <w:color w:val="000000"/>
                <w:sz w:val="28"/>
                <w:szCs w:val="28"/>
              </w:rPr>
              <w:t xml:space="preserve">Муж </w:t>
            </w:r>
            <w:r w:rsidRPr="0046162C">
              <w:rPr>
                <w:rFonts w:ascii="Century" w:hAnsi="Century"/>
                <w:color w:val="000000"/>
                <w:sz w:val="28"/>
                <w:szCs w:val="28"/>
              </w:rPr>
              <w:t>&lt;</w:t>
            </w:r>
            <w:r>
              <w:rPr>
                <w:rFonts w:ascii="Times New Roman" w:hAnsi="Times New Roman"/>
                <w:color w:val="000000"/>
                <w:sz w:val="28"/>
                <w:szCs w:val="28"/>
              </w:rPr>
              <w:t>1</w:t>
            </w:r>
            <w:r w:rsidRPr="0046162C">
              <w:rPr>
                <w:rFonts w:ascii="Century" w:hAnsi="Century"/>
                <w:color w:val="000000"/>
                <w:sz w:val="28"/>
                <w:szCs w:val="28"/>
              </w:rPr>
              <w:t>,</w:t>
            </w:r>
            <w:r>
              <w:rPr>
                <w:rFonts w:ascii="Times New Roman" w:hAnsi="Times New Roman"/>
                <w:color w:val="000000"/>
                <w:sz w:val="28"/>
                <w:szCs w:val="28"/>
              </w:rPr>
              <w:t>04</w:t>
            </w:r>
          </w:p>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szCs w:val="28"/>
              </w:rPr>
            </w:pPr>
            <w:r>
              <w:rPr>
                <w:rFonts w:ascii="Times New Roman" w:hAnsi="Times New Roman"/>
                <w:color w:val="000000"/>
                <w:sz w:val="28"/>
                <w:szCs w:val="28"/>
              </w:rPr>
              <w:t xml:space="preserve">Жен </w:t>
            </w:r>
            <w:r w:rsidRPr="0046162C">
              <w:rPr>
                <w:rFonts w:ascii="Century" w:hAnsi="Century"/>
                <w:color w:val="000000"/>
                <w:sz w:val="28"/>
                <w:szCs w:val="28"/>
              </w:rPr>
              <w:t>&lt;</w:t>
            </w:r>
            <w:r>
              <w:rPr>
                <w:rFonts w:ascii="Times New Roman" w:hAnsi="Times New Roman"/>
                <w:color w:val="000000"/>
                <w:sz w:val="28"/>
                <w:szCs w:val="28"/>
              </w:rPr>
              <w:t>1</w:t>
            </w:r>
            <w:r w:rsidRPr="0046162C">
              <w:rPr>
                <w:rFonts w:ascii="Century" w:hAnsi="Century"/>
                <w:color w:val="000000"/>
                <w:sz w:val="28"/>
                <w:szCs w:val="28"/>
              </w:rPr>
              <w:t>,</w:t>
            </w:r>
            <w:r>
              <w:rPr>
                <w:rFonts w:ascii="Times New Roman" w:hAnsi="Times New Roman"/>
                <w:color w:val="000000"/>
                <w:sz w:val="28"/>
                <w:szCs w:val="28"/>
              </w:rPr>
              <w:t>08</w:t>
            </w:r>
          </w:p>
        </w:tc>
        <w:tc>
          <w:tcPr>
            <w:tcW w:w="1134" w:type="dxa"/>
            <w:tcBorders>
              <w:left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22</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w:t>
            </w:r>
          </w:p>
        </w:tc>
        <w:tc>
          <w:tcPr>
            <w:tcW w:w="993"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49</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276" w:type="dxa"/>
            <w:vMerge/>
            <w:tcBorders>
              <w:top w:val="single" w:sz="4" w:space="0" w:color="auto"/>
              <w:left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246991">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lang w:val="kk-KZ"/>
              </w:rPr>
            </w:pPr>
            <w:r>
              <w:rPr>
                <w:rFonts w:ascii="Times New Roman" w:hAnsi="Times New Roman"/>
                <w:b w:val="0"/>
                <w:sz w:val="28"/>
                <w:szCs w:val="28"/>
              </w:rPr>
              <w:t>апоВ/</w:t>
            </w:r>
          </w:p>
          <w:p w:rsidR="00AB12B3" w:rsidRDefault="00AB12B3">
            <w:pPr>
              <w:jc w:val="center"/>
              <w:rPr>
                <w:rFonts w:ascii="Times New Roman" w:hAnsi="Times New Roman"/>
                <w:b w:val="0"/>
                <w:sz w:val="28"/>
                <w:szCs w:val="28"/>
              </w:rPr>
            </w:pPr>
            <w:r>
              <w:rPr>
                <w:rFonts w:ascii="Times New Roman" w:hAnsi="Times New Roman"/>
                <w:b w:val="0"/>
                <w:sz w:val="28"/>
                <w:szCs w:val="28"/>
              </w:rPr>
              <w:t>апоА1</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≤0,85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281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17</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623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95</w:t>
            </w:r>
          </w:p>
        </w:tc>
        <w:tc>
          <w:tcPr>
            <w:tcW w:w="127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w:t>
            </w:r>
            <w:r w:rsidRPr="006C3383">
              <w:rPr>
                <w:rFonts w:ascii="Century" w:hAnsi="Century" w:cs="Times New Roman"/>
                <w:sz w:val="28"/>
                <w:szCs w:val="28"/>
                <w:lang w:val="kk-KZ"/>
              </w:rPr>
              <w:t>,</w:t>
            </w:r>
            <w:r>
              <w:rPr>
                <w:rFonts w:ascii="Times New Roman" w:hAnsi="Times New Roman" w:cs="Times New Roman"/>
                <w:sz w:val="28"/>
                <w:szCs w:val="28"/>
                <w:lang w:val="kk-KZ"/>
              </w:rPr>
              <w:t>18</w:t>
            </w:r>
          </w:p>
        </w:tc>
      </w:tr>
      <w:tr w:rsidR="00AB12B3" w:rsidTr="00246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&gt;0,85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73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171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246991">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глюкоза</w:t>
            </w:r>
            <w:r w:rsidRPr="006C3383">
              <w:rPr>
                <w:rFonts w:ascii="Century" w:hAnsi="Century"/>
                <w:b w:val="0"/>
                <w:sz w:val="28"/>
                <w:szCs w:val="28"/>
              </w:rPr>
              <w:t xml:space="preserve">, </w:t>
            </w:r>
            <w:r>
              <w:rPr>
                <w:rFonts w:ascii="Times New Roman" w:hAnsi="Times New Roman"/>
                <w:b w:val="0"/>
                <w:sz w:val="28"/>
                <w:szCs w:val="28"/>
              </w:rPr>
              <w:t>ммоль</w:t>
            </w:r>
            <w:r w:rsidRPr="006C3383">
              <w:rPr>
                <w:rFonts w:ascii="Century" w:hAnsi="Century"/>
                <w:b w:val="0"/>
                <w:sz w:val="28"/>
                <w:szCs w:val="28"/>
              </w:rPr>
              <w:t>/</w:t>
            </w:r>
            <w:r>
              <w:rPr>
                <w:rFonts w:ascii="Times New Roman" w:hAnsi="Times New Roman"/>
                <w:b w:val="0"/>
                <w:sz w:val="28"/>
                <w:szCs w:val="28"/>
              </w:rPr>
              <w:t>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6C3383">
              <w:rPr>
                <w:rFonts w:ascii="Century" w:hAnsi="Century"/>
                <w:sz w:val="28"/>
                <w:szCs w:val="28"/>
              </w:rPr>
              <w:t>≤</w:t>
            </w:r>
            <w:r>
              <w:rPr>
                <w:rFonts w:ascii="Times New Roman" w:hAnsi="Times New Roman"/>
                <w:sz w:val="28"/>
                <w:szCs w:val="28"/>
              </w:rPr>
              <w:t>5,59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165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384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76</w:t>
            </w:r>
          </w:p>
        </w:tc>
        <w:tc>
          <w:tcPr>
            <w:tcW w:w="127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w:t>
            </w:r>
            <w:r w:rsidRPr="006C3383">
              <w:rPr>
                <w:rFonts w:ascii="Century" w:hAnsi="Century" w:cs="Times New Roman"/>
                <w:sz w:val="28"/>
                <w:szCs w:val="28"/>
                <w:lang w:val="kk-KZ"/>
              </w:rPr>
              <w:t>,</w:t>
            </w:r>
            <w:r>
              <w:rPr>
                <w:rFonts w:ascii="Times New Roman" w:hAnsi="Times New Roman" w:cs="Times New Roman"/>
                <w:sz w:val="28"/>
                <w:szCs w:val="28"/>
                <w:lang w:val="kk-KZ"/>
              </w:rPr>
              <w:t>024</w:t>
            </w:r>
          </w:p>
        </w:tc>
      </w:tr>
      <w:tr w:rsidR="00AB12B3" w:rsidTr="00246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6C3383">
              <w:rPr>
                <w:rFonts w:ascii="Century" w:hAnsi="Century"/>
                <w:sz w:val="28"/>
                <w:szCs w:val="28"/>
              </w:rPr>
              <w:t>&gt;</w:t>
            </w:r>
            <w:r>
              <w:rPr>
                <w:rFonts w:ascii="Times New Roman" w:hAnsi="Times New Roman"/>
                <w:sz w:val="28"/>
                <w:szCs w:val="28"/>
              </w:rPr>
              <w:t>5</w:t>
            </w:r>
            <w:r w:rsidRPr="006C3383">
              <w:rPr>
                <w:rFonts w:ascii="Century" w:hAnsi="Century"/>
                <w:sz w:val="28"/>
                <w:szCs w:val="28"/>
              </w:rPr>
              <w:t>,</w:t>
            </w:r>
            <w:r>
              <w:rPr>
                <w:rFonts w:ascii="Times New Roman" w:hAnsi="Times New Roman"/>
                <w:sz w:val="28"/>
                <w:szCs w:val="28"/>
              </w:rPr>
              <w:t>59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189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410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246991">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 xml:space="preserve">Инсулин, мкМЕ/мл </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≤24,9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327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731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107</w:t>
            </w:r>
          </w:p>
        </w:tc>
        <w:tc>
          <w:tcPr>
            <w:tcW w:w="127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0,025</w:t>
            </w:r>
          </w:p>
        </w:tc>
      </w:tr>
      <w:tr w:rsidR="00AB12B3" w:rsidTr="00246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&gt;24,9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27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246991">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cs="Times New Roman"/>
                <w:b w:val="0"/>
                <w:sz w:val="28"/>
                <w:szCs w:val="28"/>
              </w:rPr>
            </w:pPr>
            <w:r>
              <w:rPr>
                <w:rFonts w:ascii="Times New Roman" w:hAnsi="Times New Roman"/>
                <w:b w:val="0"/>
                <w:sz w:val="28"/>
                <w:szCs w:val="28"/>
              </w:rPr>
              <w:t>HOMA-IR</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&lt;</w:t>
            </w:r>
            <w:r>
              <w:rPr>
                <w:rFonts w:ascii="Times New Roman" w:hAnsi="Times New Roman"/>
                <w:sz w:val="28"/>
                <w:szCs w:val="28"/>
              </w:rPr>
              <w:t>2,7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219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486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64</w:t>
            </w:r>
          </w:p>
        </w:tc>
        <w:tc>
          <w:tcPr>
            <w:tcW w:w="1276"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0,11</w:t>
            </w:r>
          </w:p>
        </w:tc>
      </w:tr>
      <w:tr w:rsidR="00AB12B3" w:rsidTr="00246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sz w:val="28"/>
                <w:szCs w:val="28"/>
              </w:rPr>
              <w:t>2,7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135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308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62</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246991">
        <w:tc>
          <w:tcPr>
            <w:cnfStyle w:val="001000000000" w:firstRow="0" w:lastRow="0" w:firstColumn="1" w:lastColumn="0" w:oddVBand="0" w:evenVBand="0" w:oddHBand="0" w:evenHBand="0" w:firstRowFirstColumn="0" w:firstRowLastColumn="0" w:lastRowFirstColumn="0" w:lastRowLastColumn="0"/>
            <w:tcW w:w="9495" w:type="dxa"/>
            <w:gridSpan w:val="8"/>
            <w:tcBorders>
              <w:top w:val="single" w:sz="4" w:space="0" w:color="auto"/>
              <w:left w:val="single" w:sz="4" w:space="0" w:color="auto"/>
              <w:bottom w:val="single" w:sz="4" w:space="0" w:color="auto"/>
              <w:right w:val="single" w:sz="4" w:space="0" w:color="auto"/>
            </w:tcBorders>
            <w:hideMark/>
          </w:tcPr>
          <w:p w:rsidR="00A36C68" w:rsidRPr="00A36C68" w:rsidRDefault="00A36C68" w:rsidP="00A36C68">
            <w:pPr>
              <w:jc w:val="both"/>
              <w:rPr>
                <w:rFonts w:ascii="Times New Roman" w:hAnsi="Times New Roman"/>
                <w:b w:val="0"/>
                <w:bCs w:val="0"/>
              </w:rPr>
            </w:pPr>
            <w:r w:rsidRPr="00A36C68">
              <w:rPr>
                <w:rFonts w:ascii="Times New Roman" w:hAnsi="Times New Roman"/>
                <w:b w:val="0"/>
                <w:bCs w:val="0"/>
              </w:rPr>
              <w:t xml:space="preserve">НВ – нормальный вес; ИВ – избыточный вес; Ож – ожирение; </w:t>
            </w:r>
          </w:p>
          <w:p w:rsidR="00AB12B3" w:rsidRPr="00A36C68" w:rsidRDefault="00AB12B3">
            <w:pPr>
              <w:jc w:val="both"/>
              <w:outlineLvl w:val="0"/>
              <w:rPr>
                <w:rFonts w:ascii="Times New Roman" w:hAnsi="Times New Roman" w:cs="Times New Roman"/>
                <w:b w:val="0"/>
                <w:color w:val="050505"/>
                <w:sz w:val="24"/>
                <w:szCs w:val="24"/>
                <w:lang w:val="kk-KZ"/>
              </w:rPr>
            </w:pPr>
            <w:r w:rsidRPr="00A36C68">
              <w:rPr>
                <w:rFonts w:ascii="Times New Roman" w:hAnsi="Times New Roman" w:cs="Times New Roman"/>
                <w:b w:val="0"/>
                <w:color w:val="050505"/>
              </w:rPr>
              <w:t>* - критерий χ</w:t>
            </w:r>
            <w:r w:rsidRPr="00A36C68">
              <w:rPr>
                <w:rFonts w:ascii="Times New Roman" w:hAnsi="Times New Roman" w:cs="Times New Roman"/>
                <w:b w:val="0"/>
                <w:color w:val="050505"/>
                <w:vertAlign w:val="superscript"/>
              </w:rPr>
              <w:t>2</w:t>
            </w:r>
            <w:r w:rsidRPr="00A36C68">
              <w:rPr>
                <w:rFonts w:ascii="Times New Roman" w:hAnsi="Times New Roman" w:cs="Times New Roman"/>
                <w:b w:val="0"/>
                <w:color w:val="050505"/>
              </w:rPr>
              <w:t xml:space="preserve"> Пирсона</w:t>
            </w:r>
            <w:r w:rsidRPr="00A36C68">
              <w:rPr>
                <w:rFonts w:ascii="Times New Roman" w:hAnsi="Times New Roman" w:cs="Times New Roman"/>
                <w:b w:val="0"/>
                <w:color w:val="050505"/>
                <w:lang w:val="kk-KZ"/>
              </w:rPr>
              <w:t xml:space="preserve"> ** - </w:t>
            </w:r>
            <w:r w:rsidRPr="00A36C68">
              <w:rPr>
                <w:rFonts w:ascii="Times New Roman" w:hAnsi="Times New Roman"/>
                <w:b w:val="0"/>
              </w:rPr>
              <w:t>равновесие Харди-Вайнберга</w:t>
            </w:r>
          </w:p>
        </w:tc>
      </w:tr>
    </w:tbl>
    <w:p w:rsidR="00AB12B3" w:rsidRDefault="00AB12B3" w:rsidP="00AB12B3">
      <w:pPr>
        <w:pStyle w:val="af4"/>
        <w:spacing w:after="0" w:line="240" w:lineRule="auto"/>
        <w:ind w:left="0"/>
        <w:jc w:val="center"/>
        <w:rPr>
          <w:rFonts w:ascii="Times New Roman" w:hAnsi="Times New Roman" w:cs="Times New Roman"/>
          <w:sz w:val="28"/>
          <w:szCs w:val="28"/>
          <w:lang w:val="kk-KZ"/>
        </w:rPr>
      </w:pPr>
    </w:p>
    <w:p w:rsidR="00AB12B3" w:rsidRDefault="00AB12B3" w:rsidP="00AB12B3">
      <w:pPr>
        <w:spacing w:after="0" w:line="240" w:lineRule="auto"/>
        <w:ind w:firstLine="567"/>
        <w:jc w:val="both"/>
        <w:outlineLvl w:val="0"/>
        <w:rPr>
          <w:rFonts w:ascii="Times New Roman" w:hAnsi="Times New Roman" w:cs="Times New Roman"/>
          <w:sz w:val="28"/>
          <w:szCs w:val="28"/>
        </w:rPr>
      </w:pPr>
      <w:r>
        <w:rPr>
          <w:rFonts w:ascii="Times New Roman" w:hAnsi="Times New Roman" w:cs="Times New Roman"/>
          <w:sz w:val="28"/>
          <w:szCs w:val="24"/>
        </w:rPr>
        <w:t>По результатам наш</w:t>
      </w:r>
      <w:r w:rsidR="000219C4">
        <w:rPr>
          <w:rFonts w:ascii="Times New Roman" w:hAnsi="Times New Roman" w:cs="Times New Roman"/>
          <w:sz w:val="28"/>
          <w:szCs w:val="24"/>
          <w:lang w:val="kk-KZ"/>
        </w:rPr>
        <w:t>их</w:t>
      </w:r>
      <w:r>
        <w:rPr>
          <w:rFonts w:ascii="Times New Roman" w:hAnsi="Times New Roman" w:cs="Times New Roman"/>
          <w:sz w:val="28"/>
          <w:szCs w:val="24"/>
        </w:rPr>
        <w:t xml:space="preserve"> исследовани</w:t>
      </w:r>
      <w:r w:rsidR="000219C4">
        <w:rPr>
          <w:rFonts w:ascii="Times New Roman" w:hAnsi="Times New Roman" w:cs="Times New Roman"/>
          <w:sz w:val="28"/>
          <w:szCs w:val="24"/>
          <w:lang w:val="kk-KZ"/>
        </w:rPr>
        <w:t>й</w:t>
      </w:r>
      <w:r>
        <w:rPr>
          <w:rFonts w:ascii="Times New Roman" w:hAnsi="Times New Roman" w:cs="Times New Roman"/>
          <w:sz w:val="28"/>
          <w:szCs w:val="24"/>
        </w:rPr>
        <w:t xml:space="preserve"> полиморфизм </w:t>
      </w:r>
      <w:r>
        <w:rPr>
          <w:rFonts w:ascii="Times New Roman" w:hAnsi="Times New Roman" w:cs="Times New Roman"/>
          <w:sz w:val="28"/>
          <w:szCs w:val="28"/>
        </w:rPr>
        <w:t xml:space="preserve">Ser447Ter (rs328) гена </w:t>
      </w:r>
      <w:r>
        <w:rPr>
          <w:rFonts w:ascii="Times New Roman" w:hAnsi="Times New Roman" w:cs="Times New Roman"/>
          <w:i/>
          <w:sz w:val="28"/>
          <w:szCs w:val="28"/>
        </w:rPr>
        <w:t>LPL</w:t>
      </w:r>
      <w:r>
        <w:rPr>
          <w:rFonts w:ascii="Times New Roman" w:hAnsi="Times New Roman" w:cs="Times New Roman"/>
          <w:sz w:val="28"/>
          <w:szCs w:val="24"/>
        </w:rPr>
        <w:t xml:space="preserve"> не </w:t>
      </w:r>
      <w:r w:rsidR="000219C4">
        <w:rPr>
          <w:rFonts w:ascii="Times New Roman" w:hAnsi="Times New Roman" w:cs="Times New Roman"/>
          <w:sz w:val="28"/>
          <w:szCs w:val="24"/>
          <w:lang w:val="kk-KZ"/>
        </w:rPr>
        <w:t>информативен в качестве</w:t>
      </w:r>
      <w:r>
        <w:rPr>
          <w:rFonts w:ascii="Times New Roman" w:hAnsi="Times New Roman" w:cs="Times New Roman"/>
          <w:sz w:val="28"/>
          <w:szCs w:val="24"/>
        </w:rPr>
        <w:t xml:space="preserve"> </w:t>
      </w:r>
      <w:r w:rsidR="000219C4">
        <w:rPr>
          <w:rFonts w:ascii="Times New Roman" w:hAnsi="Times New Roman" w:cs="Times New Roman"/>
          <w:sz w:val="28"/>
          <w:szCs w:val="28"/>
        </w:rPr>
        <w:t>генетическ</w:t>
      </w:r>
      <w:r w:rsidR="000219C4">
        <w:rPr>
          <w:rFonts w:ascii="Times New Roman" w:hAnsi="Times New Roman" w:cs="Times New Roman"/>
          <w:sz w:val="28"/>
          <w:szCs w:val="28"/>
          <w:lang w:val="kk-KZ"/>
        </w:rPr>
        <w:t>ой</w:t>
      </w:r>
      <w:r w:rsidR="008E7B4F">
        <w:rPr>
          <w:rFonts w:ascii="Times New Roman" w:hAnsi="Times New Roman" w:cs="Times New Roman"/>
          <w:sz w:val="28"/>
          <w:szCs w:val="28"/>
        </w:rPr>
        <w:t xml:space="preserve"> детерминант</w:t>
      </w:r>
      <w:r w:rsidR="000219C4">
        <w:rPr>
          <w:rFonts w:ascii="Times New Roman" w:hAnsi="Times New Roman" w:cs="Times New Roman"/>
          <w:sz w:val="28"/>
          <w:szCs w:val="28"/>
          <w:lang w:val="kk-KZ"/>
        </w:rPr>
        <w:t>ы</w:t>
      </w:r>
      <w:r>
        <w:rPr>
          <w:rFonts w:ascii="Times New Roman" w:hAnsi="Times New Roman" w:cs="Times New Roman"/>
          <w:sz w:val="28"/>
          <w:szCs w:val="28"/>
        </w:rPr>
        <w:t xml:space="preserve"> риска развития дислипидемии в</w:t>
      </w:r>
      <w:r w:rsidR="005A67EC">
        <w:rPr>
          <w:rFonts w:ascii="Times New Roman" w:hAnsi="Times New Roman" w:cs="Times New Roman"/>
          <w:sz w:val="28"/>
          <w:szCs w:val="28"/>
        </w:rPr>
        <w:t xml:space="preserve"> данной </w:t>
      </w:r>
      <w:r w:rsidR="00353A56">
        <w:rPr>
          <w:rFonts w:ascii="Times New Roman" w:hAnsi="Times New Roman" w:cs="Times New Roman"/>
          <w:sz w:val="28"/>
          <w:szCs w:val="28"/>
        </w:rPr>
        <w:t>выборке</w:t>
      </w:r>
      <w:r>
        <w:rPr>
          <w:rFonts w:ascii="Times New Roman" w:hAnsi="Times New Roman" w:cs="Times New Roman"/>
          <w:sz w:val="28"/>
          <w:szCs w:val="28"/>
        </w:rPr>
        <w:t xml:space="preserve">. </w:t>
      </w:r>
    </w:p>
    <w:p w:rsidR="00AB12B3" w:rsidRDefault="00AB12B3" w:rsidP="00AB12B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Для изучения различий в фенотипических переменных </w:t>
      </w:r>
      <w:r w:rsidR="000219C4">
        <w:rPr>
          <w:rFonts w:ascii="Times New Roman" w:hAnsi="Times New Roman" w:cs="Times New Roman"/>
          <w:sz w:val="28"/>
          <w:szCs w:val="28"/>
          <w:lang w:val="kk-KZ"/>
        </w:rPr>
        <w:t>ассоциированных</w:t>
      </w:r>
      <w:r>
        <w:rPr>
          <w:rFonts w:ascii="Times New Roman" w:hAnsi="Times New Roman" w:cs="Times New Roman"/>
          <w:sz w:val="28"/>
          <w:szCs w:val="28"/>
        </w:rPr>
        <w:t xml:space="preserve"> генотипу полиморфизма Ser447Ter (rs328) гена </w:t>
      </w:r>
      <w:r>
        <w:rPr>
          <w:rFonts w:ascii="Times New Roman" w:hAnsi="Times New Roman" w:cs="Times New Roman"/>
          <w:i/>
          <w:sz w:val="28"/>
          <w:szCs w:val="28"/>
        </w:rPr>
        <w:t>LPL</w:t>
      </w:r>
      <w:r>
        <w:rPr>
          <w:rFonts w:ascii="Times New Roman" w:hAnsi="Times New Roman" w:cs="Times New Roman"/>
          <w:sz w:val="28"/>
          <w:szCs w:val="28"/>
        </w:rPr>
        <w:t xml:space="preserve"> использовал</w:t>
      </w:r>
      <w:r w:rsidR="008E7B4F">
        <w:rPr>
          <w:rFonts w:ascii="Times New Roman" w:hAnsi="Times New Roman" w:cs="Times New Roman"/>
          <w:sz w:val="28"/>
          <w:szCs w:val="28"/>
        </w:rPr>
        <w:t>а</w:t>
      </w:r>
      <w:r>
        <w:rPr>
          <w:rFonts w:ascii="Times New Roman" w:hAnsi="Times New Roman" w:cs="Times New Roman"/>
          <w:sz w:val="28"/>
          <w:szCs w:val="28"/>
        </w:rPr>
        <w:t>с</w:t>
      </w:r>
      <w:r w:rsidR="008E7B4F">
        <w:rPr>
          <w:rFonts w:ascii="Times New Roman" w:hAnsi="Times New Roman" w:cs="Times New Roman"/>
          <w:sz w:val="28"/>
          <w:szCs w:val="28"/>
        </w:rPr>
        <w:t>ь</w:t>
      </w:r>
      <w:r>
        <w:rPr>
          <w:rFonts w:ascii="Times New Roman" w:hAnsi="Times New Roman" w:cs="Times New Roman"/>
          <w:sz w:val="28"/>
          <w:szCs w:val="28"/>
        </w:rPr>
        <w:t xml:space="preserve"> </w:t>
      </w:r>
      <w:r>
        <w:rPr>
          <w:rFonts w:ascii="Times New Roman" w:hAnsi="Times New Roman" w:cs="Times New Roman"/>
          <w:sz w:val="28"/>
          <w:szCs w:val="28"/>
        </w:rPr>
        <w:lastRenderedPageBreak/>
        <w:t>логистическая регрес</w:t>
      </w:r>
      <w:r w:rsidR="00491F5A">
        <w:rPr>
          <w:rFonts w:ascii="Times New Roman" w:hAnsi="Times New Roman" w:cs="Times New Roman"/>
          <w:sz w:val="28"/>
          <w:szCs w:val="28"/>
        </w:rPr>
        <w:t>с</w:t>
      </w:r>
      <w:r>
        <w:rPr>
          <w:rFonts w:ascii="Times New Roman" w:hAnsi="Times New Roman" w:cs="Times New Roman"/>
          <w:sz w:val="28"/>
          <w:szCs w:val="28"/>
        </w:rPr>
        <w:t>ия в ко-доминантной, доминантной и рецессивной моделях (таблицы 5</w:t>
      </w:r>
      <w:r w:rsidR="003C0BEF">
        <w:rPr>
          <w:rFonts w:ascii="Times New Roman" w:hAnsi="Times New Roman" w:cs="Times New Roman"/>
          <w:sz w:val="28"/>
          <w:szCs w:val="28"/>
          <w:lang w:val="kk-KZ"/>
        </w:rPr>
        <w:t>2</w:t>
      </w:r>
      <w:r>
        <w:rPr>
          <w:rFonts w:ascii="Times New Roman" w:hAnsi="Times New Roman" w:cs="Times New Roman"/>
          <w:sz w:val="28"/>
          <w:szCs w:val="28"/>
        </w:rPr>
        <w:t>, 5</w:t>
      </w:r>
      <w:r w:rsidR="003C0BEF">
        <w:rPr>
          <w:rFonts w:ascii="Times New Roman" w:hAnsi="Times New Roman" w:cs="Times New Roman"/>
          <w:sz w:val="28"/>
          <w:szCs w:val="28"/>
          <w:lang w:val="kk-KZ"/>
        </w:rPr>
        <w:t>3</w:t>
      </w:r>
      <w:r>
        <w:rPr>
          <w:rFonts w:ascii="Times New Roman" w:hAnsi="Times New Roman" w:cs="Times New Roman"/>
          <w:sz w:val="28"/>
          <w:szCs w:val="28"/>
        </w:rPr>
        <w:t>).</w:t>
      </w:r>
    </w:p>
    <w:p w:rsidR="00132A90" w:rsidRDefault="00132A90" w:rsidP="00AB12B3">
      <w:pPr>
        <w:pStyle w:val="af4"/>
        <w:spacing w:after="0" w:line="240" w:lineRule="auto"/>
        <w:ind w:left="0"/>
        <w:jc w:val="both"/>
        <w:rPr>
          <w:rFonts w:ascii="Times New Roman" w:hAnsi="Times New Roman" w:cs="Times New Roman"/>
          <w:sz w:val="28"/>
          <w:szCs w:val="28"/>
          <w:lang w:val="kk-KZ"/>
        </w:rPr>
      </w:pPr>
    </w:p>
    <w:p w:rsidR="00AB12B3" w:rsidRDefault="00AB12B3" w:rsidP="00AB12B3">
      <w:pPr>
        <w:pStyle w:val="af4"/>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rPr>
        <w:t>Таблица 5</w:t>
      </w:r>
      <w:r w:rsidR="003C0BEF">
        <w:rPr>
          <w:rFonts w:ascii="Times New Roman" w:hAnsi="Times New Roman" w:cs="Times New Roman"/>
          <w:sz w:val="28"/>
          <w:szCs w:val="28"/>
          <w:lang w:val="kk-KZ"/>
        </w:rPr>
        <w:t>2</w:t>
      </w:r>
      <w:r w:rsidR="00B648CF">
        <w:rPr>
          <w:rFonts w:ascii="Times New Roman" w:hAnsi="Times New Roman" w:cs="Times New Roman"/>
          <w:sz w:val="28"/>
          <w:szCs w:val="28"/>
          <w:lang w:val="kk-KZ"/>
        </w:rPr>
        <w:t xml:space="preserve"> -</w:t>
      </w:r>
      <w:r>
        <w:rPr>
          <w:rFonts w:ascii="Times New Roman" w:hAnsi="Times New Roman" w:cs="Times New Roman"/>
          <w:sz w:val="28"/>
          <w:szCs w:val="28"/>
        </w:rPr>
        <w:t xml:space="preserve"> Частота генотипа полиморфизма Ser447Ter (rs328) гена </w:t>
      </w:r>
      <w:r>
        <w:rPr>
          <w:rFonts w:ascii="Times New Roman" w:hAnsi="Times New Roman" w:cs="Times New Roman"/>
          <w:i/>
          <w:sz w:val="28"/>
          <w:szCs w:val="28"/>
        </w:rPr>
        <w:t>LPL</w:t>
      </w:r>
      <w:r>
        <w:rPr>
          <w:rFonts w:ascii="Times New Roman" w:hAnsi="Times New Roman" w:cs="Times New Roman"/>
          <w:sz w:val="28"/>
          <w:szCs w:val="28"/>
        </w:rPr>
        <w:t xml:space="preserve"> по группам инсулин</w:t>
      </w:r>
      <w:r w:rsidR="007E486A">
        <w:rPr>
          <w:rFonts w:ascii="Times New Roman" w:hAnsi="Times New Roman" w:cs="Times New Roman"/>
          <w:sz w:val="28"/>
          <w:szCs w:val="28"/>
          <w:lang w:val="kk-KZ"/>
        </w:rPr>
        <w:t>а</w:t>
      </w:r>
    </w:p>
    <w:p w:rsidR="00E83EC5" w:rsidRPr="007E486A" w:rsidRDefault="00E83EC5" w:rsidP="00AB12B3">
      <w:pPr>
        <w:pStyle w:val="af4"/>
        <w:spacing w:after="0" w:line="240" w:lineRule="auto"/>
        <w:ind w:left="0"/>
        <w:jc w:val="both"/>
        <w:rPr>
          <w:rFonts w:ascii="Times New Roman" w:hAnsi="Times New Roman" w:cs="Times New Roman"/>
          <w:sz w:val="28"/>
          <w:szCs w:val="28"/>
          <w:lang w:val="kk-KZ"/>
        </w:rPr>
      </w:pPr>
    </w:p>
    <w:tbl>
      <w:tblPr>
        <w:tblStyle w:val="21"/>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416"/>
        <w:gridCol w:w="1275"/>
        <w:gridCol w:w="1275"/>
        <w:gridCol w:w="2407"/>
        <w:gridCol w:w="992"/>
      </w:tblGrid>
      <w:tr w:rsidR="00AB12B3" w:rsidTr="008E7B4F">
        <w:trPr>
          <w:cnfStyle w:val="100000000000" w:firstRow="1" w:lastRow="0" w:firstColumn="0" w:lastColumn="0" w:oddVBand="0" w:evenVBand="0" w:oddHBand="0"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auto"/>
              <w:left w:val="single" w:sz="4" w:space="0" w:color="auto"/>
              <w:right w:val="single" w:sz="4" w:space="0" w:color="auto"/>
            </w:tcBorders>
            <w:hideMark/>
          </w:tcPr>
          <w:p w:rsidR="00AB12B3" w:rsidRDefault="00AB12B3">
            <w:pPr>
              <w:pStyle w:val="af4"/>
              <w:ind w:left="0"/>
              <w:jc w:val="center"/>
              <w:rPr>
                <w:rFonts w:ascii="Times New Roman" w:hAnsi="Times New Roman" w:cs="Times New Roman"/>
                <w:b w:val="0"/>
                <w:sz w:val="28"/>
                <w:szCs w:val="28"/>
              </w:rPr>
            </w:pPr>
            <w:r>
              <w:rPr>
                <w:rFonts w:ascii="Times New Roman" w:hAnsi="Times New Roman" w:cs="Times New Roman"/>
                <w:b w:val="0"/>
                <w:sz w:val="28"/>
                <w:szCs w:val="28"/>
              </w:rPr>
              <w:t>Модель</w:t>
            </w:r>
          </w:p>
        </w:tc>
        <w:tc>
          <w:tcPr>
            <w:tcW w:w="1416" w:type="dxa"/>
            <w:tcBorders>
              <w:top w:val="single" w:sz="4" w:space="0" w:color="auto"/>
              <w:left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Генотип</w:t>
            </w:r>
          </w:p>
        </w:tc>
        <w:tc>
          <w:tcPr>
            <w:tcW w:w="1275" w:type="dxa"/>
            <w:tcBorders>
              <w:top w:val="single" w:sz="4" w:space="0" w:color="auto"/>
              <w:left w:val="single" w:sz="4" w:space="0" w:color="auto"/>
              <w:right w:val="single" w:sz="4" w:space="0" w:color="auto"/>
            </w:tcBorders>
            <w:hideMark/>
          </w:tcPr>
          <w:p w:rsidR="00AB12B3" w:rsidRDefault="00AB12B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shd w:val="clear" w:color="auto" w:fill="FFFFFF"/>
                <w:lang w:val="en-US"/>
              </w:rPr>
            </w:pPr>
            <w:r>
              <w:rPr>
                <w:rFonts w:ascii="Times New Roman" w:hAnsi="Times New Roman" w:cs="Times New Roman"/>
                <w:b w:val="0"/>
                <w:sz w:val="28"/>
                <w:szCs w:val="28"/>
              </w:rPr>
              <w:t xml:space="preserve">Инсулин </w:t>
            </w:r>
            <w:r w:rsidRPr="006C3383">
              <w:rPr>
                <w:rFonts w:ascii="Century" w:hAnsi="Century" w:cs="Times New Roman"/>
                <w:b w:val="0"/>
                <w:sz w:val="28"/>
                <w:szCs w:val="28"/>
                <w:shd w:val="clear" w:color="auto" w:fill="FFFFFF"/>
                <w:lang w:val="en-US"/>
              </w:rPr>
              <w:t>≤</w:t>
            </w:r>
            <w:r>
              <w:rPr>
                <w:rFonts w:ascii="Times New Roman" w:hAnsi="Times New Roman" w:cs="Times New Roman"/>
                <w:b w:val="0"/>
                <w:sz w:val="28"/>
                <w:szCs w:val="28"/>
                <w:shd w:val="clear" w:color="auto" w:fill="FFFFFF"/>
                <w:lang w:val="en-US"/>
              </w:rPr>
              <w:t>24</w:t>
            </w:r>
            <w:r>
              <w:rPr>
                <w:rFonts w:ascii="Times New Roman" w:hAnsi="Times New Roman" w:cs="Times New Roman"/>
                <w:b w:val="0"/>
                <w:sz w:val="28"/>
                <w:szCs w:val="28"/>
                <w:shd w:val="clear" w:color="auto" w:fill="FFFFFF"/>
              </w:rPr>
              <w:t>,</w:t>
            </w:r>
            <w:r>
              <w:rPr>
                <w:rFonts w:ascii="Times New Roman" w:hAnsi="Times New Roman" w:cs="Times New Roman"/>
                <w:b w:val="0"/>
                <w:sz w:val="28"/>
                <w:szCs w:val="28"/>
                <w:shd w:val="clear" w:color="auto" w:fill="FFFFFF"/>
                <w:lang w:val="en-US"/>
              </w:rPr>
              <w:t>9 n</w:t>
            </w:r>
          </w:p>
        </w:tc>
        <w:tc>
          <w:tcPr>
            <w:tcW w:w="1275" w:type="dxa"/>
            <w:tcBorders>
              <w:top w:val="single" w:sz="4" w:space="0" w:color="auto"/>
              <w:left w:val="single" w:sz="4" w:space="0" w:color="auto"/>
              <w:right w:val="single" w:sz="4" w:space="0" w:color="auto"/>
            </w:tcBorders>
            <w:hideMark/>
          </w:tcPr>
          <w:p w:rsidR="00AB12B3" w:rsidRDefault="00AB12B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shd w:val="clear" w:color="auto" w:fill="FFFFFF"/>
                <w:lang w:val="en-US"/>
              </w:rPr>
            </w:pPr>
            <w:r>
              <w:rPr>
                <w:rFonts w:ascii="Times New Roman" w:hAnsi="Times New Roman" w:cs="Times New Roman"/>
                <w:b w:val="0"/>
                <w:sz w:val="28"/>
                <w:szCs w:val="28"/>
                <w:shd w:val="clear" w:color="auto" w:fill="FFFFFF"/>
              </w:rPr>
              <w:t xml:space="preserve">Инсулин </w:t>
            </w:r>
            <w:r>
              <w:rPr>
                <w:rFonts w:ascii="Times New Roman" w:hAnsi="Times New Roman" w:cs="Times New Roman"/>
                <w:b w:val="0"/>
                <w:sz w:val="28"/>
                <w:szCs w:val="28"/>
                <w:shd w:val="clear" w:color="auto" w:fill="FFFFFF"/>
                <w:lang w:val="en-US"/>
              </w:rPr>
              <w:t>&gt;2</w:t>
            </w:r>
            <w:r>
              <w:rPr>
                <w:rFonts w:ascii="Times New Roman" w:hAnsi="Times New Roman" w:cs="Times New Roman"/>
                <w:b w:val="0"/>
                <w:sz w:val="28"/>
                <w:szCs w:val="28"/>
                <w:shd w:val="clear" w:color="auto" w:fill="FFFFFF"/>
              </w:rPr>
              <w:t>4,9</w:t>
            </w:r>
            <w:r>
              <w:rPr>
                <w:rFonts w:ascii="Times New Roman" w:hAnsi="Times New Roman" w:cs="Times New Roman"/>
                <w:b w:val="0"/>
                <w:sz w:val="28"/>
                <w:szCs w:val="28"/>
                <w:shd w:val="clear" w:color="auto" w:fill="FFFFFF"/>
                <w:lang w:val="en-US"/>
              </w:rPr>
              <w:t xml:space="preserve"> n</w:t>
            </w:r>
          </w:p>
        </w:tc>
        <w:tc>
          <w:tcPr>
            <w:tcW w:w="2407" w:type="dxa"/>
            <w:tcBorders>
              <w:top w:val="single" w:sz="4" w:space="0" w:color="auto"/>
              <w:left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lang w:val="en-US"/>
              </w:rPr>
            </w:pPr>
            <w:r>
              <w:rPr>
                <w:rFonts w:ascii="Times New Roman" w:hAnsi="Times New Roman" w:cs="Times New Roman"/>
                <w:b w:val="0"/>
                <w:sz w:val="28"/>
                <w:szCs w:val="28"/>
              </w:rPr>
              <w:t>ОШ (95% ДИ)</w:t>
            </w:r>
          </w:p>
        </w:tc>
        <w:tc>
          <w:tcPr>
            <w:tcW w:w="992" w:type="dxa"/>
            <w:tcBorders>
              <w:top w:val="single" w:sz="4" w:space="0" w:color="auto"/>
              <w:left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lang w:val="en-US"/>
              </w:rPr>
              <w:t>p</w:t>
            </w:r>
          </w:p>
        </w:tc>
      </w:tr>
      <w:tr w:rsidR="00AB12B3" w:rsidTr="008E7B4F">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2235" w:type="dxa"/>
            <w:vMerge w:val="restart"/>
            <w:tcBorders>
              <w:left w:val="single" w:sz="4" w:space="0" w:color="auto"/>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sz w:val="28"/>
                <w:szCs w:val="28"/>
              </w:rPr>
              <w:t>Ко-доминант</w:t>
            </w:r>
          </w:p>
        </w:tc>
        <w:tc>
          <w:tcPr>
            <w:tcW w:w="1416" w:type="dxa"/>
            <w:tcBorders>
              <w:left w:val="single" w:sz="4" w:space="0" w:color="auto"/>
              <w:right w:val="single" w:sz="4" w:space="0" w:color="auto"/>
            </w:tcBorders>
            <w:hideMark/>
          </w:tcPr>
          <w:p w:rsidR="00AB12B3" w:rsidRDefault="00AB12B3">
            <w:pPr>
              <w:pStyle w:val="af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C/C</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327</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27</w:t>
            </w:r>
          </w:p>
        </w:tc>
        <w:tc>
          <w:tcPr>
            <w:tcW w:w="2407"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1</w:t>
            </w:r>
            <w:r>
              <w:rPr>
                <w:rFonts w:ascii="Times New Roman" w:hAnsi="Times New Roman" w:cs="Times New Roman"/>
                <w:sz w:val="28"/>
                <w:szCs w:val="28"/>
              </w:rPr>
              <w:t>,</w:t>
            </w:r>
            <w:r>
              <w:rPr>
                <w:rFonts w:ascii="Times New Roman" w:hAnsi="Times New Roman" w:cs="Times New Roman"/>
                <w:sz w:val="28"/>
                <w:szCs w:val="28"/>
                <w:lang w:val="en-US"/>
              </w:rPr>
              <w:t>0</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084</w:t>
            </w:r>
          </w:p>
        </w:tc>
      </w:tr>
      <w:tr w:rsidR="00AB12B3" w:rsidTr="008E7B4F">
        <w:trPr>
          <w:trHeight w:val="146"/>
        </w:trPr>
        <w:tc>
          <w:tcPr>
            <w:cnfStyle w:val="001000000000" w:firstRow="0" w:lastRow="0" w:firstColumn="1" w:lastColumn="0" w:oddVBand="0" w:evenVBand="0" w:oddHBand="0" w:evenHBand="0" w:firstRowFirstColumn="0" w:firstRowLastColumn="0" w:lastRowFirstColumn="0" w:lastRowLastColumn="0"/>
            <w:tcW w:w="2235" w:type="dxa"/>
            <w:vMerge/>
            <w:tcBorders>
              <w:top w:val="single" w:sz="4" w:space="0" w:color="7F7F7F" w:themeColor="text1" w:themeTint="80"/>
              <w:left w:val="single" w:sz="4" w:space="0" w:color="auto"/>
              <w:bottom w:val="single" w:sz="4" w:space="0" w:color="7F7F7F" w:themeColor="text1" w:themeTint="80"/>
              <w:right w:val="single" w:sz="4" w:space="0" w:color="auto"/>
            </w:tcBorders>
            <w:vAlign w:val="center"/>
            <w:hideMark/>
          </w:tcPr>
          <w:p w:rsidR="00AB12B3" w:rsidRDefault="00AB12B3">
            <w:pPr>
              <w:rPr>
                <w:rFonts w:ascii="Times New Roman" w:hAnsi="Times New Roman" w:cs="Times New Roman"/>
                <w:sz w:val="28"/>
                <w:szCs w:val="28"/>
              </w:rPr>
            </w:pPr>
          </w:p>
        </w:tc>
        <w:tc>
          <w:tcPr>
            <w:tcW w:w="1416"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C/G</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77</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9</w:t>
            </w:r>
          </w:p>
        </w:tc>
        <w:tc>
          <w:tcPr>
            <w:tcW w:w="2407"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72 (0</w:t>
            </w:r>
            <w:r>
              <w:rPr>
                <w:rFonts w:ascii="Times New Roman" w:hAnsi="Times New Roman" w:cs="Times New Roman"/>
                <w:sz w:val="28"/>
                <w:szCs w:val="28"/>
              </w:rPr>
              <w:t>,</w:t>
            </w:r>
            <w:r>
              <w:rPr>
                <w:rFonts w:ascii="Times New Roman" w:hAnsi="Times New Roman" w:cs="Times New Roman"/>
                <w:sz w:val="28"/>
                <w:szCs w:val="28"/>
                <w:lang w:val="en-US"/>
              </w:rPr>
              <w:t>33 – 1</w:t>
            </w:r>
            <w:r>
              <w:rPr>
                <w:rFonts w:ascii="Times New Roman" w:hAnsi="Times New Roman" w:cs="Times New Roman"/>
                <w:sz w:val="28"/>
                <w:szCs w:val="28"/>
              </w:rPr>
              <w:t>,</w:t>
            </w:r>
            <w:r>
              <w:rPr>
                <w:rFonts w:ascii="Times New Roman" w:hAnsi="Times New Roman" w:cs="Times New Roman"/>
                <w:sz w:val="28"/>
                <w:szCs w:val="28"/>
                <w:lang w:val="en-US"/>
              </w:rPr>
              <w:t>6)</w:t>
            </w:r>
          </w:p>
        </w:tc>
        <w:tc>
          <w:tcPr>
            <w:tcW w:w="992" w:type="dxa"/>
            <w:tcBorders>
              <w:top w:val="single" w:sz="4" w:space="0" w:color="auto"/>
              <w:left w:val="single" w:sz="4" w:space="0" w:color="auto"/>
              <w:bottom w:val="single" w:sz="4" w:space="0" w:color="auto"/>
              <w:right w:val="single" w:sz="4" w:space="0" w:color="auto"/>
            </w:tcBorders>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p>
        </w:tc>
      </w:tr>
      <w:tr w:rsidR="00AB12B3" w:rsidTr="008E7B4F">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2235" w:type="dxa"/>
            <w:vMerge/>
            <w:tcBorders>
              <w:left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416" w:type="dxa"/>
            <w:tcBorders>
              <w:left w:val="single" w:sz="4" w:space="0" w:color="auto"/>
              <w:right w:val="single" w:sz="4" w:space="0" w:color="auto"/>
            </w:tcBorders>
            <w:hideMark/>
          </w:tcPr>
          <w:p w:rsidR="00AB12B3" w:rsidRDefault="00AB12B3">
            <w:pPr>
              <w:pStyle w:val="af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G/G</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15</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2407"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26 (0</w:t>
            </w:r>
            <w:r>
              <w:rPr>
                <w:rFonts w:ascii="Times New Roman" w:hAnsi="Times New Roman" w:cs="Times New Roman"/>
                <w:sz w:val="28"/>
                <w:szCs w:val="28"/>
              </w:rPr>
              <w:t>,</w:t>
            </w:r>
            <w:r>
              <w:rPr>
                <w:rFonts w:ascii="Times New Roman" w:hAnsi="Times New Roman" w:cs="Times New Roman"/>
                <w:sz w:val="28"/>
                <w:szCs w:val="28"/>
                <w:lang w:val="en-US"/>
              </w:rPr>
              <w:t>009 – 0</w:t>
            </w:r>
            <w:r>
              <w:rPr>
                <w:rFonts w:ascii="Times New Roman" w:hAnsi="Times New Roman" w:cs="Times New Roman"/>
                <w:sz w:val="28"/>
                <w:szCs w:val="28"/>
              </w:rPr>
              <w:t>,</w:t>
            </w:r>
            <w:r>
              <w:rPr>
                <w:rFonts w:ascii="Times New Roman" w:hAnsi="Times New Roman" w:cs="Times New Roman"/>
                <w:sz w:val="28"/>
                <w:szCs w:val="28"/>
                <w:lang w:val="en-US"/>
              </w:rPr>
              <w:t>79)</w:t>
            </w:r>
          </w:p>
        </w:tc>
        <w:tc>
          <w:tcPr>
            <w:tcW w:w="992" w:type="dxa"/>
            <w:tcBorders>
              <w:left w:val="single" w:sz="4" w:space="0" w:color="auto"/>
              <w:right w:val="single" w:sz="4" w:space="0" w:color="auto"/>
            </w:tcBorders>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p>
        </w:tc>
      </w:tr>
      <w:tr w:rsidR="00AB12B3" w:rsidTr="008E7B4F">
        <w:trPr>
          <w:trHeight w:val="351"/>
        </w:trPr>
        <w:tc>
          <w:tcPr>
            <w:cnfStyle w:val="001000000000" w:firstRow="0" w:lastRow="0" w:firstColumn="1" w:lastColumn="0" w:oddVBand="0" w:evenVBand="0" w:oddHBand="0" w:evenHBand="0" w:firstRowFirstColumn="0" w:firstRowLastColumn="0" w:lastRowFirstColumn="0" w:lastRowLastColumn="0"/>
            <w:tcW w:w="2235"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sz w:val="28"/>
                <w:szCs w:val="28"/>
              </w:rPr>
              <w:t>Доминант</w:t>
            </w:r>
          </w:p>
        </w:tc>
        <w:tc>
          <w:tcPr>
            <w:tcW w:w="1416"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C/C</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327</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27</w:t>
            </w:r>
          </w:p>
        </w:tc>
        <w:tc>
          <w:tcPr>
            <w:tcW w:w="2407"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1</w:t>
            </w:r>
            <w:r>
              <w:rPr>
                <w:rFonts w:ascii="Times New Roman" w:hAnsi="Times New Roman" w:cs="Times New Roman"/>
                <w:sz w:val="28"/>
                <w:szCs w:val="28"/>
              </w:rPr>
              <w:t>,</w:t>
            </w:r>
            <w:r>
              <w:rPr>
                <w:rFonts w:ascii="Times New Roman" w:hAnsi="Times New Roman" w:cs="Times New Roman"/>
                <w:sz w:val="28"/>
                <w:szCs w:val="28"/>
                <w:lang w:val="en-US"/>
              </w:rPr>
              <w:t>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11</w:t>
            </w:r>
          </w:p>
        </w:tc>
      </w:tr>
      <w:tr w:rsidR="00AB12B3" w:rsidTr="008E7B4F">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2235" w:type="dxa"/>
            <w:vMerge/>
            <w:tcBorders>
              <w:top w:val="single" w:sz="4" w:space="0" w:color="auto"/>
              <w:left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416" w:type="dxa"/>
            <w:tcBorders>
              <w:left w:val="single" w:sz="4" w:space="0" w:color="auto"/>
              <w:right w:val="single" w:sz="4" w:space="0" w:color="auto"/>
            </w:tcBorders>
            <w:hideMark/>
          </w:tcPr>
          <w:p w:rsidR="00AB12B3" w:rsidRDefault="00AB12B3">
            <w:pPr>
              <w:pStyle w:val="af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 xml:space="preserve">C/G </w:t>
            </w:r>
            <w:r w:rsidR="00C16F07">
              <w:rPr>
                <w:rFonts w:ascii="Times New Roman" w:hAnsi="Times New Roman" w:cs="Times New Roman"/>
                <w:sz w:val="28"/>
                <w:szCs w:val="28"/>
                <w:lang w:val="en-US"/>
              </w:rPr>
              <w:t>–</w:t>
            </w:r>
            <w:r>
              <w:rPr>
                <w:rFonts w:ascii="Times New Roman" w:hAnsi="Times New Roman" w:cs="Times New Roman"/>
                <w:sz w:val="28"/>
                <w:szCs w:val="28"/>
                <w:lang w:val="en-US"/>
              </w:rPr>
              <w:t xml:space="preserve"> G/G</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92</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14</w:t>
            </w:r>
          </w:p>
        </w:tc>
        <w:tc>
          <w:tcPr>
            <w:tcW w:w="2407"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56 (0</w:t>
            </w:r>
            <w:r>
              <w:rPr>
                <w:rFonts w:ascii="Times New Roman" w:hAnsi="Times New Roman" w:cs="Times New Roman"/>
                <w:sz w:val="28"/>
                <w:szCs w:val="28"/>
              </w:rPr>
              <w:t>,</w:t>
            </w:r>
            <w:r>
              <w:rPr>
                <w:rFonts w:ascii="Times New Roman" w:hAnsi="Times New Roman" w:cs="Times New Roman"/>
                <w:sz w:val="28"/>
                <w:szCs w:val="28"/>
                <w:lang w:val="en-US"/>
              </w:rPr>
              <w:t>28 – 1</w:t>
            </w:r>
            <w:r>
              <w:rPr>
                <w:rFonts w:ascii="Times New Roman" w:hAnsi="Times New Roman" w:cs="Times New Roman"/>
                <w:sz w:val="28"/>
                <w:szCs w:val="28"/>
              </w:rPr>
              <w:t>,</w:t>
            </w:r>
            <w:r>
              <w:rPr>
                <w:rFonts w:ascii="Times New Roman" w:hAnsi="Times New Roman" w:cs="Times New Roman"/>
                <w:sz w:val="28"/>
                <w:szCs w:val="28"/>
                <w:lang w:val="en-US"/>
              </w:rPr>
              <w:t>12)</w:t>
            </w:r>
          </w:p>
        </w:tc>
        <w:tc>
          <w:tcPr>
            <w:tcW w:w="992" w:type="dxa"/>
            <w:tcBorders>
              <w:left w:val="single" w:sz="4" w:space="0" w:color="auto"/>
              <w:right w:val="single" w:sz="4" w:space="0" w:color="auto"/>
            </w:tcBorders>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p>
        </w:tc>
      </w:tr>
      <w:tr w:rsidR="00AB12B3" w:rsidTr="008E7B4F">
        <w:trPr>
          <w:trHeight w:val="378"/>
        </w:trPr>
        <w:tc>
          <w:tcPr>
            <w:cnfStyle w:val="001000000000" w:firstRow="0" w:lastRow="0" w:firstColumn="1" w:lastColumn="0" w:oddVBand="0" w:evenVBand="0" w:oddHBand="0" w:evenHBand="0" w:firstRowFirstColumn="0" w:firstRowLastColumn="0" w:lastRowFirstColumn="0" w:lastRowLastColumn="0"/>
            <w:tcW w:w="2235"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sz w:val="28"/>
                <w:szCs w:val="28"/>
              </w:rPr>
              <w:t>Рецессив</w:t>
            </w:r>
          </w:p>
        </w:tc>
        <w:tc>
          <w:tcPr>
            <w:tcW w:w="1416"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 xml:space="preserve">C/C </w:t>
            </w:r>
            <w:r w:rsidR="00C16F07">
              <w:rPr>
                <w:rFonts w:ascii="Times New Roman" w:hAnsi="Times New Roman" w:cs="Times New Roman"/>
                <w:sz w:val="28"/>
                <w:szCs w:val="28"/>
                <w:lang w:val="en-US"/>
              </w:rPr>
              <w:t>–</w:t>
            </w:r>
            <w:r>
              <w:rPr>
                <w:rFonts w:ascii="Times New Roman" w:hAnsi="Times New Roman" w:cs="Times New Roman"/>
                <w:sz w:val="28"/>
                <w:szCs w:val="28"/>
                <w:lang w:val="en-US"/>
              </w:rPr>
              <w:t xml:space="preserve"> C/G</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404</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36</w:t>
            </w:r>
          </w:p>
        </w:tc>
        <w:tc>
          <w:tcPr>
            <w:tcW w:w="2407"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1</w:t>
            </w:r>
            <w:r>
              <w:rPr>
                <w:rFonts w:ascii="Times New Roman" w:hAnsi="Times New Roman" w:cs="Times New Roman"/>
                <w:sz w:val="28"/>
                <w:szCs w:val="28"/>
              </w:rPr>
              <w:t>,</w:t>
            </w:r>
            <w:r>
              <w:rPr>
                <w:rFonts w:ascii="Times New Roman" w:hAnsi="Times New Roman" w:cs="Times New Roman"/>
                <w:sz w:val="28"/>
                <w:szCs w:val="28"/>
                <w:lang w:val="en-US"/>
              </w:rPr>
              <w:t>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037</w:t>
            </w:r>
          </w:p>
        </w:tc>
      </w:tr>
      <w:tr w:rsidR="00AB12B3" w:rsidTr="008E7B4F">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2235" w:type="dxa"/>
            <w:vMerge/>
            <w:tcBorders>
              <w:top w:val="single" w:sz="4" w:space="0" w:color="auto"/>
              <w:left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416" w:type="dxa"/>
            <w:tcBorders>
              <w:left w:val="single" w:sz="4" w:space="0" w:color="auto"/>
              <w:right w:val="single" w:sz="4" w:space="0" w:color="auto"/>
            </w:tcBorders>
            <w:hideMark/>
          </w:tcPr>
          <w:p w:rsidR="00AB12B3" w:rsidRDefault="00AB12B3">
            <w:pPr>
              <w:pStyle w:val="af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G/G</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15</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2407"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28 (0</w:t>
            </w:r>
            <w:r>
              <w:rPr>
                <w:rFonts w:ascii="Times New Roman" w:hAnsi="Times New Roman" w:cs="Times New Roman"/>
                <w:sz w:val="28"/>
                <w:szCs w:val="28"/>
              </w:rPr>
              <w:t>,</w:t>
            </w:r>
            <w:r>
              <w:rPr>
                <w:rFonts w:ascii="Times New Roman" w:hAnsi="Times New Roman" w:cs="Times New Roman"/>
                <w:sz w:val="28"/>
                <w:szCs w:val="28"/>
                <w:lang w:val="en-US"/>
              </w:rPr>
              <w:t>1 – 0</w:t>
            </w:r>
            <w:r>
              <w:rPr>
                <w:rFonts w:ascii="Times New Roman" w:hAnsi="Times New Roman" w:cs="Times New Roman"/>
                <w:sz w:val="28"/>
                <w:szCs w:val="28"/>
              </w:rPr>
              <w:t>,</w:t>
            </w:r>
            <w:r>
              <w:rPr>
                <w:rFonts w:ascii="Times New Roman" w:hAnsi="Times New Roman" w:cs="Times New Roman"/>
                <w:sz w:val="28"/>
                <w:szCs w:val="28"/>
                <w:lang w:val="en-US"/>
              </w:rPr>
              <w:t>84)</w:t>
            </w:r>
          </w:p>
        </w:tc>
        <w:tc>
          <w:tcPr>
            <w:tcW w:w="992" w:type="dxa"/>
            <w:tcBorders>
              <w:left w:val="single" w:sz="4" w:space="0" w:color="auto"/>
              <w:right w:val="single" w:sz="4" w:space="0" w:color="auto"/>
            </w:tcBorders>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p>
        </w:tc>
      </w:tr>
      <w:tr w:rsidR="00AB12B3" w:rsidTr="008E7B4F">
        <w:trPr>
          <w:trHeight w:val="288"/>
        </w:trPr>
        <w:tc>
          <w:tcPr>
            <w:cnfStyle w:val="001000000000" w:firstRow="0" w:lastRow="0" w:firstColumn="1" w:lastColumn="0" w:oddVBand="0" w:evenVBand="0" w:oddHBand="0" w:evenHBand="0" w:firstRowFirstColumn="0" w:firstRowLastColumn="0" w:lastRowFirstColumn="0" w:lastRowLastColumn="0"/>
            <w:tcW w:w="2235"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sz w:val="28"/>
                <w:szCs w:val="28"/>
              </w:rPr>
              <w:t>Сверх-доминант</w:t>
            </w:r>
          </w:p>
        </w:tc>
        <w:tc>
          <w:tcPr>
            <w:tcW w:w="1416"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 xml:space="preserve">C/C </w:t>
            </w:r>
            <w:r w:rsidR="00C16F07">
              <w:rPr>
                <w:rFonts w:ascii="Times New Roman" w:hAnsi="Times New Roman" w:cs="Times New Roman"/>
                <w:sz w:val="28"/>
                <w:szCs w:val="28"/>
                <w:lang w:val="en-US"/>
              </w:rPr>
              <w:t>–</w:t>
            </w:r>
            <w:r>
              <w:rPr>
                <w:rFonts w:ascii="Times New Roman" w:hAnsi="Times New Roman" w:cs="Times New Roman"/>
                <w:sz w:val="28"/>
                <w:szCs w:val="28"/>
                <w:lang w:val="en-US"/>
              </w:rPr>
              <w:t xml:space="preserve"> G/G</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342</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32</w:t>
            </w:r>
          </w:p>
        </w:tc>
        <w:tc>
          <w:tcPr>
            <w:tcW w:w="2407"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1</w:t>
            </w:r>
            <w:r>
              <w:rPr>
                <w:rFonts w:ascii="Times New Roman" w:hAnsi="Times New Roman" w:cs="Times New Roman"/>
                <w:sz w:val="28"/>
                <w:szCs w:val="28"/>
              </w:rPr>
              <w:t>,</w:t>
            </w:r>
            <w:r>
              <w:rPr>
                <w:rFonts w:ascii="Times New Roman" w:hAnsi="Times New Roman" w:cs="Times New Roman"/>
                <w:sz w:val="28"/>
                <w:szCs w:val="28"/>
                <w:lang w:val="en-US"/>
              </w:rPr>
              <w:t>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62</w:t>
            </w:r>
          </w:p>
        </w:tc>
      </w:tr>
      <w:tr w:rsidR="00AB12B3" w:rsidTr="008E7B4F">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2235" w:type="dxa"/>
            <w:vMerge/>
            <w:tcBorders>
              <w:top w:val="single" w:sz="4" w:space="0" w:color="auto"/>
              <w:left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416" w:type="dxa"/>
            <w:tcBorders>
              <w:left w:val="single" w:sz="4" w:space="0" w:color="auto"/>
              <w:right w:val="single" w:sz="4" w:space="0" w:color="auto"/>
            </w:tcBorders>
            <w:hideMark/>
          </w:tcPr>
          <w:p w:rsidR="00AB12B3" w:rsidRDefault="00AB12B3">
            <w:pPr>
              <w:pStyle w:val="af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C/G</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77</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9</w:t>
            </w:r>
          </w:p>
        </w:tc>
        <w:tc>
          <w:tcPr>
            <w:tcW w:w="2407"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82 (0</w:t>
            </w:r>
            <w:r>
              <w:rPr>
                <w:rFonts w:ascii="Times New Roman" w:hAnsi="Times New Roman" w:cs="Times New Roman"/>
                <w:sz w:val="28"/>
                <w:szCs w:val="28"/>
              </w:rPr>
              <w:t>,</w:t>
            </w:r>
            <w:r>
              <w:rPr>
                <w:rFonts w:ascii="Times New Roman" w:hAnsi="Times New Roman" w:cs="Times New Roman"/>
                <w:sz w:val="28"/>
                <w:szCs w:val="28"/>
                <w:lang w:val="en-US"/>
              </w:rPr>
              <w:t>37 – 1</w:t>
            </w:r>
            <w:r>
              <w:rPr>
                <w:rFonts w:ascii="Times New Roman" w:hAnsi="Times New Roman" w:cs="Times New Roman"/>
                <w:sz w:val="28"/>
                <w:szCs w:val="28"/>
              </w:rPr>
              <w:t>,</w:t>
            </w:r>
            <w:r>
              <w:rPr>
                <w:rFonts w:ascii="Times New Roman" w:hAnsi="Times New Roman" w:cs="Times New Roman"/>
                <w:sz w:val="28"/>
                <w:szCs w:val="28"/>
                <w:lang w:val="en-US"/>
              </w:rPr>
              <w:t>79)</w:t>
            </w:r>
          </w:p>
        </w:tc>
        <w:tc>
          <w:tcPr>
            <w:tcW w:w="992" w:type="dxa"/>
            <w:tcBorders>
              <w:left w:val="single" w:sz="4" w:space="0" w:color="auto"/>
              <w:right w:val="single" w:sz="4" w:space="0" w:color="auto"/>
            </w:tcBorders>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p>
        </w:tc>
      </w:tr>
      <w:tr w:rsidR="00AB12B3" w:rsidTr="008E7B4F">
        <w:trPr>
          <w:trHeight w:val="584"/>
        </w:trPr>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sz w:val="28"/>
                <w:szCs w:val="28"/>
              </w:rPr>
              <w:t>Логистическая регрессия</w:t>
            </w:r>
          </w:p>
        </w:tc>
        <w:tc>
          <w:tcPr>
            <w:tcW w:w="1416" w:type="dxa"/>
            <w:tcBorders>
              <w:top w:val="single" w:sz="4" w:space="0" w:color="auto"/>
              <w:left w:val="single" w:sz="4" w:space="0" w:color="auto"/>
              <w:bottom w:val="single" w:sz="4" w:space="0" w:color="auto"/>
              <w:right w:val="single" w:sz="4" w:space="0" w:color="auto"/>
            </w:tcBorders>
          </w:tcPr>
          <w:p w:rsidR="00AB12B3" w:rsidRDefault="00AB12B3">
            <w:pPr>
              <w:pStyle w:val="af4"/>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p>
        </w:tc>
        <w:tc>
          <w:tcPr>
            <w:tcW w:w="1275" w:type="dxa"/>
            <w:tcBorders>
              <w:top w:val="single" w:sz="4" w:space="0" w:color="auto"/>
              <w:left w:val="single" w:sz="4" w:space="0" w:color="auto"/>
              <w:bottom w:val="single" w:sz="4" w:space="0" w:color="auto"/>
              <w:right w:val="single" w:sz="4" w:space="0" w:color="auto"/>
            </w:tcBorders>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p>
        </w:tc>
        <w:tc>
          <w:tcPr>
            <w:tcW w:w="1275" w:type="dxa"/>
            <w:tcBorders>
              <w:top w:val="single" w:sz="4" w:space="0" w:color="auto"/>
              <w:left w:val="single" w:sz="4" w:space="0" w:color="auto"/>
              <w:bottom w:val="single" w:sz="4" w:space="0" w:color="auto"/>
              <w:right w:val="single" w:sz="4" w:space="0" w:color="auto"/>
            </w:tcBorders>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p>
        </w:tc>
        <w:tc>
          <w:tcPr>
            <w:tcW w:w="2407"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57 (0</w:t>
            </w:r>
            <w:r>
              <w:rPr>
                <w:rFonts w:ascii="Times New Roman" w:hAnsi="Times New Roman" w:cs="Times New Roman"/>
                <w:sz w:val="28"/>
                <w:szCs w:val="28"/>
              </w:rPr>
              <w:t>,</w:t>
            </w:r>
            <w:r>
              <w:rPr>
                <w:rFonts w:ascii="Times New Roman" w:hAnsi="Times New Roman" w:cs="Times New Roman"/>
                <w:sz w:val="28"/>
                <w:szCs w:val="28"/>
                <w:lang w:val="en-US"/>
              </w:rPr>
              <w:t>35 – 0</w:t>
            </w:r>
            <w:r>
              <w:rPr>
                <w:rFonts w:ascii="Times New Roman" w:hAnsi="Times New Roman" w:cs="Times New Roman"/>
                <w:sz w:val="28"/>
                <w:szCs w:val="28"/>
              </w:rPr>
              <w:t>,</w:t>
            </w:r>
            <w:r>
              <w:rPr>
                <w:rFonts w:ascii="Times New Roman" w:hAnsi="Times New Roman" w:cs="Times New Roman"/>
                <w:sz w:val="28"/>
                <w:szCs w:val="28"/>
                <w:lang w:val="en-US"/>
              </w:rPr>
              <w:t>94)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037</w:t>
            </w:r>
          </w:p>
        </w:tc>
      </w:tr>
      <w:tr w:rsidR="00AB12B3" w:rsidTr="008E7B4F">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9600" w:type="dxa"/>
            <w:gridSpan w:val="6"/>
            <w:tcBorders>
              <w:top w:val="single" w:sz="4" w:space="0" w:color="auto"/>
              <w:left w:val="single" w:sz="4" w:space="0" w:color="auto"/>
              <w:bottom w:val="single" w:sz="4" w:space="0" w:color="auto"/>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b w:val="0"/>
                <w:szCs w:val="24"/>
              </w:rPr>
              <w:t>ОШ (</w:t>
            </w:r>
            <w:r>
              <w:rPr>
                <w:rFonts w:ascii="Times New Roman" w:hAnsi="Times New Roman" w:cs="Times New Roman"/>
                <w:b w:val="0"/>
                <w:szCs w:val="24"/>
              </w:rPr>
              <w:t xml:space="preserve">95% </w:t>
            </w:r>
            <w:r>
              <w:rPr>
                <w:rFonts w:ascii="Times New Roman" w:hAnsi="Times New Roman"/>
                <w:b w:val="0"/>
                <w:szCs w:val="24"/>
              </w:rPr>
              <w:t>ДИ) – Отношение шансов (</w:t>
            </w:r>
            <w:r>
              <w:rPr>
                <w:rFonts w:ascii="Times New Roman" w:hAnsi="Times New Roman" w:cs="Times New Roman"/>
                <w:b w:val="0"/>
                <w:szCs w:val="24"/>
              </w:rPr>
              <w:t xml:space="preserve">95% </w:t>
            </w:r>
            <w:r>
              <w:rPr>
                <w:rFonts w:ascii="Times New Roman" w:hAnsi="Times New Roman"/>
                <w:b w:val="0"/>
                <w:szCs w:val="24"/>
              </w:rPr>
              <w:t>Доверительный интервал)</w:t>
            </w:r>
          </w:p>
        </w:tc>
      </w:tr>
    </w:tbl>
    <w:p w:rsidR="00AB12B3" w:rsidRDefault="00AB12B3" w:rsidP="00AB12B3">
      <w:pPr>
        <w:spacing w:after="0" w:line="240" w:lineRule="auto"/>
        <w:ind w:firstLine="708"/>
        <w:jc w:val="both"/>
        <w:rPr>
          <w:rFonts w:ascii="Times New Roman" w:hAnsi="Times New Roman" w:cs="Times New Roman"/>
          <w:sz w:val="28"/>
          <w:szCs w:val="28"/>
        </w:rPr>
      </w:pPr>
    </w:p>
    <w:p w:rsidR="00AB12B3" w:rsidRDefault="000219C4" w:rsidP="00AB12B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Согласно расчетам</w:t>
      </w:r>
      <w:r w:rsidR="00AB12B3">
        <w:rPr>
          <w:rFonts w:ascii="Times New Roman" w:hAnsi="Times New Roman" w:cs="Times New Roman"/>
          <w:sz w:val="28"/>
          <w:szCs w:val="28"/>
          <w:lang w:val="kk-KZ"/>
        </w:rPr>
        <w:t xml:space="preserve"> риск</w:t>
      </w:r>
      <w:r>
        <w:rPr>
          <w:rFonts w:ascii="Times New Roman" w:hAnsi="Times New Roman" w:cs="Times New Roman"/>
          <w:sz w:val="28"/>
          <w:szCs w:val="28"/>
          <w:lang w:val="kk-KZ"/>
        </w:rPr>
        <w:t xml:space="preserve"> развития</w:t>
      </w:r>
      <w:r w:rsidR="00AB12B3">
        <w:rPr>
          <w:rFonts w:ascii="Times New Roman" w:hAnsi="Times New Roman" w:cs="Times New Roman"/>
          <w:sz w:val="28"/>
          <w:szCs w:val="28"/>
          <w:lang w:val="kk-KZ"/>
        </w:rPr>
        <w:t xml:space="preserve"> гиперинсулинемии</w:t>
      </w:r>
      <w:r w:rsidR="00AD783E">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был</w:t>
      </w:r>
      <w:r w:rsidR="00AD783E">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значительно</w:t>
      </w:r>
      <w:r w:rsidR="00AD783E">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ниже у носителей</w:t>
      </w:r>
      <w:r w:rsidR="00AD783E">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аллеля G полиморфизма Ser447Ter гена</w:t>
      </w:r>
      <w:r w:rsidR="00AD783E">
        <w:rPr>
          <w:rFonts w:ascii="Times New Roman" w:hAnsi="Times New Roman" w:cs="Times New Roman"/>
          <w:sz w:val="28"/>
          <w:szCs w:val="28"/>
          <w:lang w:val="kk-KZ"/>
        </w:rPr>
        <w:t xml:space="preserve"> </w:t>
      </w:r>
      <w:r w:rsidR="00AB12B3">
        <w:rPr>
          <w:rFonts w:ascii="Times New Roman" w:hAnsi="Times New Roman" w:cs="Times New Roman"/>
          <w:i/>
          <w:sz w:val="28"/>
          <w:szCs w:val="28"/>
          <w:lang w:val="kk-KZ"/>
        </w:rPr>
        <w:t>LPL</w:t>
      </w:r>
      <w:r w:rsidR="00AB12B3">
        <w:rPr>
          <w:rFonts w:ascii="Times New Roman" w:hAnsi="Times New Roman" w:cs="Times New Roman"/>
          <w:sz w:val="28"/>
          <w:szCs w:val="28"/>
          <w:lang w:val="kk-KZ"/>
        </w:rPr>
        <w:t>, чем у носителей с генотип</w:t>
      </w:r>
      <w:r w:rsidR="008E7B4F">
        <w:rPr>
          <w:rFonts w:ascii="Times New Roman" w:hAnsi="Times New Roman" w:cs="Times New Roman"/>
          <w:sz w:val="28"/>
          <w:szCs w:val="28"/>
          <w:lang w:val="kk-KZ"/>
        </w:rPr>
        <w:t>а</w:t>
      </w:r>
      <w:r w:rsidR="00AB12B3">
        <w:rPr>
          <w:rFonts w:ascii="Times New Roman" w:hAnsi="Times New Roman" w:cs="Times New Roman"/>
          <w:sz w:val="28"/>
          <w:szCs w:val="28"/>
          <w:lang w:val="kk-KZ"/>
        </w:rPr>
        <w:t xml:space="preserve"> C/C (C/G + G/G по</w:t>
      </w:r>
      <w:r w:rsidR="00AD783E">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 xml:space="preserve">сравнению с C/C), скорректированный ОШ= 0,57 (95% ДИ 0,35 </w:t>
      </w:r>
      <w:r w:rsidR="00C16F07">
        <w:rPr>
          <w:rFonts w:ascii="Times New Roman" w:hAnsi="Times New Roman" w:cs="Times New Roman"/>
          <w:sz w:val="28"/>
          <w:szCs w:val="28"/>
          <w:lang w:val="kk-KZ"/>
        </w:rPr>
        <w:t>–</w:t>
      </w:r>
      <w:r w:rsidR="00F82B71">
        <w:rPr>
          <w:rFonts w:ascii="Times New Roman" w:hAnsi="Times New Roman" w:cs="Times New Roman"/>
          <w:sz w:val="28"/>
          <w:szCs w:val="28"/>
          <w:lang w:val="kk-KZ"/>
        </w:rPr>
        <w:t xml:space="preserve"> 0,94) р = 0,037 (таблица 5</w:t>
      </w:r>
      <w:r w:rsidR="003C0BEF">
        <w:rPr>
          <w:rFonts w:ascii="Times New Roman" w:hAnsi="Times New Roman" w:cs="Times New Roman"/>
          <w:sz w:val="28"/>
          <w:szCs w:val="28"/>
          <w:lang w:val="kk-KZ"/>
        </w:rPr>
        <w:t>2</w:t>
      </w:r>
      <w:r w:rsidR="00AB12B3">
        <w:rPr>
          <w:rFonts w:ascii="Times New Roman" w:hAnsi="Times New Roman" w:cs="Times New Roman"/>
          <w:sz w:val="28"/>
          <w:szCs w:val="28"/>
          <w:lang w:val="kk-KZ"/>
        </w:rPr>
        <w:t>). Мы</w:t>
      </w:r>
      <w:r w:rsidR="00AD783E">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обнаружили, что</w:t>
      </w:r>
      <w:r w:rsidR="00AD783E">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только</w:t>
      </w:r>
      <w:r w:rsidR="00AD783E">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рецессивная модель полиморфизма Ser447Ter гена</w:t>
      </w:r>
      <w:r w:rsidR="00AD783E">
        <w:rPr>
          <w:rFonts w:ascii="Times New Roman" w:hAnsi="Times New Roman" w:cs="Times New Roman"/>
          <w:sz w:val="28"/>
          <w:szCs w:val="28"/>
          <w:lang w:val="kk-KZ"/>
        </w:rPr>
        <w:t xml:space="preserve"> </w:t>
      </w:r>
      <w:r w:rsidR="00AB12B3">
        <w:rPr>
          <w:rFonts w:ascii="Times New Roman" w:hAnsi="Times New Roman" w:cs="Times New Roman"/>
          <w:i/>
          <w:sz w:val="28"/>
          <w:szCs w:val="28"/>
          <w:lang w:val="kk-KZ"/>
        </w:rPr>
        <w:t xml:space="preserve">LPL </w:t>
      </w:r>
      <w:r w:rsidR="00AB12B3">
        <w:rPr>
          <w:rFonts w:ascii="Times New Roman" w:hAnsi="Times New Roman" w:cs="Times New Roman"/>
          <w:sz w:val="28"/>
          <w:szCs w:val="28"/>
          <w:lang w:val="kk-KZ"/>
        </w:rPr>
        <w:t>(C/C + C/G по</w:t>
      </w:r>
      <w:r w:rsidR="00AD783E">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сравнению с G/G) была</w:t>
      </w:r>
      <w:r w:rsidR="00AD783E">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связана с более</w:t>
      </w:r>
      <w:r w:rsidR="00AD783E">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низким</w:t>
      </w:r>
      <w:r w:rsidR="00AD783E">
        <w:rPr>
          <w:rFonts w:ascii="Times New Roman" w:hAnsi="Times New Roman" w:cs="Times New Roman"/>
          <w:sz w:val="28"/>
          <w:szCs w:val="28"/>
          <w:lang w:val="kk-KZ"/>
        </w:rPr>
        <w:t xml:space="preserve"> </w:t>
      </w:r>
      <w:r w:rsidR="003D1CF6">
        <w:rPr>
          <w:rFonts w:ascii="Times New Roman" w:hAnsi="Times New Roman" w:cs="Times New Roman"/>
          <w:sz w:val="28"/>
          <w:szCs w:val="28"/>
          <w:lang w:val="kk-KZ"/>
        </w:rPr>
        <w:t>риск</w:t>
      </w:r>
      <w:r w:rsidR="00AB12B3">
        <w:rPr>
          <w:rFonts w:ascii="Times New Roman" w:hAnsi="Times New Roman" w:cs="Times New Roman"/>
          <w:sz w:val="28"/>
          <w:szCs w:val="28"/>
          <w:lang w:val="kk-KZ"/>
        </w:rPr>
        <w:t>ом</w:t>
      </w:r>
      <w:r w:rsidR="00AD783E">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развития</w:t>
      </w:r>
      <w:r w:rsidR="00AD783E">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гиперинсулинемии (ОШ=0,28 95% ДИ 0,1-0,84 р=0,037) (таблица 5</w:t>
      </w:r>
      <w:r w:rsidR="003C0BEF">
        <w:rPr>
          <w:rFonts w:ascii="Times New Roman" w:hAnsi="Times New Roman" w:cs="Times New Roman"/>
          <w:sz w:val="28"/>
          <w:szCs w:val="28"/>
          <w:lang w:val="kk-KZ"/>
        </w:rPr>
        <w:t>2</w:t>
      </w:r>
      <w:r w:rsidR="00AB12B3">
        <w:rPr>
          <w:rFonts w:ascii="Times New Roman" w:hAnsi="Times New Roman" w:cs="Times New Roman"/>
          <w:sz w:val="28"/>
          <w:szCs w:val="28"/>
          <w:lang w:val="kk-KZ"/>
        </w:rPr>
        <w:t xml:space="preserve">). </w:t>
      </w:r>
    </w:p>
    <w:p w:rsidR="00AB12B3" w:rsidRDefault="00AB12B3" w:rsidP="00AB12B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Как показано в таблице 5</w:t>
      </w:r>
      <w:r w:rsidR="003C0BEF">
        <w:rPr>
          <w:rFonts w:ascii="Times New Roman" w:hAnsi="Times New Roman" w:cs="Times New Roman"/>
          <w:sz w:val="28"/>
          <w:szCs w:val="28"/>
          <w:lang w:val="kk-KZ"/>
        </w:rPr>
        <w:t>3</w:t>
      </w:r>
      <w:r>
        <w:rPr>
          <w:rFonts w:ascii="Times New Roman" w:hAnsi="Times New Roman" w:cs="Times New Roman"/>
          <w:sz w:val="28"/>
          <w:szCs w:val="28"/>
        </w:rPr>
        <w:t xml:space="preserve">, аллель С и генотип С/С </w:t>
      </w:r>
      <w:r>
        <w:rPr>
          <w:rFonts w:ascii="Times New Roman" w:hAnsi="Times New Roman" w:cs="Times New Roman"/>
          <w:sz w:val="28"/>
          <w:szCs w:val="24"/>
        </w:rPr>
        <w:t>полиморфизма Ser447Ter (rs328) гена</w:t>
      </w:r>
      <w:r w:rsidR="00AD783E">
        <w:rPr>
          <w:rFonts w:ascii="Times New Roman" w:hAnsi="Times New Roman" w:cs="Times New Roman"/>
          <w:sz w:val="28"/>
          <w:szCs w:val="24"/>
        </w:rPr>
        <w:t xml:space="preserve"> </w:t>
      </w:r>
      <w:r>
        <w:rPr>
          <w:rFonts w:ascii="Times New Roman" w:hAnsi="Times New Roman" w:cs="Times New Roman"/>
          <w:i/>
          <w:sz w:val="28"/>
          <w:szCs w:val="24"/>
        </w:rPr>
        <w:t>LPL</w:t>
      </w:r>
      <w:r w:rsidR="00AD4E36">
        <w:rPr>
          <w:rFonts w:ascii="Times New Roman" w:hAnsi="Times New Roman" w:cs="Times New Roman"/>
          <w:i/>
          <w:sz w:val="28"/>
          <w:szCs w:val="24"/>
        </w:rPr>
        <w:t xml:space="preserve"> </w:t>
      </w:r>
      <w:r>
        <w:rPr>
          <w:rFonts w:ascii="Times New Roman" w:hAnsi="Times New Roman" w:cs="Times New Roman"/>
          <w:sz w:val="28"/>
          <w:szCs w:val="28"/>
        </w:rPr>
        <w:t>чаще встречается у лиц с нормальным уровнем глюкозы по сравнению с гипергликемией.</w:t>
      </w:r>
      <w:r>
        <w:rPr>
          <w:rFonts w:ascii="Times New Roman" w:hAnsi="Times New Roman" w:cs="Times New Roman"/>
          <w:noProof/>
          <w:sz w:val="28"/>
          <w:szCs w:val="28"/>
        </w:rPr>
        <w:t xml:space="preserve"> И наоборот, аллель G и </w:t>
      </w:r>
      <w:r>
        <w:rPr>
          <w:rFonts w:ascii="Times New Roman" w:hAnsi="Times New Roman" w:cs="Times New Roman"/>
          <w:sz w:val="28"/>
          <w:szCs w:val="28"/>
        </w:rPr>
        <w:t>объединение</w:t>
      </w:r>
      <w:r w:rsidR="00AD783E">
        <w:rPr>
          <w:rFonts w:ascii="Times New Roman" w:hAnsi="Times New Roman" w:cs="Times New Roman"/>
          <w:sz w:val="28"/>
          <w:szCs w:val="28"/>
        </w:rPr>
        <w:t xml:space="preserve"> </w:t>
      </w:r>
      <w:r w:rsidR="00B648CF">
        <w:rPr>
          <w:rFonts w:ascii="Times New Roman" w:hAnsi="Times New Roman" w:cs="Times New Roman"/>
          <w:noProof/>
          <w:sz w:val="28"/>
          <w:szCs w:val="28"/>
          <w:lang w:val="kk-KZ"/>
        </w:rPr>
        <w:t>г</w:t>
      </w:r>
      <w:r>
        <w:rPr>
          <w:rFonts w:ascii="Times New Roman" w:hAnsi="Times New Roman" w:cs="Times New Roman"/>
          <w:noProof/>
          <w:sz w:val="28"/>
          <w:szCs w:val="28"/>
        </w:rPr>
        <w:t xml:space="preserve">енотипов G/G </w:t>
      </w:r>
      <w:r>
        <w:rPr>
          <w:rFonts w:ascii="Times New Roman" w:hAnsi="Times New Roman" w:cs="Times New Roman"/>
          <w:sz w:val="28"/>
          <w:szCs w:val="28"/>
        </w:rPr>
        <w:t xml:space="preserve">и С/G </w:t>
      </w:r>
      <w:r>
        <w:rPr>
          <w:rFonts w:ascii="Times New Roman" w:hAnsi="Times New Roman" w:cs="Times New Roman"/>
          <w:noProof/>
          <w:sz w:val="28"/>
          <w:szCs w:val="28"/>
        </w:rPr>
        <w:t>встречаются чаще в группе с гипергликемией.</w:t>
      </w:r>
    </w:p>
    <w:p w:rsidR="00AB12B3" w:rsidRDefault="00AB12B3" w:rsidP="00AB12B3">
      <w:pPr>
        <w:pStyle w:val="HTML"/>
        <w:shd w:val="clear" w:color="auto" w:fill="FFFFFF"/>
        <w:ind w:firstLine="567"/>
        <w:jc w:val="both"/>
        <w:rPr>
          <w:rFonts w:ascii="Times New Roman" w:hAnsi="Times New Roman" w:cs="Times New Roman"/>
          <w:sz w:val="28"/>
          <w:szCs w:val="28"/>
        </w:rPr>
      </w:pPr>
      <w:r>
        <w:rPr>
          <w:rFonts w:ascii="Times New Roman" w:hAnsi="Times New Roman" w:cs="Times New Roman"/>
          <w:sz w:val="28"/>
          <w:szCs w:val="28"/>
        </w:rPr>
        <w:t>Генотипирование</w:t>
      </w:r>
      <w:r w:rsidR="00CA5C07">
        <w:rPr>
          <w:rFonts w:ascii="Times New Roman" w:hAnsi="Times New Roman" w:cs="Times New Roman"/>
          <w:sz w:val="28"/>
          <w:szCs w:val="28"/>
        </w:rPr>
        <w:t xml:space="preserve"> </w:t>
      </w:r>
      <w:r>
        <w:rPr>
          <w:rFonts w:ascii="Times New Roman" w:hAnsi="Times New Roman" w:cs="Times New Roman"/>
          <w:sz w:val="28"/>
          <w:szCs w:val="24"/>
        </w:rPr>
        <w:t>полиморфизма Ser447Ter (rs328) гена</w:t>
      </w:r>
      <w:r w:rsidR="00CA5C07">
        <w:rPr>
          <w:rFonts w:ascii="Times New Roman" w:hAnsi="Times New Roman" w:cs="Times New Roman"/>
          <w:sz w:val="28"/>
          <w:szCs w:val="24"/>
        </w:rPr>
        <w:t xml:space="preserve"> </w:t>
      </w:r>
      <w:r>
        <w:rPr>
          <w:rFonts w:ascii="Times New Roman" w:hAnsi="Times New Roman" w:cs="Times New Roman"/>
          <w:i/>
          <w:sz w:val="28"/>
          <w:szCs w:val="24"/>
        </w:rPr>
        <w:t>LPL</w:t>
      </w:r>
      <w:r w:rsidR="00CA5C07">
        <w:rPr>
          <w:rFonts w:ascii="Times New Roman" w:hAnsi="Times New Roman" w:cs="Times New Roman"/>
          <w:i/>
          <w:sz w:val="28"/>
          <w:szCs w:val="24"/>
        </w:rPr>
        <w:t xml:space="preserve"> </w:t>
      </w:r>
      <w:r>
        <w:rPr>
          <w:rFonts w:ascii="Times New Roman" w:hAnsi="Times New Roman" w:cs="Times New Roman"/>
          <w:sz w:val="28"/>
          <w:szCs w:val="28"/>
        </w:rPr>
        <w:t xml:space="preserve">показало, что </w:t>
      </w:r>
      <w:r w:rsidR="000219C4">
        <w:rPr>
          <w:rFonts w:ascii="Times New Roman" w:hAnsi="Times New Roman" w:cs="Times New Roman"/>
          <w:sz w:val="28"/>
          <w:szCs w:val="28"/>
          <w:lang w:val="kk-KZ"/>
        </w:rPr>
        <w:t xml:space="preserve">наличие </w:t>
      </w:r>
      <w:r>
        <w:rPr>
          <w:rFonts w:ascii="Times New Roman" w:hAnsi="Times New Roman" w:cs="Times New Roman"/>
          <w:sz w:val="28"/>
          <w:szCs w:val="28"/>
        </w:rPr>
        <w:t>генотип</w:t>
      </w:r>
      <w:r w:rsidR="000219C4">
        <w:rPr>
          <w:rFonts w:ascii="Times New Roman" w:hAnsi="Times New Roman" w:cs="Times New Roman"/>
          <w:sz w:val="28"/>
          <w:szCs w:val="28"/>
          <w:lang w:val="kk-KZ"/>
        </w:rPr>
        <w:t>ов</w:t>
      </w:r>
      <w:r>
        <w:rPr>
          <w:rFonts w:ascii="Times New Roman" w:hAnsi="Times New Roman" w:cs="Times New Roman"/>
          <w:sz w:val="28"/>
          <w:szCs w:val="28"/>
        </w:rPr>
        <w:t xml:space="preserve"> G/G и С/G повыш</w:t>
      </w:r>
      <w:r w:rsidR="000219C4">
        <w:rPr>
          <w:rFonts w:ascii="Times New Roman" w:hAnsi="Times New Roman" w:cs="Times New Roman"/>
          <w:sz w:val="28"/>
          <w:szCs w:val="28"/>
          <w:lang w:val="kk-KZ"/>
        </w:rPr>
        <w:t xml:space="preserve">ает </w:t>
      </w:r>
      <w:r>
        <w:rPr>
          <w:rFonts w:ascii="Times New Roman" w:hAnsi="Times New Roman" w:cs="Times New Roman"/>
          <w:sz w:val="28"/>
          <w:szCs w:val="28"/>
        </w:rPr>
        <w:t xml:space="preserve">риск развития гипергликемии в </w:t>
      </w:r>
      <w:r w:rsidR="00A329EB">
        <w:rPr>
          <w:rFonts w:ascii="Times New Roman" w:hAnsi="Times New Roman" w:cs="Times New Roman"/>
          <w:sz w:val="28"/>
          <w:szCs w:val="28"/>
        </w:rPr>
        <w:t xml:space="preserve">исследуемой выборке </w:t>
      </w:r>
      <w:r>
        <w:rPr>
          <w:rFonts w:ascii="Times New Roman" w:hAnsi="Times New Roman" w:cs="Times New Roman"/>
          <w:sz w:val="28"/>
          <w:szCs w:val="28"/>
        </w:rPr>
        <w:t xml:space="preserve">(р=0,023), тогда как </w:t>
      </w:r>
      <w:r w:rsidR="000219C4">
        <w:rPr>
          <w:rFonts w:ascii="Times New Roman" w:hAnsi="Times New Roman" w:cs="Times New Roman"/>
          <w:sz w:val="28"/>
          <w:szCs w:val="28"/>
          <w:lang w:val="kk-KZ"/>
        </w:rPr>
        <w:t xml:space="preserve">наличие </w:t>
      </w:r>
      <w:r>
        <w:rPr>
          <w:rFonts w:ascii="Times New Roman" w:hAnsi="Times New Roman" w:cs="Times New Roman"/>
          <w:sz w:val="28"/>
          <w:szCs w:val="28"/>
        </w:rPr>
        <w:t>генотип</w:t>
      </w:r>
      <w:r w:rsidR="000219C4">
        <w:rPr>
          <w:rFonts w:ascii="Times New Roman" w:hAnsi="Times New Roman" w:cs="Times New Roman"/>
          <w:sz w:val="28"/>
          <w:szCs w:val="28"/>
          <w:lang w:val="kk-KZ"/>
        </w:rPr>
        <w:t>а</w:t>
      </w:r>
      <w:r>
        <w:rPr>
          <w:rFonts w:ascii="Times New Roman" w:hAnsi="Times New Roman" w:cs="Times New Roman"/>
          <w:sz w:val="28"/>
          <w:szCs w:val="28"/>
        </w:rPr>
        <w:t xml:space="preserve"> С/С </w:t>
      </w:r>
      <w:r w:rsidR="000219C4">
        <w:rPr>
          <w:rFonts w:ascii="Times New Roman" w:hAnsi="Times New Roman" w:cs="Times New Roman"/>
          <w:sz w:val="28"/>
          <w:szCs w:val="28"/>
          <w:lang w:val="kk-KZ"/>
        </w:rPr>
        <w:t>уменьшает</w:t>
      </w:r>
      <w:r w:rsidR="008E7B4F">
        <w:rPr>
          <w:rFonts w:ascii="Times New Roman" w:hAnsi="Times New Roman" w:cs="Times New Roman"/>
          <w:sz w:val="28"/>
          <w:szCs w:val="28"/>
        </w:rPr>
        <w:t xml:space="preserve"> </w:t>
      </w:r>
      <w:r w:rsidR="000219C4">
        <w:rPr>
          <w:rFonts w:ascii="Times New Roman" w:hAnsi="Times New Roman" w:cs="Times New Roman"/>
          <w:sz w:val="28"/>
          <w:szCs w:val="28"/>
          <w:lang w:val="kk-KZ"/>
        </w:rPr>
        <w:t xml:space="preserve">этот </w:t>
      </w:r>
      <w:r>
        <w:rPr>
          <w:rFonts w:ascii="Times New Roman" w:hAnsi="Times New Roman" w:cs="Times New Roman"/>
          <w:sz w:val="28"/>
          <w:szCs w:val="28"/>
        </w:rPr>
        <w:t xml:space="preserve">риск. В сверх-доминантной модели гетерозиготный генотип </w:t>
      </w:r>
      <w:r>
        <w:rPr>
          <w:rFonts w:ascii="Times New Roman" w:hAnsi="Times New Roman" w:cs="Times New Roman"/>
          <w:sz w:val="28"/>
          <w:szCs w:val="24"/>
        </w:rPr>
        <w:t xml:space="preserve">полиморфизма </w:t>
      </w:r>
      <w:r>
        <w:rPr>
          <w:rFonts w:ascii="Times New Roman" w:hAnsi="Times New Roman" w:cs="Times New Roman"/>
          <w:i/>
          <w:sz w:val="28"/>
          <w:szCs w:val="24"/>
        </w:rPr>
        <w:t xml:space="preserve">LPL </w:t>
      </w:r>
      <w:r>
        <w:rPr>
          <w:rFonts w:ascii="Times New Roman" w:hAnsi="Times New Roman" w:cs="Times New Roman"/>
          <w:sz w:val="28"/>
          <w:szCs w:val="24"/>
        </w:rPr>
        <w:t xml:space="preserve">Ser447Ter (rs328) </w:t>
      </w:r>
      <w:r w:rsidR="000219C4">
        <w:rPr>
          <w:rFonts w:ascii="Times New Roman" w:hAnsi="Times New Roman" w:cs="Times New Roman"/>
          <w:sz w:val="28"/>
          <w:szCs w:val="24"/>
          <w:lang w:val="kk-KZ"/>
        </w:rPr>
        <w:t>увеличивал шанс</w:t>
      </w:r>
      <w:r>
        <w:rPr>
          <w:rFonts w:ascii="Times New Roman" w:hAnsi="Times New Roman" w:cs="Times New Roman"/>
          <w:sz w:val="28"/>
          <w:szCs w:val="24"/>
        </w:rPr>
        <w:t xml:space="preserve"> развития гипергликемии в 1,93 раза (р=0,008), а в доминантной модели </w:t>
      </w:r>
      <w:r>
        <w:rPr>
          <w:rFonts w:ascii="Times New Roman" w:hAnsi="Times New Roman" w:cs="Times New Roman"/>
          <w:sz w:val="28"/>
          <w:szCs w:val="28"/>
        </w:rPr>
        <w:t xml:space="preserve">генотипы G/G и С/G </w:t>
      </w:r>
      <w:r w:rsidR="000219C4">
        <w:rPr>
          <w:rFonts w:ascii="Times New Roman" w:hAnsi="Times New Roman" w:cs="Times New Roman"/>
          <w:sz w:val="28"/>
          <w:szCs w:val="28"/>
          <w:lang w:val="kk-KZ"/>
        </w:rPr>
        <w:t>увеличивали этот шанс</w:t>
      </w:r>
      <w:r w:rsidR="005F2D82">
        <w:rPr>
          <w:rFonts w:ascii="Times New Roman" w:hAnsi="Times New Roman" w:cs="Times New Roman"/>
          <w:sz w:val="28"/>
          <w:szCs w:val="28"/>
        </w:rPr>
        <w:t xml:space="preserve"> </w:t>
      </w:r>
      <w:r>
        <w:rPr>
          <w:rFonts w:ascii="Times New Roman" w:hAnsi="Times New Roman" w:cs="Times New Roman"/>
          <w:sz w:val="28"/>
          <w:szCs w:val="28"/>
        </w:rPr>
        <w:t xml:space="preserve">в 1,82 раза (р=0,0077). При анализе данных </w:t>
      </w:r>
      <w:r w:rsidR="008E7B4F">
        <w:rPr>
          <w:rFonts w:ascii="Times New Roman" w:hAnsi="Times New Roman" w:cs="Times New Roman"/>
          <w:sz w:val="28"/>
          <w:szCs w:val="28"/>
        </w:rPr>
        <w:lastRenderedPageBreak/>
        <w:t>было</w:t>
      </w:r>
      <w:r w:rsidR="00CA5C07">
        <w:rPr>
          <w:rFonts w:ascii="Times New Roman" w:hAnsi="Times New Roman" w:cs="Times New Roman"/>
          <w:sz w:val="28"/>
          <w:szCs w:val="28"/>
        </w:rPr>
        <w:t xml:space="preserve"> </w:t>
      </w:r>
      <w:r w:rsidR="008E7B4F">
        <w:rPr>
          <w:rFonts w:ascii="Times New Roman" w:hAnsi="Times New Roman" w:cs="Times New Roman"/>
          <w:sz w:val="28"/>
          <w:szCs w:val="28"/>
        </w:rPr>
        <w:t xml:space="preserve">установлено </w:t>
      </w:r>
      <w:r>
        <w:rPr>
          <w:rFonts w:ascii="Times New Roman" w:hAnsi="Times New Roman" w:cs="Times New Roman"/>
          <w:sz w:val="28"/>
          <w:szCs w:val="28"/>
        </w:rPr>
        <w:t>ассоциаци</w:t>
      </w:r>
      <w:r w:rsidR="008E7B4F">
        <w:rPr>
          <w:rFonts w:ascii="Times New Roman" w:hAnsi="Times New Roman" w:cs="Times New Roman"/>
          <w:sz w:val="28"/>
          <w:szCs w:val="28"/>
        </w:rPr>
        <w:t>я</w:t>
      </w:r>
      <w:r w:rsidR="00CA5C07">
        <w:rPr>
          <w:rFonts w:ascii="Times New Roman" w:hAnsi="Times New Roman" w:cs="Times New Roman"/>
          <w:sz w:val="28"/>
          <w:szCs w:val="28"/>
        </w:rPr>
        <w:t xml:space="preserve"> </w:t>
      </w:r>
      <w:r w:rsidR="008E7B4F">
        <w:rPr>
          <w:rFonts w:ascii="Times New Roman" w:hAnsi="Times New Roman" w:cs="Times New Roman"/>
          <w:sz w:val="28"/>
          <w:szCs w:val="28"/>
        </w:rPr>
        <w:t xml:space="preserve">полиморфизма </w:t>
      </w:r>
      <w:r w:rsidR="008E7B4F">
        <w:rPr>
          <w:rFonts w:ascii="Times New Roman" w:hAnsi="Times New Roman" w:cs="Times New Roman"/>
          <w:sz w:val="28"/>
          <w:szCs w:val="24"/>
        </w:rPr>
        <w:t xml:space="preserve">Ser447Ter (rs328) гена </w:t>
      </w:r>
      <w:r w:rsidR="008E7B4F">
        <w:rPr>
          <w:rFonts w:ascii="Times New Roman" w:hAnsi="Times New Roman" w:cs="Times New Roman"/>
          <w:i/>
          <w:sz w:val="28"/>
          <w:szCs w:val="24"/>
        </w:rPr>
        <w:t>LPL</w:t>
      </w:r>
      <w:r w:rsidR="008E7B4F">
        <w:rPr>
          <w:rFonts w:ascii="Times New Roman" w:hAnsi="Times New Roman" w:cs="Times New Roman"/>
          <w:sz w:val="28"/>
          <w:szCs w:val="28"/>
        </w:rPr>
        <w:t xml:space="preserve"> с уровнем глюкозы</w:t>
      </w:r>
      <w:r>
        <w:rPr>
          <w:rFonts w:ascii="Times New Roman" w:hAnsi="Times New Roman" w:cs="Times New Roman"/>
          <w:sz w:val="28"/>
          <w:szCs w:val="28"/>
        </w:rPr>
        <w:t xml:space="preserve">. Поэтому можно </w:t>
      </w:r>
      <w:r w:rsidR="008E7B4F">
        <w:rPr>
          <w:rFonts w:ascii="Times New Roman" w:hAnsi="Times New Roman" w:cs="Times New Roman"/>
          <w:sz w:val="28"/>
          <w:szCs w:val="28"/>
        </w:rPr>
        <w:t>предположить</w:t>
      </w:r>
      <w:r>
        <w:rPr>
          <w:rFonts w:ascii="Times New Roman" w:hAnsi="Times New Roman" w:cs="Times New Roman"/>
          <w:sz w:val="28"/>
          <w:szCs w:val="28"/>
        </w:rPr>
        <w:t xml:space="preserve">, что </w:t>
      </w:r>
      <w:r>
        <w:rPr>
          <w:rFonts w:ascii="Times New Roman" w:hAnsi="Times New Roman" w:cs="Times New Roman"/>
          <w:i/>
          <w:sz w:val="28"/>
          <w:szCs w:val="28"/>
        </w:rPr>
        <w:t xml:space="preserve">LPL </w:t>
      </w:r>
      <w:r w:rsidRPr="00C71B50">
        <w:rPr>
          <w:rFonts w:ascii="Times New Roman" w:hAnsi="Times New Roman" w:cs="Times New Roman"/>
          <w:sz w:val="28"/>
          <w:szCs w:val="28"/>
        </w:rPr>
        <w:t>Ser447Ter</w:t>
      </w:r>
      <w:r w:rsidR="00CA5C07">
        <w:rPr>
          <w:rFonts w:ascii="Times New Roman" w:hAnsi="Times New Roman" w:cs="Times New Roman"/>
          <w:sz w:val="28"/>
          <w:szCs w:val="28"/>
        </w:rPr>
        <w:t xml:space="preserve"> </w:t>
      </w:r>
      <w:r w:rsidRPr="00C71B50">
        <w:rPr>
          <w:rFonts w:ascii="Times New Roman" w:hAnsi="Times New Roman" w:cs="Times New Roman"/>
          <w:sz w:val="28"/>
          <w:szCs w:val="28"/>
        </w:rPr>
        <w:t>(rs328)</w:t>
      </w:r>
      <w:r>
        <w:rPr>
          <w:rFonts w:ascii="Times New Roman" w:hAnsi="Times New Roman" w:cs="Times New Roman"/>
          <w:sz w:val="28"/>
          <w:szCs w:val="28"/>
        </w:rPr>
        <w:t xml:space="preserve"> является </w:t>
      </w:r>
      <w:r w:rsidR="000219C4">
        <w:rPr>
          <w:rFonts w:ascii="Times New Roman" w:hAnsi="Times New Roman" w:cs="Times New Roman"/>
          <w:sz w:val="28"/>
          <w:szCs w:val="28"/>
          <w:lang w:val="kk-KZ"/>
        </w:rPr>
        <w:t xml:space="preserve">информативной для использования в качестве </w:t>
      </w:r>
      <w:r>
        <w:rPr>
          <w:rFonts w:ascii="Times New Roman" w:hAnsi="Times New Roman" w:cs="Times New Roman"/>
          <w:sz w:val="28"/>
          <w:szCs w:val="28"/>
        </w:rPr>
        <w:t>генетическ</w:t>
      </w:r>
      <w:r w:rsidR="000219C4">
        <w:rPr>
          <w:rFonts w:ascii="Times New Roman" w:hAnsi="Times New Roman" w:cs="Times New Roman"/>
          <w:sz w:val="28"/>
          <w:szCs w:val="28"/>
          <w:lang w:val="kk-KZ"/>
        </w:rPr>
        <w:t>ой</w:t>
      </w:r>
      <w:r>
        <w:rPr>
          <w:rFonts w:ascii="Times New Roman" w:hAnsi="Times New Roman" w:cs="Times New Roman"/>
          <w:sz w:val="28"/>
          <w:szCs w:val="28"/>
        </w:rPr>
        <w:t xml:space="preserve"> детерминант</w:t>
      </w:r>
      <w:r w:rsidR="000219C4">
        <w:rPr>
          <w:rFonts w:ascii="Times New Roman" w:hAnsi="Times New Roman" w:cs="Times New Roman"/>
          <w:sz w:val="28"/>
          <w:szCs w:val="28"/>
          <w:lang w:val="kk-KZ"/>
        </w:rPr>
        <w:t>ы</w:t>
      </w:r>
      <w:r>
        <w:rPr>
          <w:rFonts w:ascii="Times New Roman" w:hAnsi="Times New Roman" w:cs="Times New Roman"/>
          <w:sz w:val="28"/>
          <w:szCs w:val="28"/>
        </w:rPr>
        <w:t xml:space="preserve"> риска развития гипергликемии в </w:t>
      </w:r>
      <w:r w:rsidR="005A67EC">
        <w:rPr>
          <w:rFonts w:ascii="Times New Roman" w:hAnsi="Times New Roman" w:cs="Times New Roman"/>
          <w:sz w:val="28"/>
          <w:szCs w:val="28"/>
        </w:rPr>
        <w:t>исследуемой выборке</w:t>
      </w:r>
      <w:r>
        <w:rPr>
          <w:rFonts w:ascii="Times New Roman" w:hAnsi="Times New Roman" w:cs="Times New Roman"/>
          <w:sz w:val="28"/>
          <w:szCs w:val="28"/>
        </w:rPr>
        <w:t>.</w:t>
      </w:r>
    </w:p>
    <w:p w:rsidR="00132A90" w:rsidRDefault="00132A90" w:rsidP="00AB12B3">
      <w:pPr>
        <w:pStyle w:val="a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hAnsi="Times New Roman" w:cs="Times New Roman"/>
          <w:sz w:val="28"/>
          <w:szCs w:val="28"/>
          <w:lang w:val="kk-KZ"/>
        </w:rPr>
      </w:pPr>
    </w:p>
    <w:p w:rsidR="00AB12B3" w:rsidRDefault="00F82B71" w:rsidP="00AB12B3">
      <w:pPr>
        <w:pStyle w:val="a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rPr>
        <w:t>Таблица 5</w:t>
      </w:r>
      <w:r w:rsidR="003C0BEF">
        <w:rPr>
          <w:rFonts w:ascii="Times New Roman" w:hAnsi="Times New Roman" w:cs="Times New Roman"/>
          <w:sz w:val="28"/>
          <w:szCs w:val="28"/>
          <w:lang w:val="kk-KZ"/>
        </w:rPr>
        <w:t>3</w:t>
      </w:r>
      <w:r w:rsidR="00B648CF">
        <w:rPr>
          <w:rFonts w:ascii="Times New Roman" w:hAnsi="Times New Roman" w:cs="Times New Roman"/>
          <w:sz w:val="28"/>
          <w:szCs w:val="28"/>
          <w:lang w:val="kk-KZ"/>
        </w:rPr>
        <w:t xml:space="preserve"> -</w:t>
      </w:r>
      <w:r w:rsidR="00AB12B3">
        <w:rPr>
          <w:rFonts w:ascii="Times New Roman" w:hAnsi="Times New Roman" w:cs="Times New Roman"/>
          <w:sz w:val="28"/>
          <w:szCs w:val="28"/>
        </w:rPr>
        <w:t xml:space="preserve"> Частота генотипа полиморфизма Ser447Ter (rs328) гена </w:t>
      </w:r>
      <w:r w:rsidR="00AB12B3">
        <w:rPr>
          <w:rFonts w:ascii="Times New Roman" w:hAnsi="Times New Roman" w:cs="Times New Roman"/>
          <w:i/>
          <w:sz w:val="28"/>
          <w:szCs w:val="28"/>
        </w:rPr>
        <w:t>LPL</w:t>
      </w:r>
      <w:r w:rsidR="00AB12B3">
        <w:rPr>
          <w:rFonts w:ascii="Times New Roman" w:hAnsi="Times New Roman" w:cs="Times New Roman"/>
          <w:sz w:val="28"/>
          <w:szCs w:val="28"/>
        </w:rPr>
        <w:t xml:space="preserve"> по группам глюкозы</w:t>
      </w:r>
    </w:p>
    <w:p w:rsidR="00E83EC5" w:rsidRPr="00E83EC5" w:rsidRDefault="00E83EC5" w:rsidP="00AB12B3">
      <w:pPr>
        <w:pStyle w:val="a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hAnsi="Times New Roman" w:cs="Times New Roman"/>
          <w:sz w:val="28"/>
          <w:szCs w:val="28"/>
          <w:lang w:val="kk-KZ"/>
        </w:rPr>
      </w:pPr>
    </w:p>
    <w:tbl>
      <w:tblPr>
        <w:tblStyle w:val="21"/>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4"/>
        <w:gridCol w:w="1416"/>
        <w:gridCol w:w="1275"/>
        <w:gridCol w:w="1275"/>
        <w:gridCol w:w="2159"/>
        <w:gridCol w:w="992"/>
      </w:tblGrid>
      <w:tr w:rsidR="00AB12B3" w:rsidTr="000156A2">
        <w:trPr>
          <w:cnfStyle w:val="100000000000" w:firstRow="1" w:lastRow="0" w:firstColumn="0" w:lastColumn="0" w:oddVBand="0" w:evenVBand="0" w:oddHBand="0"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22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b w:val="0"/>
                <w:sz w:val="28"/>
                <w:szCs w:val="28"/>
              </w:rPr>
            </w:pPr>
            <w:r>
              <w:rPr>
                <w:rFonts w:ascii="Times New Roman" w:hAnsi="Times New Roman" w:cs="Times New Roman"/>
                <w:b w:val="0"/>
                <w:sz w:val="28"/>
                <w:szCs w:val="28"/>
              </w:rPr>
              <w:t>Модель</w:t>
            </w:r>
          </w:p>
        </w:tc>
        <w:tc>
          <w:tcPr>
            <w:tcW w:w="1416"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Генотип</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shd w:val="clear" w:color="auto" w:fill="FFFFFF"/>
              </w:rPr>
            </w:pPr>
            <w:r>
              <w:rPr>
                <w:rFonts w:ascii="Times New Roman" w:hAnsi="Times New Roman" w:cs="Times New Roman"/>
                <w:b w:val="0"/>
                <w:sz w:val="28"/>
                <w:szCs w:val="28"/>
              </w:rPr>
              <w:t xml:space="preserve">Глюкоза </w:t>
            </w:r>
            <w:r>
              <w:rPr>
                <w:rFonts w:ascii="Times New Roman" w:hAnsi="Times New Roman" w:cs="Times New Roman"/>
                <w:b w:val="0"/>
                <w:sz w:val="28"/>
                <w:szCs w:val="28"/>
                <w:shd w:val="clear" w:color="auto" w:fill="FFFFFF"/>
              </w:rPr>
              <w:t>≤5,59</w:t>
            </w:r>
          </w:p>
          <w:p w:rsidR="00AB12B3" w:rsidRDefault="00AB12B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shd w:val="clear" w:color="auto" w:fill="FFFFFF"/>
              </w:rPr>
            </w:pPr>
            <w:r>
              <w:rPr>
                <w:rFonts w:ascii="Times New Roman" w:hAnsi="Times New Roman" w:cs="Times New Roman"/>
                <w:b w:val="0"/>
                <w:sz w:val="28"/>
                <w:szCs w:val="28"/>
                <w:shd w:val="clear" w:color="auto" w:fill="FFFFFF"/>
              </w:rPr>
              <w:t>n</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shd w:val="clear" w:color="auto" w:fill="FFFFFF"/>
              </w:rPr>
            </w:pPr>
            <w:r>
              <w:rPr>
                <w:rFonts w:ascii="Times New Roman" w:hAnsi="Times New Roman" w:cs="Times New Roman"/>
                <w:b w:val="0"/>
                <w:sz w:val="28"/>
                <w:szCs w:val="28"/>
              </w:rPr>
              <w:t xml:space="preserve">Глюкоза </w:t>
            </w:r>
            <w:r>
              <w:rPr>
                <w:rFonts w:ascii="Times New Roman" w:hAnsi="Times New Roman" w:cs="Times New Roman"/>
                <w:b w:val="0"/>
                <w:sz w:val="28"/>
                <w:szCs w:val="28"/>
                <w:shd w:val="clear" w:color="auto" w:fill="FFFFFF"/>
              </w:rPr>
              <w:t>&gt;5,59 n</w:t>
            </w:r>
          </w:p>
        </w:tc>
        <w:tc>
          <w:tcPr>
            <w:tcW w:w="2159" w:type="dxa"/>
            <w:tcBorders>
              <w:top w:val="single" w:sz="4" w:space="0" w:color="auto"/>
              <w:left w:val="single" w:sz="4" w:space="0" w:color="auto"/>
              <w:bottom w:val="single" w:sz="4" w:space="0" w:color="auto"/>
              <w:right w:val="single" w:sz="4" w:space="0" w:color="auto"/>
            </w:tcBorders>
            <w:hideMark/>
          </w:tcPr>
          <w:p w:rsidR="00AB12B3" w:rsidRDefault="00AB12B3">
            <w:pPr>
              <w:pStyle w:val="af4"/>
              <w:tabs>
                <w:tab w:val="center" w:pos="955"/>
              </w:tabs>
              <w:ind w:left="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ab/>
              <w:t>ОШ (95% ДИ)</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p</w:t>
            </w:r>
          </w:p>
        </w:tc>
      </w:tr>
      <w:tr w:rsidR="00AB12B3" w:rsidTr="002532A8">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2234" w:type="dxa"/>
            <w:vMerge w:val="restart"/>
            <w:tcBorders>
              <w:left w:val="single" w:sz="4" w:space="0" w:color="auto"/>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sz w:val="28"/>
                <w:szCs w:val="28"/>
              </w:rPr>
              <w:t>Ко-доминант</w:t>
            </w:r>
          </w:p>
        </w:tc>
        <w:tc>
          <w:tcPr>
            <w:tcW w:w="1416" w:type="dxa"/>
            <w:tcBorders>
              <w:left w:val="single" w:sz="4" w:space="0" w:color="auto"/>
              <w:right w:val="single" w:sz="4" w:space="0" w:color="auto"/>
            </w:tcBorders>
            <w:hideMark/>
          </w:tcPr>
          <w:p w:rsidR="00AB12B3" w:rsidRDefault="00AB12B3">
            <w:pPr>
              <w:pStyle w:val="af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C/C</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165</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189</w:t>
            </w:r>
          </w:p>
        </w:tc>
        <w:tc>
          <w:tcPr>
            <w:tcW w:w="2159"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w:t>
            </w:r>
          </w:p>
        </w:tc>
        <w:tc>
          <w:tcPr>
            <w:tcW w:w="992" w:type="dxa"/>
            <w:vMerge w:val="restart"/>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0,023</w:t>
            </w:r>
          </w:p>
        </w:tc>
      </w:tr>
      <w:tr w:rsidR="00AB12B3" w:rsidTr="002532A8">
        <w:trPr>
          <w:trHeight w:val="144"/>
        </w:trPr>
        <w:tc>
          <w:tcPr>
            <w:cnfStyle w:val="001000000000" w:firstRow="0" w:lastRow="0" w:firstColumn="1" w:lastColumn="0" w:oddVBand="0" w:evenVBand="0" w:oddHBand="0" w:evenHBand="0" w:firstRowFirstColumn="0" w:firstRowLastColumn="0" w:lastRowFirstColumn="0" w:lastRowLastColumn="0"/>
            <w:tcW w:w="2234" w:type="dxa"/>
            <w:vMerge/>
            <w:tcBorders>
              <w:top w:val="single" w:sz="4" w:space="0" w:color="7F7F7F" w:themeColor="text1" w:themeTint="80"/>
              <w:left w:val="single" w:sz="4" w:space="0" w:color="auto"/>
              <w:bottom w:val="single" w:sz="4" w:space="0" w:color="7F7F7F" w:themeColor="text1" w:themeTint="80"/>
              <w:right w:val="single" w:sz="4" w:space="0" w:color="auto"/>
            </w:tcBorders>
            <w:vAlign w:val="center"/>
            <w:hideMark/>
          </w:tcPr>
          <w:p w:rsidR="00AB12B3" w:rsidRDefault="00AB12B3">
            <w:pPr>
              <w:rPr>
                <w:rFonts w:ascii="Times New Roman" w:hAnsi="Times New Roman" w:cs="Times New Roman"/>
                <w:sz w:val="28"/>
                <w:szCs w:val="28"/>
              </w:rPr>
            </w:pPr>
          </w:p>
        </w:tc>
        <w:tc>
          <w:tcPr>
            <w:tcW w:w="1416"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C/G</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54</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32</w:t>
            </w:r>
          </w:p>
        </w:tc>
        <w:tc>
          <w:tcPr>
            <w:tcW w:w="215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1,93 (1,19-3,14)</w:t>
            </w:r>
          </w:p>
        </w:tc>
        <w:tc>
          <w:tcPr>
            <w:tcW w:w="992" w:type="dxa"/>
            <w:vMerge/>
            <w:tcBorders>
              <w:top w:val="single" w:sz="4" w:space="0" w:color="7F7F7F" w:themeColor="text1" w:themeTint="80"/>
              <w:left w:val="single" w:sz="4" w:space="0" w:color="auto"/>
              <w:bottom w:val="single" w:sz="4" w:space="0" w:color="7F7F7F" w:themeColor="text1" w:themeTint="80"/>
              <w:right w:val="single" w:sz="4" w:space="0" w:color="auto"/>
            </w:tcBorders>
            <w:vAlign w:val="center"/>
            <w:hideMark/>
          </w:tcPr>
          <w:p w:rsidR="00AB12B3" w:rsidRDefault="00AB12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r>
      <w:tr w:rsidR="00AB12B3" w:rsidTr="002532A8">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234" w:type="dxa"/>
            <w:vMerge/>
            <w:tcBorders>
              <w:left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416" w:type="dxa"/>
            <w:tcBorders>
              <w:left w:val="single" w:sz="4" w:space="0" w:color="auto"/>
              <w:right w:val="single" w:sz="4" w:space="0" w:color="auto"/>
            </w:tcBorders>
            <w:hideMark/>
          </w:tcPr>
          <w:p w:rsidR="00AB12B3" w:rsidRDefault="00AB12B3">
            <w:pPr>
              <w:pStyle w:val="af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G/G</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11</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9</w:t>
            </w:r>
          </w:p>
        </w:tc>
        <w:tc>
          <w:tcPr>
            <w:tcW w:w="2159"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1,4 (0,57-3,46)</w:t>
            </w:r>
          </w:p>
        </w:tc>
        <w:tc>
          <w:tcPr>
            <w:tcW w:w="992" w:type="dxa"/>
            <w:vMerge/>
            <w:tcBorders>
              <w:left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2532A8">
        <w:trPr>
          <w:trHeight w:val="406"/>
        </w:trPr>
        <w:tc>
          <w:tcPr>
            <w:cnfStyle w:val="001000000000" w:firstRow="0" w:lastRow="0" w:firstColumn="1" w:lastColumn="0" w:oddVBand="0" w:evenVBand="0" w:oddHBand="0" w:evenHBand="0" w:firstRowFirstColumn="0" w:firstRowLastColumn="0" w:lastRowFirstColumn="0" w:lastRowLastColumn="0"/>
            <w:tcW w:w="2234"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sz w:val="28"/>
                <w:szCs w:val="28"/>
              </w:rPr>
              <w:t>Доминант</w:t>
            </w:r>
          </w:p>
        </w:tc>
        <w:tc>
          <w:tcPr>
            <w:tcW w:w="1416"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C/C</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165</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189</w:t>
            </w:r>
          </w:p>
        </w:tc>
        <w:tc>
          <w:tcPr>
            <w:tcW w:w="215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w:t>
            </w:r>
          </w:p>
        </w:tc>
        <w:tc>
          <w:tcPr>
            <w:tcW w:w="992"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0,0077</w:t>
            </w:r>
          </w:p>
        </w:tc>
      </w:tr>
      <w:tr w:rsidR="00AB12B3" w:rsidTr="002532A8">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234" w:type="dxa"/>
            <w:vMerge/>
            <w:tcBorders>
              <w:top w:val="single" w:sz="4" w:space="0" w:color="auto"/>
              <w:left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416" w:type="dxa"/>
            <w:tcBorders>
              <w:left w:val="single" w:sz="4" w:space="0" w:color="auto"/>
              <w:right w:val="single" w:sz="4" w:space="0" w:color="auto"/>
            </w:tcBorders>
            <w:hideMark/>
          </w:tcPr>
          <w:p w:rsidR="00AB12B3" w:rsidRDefault="00AB12B3">
            <w:pPr>
              <w:pStyle w:val="af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C/G </w:t>
            </w:r>
            <w:r w:rsidR="00C16F07">
              <w:rPr>
                <w:rFonts w:ascii="Times New Roman" w:hAnsi="Times New Roman" w:cs="Times New Roman"/>
                <w:sz w:val="28"/>
                <w:szCs w:val="28"/>
              </w:rPr>
              <w:t>–</w:t>
            </w:r>
            <w:r>
              <w:rPr>
                <w:rFonts w:ascii="Times New Roman" w:hAnsi="Times New Roman" w:cs="Times New Roman"/>
                <w:sz w:val="28"/>
                <w:szCs w:val="28"/>
              </w:rPr>
              <w:t xml:space="preserve"> G/G</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65</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41</w:t>
            </w:r>
          </w:p>
        </w:tc>
        <w:tc>
          <w:tcPr>
            <w:tcW w:w="2159"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1,82 (1,17-2,83)</w:t>
            </w:r>
          </w:p>
        </w:tc>
        <w:tc>
          <w:tcPr>
            <w:tcW w:w="992" w:type="dxa"/>
            <w:vMerge/>
            <w:tcBorders>
              <w:top w:val="single" w:sz="4" w:space="0" w:color="auto"/>
              <w:left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2532A8">
        <w:trPr>
          <w:trHeight w:val="421"/>
        </w:trPr>
        <w:tc>
          <w:tcPr>
            <w:cnfStyle w:val="001000000000" w:firstRow="0" w:lastRow="0" w:firstColumn="1" w:lastColumn="0" w:oddVBand="0" w:evenVBand="0" w:oddHBand="0" w:evenHBand="0" w:firstRowFirstColumn="0" w:firstRowLastColumn="0" w:lastRowFirstColumn="0" w:lastRowLastColumn="0"/>
            <w:tcW w:w="22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sz w:val="28"/>
                <w:szCs w:val="28"/>
              </w:rPr>
              <w:t>Рецессив</w:t>
            </w:r>
          </w:p>
        </w:tc>
        <w:tc>
          <w:tcPr>
            <w:tcW w:w="1416"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C/C </w:t>
            </w:r>
            <w:r w:rsidR="00C16F07">
              <w:rPr>
                <w:rFonts w:ascii="Times New Roman" w:hAnsi="Times New Roman" w:cs="Times New Roman"/>
                <w:sz w:val="28"/>
                <w:szCs w:val="28"/>
              </w:rPr>
              <w:t>–</w:t>
            </w:r>
            <w:r>
              <w:rPr>
                <w:rFonts w:ascii="Times New Roman" w:hAnsi="Times New Roman" w:cs="Times New Roman"/>
                <w:sz w:val="28"/>
                <w:szCs w:val="28"/>
              </w:rPr>
              <w:t xml:space="preserve"> C/G </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219</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221</w:t>
            </w:r>
          </w:p>
        </w:tc>
        <w:tc>
          <w:tcPr>
            <w:tcW w:w="215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0,65</w:t>
            </w:r>
          </w:p>
        </w:tc>
      </w:tr>
      <w:tr w:rsidR="00AB12B3" w:rsidTr="002532A8">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2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416" w:type="dxa"/>
            <w:tcBorders>
              <w:left w:val="single" w:sz="4" w:space="0" w:color="auto"/>
              <w:bottom w:val="single" w:sz="4" w:space="0" w:color="auto"/>
              <w:right w:val="single" w:sz="4" w:space="0" w:color="auto"/>
            </w:tcBorders>
            <w:hideMark/>
          </w:tcPr>
          <w:p w:rsidR="00AB12B3" w:rsidRDefault="00AB12B3">
            <w:pPr>
              <w:pStyle w:val="af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G/G</w:t>
            </w:r>
          </w:p>
        </w:tc>
        <w:tc>
          <w:tcPr>
            <w:tcW w:w="1275" w:type="dxa"/>
            <w:tcBorders>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11</w:t>
            </w:r>
          </w:p>
        </w:tc>
        <w:tc>
          <w:tcPr>
            <w:tcW w:w="1275" w:type="dxa"/>
            <w:tcBorders>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9</w:t>
            </w:r>
          </w:p>
        </w:tc>
        <w:tc>
          <w:tcPr>
            <w:tcW w:w="2159" w:type="dxa"/>
            <w:tcBorders>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1,23 (0,5-3,04)</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2532A8">
        <w:trPr>
          <w:trHeight w:val="436"/>
        </w:trPr>
        <w:tc>
          <w:tcPr>
            <w:cnfStyle w:val="001000000000" w:firstRow="0" w:lastRow="0" w:firstColumn="1" w:lastColumn="0" w:oddVBand="0" w:evenVBand="0" w:oddHBand="0" w:evenHBand="0" w:firstRowFirstColumn="0" w:firstRowLastColumn="0" w:lastRowFirstColumn="0" w:lastRowLastColumn="0"/>
            <w:tcW w:w="223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sz w:val="28"/>
                <w:szCs w:val="28"/>
              </w:rPr>
              <w:t>Сверх-доминант</w:t>
            </w:r>
          </w:p>
        </w:tc>
        <w:tc>
          <w:tcPr>
            <w:tcW w:w="1416"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C/C </w:t>
            </w:r>
            <w:r w:rsidR="00C16F07">
              <w:rPr>
                <w:rFonts w:ascii="Times New Roman" w:hAnsi="Times New Roman" w:cs="Times New Roman"/>
                <w:sz w:val="28"/>
                <w:szCs w:val="28"/>
              </w:rPr>
              <w:t>–</w:t>
            </w:r>
            <w:r>
              <w:rPr>
                <w:rFonts w:ascii="Times New Roman" w:hAnsi="Times New Roman" w:cs="Times New Roman"/>
                <w:sz w:val="28"/>
                <w:szCs w:val="28"/>
              </w:rPr>
              <w:t xml:space="preserve"> G/G</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176</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198</w:t>
            </w:r>
          </w:p>
        </w:tc>
        <w:tc>
          <w:tcPr>
            <w:tcW w:w="215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0,008</w:t>
            </w:r>
          </w:p>
        </w:tc>
      </w:tr>
      <w:tr w:rsidR="00AB12B3" w:rsidTr="002532A8">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23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416"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C/G</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54</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32</w:t>
            </w:r>
          </w:p>
        </w:tc>
        <w:tc>
          <w:tcPr>
            <w:tcW w:w="215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1,9 (1,17-3,07)</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2532A8">
        <w:trPr>
          <w:trHeight w:val="421"/>
        </w:trPr>
        <w:tc>
          <w:tcPr>
            <w:cnfStyle w:val="001000000000" w:firstRow="0" w:lastRow="0" w:firstColumn="1" w:lastColumn="0" w:oddVBand="0" w:evenVBand="0" w:oddHBand="0" w:evenHBand="0" w:firstRowFirstColumn="0" w:firstRowLastColumn="0" w:lastRowFirstColumn="0" w:lastRowLastColumn="0"/>
            <w:tcW w:w="22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sz w:val="28"/>
                <w:szCs w:val="28"/>
              </w:rPr>
              <w:t>Логистическая регрессия</w:t>
            </w:r>
          </w:p>
        </w:tc>
        <w:tc>
          <w:tcPr>
            <w:tcW w:w="1416" w:type="dxa"/>
            <w:tcBorders>
              <w:top w:val="single" w:sz="4" w:space="0" w:color="auto"/>
              <w:left w:val="single" w:sz="4" w:space="0" w:color="auto"/>
              <w:bottom w:val="single" w:sz="4" w:space="0" w:color="auto"/>
              <w:right w:val="single" w:sz="4" w:space="0" w:color="auto"/>
            </w:tcBorders>
          </w:tcPr>
          <w:p w:rsidR="00AB12B3" w:rsidRDefault="00AB12B3">
            <w:pPr>
              <w:pStyle w:val="af4"/>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215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1,5 (1,05-2,13)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0,023</w:t>
            </w:r>
          </w:p>
        </w:tc>
      </w:tr>
      <w:tr w:rsidR="00AB12B3" w:rsidTr="002532A8">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9351" w:type="dxa"/>
            <w:gridSpan w:val="6"/>
            <w:tcBorders>
              <w:top w:val="single" w:sz="4" w:space="0" w:color="auto"/>
              <w:left w:val="single" w:sz="4" w:space="0" w:color="auto"/>
              <w:bottom w:val="single" w:sz="4" w:space="0" w:color="auto"/>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b w:val="0"/>
                <w:szCs w:val="24"/>
              </w:rPr>
              <w:t>ОШ (</w:t>
            </w:r>
            <w:r>
              <w:rPr>
                <w:rFonts w:ascii="Times New Roman" w:hAnsi="Times New Roman" w:cs="Times New Roman"/>
                <w:b w:val="0"/>
                <w:szCs w:val="24"/>
              </w:rPr>
              <w:t xml:space="preserve">95% </w:t>
            </w:r>
            <w:r>
              <w:rPr>
                <w:rFonts w:ascii="Times New Roman" w:hAnsi="Times New Roman"/>
                <w:b w:val="0"/>
                <w:szCs w:val="24"/>
              </w:rPr>
              <w:t>ДИ) – Отношение шансов (</w:t>
            </w:r>
            <w:r>
              <w:rPr>
                <w:rFonts w:ascii="Times New Roman" w:hAnsi="Times New Roman" w:cs="Times New Roman"/>
                <w:b w:val="0"/>
                <w:szCs w:val="24"/>
              </w:rPr>
              <w:t xml:space="preserve">95% </w:t>
            </w:r>
            <w:r>
              <w:rPr>
                <w:rFonts w:ascii="Times New Roman" w:hAnsi="Times New Roman"/>
                <w:b w:val="0"/>
                <w:szCs w:val="24"/>
              </w:rPr>
              <w:t>Доверительный интервал)</w:t>
            </w:r>
          </w:p>
        </w:tc>
      </w:tr>
    </w:tbl>
    <w:p w:rsidR="00AB12B3" w:rsidRDefault="00AB12B3" w:rsidP="00AB12B3">
      <w:pPr>
        <w:pStyle w:val="HTML"/>
        <w:shd w:val="clear" w:color="auto" w:fill="FFFFFF"/>
        <w:ind w:firstLine="567"/>
        <w:jc w:val="both"/>
        <w:rPr>
          <w:rFonts w:ascii="Times New Roman" w:hAnsi="Times New Roman" w:cs="Times New Roman"/>
          <w:sz w:val="28"/>
          <w:szCs w:val="28"/>
        </w:rPr>
      </w:pP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sz w:val="28"/>
          <w:szCs w:val="28"/>
          <w:lang w:val="en-US"/>
        </w:rPr>
        <w:t>Yang</w:t>
      </w:r>
      <w:r w:rsidR="00932595">
        <w:rPr>
          <w:rFonts w:ascii="Times New Roman" w:hAnsi="Times New Roman" w:cs="Times New Roman"/>
          <w:bCs/>
          <w:sz w:val="28"/>
          <w:szCs w:val="28"/>
        </w:rPr>
        <w:t xml:space="preserve"> </w:t>
      </w:r>
      <w:r w:rsidR="003C60C2">
        <w:rPr>
          <w:rFonts w:ascii="Times New Roman" w:hAnsi="Times New Roman" w:cs="Times New Roman"/>
          <w:bCs/>
          <w:sz w:val="28"/>
          <w:szCs w:val="28"/>
          <w:lang w:val="en-US"/>
        </w:rPr>
        <w:t>T</w:t>
      </w:r>
      <w:r w:rsidR="003C60C2">
        <w:rPr>
          <w:rFonts w:ascii="Times New Roman" w:hAnsi="Times New Roman" w:cs="Times New Roman"/>
          <w:bCs/>
          <w:sz w:val="28"/>
          <w:szCs w:val="28"/>
        </w:rPr>
        <w:t>.</w:t>
      </w:r>
      <w:r w:rsidR="005A67EC">
        <w:rPr>
          <w:rFonts w:ascii="Times New Roman" w:hAnsi="Times New Roman" w:cs="Times New Roman"/>
          <w:bCs/>
          <w:sz w:val="28"/>
          <w:szCs w:val="28"/>
        </w:rPr>
        <w:t xml:space="preserve"> </w:t>
      </w:r>
      <w:r>
        <w:rPr>
          <w:rFonts w:ascii="Times New Roman" w:hAnsi="Times New Roman" w:cs="Times New Roman"/>
          <w:sz w:val="28"/>
          <w:szCs w:val="28"/>
          <w:lang w:val="kk-KZ"/>
        </w:rPr>
        <w:t>и соавторы</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предположили, что</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мутации</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гена</w:t>
      </w:r>
      <w:r w:rsidR="00932595">
        <w:rPr>
          <w:rFonts w:ascii="Times New Roman" w:hAnsi="Times New Roman" w:cs="Times New Roman"/>
          <w:sz w:val="28"/>
          <w:szCs w:val="28"/>
          <w:lang w:val="kk-KZ"/>
        </w:rPr>
        <w:t xml:space="preserve"> </w:t>
      </w:r>
      <w:r>
        <w:rPr>
          <w:rFonts w:ascii="Times New Roman" w:hAnsi="Times New Roman" w:cs="Times New Roman"/>
          <w:i/>
          <w:sz w:val="28"/>
          <w:szCs w:val="28"/>
          <w:lang w:val="kk-KZ"/>
        </w:rPr>
        <w:t>LPL</w:t>
      </w:r>
      <w:r w:rsidR="00932595">
        <w:rPr>
          <w:rFonts w:ascii="Times New Roman" w:hAnsi="Times New Roman" w:cs="Times New Roman"/>
          <w:i/>
          <w:sz w:val="28"/>
          <w:szCs w:val="28"/>
          <w:lang w:val="kk-KZ"/>
        </w:rPr>
        <w:t xml:space="preserve"> </w:t>
      </w:r>
      <w:r w:rsidR="005B2CBC">
        <w:rPr>
          <w:rFonts w:ascii="Times New Roman" w:hAnsi="Times New Roman" w:cs="Times New Roman"/>
          <w:sz w:val="28"/>
          <w:szCs w:val="28"/>
          <w:lang w:val="kk-KZ"/>
        </w:rPr>
        <w:t>ассоциированы с развитием</w:t>
      </w:r>
      <w:r>
        <w:rPr>
          <w:rFonts w:ascii="Times New Roman" w:hAnsi="Times New Roman" w:cs="Times New Roman"/>
          <w:sz w:val="28"/>
          <w:szCs w:val="28"/>
          <w:lang w:val="kk-KZ"/>
        </w:rPr>
        <w:t xml:space="preserve"> дефицит</w:t>
      </w:r>
      <w:r w:rsidR="005B2CBC">
        <w:rPr>
          <w:rFonts w:ascii="Times New Roman" w:hAnsi="Times New Roman" w:cs="Times New Roman"/>
          <w:sz w:val="28"/>
          <w:szCs w:val="28"/>
          <w:lang w:val="kk-KZ"/>
        </w:rPr>
        <w:t>а</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фермента ЛПЛ, </w:t>
      </w:r>
      <w:r w:rsidR="005B2CBC">
        <w:rPr>
          <w:rFonts w:ascii="Times New Roman" w:hAnsi="Times New Roman" w:cs="Times New Roman"/>
          <w:sz w:val="28"/>
          <w:szCs w:val="28"/>
          <w:lang w:val="kk-KZ"/>
        </w:rPr>
        <w:t xml:space="preserve">и соответственно с </w:t>
      </w:r>
      <w:r>
        <w:rPr>
          <w:rFonts w:ascii="Times New Roman" w:hAnsi="Times New Roman" w:cs="Times New Roman"/>
          <w:sz w:val="28"/>
          <w:szCs w:val="28"/>
          <w:lang w:val="kk-KZ"/>
        </w:rPr>
        <w:t>повышени</w:t>
      </w:r>
      <w:r w:rsidR="005B2CBC">
        <w:rPr>
          <w:rFonts w:ascii="Times New Roman" w:hAnsi="Times New Roman" w:cs="Times New Roman"/>
          <w:sz w:val="28"/>
          <w:szCs w:val="28"/>
          <w:lang w:val="kk-KZ"/>
        </w:rPr>
        <w:t>ем</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уровня ТГ, вызываю</w:t>
      </w:r>
      <w:r w:rsidR="005B2CBC">
        <w:rPr>
          <w:rFonts w:ascii="Times New Roman" w:hAnsi="Times New Roman" w:cs="Times New Roman"/>
          <w:sz w:val="28"/>
          <w:szCs w:val="28"/>
          <w:lang w:val="kk-KZ"/>
        </w:rPr>
        <w:t>щим</w:t>
      </w:r>
      <w:r>
        <w:rPr>
          <w:rFonts w:ascii="Times New Roman" w:hAnsi="Times New Roman" w:cs="Times New Roman"/>
          <w:sz w:val="28"/>
          <w:szCs w:val="28"/>
          <w:lang w:val="kk-KZ"/>
        </w:rPr>
        <w:t xml:space="preserve"> ИР </w:t>
      </w:r>
      <w:r w:rsidR="00EA0E64">
        <w:rPr>
          <w:rFonts w:ascii="Times New Roman" w:hAnsi="Times New Roman" w:cs="Times New Roman"/>
          <w:sz w:val="28"/>
          <w:szCs w:val="28"/>
          <w:lang w:val="kk-KZ"/>
        </w:rPr>
        <w:fldChar w:fldCharType="begin" w:fldLock="1"/>
      </w:r>
      <w:r w:rsidR="009D40AC">
        <w:rPr>
          <w:rFonts w:ascii="Times New Roman" w:hAnsi="Times New Roman" w:cs="Times New Roman"/>
          <w:sz w:val="28"/>
          <w:szCs w:val="28"/>
          <w:lang w:val="kk-KZ"/>
        </w:rPr>
        <w:instrText>ADDIN CSL_CITATION {"citationItems":[{"id":"ITEM-1","itemData":{"DOI":"10.1002/humu.9134","ISBN":"8522637385","ISSN":"1059-7794","author":[{"dropping-particle":"","family":"Yang","given":"Tao","non-dropping-particle":"","parse-names":false,"suffix":""},{"dropping-particle":"","family":"Pang","given":"Chi-pui","non-dropping-particle":"","parse-names":false,"suffix":""},{"dropping-particle":"","family":"Tsang","given":"Man-wo","non-dropping-particle":"","parse-names":false,"suffix":""},{"dropping-particle":"","family":"Lam","given":"Ching-wan","non-dropping-particle":"","parse-names":false,"suffix":""},{"dropping-particle":"","family":"Poon","given":"Priscilla M.K.","non-dropping-particle":"","parse-names":false,"suffix":""},{"dropping-particle":"","family":"Chan","given":"Lisa Y.S.","non-dropping-particle":"","parse-names":false,"suffix":""},{"dropping-particle":"","family":"Wu","given":"Xiang-qian","non-dropping-particle":"","parse-names":false,"suffix":""},{"dropping-particle":"","family":"Tomlinson","given":"Brian","non-dropping-particle":"","parse-names":false,"suffix":""},{"dropping-particle":"","family":"Baum","given":"Larry","non-dropping-particle":"","parse-names":false,"suffix":""}],"container-title":"Human Mutation","id":"ITEM-1","issue":"4","issued":{"date-parts":[["2003","4"]]},"page":"453-453","title":"Pathogenic mutations of the lipoprotein lipase gene in Chinese patients with hypertriglyceridemic type 2 diabetes","type":"article-journal","volume":"21"},"uris":["http://www.mendeley.com/documents/?uuid=7a979c57-225d-4269-b221-1f2966a53c68"]}],"mendeley":{"formattedCitation":"[198]","plainTextFormattedCitation":"[198]","previouslyFormattedCitation":"[198]"},"properties":{"noteIndex":0},"schema":"https://github.com/citation-style-language/schema/raw/master/csl-citation.json"}</w:instrText>
      </w:r>
      <w:r w:rsidR="00EA0E64">
        <w:rPr>
          <w:rFonts w:ascii="Times New Roman" w:hAnsi="Times New Roman" w:cs="Times New Roman"/>
          <w:sz w:val="28"/>
          <w:szCs w:val="28"/>
          <w:lang w:val="kk-KZ"/>
        </w:rPr>
        <w:fldChar w:fldCharType="separate"/>
      </w:r>
      <w:r w:rsidR="009D40AC" w:rsidRPr="009D40AC">
        <w:rPr>
          <w:rFonts w:ascii="Times New Roman" w:hAnsi="Times New Roman" w:cs="Times New Roman"/>
          <w:noProof/>
          <w:sz w:val="28"/>
          <w:szCs w:val="28"/>
          <w:lang w:val="kk-KZ"/>
        </w:rPr>
        <w:t>[198]</w:t>
      </w:r>
      <w:r w:rsidR="00EA0E64">
        <w:rPr>
          <w:rFonts w:ascii="Times New Roman" w:hAnsi="Times New Roman" w:cs="Times New Roman"/>
          <w:sz w:val="28"/>
          <w:szCs w:val="28"/>
          <w:lang w:val="kk-KZ"/>
        </w:rPr>
        <w:fldChar w:fldCharType="end"/>
      </w:r>
      <w:r>
        <w:rPr>
          <w:rFonts w:ascii="Times New Roman" w:hAnsi="Times New Roman" w:cs="Times New Roman"/>
          <w:sz w:val="28"/>
          <w:szCs w:val="28"/>
          <w:lang w:val="kk-KZ"/>
        </w:rPr>
        <w:t>. В текущем</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исследовании</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мы</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обнаружили, что</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более</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высокие</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риски</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гиперинсулинемии</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были</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связаны с аллелем C полиморфизма Ser447Ter (</w:t>
      </w:r>
      <w:r>
        <w:rPr>
          <w:rFonts w:ascii="Times New Roman" w:hAnsi="Times New Roman" w:cs="Times New Roman"/>
          <w:sz w:val="28"/>
          <w:szCs w:val="28"/>
          <w:lang w:val="en-US"/>
        </w:rPr>
        <w:t>rs</w:t>
      </w:r>
      <w:r>
        <w:rPr>
          <w:rFonts w:ascii="Times New Roman" w:hAnsi="Times New Roman" w:cs="Times New Roman"/>
          <w:sz w:val="28"/>
          <w:szCs w:val="28"/>
        </w:rPr>
        <w:t>328</w:t>
      </w:r>
      <w:r>
        <w:rPr>
          <w:rFonts w:ascii="Times New Roman" w:hAnsi="Times New Roman" w:cs="Times New Roman"/>
          <w:sz w:val="28"/>
          <w:szCs w:val="28"/>
          <w:lang w:val="kk-KZ"/>
        </w:rPr>
        <w:t>) гена</w:t>
      </w:r>
      <w:r w:rsidR="00932595">
        <w:rPr>
          <w:rFonts w:ascii="Times New Roman" w:hAnsi="Times New Roman" w:cs="Times New Roman"/>
          <w:sz w:val="28"/>
          <w:szCs w:val="28"/>
          <w:lang w:val="kk-KZ"/>
        </w:rPr>
        <w:t xml:space="preserve"> </w:t>
      </w:r>
      <w:r>
        <w:rPr>
          <w:rFonts w:ascii="Times New Roman" w:hAnsi="Times New Roman" w:cs="Times New Roman"/>
          <w:i/>
          <w:sz w:val="28"/>
          <w:szCs w:val="28"/>
          <w:lang w:val="kk-KZ"/>
        </w:rPr>
        <w:t>LPL</w:t>
      </w:r>
      <w:r>
        <w:rPr>
          <w:rFonts w:ascii="Times New Roman" w:hAnsi="Times New Roman" w:cs="Times New Roman"/>
          <w:sz w:val="28"/>
          <w:szCs w:val="28"/>
          <w:lang w:val="kk-KZ"/>
        </w:rPr>
        <w:t xml:space="preserve">. </w:t>
      </w:r>
      <w:r w:rsidR="005B2CBC">
        <w:rPr>
          <w:rFonts w:ascii="Times New Roman" w:hAnsi="Times New Roman" w:cs="Times New Roman"/>
          <w:sz w:val="28"/>
          <w:szCs w:val="28"/>
          <w:lang w:val="kk-KZ"/>
        </w:rPr>
        <w:t>Б</w:t>
      </w:r>
      <w:r>
        <w:rPr>
          <w:rFonts w:ascii="Times New Roman" w:hAnsi="Times New Roman" w:cs="Times New Roman"/>
          <w:sz w:val="28"/>
          <w:szCs w:val="28"/>
          <w:lang w:val="kk-KZ"/>
        </w:rPr>
        <w:t>олее</w:t>
      </w:r>
      <w:r w:rsidR="005B2CBC">
        <w:rPr>
          <w:rFonts w:ascii="Times New Roman" w:hAnsi="Times New Roman" w:cs="Times New Roman"/>
          <w:sz w:val="28"/>
          <w:szCs w:val="28"/>
          <w:lang w:val="kk-KZ"/>
        </w:rPr>
        <w:t xml:space="preserve"> </w:t>
      </w:r>
      <w:r>
        <w:rPr>
          <w:rFonts w:ascii="Times New Roman" w:hAnsi="Times New Roman" w:cs="Times New Roman"/>
          <w:sz w:val="28"/>
          <w:szCs w:val="28"/>
          <w:lang w:val="kk-KZ"/>
        </w:rPr>
        <w:t>низкий риск гиперинсулинемии</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был</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связан с аллелем G Ser447Ter (</w:t>
      </w:r>
      <w:r>
        <w:rPr>
          <w:rFonts w:ascii="Times New Roman" w:hAnsi="Times New Roman" w:cs="Times New Roman"/>
          <w:sz w:val="28"/>
          <w:szCs w:val="28"/>
          <w:lang w:val="en-US"/>
        </w:rPr>
        <w:t>rs</w:t>
      </w:r>
      <w:r>
        <w:rPr>
          <w:rFonts w:ascii="Times New Roman" w:hAnsi="Times New Roman" w:cs="Times New Roman"/>
          <w:sz w:val="28"/>
          <w:szCs w:val="28"/>
        </w:rPr>
        <w:t>328</w:t>
      </w:r>
      <w:r>
        <w:rPr>
          <w:rFonts w:ascii="Times New Roman" w:hAnsi="Times New Roman" w:cs="Times New Roman"/>
          <w:sz w:val="28"/>
          <w:szCs w:val="28"/>
          <w:lang w:val="kk-KZ"/>
        </w:rPr>
        <w:t xml:space="preserve">) </w:t>
      </w:r>
      <w:r>
        <w:rPr>
          <w:rFonts w:ascii="Times New Roman" w:hAnsi="Times New Roman" w:cs="Times New Roman"/>
          <w:sz w:val="28"/>
          <w:szCs w:val="28"/>
        </w:rPr>
        <w:t>гена</w:t>
      </w:r>
      <w:r w:rsidR="00932595">
        <w:rPr>
          <w:rFonts w:ascii="Times New Roman" w:hAnsi="Times New Roman" w:cs="Times New Roman"/>
          <w:sz w:val="28"/>
          <w:szCs w:val="28"/>
        </w:rPr>
        <w:t xml:space="preserve"> </w:t>
      </w:r>
      <w:r>
        <w:rPr>
          <w:rFonts w:ascii="Times New Roman" w:hAnsi="Times New Roman" w:cs="Times New Roman"/>
          <w:i/>
          <w:sz w:val="28"/>
          <w:szCs w:val="28"/>
          <w:lang w:val="kk-KZ"/>
        </w:rPr>
        <w:t>LPL</w:t>
      </w:r>
      <w:r w:rsidR="00932595">
        <w:rPr>
          <w:rFonts w:ascii="Times New Roman" w:hAnsi="Times New Roman" w:cs="Times New Roman"/>
          <w:i/>
          <w:sz w:val="28"/>
          <w:szCs w:val="28"/>
          <w:lang w:val="kk-KZ"/>
        </w:rPr>
        <w:t xml:space="preserve"> </w:t>
      </w:r>
      <w:r w:rsidR="00EA0E64">
        <w:rPr>
          <w:rFonts w:ascii="Times New Roman" w:hAnsi="Times New Roman" w:cs="Times New Roman"/>
          <w:i/>
          <w:sz w:val="28"/>
          <w:szCs w:val="28"/>
          <w:lang w:val="kk-KZ"/>
        </w:rPr>
        <w:fldChar w:fldCharType="begin" w:fldLock="1"/>
      </w:r>
      <w:r w:rsidR="009D40AC">
        <w:rPr>
          <w:rFonts w:ascii="Times New Roman" w:hAnsi="Times New Roman" w:cs="Times New Roman"/>
          <w:i/>
          <w:sz w:val="28"/>
          <w:szCs w:val="28"/>
          <w:lang w:val="kk-KZ"/>
        </w:rPr>
        <w:instrText>ADDIN CSL_CITATION {"citationItems":[{"id":"ITEM-1","itemData":{"DOI":"10.3892/br.2020.1342","author":[{"dropping-particle":"","family":"Shakhanova","given":"Aizhan","non-dropping-particle":"","parse-names":false,"suffix":""},{"dropping-particle":"","family":"Aukenov","given":"Nurlan","non-dropping-particle":"","parse-names":false,"suffix":""},{"dropping-particle":"","family":"Nurtazina","given":"Alma","non-dropping-particle":"","parse-names":false,"suffix":""},{"dropping-particle":"","family":"Massabayeva","given":"Meruyert","non-dropping-particle":"","parse-names":false,"suffix":""},{"dropping-particle":"","family":"Babenko","given":"Dmitriy","non-dropping-particle":"","parse-names":false,"suffix":""},{"dropping-particle":"","family":"Adiyeva","given":"Madina","non-dropping-particle":"","parse-names":false,"suffix":""},{"dropping-particle":"","family":"Shaimardonov","given":"Nurlan","non-dropping-particle":"","parse-names":false,"suffix":""}],"container-title":"Biomedical reports","id":"ITEM-1","issue":"5","issued":{"date-parts":[["2020"]]},"page":"1-10","title":"Association of polymorphism genes LPL , ADRB2 , AGT and AGTR1 with risk of hyperinsulinism and insulin resistance in the Kazakh population","type":"article-journal","volume":"13"},"uris":["http://www.mendeley.com/documents/?uuid=4a3236f4-d3d8-45e5-ae0a-7735d6d01232"]}],"mendeley":{"formattedCitation":"[199]","plainTextFormattedCitation":"[199]","previouslyFormattedCitation":"[199]"},"properties":{"noteIndex":0},"schema":"https://github.com/citation-style-language/schema/raw/master/csl-citation.json"}</w:instrText>
      </w:r>
      <w:r w:rsidR="00EA0E64">
        <w:rPr>
          <w:rFonts w:ascii="Times New Roman" w:hAnsi="Times New Roman" w:cs="Times New Roman"/>
          <w:i/>
          <w:sz w:val="28"/>
          <w:szCs w:val="28"/>
          <w:lang w:val="kk-KZ"/>
        </w:rPr>
        <w:fldChar w:fldCharType="separate"/>
      </w:r>
      <w:r w:rsidR="009D40AC" w:rsidRPr="009D40AC">
        <w:rPr>
          <w:rFonts w:ascii="Times New Roman" w:hAnsi="Times New Roman" w:cs="Times New Roman"/>
          <w:noProof/>
          <w:sz w:val="28"/>
          <w:szCs w:val="28"/>
          <w:lang w:val="kk-KZ"/>
        </w:rPr>
        <w:t>[199]</w:t>
      </w:r>
      <w:r w:rsidR="00EA0E64">
        <w:rPr>
          <w:rFonts w:ascii="Times New Roman" w:hAnsi="Times New Roman" w:cs="Times New Roman"/>
          <w:i/>
          <w:sz w:val="28"/>
          <w:szCs w:val="28"/>
          <w:lang w:val="kk-KZ"/>
        </w:rPr>
        <w:fldChar w:fldCharType="end"/>
      </w:r>
      <w:r>
        <w:rPr>
          <w:rFonts w:ascii="Times New Roman" w:hAnsi="Times New Roman" w:cs="Times New Roman"/>
          <w:sz w:val="28"/>
          <w:szCs w:val="28"/>
          <w:lang w:val="kk-KZ"/>
        </w:rPr>
        <w:t>. Следовательно, влияние</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взаимодействия</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генов</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на риск гиперинсулинемии</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еще</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предстоит</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изучить. В другом</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исследовании, в котором</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изучалось</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влияние</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полиморфизмов</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гена</w:t>
      </w:r>
      <w:r w:rsidR="00932595">
        <w:rPr>
          <w:rFonts w:ascii="Times New Roman" w:hAnsi="Times New Roman" w:cs="Times New Roman"/>
          <w:sz w:val="28"/>
          <w:szCs w:val="28"/>
          <w:lang w:val="kk-KZ"/>
        </w:rPr>
        <w:t xml:space="preserve"> </w:t>
      </w:r>
      <w:r>
        <w:rPr>
          <w:rFonts w:ascii="Times New Roman" w:hAnsi="Times New Roman" w:cs="Times New Roman"/>
          <w:i/>
          <w:sz w:val="28"/>
          <w:szCs w:val="28"/>
          <w:lang w:val="kk-KZ"/>
        </w:rPr>
        <w:t>LPL</w:t>
      </w:r>
      <w:r>
        <w:rPr>
          <w:rFonts w:ascii="Times New Roman" w:hAnsi="Times New Roman" w:cs="Times New Roman"/>
          <w:sz w:val="28"/>
          <w:szCs w:val="28"/>
          <w:lang w:val="kk-KZ"/>
        </w:rPr>
        <w:t xml:space="preserve"> Ser447Ter и Hind III на факторы, влияющие</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на МС в северной</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популяции</w:t>
      </w:r>
      <w:r w:rsidR="00932595">
        <w:rPr>
          <w:rFonts w:ascii="Times New Roman" w:hAnsi="Times New Roman" w:cs="Times New Roman"/>
          <w:sz w:val="28"/>
          <w:szCs w:val="28"/>
          <w:lang w:val="kk-KZ"/>
        </w:rPr>
        <w:t xml:space="preserve"> </w:t>
      </w:r>
      <w:r>
        <w:rPr>
          <w:rFonts w:ascii="Times New Roman" w:hAnsi="Times New Roman" w:cs="Times New Roman"/>
          <w:sz w:val="28"/>
          <w:szCs w:val="28"/>
          <w:lang w:val="kk-KZ"/>
        </w:rPr>
        <w:t>Ирана, полиморфизмы гена</w:t>
      </w:r>
      <w:r w:rsidR="00355E8D">
        <w:rPr>
          <w:rFonts w:ascii="Times New Roman" w:hAnsi="Times New Roman" w:cs="Times New Roman"/>
          <w:sz w:val="28"/>
          <w:szCs w:val="28"/>
          <w:lang w:val="kk-KZ"/>
        </w:rPr>
        <w:t xml:space="preserve"> </w:t>
      </w:r>
      <w:r>
        <w:rPr>
          <w:rFonts w:ascii="Times New Roman" w:hAnsi="Times New Roman" w:cs="Times New Roman"/>
          <w:i/>
          <w:sz w:val="28"/>
          <w:szCs w:val="28"/>
          <w:lang w:val="kk-KZ"/>
        </w:rPr>
        <w:t>LPL</w:t>
      </w:r>
      <w:r>
        <w:rPr>
          <w:rFonts w:ascii="Times New Roman" w:hAnsi="Times New Roman" w:cs="Times New Roman"/>
          <w:sz w:val="28"/>
          <w:szCs w:val="28"/>
          <w:lang w:val="kk-KZ"/>
        </w:rPr>
        <w:t xml:space="preserve"> Ser447Ter были</w:t>
      </w:r>
      <w:r w:rsidR="00355E8D">
        <w:rPr>
          <w:rFonts w:ascii="Times New Roman" w:hAnsi="Times New Roman" w:cs="Times New Roman"/>
          <w:sz w:val="28"/>
          <w:szCs w:val="28"/>
          <w:lang w:val="kk-KZ"/>
        </w:rPr>
        <w:t xml:space="preserve"> </w:t>
      </w:r>
      <w:r>
        <w:rPr>
          <w:rFonts w:ascii="Times New Roman" w:hAnsi="Times New Roman" w:cs="Times New Roman"/>
          <w:sz w:val="28"/>
          <w:szCs w:val="28"/>
          <w:lang w:val="kk-KZ"/>
        </w:rPr>
        <w:t>связаны с пониженным</w:t>
      </w:r>
      <w:r w:rsidR="00355E8D">
        <w:rPr>
          <w:rFonts w:ascii="Times New Roman" w:hAnsi="Times New Roman" w:cs="Times New Roman"/>
          <w:sz w:val="28"/>
          <w:szCs w:val="28"/>
          <w:lang w:val="kk-KZ"/>
        </w:rPr>
        <w:t xml:space="preserve"> </w:t>
      </w:r>
      <w:r>
        <w:rPr>
          <w:rFonts w:ascii="Times New Roman" w:hAnsi="Times New Roman" w:cs="Times New Roman"/>
          <w:sz w:val="28"/>
          <w:szCs w:val="28"/>
          <w:lang w:val="kk-KZ"/>
        </w:rPr>
        <w:t>риском</w:t>
      </w:r>
      <w:r w:rsidR="00355E8D">
        <w:rPr>
          <w:rFonts w:ascii="Times New Roman" w:hAnsi="Times New Roman" w:cs="Times New Roman"/>
          <w:sz w:val="28"/>
          <w:szCs w:val="28"/>
          <w:lang w:val="kk-KZ"/>
        </w:rPr>
        <w:t xml:space="preserve"> </w:t>
      </w:r>
      <w:r>
        <w:rPr>
          <w:rFonts w:ascii="Times New Roman" w:hAnsi="Times New Roman" w:cs="Times New Roman"/>
          <w:sz w:val="28"/>
          <w:szCs w:val="28"/>
          <w:lang w:val="kk-KZ"/>
        </w:rPr>
        <w:t>развития</w:t>
      </w:r>
      <w:r w:rsidR="00355E8D">
        <w:rPr>
          <w:rFonts w:ascii="Times New Roman" w:hAnsi="Times New Roman" w:cs="Times New Roman"/>
          <w:sz w:val="28"/>
          <w:szCs w:val="28"/>
          <w:lang w:val="kk-KZ"/>
        </w:rPr>
        <w:t xml:space="preserve"> </w:t>
      </w:r>
      <w:r>
        <w:rPr>
          <w:rFonts w:ascii="Times New Roman" w:hAnsi="Times New Roman" w:cs="Times New Roman"/>
          <w:sz w:val="28"/>
          <w:szCs w:val="28"/>
          <w:lang w:val="kk-KZ"/>
        </w:rPr>
        <w:t>низкого</w:t>
      </w:r>
      <w:r w:rsidR="00355E8D">
        <w:rPr>
          <w:rFonts w:ascii="Times New Roman" w:hAnsi="Times New Roman" w:cs="Times New Roman"/>
          <w:sz w:val="28"/>
          <w:szCs w:val="28"/>
          <w:lang w:val="kk-KZ"/>
        </w:rPr>
        <w:t xml:space="preserve"> </w:t>
      </w:r>
      <w:r>
        <w:rPr>
          <w:rFonts w:ascii="Times New Roman" w:hAnsi="Times New Roman" w:cs="Times New Roman"/>
          <w:sz w:val="28"/>
          <w:szCs w:val="28"/>
          <w:lang w:val="kk-KZ"/>
        </w:rPr>
        <w:t>уровня ЛПВП и факторами</w:t>
      </w:r>
      <w:r w:rsidR="00355E8D">
        <w:rPr>
          <w:rFonts w:ascii="Times New Roman" w:hAnsi="Times New Roman" w:cs="Times New Roman"/>
          <w:sz w:val="28"/>
          <w:szCs w:val="28"/>
          <w:lang w:val="kk-KZ"/>
        </w:rPr>
        <w:t xml:space="preserve"> </w:t>
      </w:r>
      <w:r>
        <w:rPr>
          <w:rFonts w:ascii="Times New Roman" w:hAnsi="Times New Roman" w:cs="Times New Roman"/>
          <w:sz w:val="28"/>
          <w:szCs w:val="28"/>
          <w:lang w:val="kk-KZ"/>
        </w:rPr>
        <w:t>риска</w:t>
      </w:r>
      <w:r w:rsidR="00355E8D">
        <w:rPr>
          <w:rFonts w:ascii="Times New Roman" w:hAnsi="Times New Roman" w:cs="Times New Roman"/>
          <w:sz w:val="28"/>
          <w:szCs w:val="28"/>
          <w:lang w:val="kk-KZ"/>
        </w:rPr>
        <w:t xml:space="preserve"> </w:t>
      </w:r>
      <w:r>
        <w:rPr>
          <w:rFonts w:ascii="Times New Roman" w:hAnsi="Times New Roman" w:cs="Times New Roman"/>
          <w:sz w:val="28"/>
          <w:szCs w:val="28"/>
          <w:lang w:val="kk-KZ"/>
        </w:rPr>
        <w:t>возникновения</w:t>
      </w:r>
      <w:r w:rsidR="00355E8D">
        <w:rPr>
          <w:rFonts w:ascii="Times New Roman" w:hAnsi="Times New Roman" w:cs="Times New Roman"/>
          <w:sz w:val="28"/>
          <w:szCs w:val="28"/>
          <w:lang w:val="kk-KZ"/>
        </w:rPr>
        <w:t xml:space="preserve"> </w:t>
      </w:r>
      <w:r>
        <w:rPr>
          <w:rFonts w:ascii="Times New Roman" w:hAnsi="Times New Roman" w:cs="Times New Roman"/>
          <w:sz w:val="28"/>
          <w:szCs w:val="28"/>
          <w:lang w:val="kk-KZ"/>
        </w:rPr>
        <w:t>только МС у мужчин</w:t>
      </w:r>
      <w:r w:rsidR="00355E8D">
        <w:rPr>
          <w:rFonts w:ascii="Times New Roman" w:hAnsi="Times New Roman" w:cs="Times New Roman"/>
          <w:sz w:val="28"/>
          <w:szCs w:val="28"/>
          <w:lang w:val="kk-KZ"/>
        </w:rPr>
        <w:t xml:space="preserve"> </w:t>
      </w:r>
      <w:r w:rsidR="00EA0E64">
        <w:rPr>
          <w:rFonts w:ascii="Times New Roman" w:hAnsi="Times New Roman" w:cs="Times New Roman"/>
          <w:sz w:val="28"/>
          <w:szCs w:val="28"/>
          <w:lang w:val="kk-KZ"/>
        </w:rPr>
        <w:fldChar w:fldCharType="begin" w:fldLock="1"/>
      </w:r>
      <w:r w:rsidR="00027D70">
        <w:rPr>
          <w:rFonts w:ascii="Times New Roman" w:hAnsi="Times New Roman" w:cs="Times New Roman"/>
          <w:sz w:val="28"/>
          <w:szCs w:val="28"/>
          <w:lang w:val="kk-KZ"/>
        </w:rPr>
        <w:instrText>ADDIN CSL_CITATION {"citationItems":[{"id":"ITEM-1","itemData":{"DOI":"10.1016/j.gene.2019.144152","ISSN":"03781119","abstract":"The authors regret there has been a mistake in the first sentence of “Conclusions” in the “Abstract”. In fact the name of the genotypes have been misplaced. The corrected sentence is: “The present study proves that some genotypes of S447X were associated with a reduced risk of developing low HDL-C only in men, while the protective effects of HindIII on hypertriglyceridemia were only seen in women.” The authors would like to thank Dr Foad Ghazizadeh (PhD candidate at Department of Pharmacology, College of Medicine, Iran University of Medical Sciences, Tehran, Iran) for his precise reading of the article and finding this mistake. The authors would also apologize for any inconvenience this caused.","author":[{"dropping-particle":"","family":"Alinaghian","given":"Nazila","non-dropping-particle":"","parse-names":false,"suffix":""},{"dropping-particle":"","family":"Abdollahi","given":"Elaheh","non-dropping-particle":"","parse-names":false,"suffix":""},{"dropping-particle":"","family":"Torab","given":"Mansour","non-dropping-particle":"","parse-names":false,"suffix":""},{"dropping-particle":"","family":"Khodaparast","given":"Maral","non-dropping-particle":"","parse-names":false,"suffix":""},{"dropping-particle":"","family":"Zamani","given":"Farhad","non-dropping-particle":"","parse-names":false,"suffix":""},{"dropping-particle":"","family":"Rahimi-Moghaddam","given":"Parvaneh","non-dropping-particle":"","parse-names":false,"suffix":""}],"container-title":"Gene","id":"ITEM-1","issue":"September 2019","issued":{"date-parts":[["2020","1"]]},"page":"144152","publisher":"Elsevier","title":"Corrigendum to “Gender-related relation between metabolic syndrome and S447X and HindIII polymorphisms of lipoprotein lipase gene in northern Iran” [Gene 706 (2019) 13–18]","type":"article-journal","volume":"725"},"uris":["http://www.mendeley.com/documents/?uuid=557abde8-8c43-4ce8-9468-7ded5486ca3d"]}],"mendeley":{"formattedCitation":"[64]","manualFormatting":"[64, р. 15]","plainTextFormattedCitation":"[64]","previouslyFormattedCitation":"[64]"},"properties":{"noteIndex":0},"schema":"https://github.com/citation-style-language/schema/raw/master/csl-citation.json"}</w:instrText>
      </w:r>
      <w:r w:rsidR="00EA0E64">
        <w:rPr>
          <w:rFonts w:ascii="Times New Roman" w:hAnsi="Times New Roman" w:cs="Times New Roman"/>
          <w:sz w:val="28"/>
          <w:szCs w:val="28"/>
          <w:lang w:val="kk-KZ"/>
        </w:rPr>
        <w:fldChar w:fldCharType="separate"/>
      </w:r>
      <w:r w:rsidR="00027D70" w:rsidRPr="00027D70">
        <w:rPr>
          <w:rFonts w:ascii="Times New Roman" w:hAnsi="Times New Roman" w:cs="Times New Roman"/>
          <w:noProof/>
          <w:sz w:val="28"/>
          <w:szCs w:val="28"/>
          <w:lang w:val="kk-KZ"/>
        </w:rPr>
        <w:t>[64</w:t>
      </w:r>
      <w:r w:rsidR="00027D70">
        <w:rPr>
          <w:rFonts w:ascii="Times New Roman" w:hAnsi="Times New Roman" w:cs="Times New Roman"/>
          <w:noProof/>
          <w:sz w:val="28"/>
          <w:szCs w:val="28"/>
          <w:lang w:val="kk-KZ"/>
        </w:rPr>
        <w:t>, р. 15</w:t>
      </w:r>
      <w:r w:rsidR="00027D70" w:rsidRPr="00027D70">
        <w:rPr>
          <w:rFonts w:ascii="Times New Roman" w:hAnsi="Times New Roman" w:cs="Times New Roman"/>
          <w:noProof/>
          <w:sz w:val="28"/>
          <w:szCs w:val="28"/>
          <w:lang w:val="kk-KZ"/>
        </w:rPr>
        <w:t>]</w:t>
      </w:r>
      <w:r w:rsidR="00EA0E64">
        <w:rPr>
          <w:rFonts w:ascii="Times New Roman" w:hAnsi="Times New Roman" w:cs="Times New Roman"/>
          <w:sz w:val="28"/>
          <w:szCs w:val="28"/>
          <w:lang w:val="kk-KZ"/>
        </w:rPr>
        <w:fldChar w:fldCharType="end"/>
      </w:r>
      <w:r>
        <w:rPr>
          <w:rFonts w:ascii="Times New Roman" w:hAnsi="Times New Roman" w:cs="Times New Roman"/>
          <w:sz w:val="28"/>
          <w:szCs w:val="28"/>
          <w:lang w:val="kk-KZ"/>
        </w:rPr>
        <w:t>. В настоящем</w:t>
      </w:r>
      <w:r w:rsidR="00355E8D">
        <w:rPr>
          <w:rFonts w:ascii="Times New Roman" w:hAnsi="Times New Roman" w:cs="Times New Roman"/>
          <w:sz w:val="28"/>
          <w:szCs w:val="28"/>
          <w:lang w:val="kk-KZ"/>
        </w:rPr>
        <w:t xml:space="preserve"> </w:t>
      </w:r>
      <w:r>
        <w:rPr>
          <w:rFonts w:ascii="Times New Roman" w:hAnsi="Times New Roman" w:cs="Times New Roman"/>
          <w:sz w:val="28"/>
          <w:szCs w:val="28"/>
          <w:lang w:val="kk-KZ"/>
        </w:rPr>
        <w:t>исследовании</w:t>
      </w:r>
      <w:r w:rsidR="00355E8D">
        <w:rPr>
          <w:rFonts w:ascii="Times New Roman" w:hAnsi="Times New Roman" w:cs="Times New Roman"/>
          <w:sz w:val="28"/>
          <w:szCs w:val="28"/>
          <w:lang w:val="kk-KZ"/>
        </w:rPr>
        <w:t xml:space="preserve"> </w:t>
      </w:r>
      <w:r>
        <w:rPr>
          <w:rFonts w:ascii="Times New Roman" w:hAnsi="Times New Roman" w:cs="Times New Roman"/>
          <w:sz w:val="28"/>
          <w:szCs w:val="28"/>
          <w:lang w:val="kk-KZ"/>
        </w:rPr>
        <w:t>мы</w:t>
      </w:r>
      <w:r w:rsidR="00355E8D">
        <w:rPr>
          <w:rFonts w:ascii="Times New Roman" w:hAnsi="Times New Roman" w:cs="Times New Roman"/>
          <w:sz w:val="28"/>
          <w:szCs w:val="28"/>
          <w:lang w:val="kk-KZ"/>
        </w:rPr>
        <w:t xml:space="preserve"> </w:t>
      </w:r>
      <w:r>
        <w:rPr>
          <w:rFonts w:ascii="Times New Roman" w:hAnsi="Times New Roman" w:cs="Times New Roman"/>
          <w:sz w:val="28"/>
          <w:szCs w:val="28"/>
          <w:lang w:val="kk-KZ"/>
        </w:rPr>
        <w:t>обнаружили</w:t>
      </w:r>
      <w:r w:rsidR="00355E8D">
        <w:rPr>
          <w:rFonts w:ascii="Times New Roman" w:hAnsi="Times New Roman" w:cs="Times New Roman"/>
          <w:sz w:val="28"/>
          <w:szCs w:val="28"/>
          <w:lang w:val="kk-KZ"/>
        </w:rPr>
        <w:t xml:space="preserve"> </w:t>
      </w:r>
      <w:r w:rsidR="00B32B04">
        <w:rPr>
          <w:rFonts w:ascii="Times New Roman" w:hAnsi="Times New Roman" w:cs="Times New Roman"/>
          <w:sz w:val="28"/>
          <w:szCs w:val="28"/>
          <w:lang w:val="kk-KZ"/>
        </w:rPr>
        <w:t>ассоциацию</w:t>
      </w:r>
      <w:r w:rsidR="00631348">
        <w:rPr>
          <w:rFonts w:ascii="Times New Roman" w:hAnsi="Times New Roman" w:cs="Times New Roman"/>
          <w:sz w:val="28"/>
          <w:szCs w:val="28"/>
          <w:lang w:val="kk-KZ"/>
        </w:rPr>
        <w:t xml:space="preserve"> между</w:t>
      </w:r>
      <w:r w:rsidR="00355E8D">
        <w:rPr>
          <w:rFonts w:ascii="Times New Roman" w:hAnsi="Times New Roman" w:cs="Times New Roman"/>
          <w:sz w:val="28"/>
          <w:szCs w:val="28"/>
          <w:lang w:val="kk-KZ"/>
        </w:rPr>
        <w:t xml:space="preserve"> </w:t>
      </w:r>
      <w:r>
        <w:rPr>
          <w:rFonts w:ascii="Times New Roman" w:hAnsi="Times New Roman" w:cs="Times New Roman"/>
          <w:sz w:val="28"/>
          <w:szCs w:val="28"/>
          <w:lang w:val="kk-KZ"/>
        </w:rPr>
        <w:t>полиморфизм</w:t>
      </w:r>
      <w:r w:rsidR="00631348">
        <w:rPr>
          <w:rFonts w:ascii="Times New Roman" w:hAnsi="Times New Roman" w:cs="Times New Roman"/>
          <w:sz w:val="28"/>
          <w:szCs w:val="28"/>
          <w:lang w:val="kk-KZ"/>
        </w:rPr>
        <w:t>ом</w:t>
      </w:r>
      <w:r>
        <w:rPr>
          <w:rFonts w:ascii="Times New Roman" w:hAnsi="Times New Roman" w:cs="Times New Roman"/>
          <w:sz w:val="28"/>
          <w:szCs w:val="28"/>
          <w:lang w:val="kk-KZ"/>
        </w:rPr>
        <w:t xml:space="preserve"> Ser447Ter (</w:t>
      </w:r>
      <w:r w:rsidRPr="000C25BF">
        <w:rPr>
          <w:rFonts w:ascii="Times New Roman" w:hAnsi="Times New Roman" w:cs="Times New Roman"/>
          <w:sz w:val="28"/>
          <w:szCs w:val="28"/>
          <w:lang w:val="kk-KZ"/>
        </w:rPr>
        <w:t>rs328</w:t>
      </w:r>
      <w:r>
        <w:rPr>
          <w:rFonts w:ascii="Times New Roman" w:hAnsi="Times New Roman" w:cs="Times New Roman"/>
          <w:sz w:val="28"/>
          <w:szCs w:val="28"/>
          <w:lang w:val="kk-KZ"/>
        </w:rPr>
        <w:t>) гена</w:t>
      </w:r>
      <w:r w:rsidR="00355E8D">
        <w:rPr>
          <w:rFonts w:ascii="Times New Roman" w:hAnsi="Times New Roman" w:cs="Times New Roman"/>
          <w:sz w:val="28"/>
          <w:szCs w:val="28"/>
          <w:lang w:val="kk-KZ"/>
        </w:rPr>
        <w:t xml:space="preserve"> </w:t>
      </w:r>
      <w:r>
        <w:rPr>
          <w:rFonts w:ascii="Times New Roman" w:hAnsi="Times New Roman" w:cs="Times New Roman"/>
          <w:i/>
          <w:sz w:val="28"/>
          <w:szCs w:val="28"/>
          <w:lang w:val="kk-KZ"/>
        </w:rPr>
        <w:t>LPL</w:t>
      </w:r>
      <w:r w:rsidR="00355E8D">
        <w:rPr>
          <w:rFonts w:ascii="Times New Roman" w:hAnsi="Times New Roman" w:cs="Times New Roman"/>
          <w:i/>
          <w:sz w:val="28"/>
          <w:szCs w:val="28"/>
          <w:lang w:val="kk-KZ"/>
        </w:rPr>
        <w:t xml:space="preserve"> </w:t>
      </w:r>
      <w:r w:rsidR="00631348">
        <w:rPr>
          <w:rFonts w:ascii="Times New Roman" w:hAnsi="Times New Roman" w:cs="Times New Roman"/>
          <w:sz w:val="28"/>
          <w:szCs w:val="28"/>
          <w:lang w:val="kk-KZ"/>
        </w:rPr>
        <w:t>и</w:t>
      </w:r>
      <w:r w:rsidR="00355E8D">
        <w:rPr>
          <w:rFonts w:ascii="Times New Roman" w:hAnsi="Times New Roman" w:cs="Times New Roman"/>
          <w:sz w:val="28"/>
          <w:szCs w:val="28"/>
          <w:lang w:val="kk-KZ"/>
        </w:rPr>
        <w:t xml:space="preserve"> </w:t>
      </w:r>
      <w:r>
        <w:rPr>
          <w:rFonts w:ascii="Times New Roman" w:hAnsi="Times New Roman" w:cs="Times New Roman"/>
          <w:sz w:val="28"/>
          <w:szCs w:val="28"/>
          <w:lang w:val="kk-KZ"/>
        </w:rPr>
        <w:t>уровнем</w:t>
      </w:r>
      <w:r w:rsidR="00355E8D">
        <w:rPr>
          <w:rFonts w:ascii="Times New Roman" w:hAnsi="Times New Roman" w:cs="Times New Roman"/>
          <w:sz w:val="28"/>
          <w:szCs w:val="28"/>
          <w:lang w:val="kk-KZ"/>
        </w:rPr>
        <w:t xml:space="preserve"> </w:t>
      </w:r>
      <w:r>
        <w:rPr>
          <w:rFonts w:ascii="Times New Roman" w:hAnsi="Times New Roman" w:cs="Times New Roman"/>
          <w:sz w:val="28"/>
          <w:szCs w:val="28"/>
          <w:lang w:val="kk-KZ"/>
        </w:rPr>
        <w:t>инсулина и глюкозы.</w:t>
      </w:r>
    </w:p>
    <w:p w:rsidR="00AB12B3" w:rsidRDefault="00AB12B3" w:rsidP="00AB12B3">
      <w:pPr>
        <w:pStyle w:val="HTML"/>
        <w:shd w:val="clear" w:color="auto" w:fill="FFFFFF"/>
        <w:ind w:firstLine="567"/>
        <w:jc w:val="both"/>
        <w:rPr>
          <w:rFonts w:ascii="Times New Roman" w:hAnsi="Times New Roman" w:cs="Times New Roman"/>
          <w:sz w:val="28"/>
          <w:szCs w:val="28"/>
        </w:rPr>
      </w:pPr>
      <w:r w:rsidRPr="000C25BF">
        <w:rPr>
          <w:rFonts w:ascii="Times New Roman" w:hAnsi="Times New Roman" w:cs="Times New Roman"/>
          <w:sz w:val="28"/>
          <w:szCs w:val="28"/>
          <w:lang w:val="kk-KZ"/>
        </w:rPr>
        <w:t>Таким</w:t>
      </w:r>
      <w:r w:rsidR="00355E8D">
        <w:rPr>
          <w:rFonts w:ascii="Times New Roman" w:hAnsi="Times New Roman" w:cs="Times New Roman"/>
          <w:sz w:val="28"/>
          <w:szCs w:val="28"/>
          <w:lang w:val="kk-KZ"/>
        </w:rPr>
        <w:t xml:space="preserve"> </w:t>
      </w:r>
      <w:r w:rsidRPr="000C25BF">
        <w:rPr>
          <w:rFonts w:ascii="Times New Roman" w:hAnsi="Times New Roman" w:cs="Times New Roman"/>
          <w:sz w:val="28"/>
          <w:szCs w:val="28"/>
          <w:lang w:val="kk-KZ"/>
        </w:rPr>
        <w:t>образом,</w:t>
      </w:r>
      <w:r>
        <w:rPr>
          <w:rFonts w:ascii="Times New Roman" w:hAnsi="Times New Roman" w:cs="Times New Roman"/>
          <w:sz w:val="28"/>
          <w:szCs w:val="28"/>
          <w:lang w:val="kk-KZ"/>
        </w:rPr>
        <w:t xml:space="preserve"> полиморфизм </w:t>
      </w:r>
      <w:r w:rsidRPr="000C25BF">
        <w:rPr>
          <w:rFonts w:ascii="Times New Roman" w:hAnsi="Times New Roman" w:cs="Times New Roman"/>
          <w:sz w:val="28"/>
          <w:szCs w:val="24"/>
          <w:lang w:val="kk-KZ"/>
        </w:rPr>
        <w:t>Ser447Ter (rs328) гена</w:t>
      </w:r>
      <w:r w:rsidR="00B61A9D">
        <w:rPr>
          <w:rFonts w:ascii="Times New Roman" w:hAnsi="Times New Roman" w:cs="Times New Roman"/>
          <w:sz w:val="28"/>
          <w:szCs w:val="24"/>
          <w:lang w:val="kk-KZ"/>
        </w:rPr>
        <w:t xml:space="preserve"> </w:t>
      </w:r>
      <w:r w:rsidRPr="000C25BF">
        <w:rPr>
          <w:rFonts w:ascii="Times New Roman" w:hAnsi="Times New Roman" w:cs="Times New Roman"/>
          <w:i/>
          <w:sz w:val="28"/>
          <w:szCs w:val="24"/>
          <w:lang w:val="kk-KZ"/>
        </w:rPr>
        <w:t>LPL</w:t>
      </w:r>
      <w:r w:rsidR="00B61A9D">
        <w:rPr>
          <w:rFonts w:ascii="Times New Roman" w:hAnsi="Times New Roman" w:cs="Times New Roman"/>
          <w:i/>
          <w:sz w:val="28"/>
          <w:szCs w:val="24"/>
          <w:lang w:val="kk-KZ"/>
        </w:rPr>
        <w:t xml:space="preserve"> </w:t>
      </w:r>
      <w:r>
        <w:rPr>
          <w:rFonts w:ascii="Times New Roman" w:hAnsi="Times New Roman" w:cs="Times New Roman"/>
          <w:sz w:val="28"/>
          <w:szCs w:val="28"/>
          <w:lang w:val="kk-KZ"/>
        </w:rPr>
        <w:t>связан с риском</w:t>
      </w:r>
      <w:r w:rsidR="00B61A9D">
        <w:rPr>
          <w:rFonts w:ascii="Times New Roman" w:hAnsi="Times New Roman" w:cs="Times New Roman"/>
          <w:sz w:val="28"/>
          <w:szCs w:val="28"/>
          <w:lang w:val="kk-KZ"/>
        </w:rPr>
        <w:t xml:space="preserve"> </w:t>
      </w:r>
      <w:r>
        <w:rPr>
          <w:rFonts w:ascii="Times New Roman" w:hAnsi="Times New Roman" w:cs="Times New Roman"/>
          <w:sz w:val="28"/>
          <w:szCs w:val="28"/>
          <w:lang w:val="kk-KZ"/>
        </w:rPr>
        <w:t>гиперинсулинемии и гипергликемии. Мы</w:t>
      </w:r>
      <w:r w:rsidR="00B61A9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пришли к выводу, что в </w:t>
      </w:r>
      <w:r w:rsidR="005B2CBC">
        <w:rPr>
          <w:rFonts w:ascii="Times New Roman" w:hAnsi="Times New Roman" w:cs="Times New Roman"/>
          <w:sz w:val="28"/>
          <w:szCs w:val="28"/>
          <w:lang w:val="kk-KZ"/>
        </w:rPr>
        <w:t>казахской популяции</w:t>
      </w:r>
      <w:r w:rsidR="00A329EB">
        <w:rPr>
          <w:rFonts w:ascii="Times New Roman" w:hAnsi="Times New Roman" w:cs="Times New Roman"/>
          <w:sz w:val="28"/>
          <w:szCs w:val="28"/>
          <w:lang w:val="kk-KZ"/>
        </w:rPr>
        <w:t xml:space="preserve"> </w:t>
      </w:r>
      <w:r>
        <w:rPr>
          <w:rFonts w:ascii="Times New Roman" w:hAnsi="Times New Roman" w:cs="Times New Roman"/>
          <w:sz w:val="28"/>
          <w:szCs w:val="28"/>
          <w:lang w:val="kk-KZ"/>
        </w:rPr>
        <w:t>аллель G полиморфизма</w:t>
      </w:r>
      <w:r w:rsidR="00B61A9D">
        <w:rPr>
          <w:rFonts w:ascii="Times New Roman" w:hAnsi="Times New Roman" w:cs="Times New Roman"/>
          <w:sz w:val="28"/>
          <w:szCs w:val="28"/>
          <w:lang w:val="kk-KZ"/>
        </w:rPr>
        <w:t xml:space="preserve"> </w:t>
      </w:r>
      <w:r>
        <w:rPr>
          <w:rFonts w:ascii="Times New Roman" w:hAnsi="Times New Roman" w:cs="Times New Roman"/>
          <w:sz w:val="28"/>
          <w:szCs w:val="24"/>
        </w:rPr>
        <w:t>Ser447Ter (rs328) гена</w:t>
      </w:r>
      <w:r w:rsidR="00B61A9D">
        <w:rPr>
          <w:rFonts w:ascii="Times New Roman" w:hAnsi="Times New Roman" w:cs="Times New Roman"/>
          <w:sz w:val="28"/>
          <w:szCs w:val="24"/>
        </w:rPr>
        <w:t xml:space="preserve"> </w:t>
      </w:r>
      <w:r>
        <w:rPr>
          <w:rFonts w:ascii="Times New Roman" w:hAnsi="Times New Roman" w:cs="Times New Roman"/>
          <w:i/>
          <w:sz w:val="28"/>
          <w:szCs w:val="24"/>
        </w:rPr>
        <w:t>LPL</w:t>
      </w:r>
      <w:r w:rsidR="00B61A9D">
        <w:rPr>
          <w:rFonts w:ascii="Times New Roman" w:hAnsi="Times New Roman" w:cs="Times New Roman"/>
          <w:i/>
          <w:sz w:val="28"/>
          <w:szCs w:val="24"/>
        </w:rPr>
        <w:t xml:space="preserve"> </w:t>
      </w:r>
      <w:r w:rsidR="001E1F9B">
        <w:rPr>
          <w:rFonts w:ascii="Times New Roman" w:hAnsi="Times New Roman" w:cs="Times New Roman"/>
          <w:sz w:val="28"/>
          <w:szCs w:val="24"/>
        </w:rPr>
        <w:lastRenderedPageBreak/>
        <w:t xml:space="preserve">может быть </w:t>
      </w:r>
      <w:r>
        <w:rPr>
          <w:rFonts w:ascii="Times New Roman" w:hAnsi="Times New Roman" w:cs="Times New Roman"/>
          <w:sz w:val="28"/>
          <w:szCs w:val="28"/>
          <w:lang w:val="kk-KZ"/>
        </w:rPr>
        <w:t>ассоциирован с низким</w:t>
      </w:r>
      <w:r w:rsidR="00B61A9D">
        <w:rPr>
          <w:rFonts w:ascii="Times New Roman" w:hAnsi="Times New Roman" w:cs="Times New Roman"/>
          <w:sz w:val="28"/>
          <w:szCs w:val="28"/>
          <w:lang w:val="kk-KZ"/>
        </w:rPr>
        <w:t xml:space="preserve"> </w:t>
      </w:r>
      <w:r>
        <w:rPr>
          <w:rFonts w:ascii="Times New Roman" w:hAnsi="Times New Roman" w:cs="Times New Roman"/>
          <w:sz w:val="28"/>
          <w:szCs w:val="28"/>
          <w:lang w:val="kk-KZ"/>
        </w:rPr>
        <w:t>риском</w:t>
      </w:r>
      <w:r w:rsidR="00B61A9D">
        <w:rPr>
          <w:rFonts w:ascii="Times New Roman" w:hAnsi="Times New Roman" w:cs="Times New Roman"/>
          <w:sz w:val="28"/>
          <w:szCs w:val="28"/>
          <w:lang w:val="kk-KZ"/>
        </w:rPr>
        <w:t xml:space="preserve"> </w:t>
      </w:r>
      <w:r>
        <w:rPr>
          <w:rFonts w:ascii="Times New Roman" w:hAnsi="Times New Roman" w:cs="Times New Roman"/>
          <w:sz w:val="28"/>
          <w:szCs w:val="28"/>
          <w:lang w:val="kk-KZ"/>
        </w:rPr>
        <w:t>развития</w:t>
      </w:r>
      <w:r w:rsidR="00B61A9D">
        <w:rPr>
          <w:rFonts w:ascii="Times New Roman" w:hAnsi="Times New Roman" w:cs="Times New Roman"/>
          <w:sz w:val="28"/>
          <w:szCs w:val="28"/>
          <w:lang w:val="kk-KZ"/>
        </w:rPr>
        <w:t xml:space="preserve"> </w:t>
      </w:r>
      <w:r>
        <w:rPr>
          <w:rFonts w:ascii="Times New Roman" w:hAnsi="Times New Roman" w:cs="Times New Roman"/>
          <w:sz w:val="28"/>
          <w:szCs w:val="28"/>
          <w:lang w:val="kk-KZ"/>
        </w:rPr>
        <w:t>гиперинсулинемии и высоким</w:t>
      </w:r>
      <w:r w:rsidR="00B61A9D">
        <w:rPr>
          <w:rFonts w:ascii="Times New Roman" w:hAnsi="Times New Roman" w:cs="Times New Roman"/>
          <w:sz w:val="28"/>
          <w:szCs w:val="28"/>
          <w:lang w:val="kk-KZ"/>
        </w:rPr>
        <w:t xml:space="preserve"> </w:t>
      </w:r>
      <w:r>
        <w:rPr>
          <w:rFonts w:ascii="Times New Roman" w:hAnsi="Times New Roman" w:cs="Times New Roman"/>
          <w:sz w:val="28"/>
          <w:szCs w:val="28"/>
          <w:lang w:val="kk-KZ"/>
        </w:rPr>
        <w:t>риском</w:t>
      </w:r>
      <w:r w:rsidR="00B61A9D">
        <w:rPr>
          <w:rFonts w:ascii="Times New Roman" w:hAnsi="Times New Roman" w:cs="Times New Roman"/>
          <w:sz w:val="28"/>
          <w:szCs w:val="28"/>
          <w:lang w:val="kk-KZ"/>
        </w:rPr>
        <w:t xml:space="preserve"> </w:t>
      </w:r>
      <w:r>
        <w:rPr>
          <w:rFonts w:ascii="Times New Roman" w:hAnsi="Times New Roman" w:cs="Times New Roman"/>
          <w:sz w:val="28"/>
          <w:szCs w:val="28"/>
          <w:lang w:val="kk-KZ"/>
        </w:rPr>
        <w:t>развития</w:t>
      </w:r>
      <w:r w:rsidR="00B61A9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гипергликемии. </w:t>
      </w:r>
      <w:r>
        <w:rPr>
          <w:rFonts w:ascii="Times New Roman" w:hAnsi="Times New Roman" w:cs="Times New Roman"/>
          <w:sz w:val="28"/>
          <w:szCs w:val="28"/>
        </w:rPr>
        <w:t xml:space="preserve">Исходя из того, что </w:t>
      </w:r>
      <w:r w:rsidR="001E1F9B">
        <w:rPr>
          <w:rFonts w:ascii="Times New Roman" w:hAnsi="Times New Roman" w:cs="Times New Roman"/>
          <w:sz w:val="28"/>
          <w:szCs w:val="28"/>
        </w:rPr>
        <w:t>аллель</w:t>
      </w:r>
      <w:r w:rsidR="00B136D7">
        <w:rPr>
          <w:rFonts w:ascii="Times New Roman" w:hAnsi="Times New Roman" w:cs="Times New Roman"/>
          <w:sz w:val="28"/>
          <w:szCs w:val="28"/>
        </w:rPr>
        <w:t xml:space="preserve"> </w:t>
      </w:r>
      <w:r>
        <w:rPr>
          <w:rFonts w:ascii="Times New Roman" w:hAnsi="Times New Roman" w:cs="Times New Roman"/>
          <w:sz w:val="28"/>
          <w:szCs w:val="28"/>
        </w:rPr>
        <w:t xml:space="preserve">С и генотип С/С </w:t>
      </w:r>
      <w:r>
        <w:rPr>
          <w:rFonts w:ascii="Times New Roman" w:hAnsi="Times New Roman" w:cs="Times New Roman"/>
          <w:sz w:val="28"/>
          <w:szCs w:val="24"/>
        </w:rPr>
        <w:t>полиморфизма Ser447Ter (rs328) гена</w:t>
      </w:r>
      <w:r w:rsidR="00B61A9D">
        <w:rPr>
          <w:rFonts w:ascii="Times New Roman" w:hAnsi="Times New Roman" w:cs="Times New Roman"/>
          <w:sz w:val="28"/>
          <w:szCs w:val="24"/>
        </w:rPr>
        <w:t xml:space="preserve"> </w:t>
      </w:r>
      <w:r>
        <w:rPr>
          <w:rFonts w:ascii="Times New Roman" w:hAnsi="Times New Roman" w:cs="Times New Roman"/>
          <w:i/>
          <w:sz w:val="28"/>
          <w:szCs w:val="24"/>
        </w:rPr>
        <w:t>LPL</w:t>
      </w:r>
      <w:r>
        <w:rPr>
          <w:rFonts w:ascii="Times New Roman" w:hAnsi="Times New Roman" w:cs="Times New Roman"/>
          <w:sz w:val="28"/>
          <w:szCs w:val="28"/>
        </w:rPr>
        <w:t xml:space="preserve"> ассоциированы с уровн</w:t>
      </w:r>
      <w:r w:rsidR="002532E3">
        <w:rPr>
          <w:rFonts w:ascii="Times New Roman" w:hAnsi="Times New Roman" w:cs="Times New Roman"/>
          <w:sz w:val="28"/>
          <w:szCs w:val="28"/>
        </w:rPr>
        <w:t>е</w:t>
      </w:r>
      <w:r>
        <w:rPr>
          <w:rFonts w:ascii="Times New Roman" w:hAnsi="Times New Roman" w:cs="Times New Roman"/>
          <w:sz w:val="28"/>
          <w:szCs w:val="28"/>
        </w:rPr>
        <w:t xml:space="preserve">м инсулина, глюкозы, </w:t>
      </w:r>
      <w:r w:rsidR="002532E3">
        <w:rPr>
          <w:rFonts w:ascii="Times New Roman" w:hAnsi="Times New Roman" w:cs="Times New Roman"/>
          <w:sz w:val="28"/>
          <w:szCs w:val="28"/>
        </w:rPr>
        <w:t xml:space="preserve">тем самым ассоциированы с </w:t>
      </w:r>
      <w:r>
        <w:rPr>
          <w:rFonts w:ascii="Times New Roman" w:hAnsi="Times New Roman" w:cs="Times New Roman"/>
          <w:sz w:val="28"/>
          <w:szCs w:val="28"/>
        </w:rPr>
        <w:t>повыш</w:t>
      </w:r>
      <w:r w:rsidR="002532E3">
        <w:rPr>
          <w:rFonts w:ascii="Times New Roman" w:hAnsi="Times New Roman" w:cs="Times New Roman"/>
          <w:sz w:val="28"/>
          <w:szCs w:val="28"/>
        </w:rPr>
        <w:t>енным</w:t>
      </w:r>
      <w:r>
        <w:rPr>
          <w:rFonts w:ascii="Times New Roman" w:hAnsi="Times New Roman" w:cs="Times New Roman"/>
          <w:sz w:val="28"/>
          <w:szCs w:val="28"/>
        </w:rPr>
        <w:t xml:space="preserve"> риск</w:t>
      </w:r>
      <w:r w:rsidR="002532E3">
        <w:rPr>
          <w:rFonts w:ascii="Times New Roman" w:hAnsi="Times New Roman" w:cs="Times New Roman"/>
          <w:sz w:val="28"/>
          <w:szCs w:val="28"/>
        </w:rPr>
        <w:t>ом</w:t>
      </w:r>
      <w:r>
        <w:rPr>
          <w:rFonts w:ascii="Times New Roman" w:hAnsi="Times New Roman" w:cs="Times New Roman"/>
          <w:sz w:val="28"/>
          <w:szCs w:val="28"/>
        </w:rPr>
        <w:t xml:space="preserve"> развития гиперинсулинемии и</w:t>
      </w:r>
      <w:r w:rsidR="002532E3">
        <w:rPr>
          <w:rFonts w:ascii="Times New Roman" w:hAnsi="Times New Roman" w:cs="Times New Roman"/>
          <w:sz w:val="28"/>
          <w:szCs w:val="28"/>
        </w:rPr>
        <w:t xml:space="preserve"> со</w:t>
      </w:r>
      <w:r>
        <w:rPr>
          <w:rFonts w:ascii="Times New Roman" w:hAnsi="Times New Roman" w:cs="Times New Roman"/>
          <w:sz w:val="28"/>
          <w:szCs w:val="28"/>
        </w:rPr>
        <w:t xml:space="preserve"> сниж</w:t>
      </w:r>
      <w:r w:rsidR="002532E3">
        <w:rPr>
          <w:rFonts w:ascii="Times New Roman" w:hAnsi="Times New Roman" w:cs="Times New Roman"/>
          <w:sz w:val="28"/>
          <w:szCs w:val="28"/>
        </w:rPr>
        <w:t>енным</w:t>
      </w:r>
      <w:r>
        <w:rPr>
          <w:rFonts w:ascii="Times New Roman" w:hAnsi="Times New Roman" w:cs="Times New Roman"/>
          <w:sz w:val="28"/>
          <w:szCs w:val="28"/>
        </w:rPr>
        <w:t xml:space="preserve"> риск</w:t>
      </w:r>
      <w:r w:rsidR="002532E3">
        <w:rPr>
          <w:rFonts w:ascii="Times New Roman" w:hAnsi="Times New Roman" w:cs="Times New Roman"/>
          <w:sz w:val="28"/>
          <w:szCs w:val="28"/>
        </w:rPr>
        <w:t>ом</w:t>
      </w:r>
      <w:r>
        <w:rPr>
          <w:rFonts w:ascii="Times New Roman" w:hAnsi="Times New Roman" w:cs="Times New Roman"/>
          <w:sz w:val="28"/>
          <w:szCs w:val="28"/>
        </w:rPr>
        <w:t xml:space="preserve"> развития гипергликемии в</w:t>
      </w:r>
      <w:r w:rsidR="007600B9">
        <w:rPr>
          <w:rFonts w:ascii="Times New Roman" w:hAnsi="Times New Roman" w:cs="Times New Roman"/>
          <w:sz w:val="28"/>
          <w:szCs w:val="28"/>
        </w:rPr>
        <w:t xml:space="preserve"> данной выборке</w:t>
      </w:r>
      <w:r>
        <w:rPr>
          <w:rFonts w:ascii="Times New Roman" w:hAnsi="Times New Roman" w:cs="Times New Roman"/>
          <w:sz w:val="28"/>
          <w:szCs w:val="28"/>
        </w:rPr>
        <w:t xml:space="preserve">. Также </w:t>
      </w:r>
      <w:r w:rsidR="001E1F9B">
        <w:rPr>
          <w:rFonts w:ascii="Times New Roman" w:hAnsi="Times New Roman" w:cs="Times New Roman"/>
          <w:sz w:val="28"/>
          <w:szCs w:val="28"/>
        </w:rPr>
        <w:t xml:space="preserve">вероятнее всего </w:t>
      </w:r>
      <w:r>
        <w:rPr>
          <w:rFonts w:ascii="Times New Roman" w:hAnsi="Times New Roman" w:cs="Times New Roman"/>
          <w:sz w:val="28"/>
          <w:szCs w:val="24"/>
        </w:rPr>
        <w:t xml:space="preserve">полиморфизм </w:t>
      </w:r>
      <w:r>
        <w:rPr>
          <w:rFonts w:ascii="Times New Roman" w:hAnsi="Times New Roman" w:cs="Times New Roman"/>
          <w:sz w:val="28"/>
          <w:szCs w:val="28"/>
        </w:rPr>
        <w:t xml:space="preserve">Ser447Ter (rs328) гена </w:t>
      </w:r>
      <w:r>
        <w:rPr>
          <w:rFonts w:ascii="Times New Roman" w:hAnsi="Times New Roman" w:cs="Times New Roman"/>
          <w:i/>
          <w:sz w:val="28"/>
          <w:szCs w:val="28"/>
        </w:rPr>
        <w:t>LPL</w:t>
      </w:r>
      <w:r>
        <w:rPr>
          <w:rFonts w:ascii="Times New Roman" w:hAnsi="Times New Roman" w:cs="Times New Roman"/>
          <w:sz w:val="28"/>
          <w:szCs w:val="24"/>
        </w:rPr>
        <w:t xml:space="preserve"> не является </w:t>
      </w:r>
      <w:r w:rsidR="005B2CBC">
        <w:rPr>
          <w:rFonts w:ascii="Times New Roman" w:hAnsi="Times New Roman" w:cs="Times New Roman"/>
          <w:sz w:val="28"/>
          <w:szCs w:val="24"/>
          <w:lang w:val="kk-KZ"/>
        </w:rPr>
        <w:t xml:space="preserve">показательной </w:t>
      </w:r>
      <w:r w:rsidR="005B2CBC">
        <w:rPr>
          <w:rFonts w:ascii="Times New Roman" w:hAnsi="Times New Roman" w:cs="Times New Roman"/>
          <w:sz w:val="28"/>
          <w:szCs w:val="28"/>
        </w:rPr>
        <w:t>генетическ</w:t>
      </w:r>
      <w:r w:rsidR="005B2CBC">
        <w:rPr>
          <w:rFonts w:ascii="Times New Roman" w:hAnsi="Times New Roman" w:cs="Times New Roman"/>
          <w:sz w:val="28"/>
          <w:szCs w:val="28"/>
          <w:lang w:val="kk-KZ"/>
        </w:rPr>
        <w:t>ой</w:t>
      </w:r>
      <w:r>
        <w:rPr>
          <w:rFonts w:ascii="Times New Roman" w:hAnsi="Times New Roman" w:cs="Times New Roman"/>
          <w:sz w:val="28"/>
          <w:szCs w:val="28"/>
        </w:rPr>
        <w:t xml:space="preserve"> детерминант</w:t>
      </w:r>
      <w:r w:rsidR="009A610E">
        <w:rPr>
          <w:rFonts w:ascii="Times New Roman" w:hAnsi="Times New Roman" w:cs="Times New Roman"/>
          <w:sz w:val="28"/>
          <w:szCs w:val="28"/>
          <w:lang w:val="kk-KZ"/>
        </w:rPr>
        <w:t>ой</w:t>
      </w:r>
      <w:r>
        <w:rPr>
          <w:rFonts w:ascii="Times New Roman" w:hAnsi="Times New Roman" w:cs="Times New Roman"/>
          <w:sz w:val="28"/>
          <w:szCs w:val="28"/>
        </w:rPr>
        <w:t xml:space="preserve"> риска развития дислипидемии в </w:t>
      </w:r>
      <w:r w:rsidR="009E0564">
        <w:rPr>
          <w:rFonts w:ascii="Times New Roman" w:hAnsi="Times New Roman" w:cs="Times New Roman"/>
          <w:sz w:val="28"/>
          <w:szCs w:val="28"/>
          <w:lang w:val="kk-KZ"/>
        </w:rPr>
        <w:t>казахской популяции</w:t>
      </w:r>
      <w:r>
        <w:rPr>
          <w:rFonts w:ascii="Times New Roman" w:hAnsi="Times New Roman" w:cs="Times New Roman"/>
          <w:sz w:val="28"/>
          <w:szCs w:val="28"/>
        </w:rPr>
        <w:t>.</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u w:val="single"/>
        </w:rPr>
      </w:pPr>
    </w:p>
    <w:p w:rsidR="00AB12B3" w:rsidRPr="007256CD"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i/>
          <w:sz w:val="28"/>
          <w:szCs w:val="28"/>
        </w:rPr>
      </w:pPr>
      <w:r w:rsidRPr="007256CD">
        <w:rPr>
          <w:rFonts w:ascii="Times New Roman" w:hAnsi="Times New Roman" w:cs="Times New Roman"/>
          <w:i/>
          <w:sz w:val="28"/>
          <w:szCs w:val="28"/>
        </w:rPr>
        <w:t>Ген β-2-адренергического рецептора ADRB2 Gln27Glu (rs1042714)</w:t>
      </w:r>
    </w:p>
    <w:p w:rsidR="00644AE3" w:rsidRDefault="00AB12B3" w:rsidP="00644A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Частота аллелей и генотипов полиморфизм</w:t>
      </w:r>
      <w:r w:rsidR="0028046B">
        <w:rPr>
          <w:rFonts w:ascii="Times New Roman" w:hAnsi="Times New Roman" w:cs="Times New Roman"/>
          <w:sz w:val="28"/>
          <w:szCs w:val="28"/>
        </w:rPr>
        <w:t>а</w:t>
      </w:r>
      <w:r>
        <w:rPr>
          <w:rFonts w:ascii="Times New Roman" w:hAnsi="Times New Roman" w:cs="Times New Roman"/>
          <w:sz w:val="28"/>
          <w:szCs w:val="28"/>
        </w:rPr>
        <w:t xml:space="preserve"> Gln27Glu (rs1042714) гена </w:t>
      </w:r>
      <w:r>
        <w:rPr>
          <w:rFonts w:ascii="Times New Roman" w:hAnsi="Times New Roman" w:cs="Times New Roman"/>
          <w:i/>
          <w:sz w:val="28"/>
          <w:szCs w:val="28"/>
        </w:rPr>
        <w:t>ADRB2</w:t>
      </w:r>
      <w:r w:rsidRPr="006C3383">
        <w:rPr>
          <w:rFonts w:ascii="Century" w:hAnsi="Century" w:cs="Times New Roman"/>
          <w:sz w:val="28"/>
          <w:szCs w:val="28"/>
        </w:rPr>
        <w:t>,</w:t>
      </w:r>
      <w:r>
        <w:rPr>
          <w:rFonts w:ascii="Times New Roman" w:hAnsi="Times New Roman" w:cs="Times New Roman"/>
          <w:sz w:val="28"/>
          <w:szCs w:val="28"/>
        </w:rPr>
        <w:t xml:space="preserve"> предоставлена в Таблице 5</w:t>
      </w:r>
      <w:r w:rsidR="003C0BEF">
        <w:rPr>
          <w:rFonts w:ascii="Times New Roman" w:hAnsi="Times New Roman" w:cs="Times New Roman"/>
          <w:sz w:val="28"/>
          <w:szCs w:val="28"/>
          <w:lang w:val="kk-KZ"/>
        </w:rPr>
        <w:t>4</w:t>
      </w:r>
      <w:r>
        <w:rPr>
          <w:rFonts w:ascii="Times New Roman" w:hAnsi="Times New Roman" w:cs="Times New Roman"/>
          <w:sz w:val="28"/>
          <w:szCs w:val="28"/>
        </w:rPr>
        <w:t>.</w:t>
      </w:r>
    </w:p>
    <w:p w:rsidR="00671A3B" w:rsidRDefault="00671A3B" w:rsidP="00671A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распределении генотипов полиморфизма Gln27Glu (rs1042714) гена </w:t>
      </w:r>
      <w:r>
        <w:rPr>
          <w:rFonts w:ascii="Times New Roman" w:hAnsi="Times New Roman" w:cs="Times New Roman"/>
          <w:i/>
          <w:sz w:val="28"/>
          <w:szCs w:val="28"/>
        </w:rPr>
        <w:t xml:space="preserve">ADRB2 </w:t>
      </w:r>
      <w:r>
        <w:rPr>
          <w:rFonts w:ascii="Times New Roman" w:hAnsi="Times New Roman" w:cs="Times New Roman"/>
          <w:sz w:val="28"/>
          <w:szCs w:val="28"/>
        </w:rPr>
        <w:t xml:space="preserve">отклонения от равновесия Харди-Вайнберга выявлено не было. Была выявлена достоверная связь полиморфизма Gln27Glu (rs1042714) гена </w:t>
      </w:r>
      <w:r>
        <w:rPr>
          <w:rFonts w:ascii="Times New Roman" w:hAnsi="Times New Roman" w:cs="Times New Roman"/>
          <w:i/>
          <w:sz w:val="28"/>
          <w:szCs w:val="28"/>
        </w:rPr>
        <w:t>ADRB2</w:t>
      </w:r>
      <w:r w:rsidR="008E46CF">
        <w:rPr>
          <w:rFonts w:ascii="Times New Roman" w:hAnsi="Times New Roman" w:cs="Times New Roman"/>
          <w:i/>
          <w:sz w:val="28"/>
          <w:szCs w:val="28"/>
        </w:rPr>
        <w:t xml:space="preserve"> </w:t>
      </w:r>
      <w:r>
        <w:rPr>
          <w:rFonts w:ascii="Times New Roman" w:hAnsi="Times New Roman" w:cs="Times New Roman"/>
          <w:sz w:val="28"/>
          <w:szCs w:val="28"/>
        </w:rPr>
        <w:t xml:space="preserve">с уровнем ТГ (р=0,04). </w:t>
      </w:r>
    </w:p>
    <w:p w:rsidR="00671A3B" w:rsidRDefault="00671A3B" w:rsidP="00671A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Результаты логистической регрессии между генотипами полиморфизма Gln27Glu (rs1042714) гена </w:t>
      </w:r>
      <w:r>
        <w:rPr>
          <w:rFonts w:ascii="Times New Roman" w:hAnsi="Times New Roman" w:cs="Times New Roman"/>
          <w:i/>
          <w:sz w:val="28"/>
          <w:szCs w:val="28"/>
        </w:rPr>
        <w:t xml:space="preserve">ADRB2 </w:t>
      </w:r>
      <w:r>
        <w:rPr>
          <w:rFonts w:ascii="Times New Roman" w:hAnsi="Times New Roman" w:cs="Times New Roman"/>
          <w:sz w:val="28"/>
          <w:szCs w:val="28"/>
        </w:rPr>
        <w:t>и группами ТГ представлены в таблице 54.</w:t>
      </w:r>
    </w:p>
    <w:p w:rsidR="00671A3B" w:rsidRDefault="00671A3B" w:rsidP="00671A3B">
      <w:pPr>
        <w:pStyle w:val="HTML"/>
        <w:shd w:val="clear" w:color="auto" w:fill="FFFFFF"/>
        <w:ind w:firstLine="567"/>
        <w:jc w:val="both"/>
        <w:rPr>
          <w:rFonts w:ascii="Times New Roman" w:hAnsi="Times New Roman" w:cs="Times New Roman"/>
          <w:sz w:val="28"/>
          <w:szCs w:val="28"/>
        </w:rPr>
      </w:pPr>
      <w:r>
        <w:rPr>
          <w:rFonts w:ascii="Times New Roman" w:hAnsi="Times New Roman" w:cs="Times New Roman"/>
          <w:sz w:val="28"/>
          <w:szCs w:val="28"/>
        </w:rPr>
        <w:t>Как показано в таблице 5</w:t>
      </w:r>
      <w:r>
        <w:rPr>
          <w:rFonts w:ascii="Times New Roman" w:hAnsi="Times New Roman" w:cs="Times New Roman"/>
          <w:sz w:val="28"/>
          <w:szCs w:val="28"/>
          <w:lang w:val="kk-KZ"/>
        </w:rPr>
        <w:t>5</w:t>
      </w:r>
      <w:r>
        <w:rPr>
          <w:rFonts w:ascii="Times New Roman" w:hAnsi="Times New Roman" w:cs="Times New Roman"/>
          <w:sz w:val="28"/>
          <w:szCs w:val="28"/>
        </w:rPr>
        <w:t xml:space="preserve">, аллель С и объединение генотипов С/С и С/G полиморфизма Gln27Glu (rs1042714) гена </w:t>
      </w:r>
      <w:r>
        <w:rPr>
          <w:rFonts w:ascii="Times New Roman" w:hAnsi="Times New Roman" w:cs="Times New Roman"/>
          <w:i/>
          <w:sz w:val="28"/>
          <w:szCs w:val="28"/>
        </w:rPr>
        <w:t xml:space="preserve">ADBR2 </w:t>
      </w:r>
      <w:r>
        <w:rPr>
          <w:rFonts w:ascii="Times New Roman" w:hAnsi="Times New Roman" w:cs="Times New Roman"/>
          <w:sz w:val="28"/>
          <w:szCs w:val="28"/>
        </w:rPr>
        <w:t xml:space="preserve">чаще встречается у лиц с повышенным уровнем ТГ по сравнению у лиц с нормальным уровнем ТГ. </w:t>
      </w:r>
      <w:r>
        <w:rPr>
          <w:rFonts w:ascii="Times New Roman" w:hAnsi="Times New Roman" w:cs="Times New Roman"/>
          <w:noProof/>
          <w:sz w:val="28"/>
          <w:szCs w:val="28"/>
        </w:rPr>
        <w:t>И наоборот, аллель G и тенотип G/G встречаются чаще в группе с нормальным уровнем ТГ.</w:t>
      </w:r>
      <w:r>
        <w:rPr>
          <w:rFonts w:ascii="Times New Roman" w:hAnsi="Times New Roman" w:cs="Times New Roman"/>
          <w:sz w:val="28"/>
          <w:szCs w:val="28"/>
        </w:rPr>
        <w:t xml:space="preserve"> </w:t>
      </w:r>
      <w:r w:rsidR="009677AB">
        <w:rPr>
          <w:rFonts w:ascii="Times New Roman" w:hAnsi="Times New Roman" w:cs="Times New Roman"/>
          <w:sz w:val="28"/>
          <w:szCs w:val="28"/>
        </w:rPr>
        <w:t>А</w:t>
      </w:r>
      <w:r>
        <w:rPr>
          <w:rFonts w:ascii="Times New Roman" w:hAnsi="Times New Roman" w:cs="Times New Roman"/>
          <w:sz w:val="28"/>
          <w:szCs w:val="28"/>
        </w:rPr>
        <w:t>ллел</w:t>
      </w:r>
      <w:r w:rsidR="009677AB">
        <w:rPr>
          <w:rFonts w:ascii="Times New Roman" w:hAnsi="Times New Roman" w:cs="Times New Roman"/>
          <w:sz w:val="28"/>
          <w:szCs w:val="28"/>
        </w:rPr>
        <w:t xml:space="preserve">ь </w:t>
      </w:r>
      <w:r>
        <w:rPr>
          <w:rFonts w:ascii="Times New Roman" w:hAnsi="Times New Roman" w:cs="Times New Roman"/>
          <w:sz w:val="28"/>
          <w:szCs w:val="28"/>
        </w:rPr>
        <w:t>С и генотип</w:t>
      </w:r>
      <w:r w:rsidR="009677AB">
        <w:rPr>
          <w:rFonts w:ascii="Times New Roman" w:hAnsi="Times New Roman" w:cs="Times New Roman"/>
          <w:sz w:val="28"/>
          <w:szCs w:val="28"/>
        </w:rPr>
        <w:t>ы</w:t>
      </w:r>
      <w:r>
        <w:rPr>
          <w:rFonts w:ascii="Times New Roman" w:hAnsi="Times New Roman" w:cs="Times New Roman"/>
          <w:sz w:val="28"/>
          <w:szCs w:val="28"/>
        </w:rPr>
        <w:t xml:space="preserve"> С/С и С/G полиморфизма Gln27Glu (rs1042714) гена </w:t>
      </w:r>
      <w:r>
        <w:rPr>
          <w:rFonts w:ascii="Times New Roman" w:hAnsi="Times New Roman" w:cs="Times New Roman"/>
          <w:i/>
          <w:sz w:val="28"/>
          <w:szCs w:val="28"/>
        </w:rPr>
        <w:t xml:space="preserve">ADBR2 </w:t>
      </w:r>
      <w:r>
        <w:rPr>
          <w:rFonts w:ascii="Times New Roman" w:hAnsi="Times New Roman" w:cs="Times New Roman"/>
          <w:sz w:val="28"/>
          <w:szCs w:val="28"/>
        </w:rPr>
        <w:t xml:space="preserve">ассоциированы </w:t>
      </w:r>
      <w:r w:rsidR="009677AB">
        <w:rPr>
          <w:rFonts w:ascii="Times New Roman" w:hAnsi="Times New Roman" w:cs="Times New Roman"/>
          <w:sz w:val="28"/>
          <w:szCs w:val="28"/>
        </w:rPr>
        <w:t xml:space="preserve">с </w:t>
      </w:r>
      <w:r>
        <w:rPr>
          <w:rFonts w:ascii="Times New Roman" w:hAnsi="Times New Roman" w:cs="Times New Roman"/>
          <w:sz w:val="28"/>
          <w:szCs w:val="28"/>
        </w:rPr>
        <w:t>повыш</w:t>
      </w:r>
      <w:r w:rsidR="009677AB">
        <w:rPr>
          <w:rFonts w:ascii="Times New Roman" w:hAnsi="Times New Roman" w:cs="Times New Roman"/>
          <w:sz w:val="28"/>
          <w:szCs w:val="28"/>
        </w:rPr>
        <w:t>енным</w:t>
      </w:r>
      <w:r>
        <w:rPr>
          <w:rFonts w:ascii="Times New Roman" w:hAnsi="Times New Roman" w:cs="Times New Roman"/>
          <w:sz w:val="28"/>
          <w:szCs w:val="28"/>
        </w:rPr>
        <w:t xml:space="preserve"> риск</w:t>
      </w:r>
      <w:r w:rsidR="009677AB">
        <w:rPr>
          <w:rFonts w:ascii="Times New Roman" w:hAnsi="Times New Roman" w:cs="Times New Roman"/>
          <w:sz w:val="28"/>
          <w:szCs w:val="28"/>
        </w:rPr>
        <w:t>ом</w:t>
      </w:r>
      <w:r>
        <w:rPr>
          <w:rFonts w:ascii="Times New Roman" w:hAnsi="Times New Roman" w:cs="Times New Roman"/>
          <w:sz w:val="28"/>
          <w:szCs w:val="28"/>
        </w:rPr>
        <w:t xml:space="preserve"> развития гипертриглицеридемии в </w:t>
      </w:r>
      <w:r w:rsidR="00045EBD">
        <w:rPr>
          <w:rFonts w:ascii="Times New Roman" w:hAnsi="Times New Roman" w:cs="Times New Roman"/>
          <w:sz w:val="28"/>
          <w:szCs w:val="28"/>
        </w:rPr>
        <w:t>исследуемой выборке</w:t>
      </w:r>
      <w:r>
        <w:rPr>
          <w:rFonts w:ascii="Times New Roman" w:hAnsi="Times New Roman" w:cs="Times New Roman"/>
          <w:sz w:val="28"/>
          <w:szCs w:val="28"/>
        </w:rPr>
        <w:t>. В свою очередь, аллел</w:t>
      </w:r>
      <w:r w:rsidR="009677AB">
        <w:rPr>
          <w:rFonts w:ascii="Times New Roman" w:hAnsi="Times New Roman" w:cs="Times New Roman"/>
          <w:sz w:val="28"/>
          <w:szCs w:val="28"/>
        </w:rPr>
        <w:t>ь</w:t>
      </w:r>
      <w:r>
        <w:rPr>
          <w:rFonts w:ascii="Times New Roman" w:hAnsi="Times New Roman" w:cs="Times New Roman"/>
          <w:sz w:val="28"/>
          <w:szCs w:val="28"/>
        </w:rPr>
        <w:t xml:space="preserve"> G и генотип G/G полиморфизма Gln27Glu (rs1042714) гена </w:t>
      </w:r>
      <w:r>
        <w:rPr>
          <w:rFonts w:ascii="Times New Roman" w:hAnsi="Times New Roman" w:cs="Times New Roman"/>
          <w:i/>
          <w:sz w:val="28"/>
          <w:szCs w:val="28"/>
        </w:rPr>
        <w:t>ADBR2</w:t>
      </w:r>
      <w:r w:rsidR="009677AB">
        <w:rPr>
          <w:rFonts w:ascii="Times New Roman" w:hAnsi="Times New Roman" w:cs="Times New Roman"/>
          <w:sz w:val="28"/>
          <w:szCs w:val="28"/>
        </w:rPr>
        <w:t>, наоборот является протекторным и ассоциирован со</w:t>
      </w:r>
      <w:r w:rsidRPr="009677AB">
        <w:rPr>
          <w:rFonts w:ascii="Times New Roman" w:hAnsi="Times New Roman" w:cs="Times New Roman"/>
          <w:sz w:val="28"/>
          <w:szCs w:val="28"/>
        </w:rPr>
        <w:t xml:space="preserve"> с</w:t>
      </w:r>
      <w:r>
        <w:rPr>
          <w:rFonts w:ascii="Times New Roman" w:hAnsi="Times New Roman" w:cs="Times New Roman"/>
          <w:sz w:val="28"/>
          <w:szCs w:val="28"/>
        </w:rPr>
        <w:t>ниж</w:t>
      </w:r>
      <w:r w:rsidR="009677AB">
        <w:rPr>
          <w:rFonts w:ascii="Times New Roman" w:hAnsi="Times New Roman" w:cs="Times New Roman"/>
          <w:sz w:val="28"/>
          <w:szCs w:val="28"/>
        </w:rPr>
        <w:t>енным</w:t>
      </w:r>
      <w:r>
        <w:rPr>
          <w:rFonts w:ascii="Times New Roman" w:hAnsi="Times New Roman" w:cs="Times New Roman"/>
          <w:sz w:val="28"/>
          <w:szCs w:val="28"/>
        </w:rPr>
        <w:t xml:space="preserve"> риск</w:t>
      </w:r>
      <w:r w:rsidR="009677AB">
        <w:rPr>
          <w:rFonts w:ascii="Times New Roman" w:hAnsi="Times New Roman" w:cs="Times New Roman"/>
          <w:sz w:val="28"/>
          <w:szCs w:val="28"/>
        </w:rPr>
        <w:t>ом</w:t>
      </w:r>
      <w:r>
        <w:rPr>
          <w:rFonts w:ascii="Times New Roman" w:hAnsi="Times New Roman" w:cs="Times New Roman"/>
          <w:sz w:val="28"/>
          <w:szCs w:val="28"/>
        </w:rPr>
        <w:t xml:space="preserve"> развития гипертриглицеридемии (ОШ=0,72 %95 ДИ 0,52-0,98 р=0,038) в</w:t>
      </w:r>
      <w:r w:rsidR="007F0947">
        <w:rPr>
          <w:rFonts w:ascii="Times New Roman" w:hAnsi="Times New Roman" w:cs="Times New Roman"/>
          <w:sz w:val="28"/>
          <w:szCs w:val="28"/>
        </w:rPr>
        <w:t xml:space="preserve"> данной </w:t>
      </w:r>
      <w:r w:rsidR="00AF19A6">
        <w:rPr>
          <w:rFonts w:ascii="Times New Roman" w:hAnsi="Times New Roman" w:cs="Times New Roman"/>
          <w:sz w:val="28"/>
          <w:szCs w:val="28"/>
        </w:rPr>
        <w:t>выборке</w:t>
      </w:r>
      <w:r>
        <w:rPr>
          <w:rFonts w:ascii="Times New Roman" w:hAnsi="Times New Roman" w:cs="Times New Roman"/>
          <w:sz w:val="28"/>
          <w:szCs w:val="28"/>
        </w:rPr>
        <w:t xml:space="preserve">. </w:t>
      </w:r>
    </w:p>
    <w:p w:rsidR="00671A3B" w:rsidRDefault="00671A3B" w:rsidP="00671A3B">
      <w:pPr>
        <w:pStyle w:val="HTML"/>
        <w:shd w:val="clear" w:color="auto" w:fill="FFFFFF"/>
        <w:ind w:firstLine="567"/>
        <w:jc w:val="both"/>
        <w:rPr>
          <w:rFonts w:ascii="Times New Roman" w:hAnsi="Times New Roman" w:cs="Times New Roman"/>
          <w:sz w:val="28"/>
          <w:szCs w:val="28"/>
        </w:rPr>
      </w:pPr>
      <w:r>
        <w:rPr>
          <w:rFonts w:ascii="Times New Roman" w:hAnsi="Times New Roman" w:cs="Times New Roman"/>
          <w:sz w:val="28"/>
          <w:szCs w:val="28"/>
        </w:rPr>
        <w:t xml:space="preserve">Генотипирование полиморфизма Gln27Glu (rs1042714) гена </w:t>
      </w:r>
      <w:r>
        <w:rPr>
          <w:rFonts w:ascii="Times New Roman" w:hAnsi="Times New Roman" w:cs="Times New Roman"/>
          <w:i/>
          <w:sz w:val="28"/>
          <w:szCs w:val="28"/>
        </w:rPr>
        <w:t xml:space="preserve">ADRB2 </w:t>
      </w:r>
      <w:r>
        <w:rPr>
          <w:rFonts w:ascii="Times New Roman" w:hAnsi="Times New Roman" w:cs="Times New Roman"/>
          <w:sz w:val="28"/>
          <w:szCs w:val="28"/>
        </w:rPr>
        <w:t>показало, что</w:t>
      </w:r>
      <w:r w:rsidR="008C6095">
        <w:rPr>
          <w:rFonts w:ascii="Times New Roman" w:hAnsi="Times New Roman" w:cs="Times New Roman"/>
          <w:sz w:val="28"/>
          <w:szCs w:val="28"/>
        </w:rPr>
        <w:t xml:space="preserve"> в</w:t>
      </w:r>
      <w:r>
        <w:rPr>
          <w:rFonts w:ascii="Times New Roman" w:hAnsi="Times New Roman" w:cs="Times New Roman"/>
          <w:sz w:val="28"/>
          <w:szCs w:val="28"/>
        </w:rPr>
        <w:t xml:space="preserve"> рецессивн</w:t>
      </w:r>
      <w:r w:rsidR="008C6095">
        <w:rPr>
          <w:rFonts w:ascii="Times New Roman" w:hAnsi="Times New Roman" w:cs="Times New Roman"/>
          <w:sz w:val="28"/>
          <w:szCs w:val="28"/>
        </w:rPr>
        <w:t>ой</w:t>
      </w:r>
      <w:r>
        <w:rPr>
          <w:rFonts w:ascii="Times New Roman" w:hAnsi="Times New Roman" w:cs="Times New Roman"/>
          <w:sz w:val="28"/>
          <w:szCs w:val="28"/>
        </w:rPr>
        <w:t xml:space="preserve"> модел</w:t>
      </w:r>
      <w:r w:rsidR="008C6095">
        <w:rPr>
          <w:rFonts w:ascii="Times New Roman" w:hAnsi="Times New Roman" w:cs="Times New Roman"/>
          <w:sz w:val="28"/>
          <w:szCs w:val="28"/>
        </w:rPr>
        <w:t>е</w:t>
      </w:r>
      <w:r>
        <w:rPr>
          <w:rFonts w:ascii="Times New Roman" w:hAnsi="Times New Roman" w:cs="Times New Roman"/>
          <w:sz w:val="28"/>
          <w:szCs w:val="28"/>
        </w:rPr>
        <w:t xml:space="preserve"> С/С и С/G повыш</w:t>
      </w:r>
      <w:r w:rsidR="009E0564">
        <w:rPr>
          <w:rFonts w:ascii="Times New Roman" w:hAnsi="Times New Roman" w:cs="Times New Roman"/>
          <w:sz w:val="28"/>
          <w:szCs w:val="28"/>
          <w:lang w:val="kk-KZ"/>
        </w:rPr>
        <w:t>ают</w:t>
      </w:r>
      <w:r>
        <w:rPr>
          <w:rFonts w:ascii="Times New Roman" w:hAnsi="Times New Roman" w:cs="Times New Roman"/>
          <w:sz w:val="28"/>
          <w:szCs w:val="28"/>
        </w:rPr>
        <w:t xml:space="preserve"> риск развития гипертриглицеридемии в </w:t>
      </w:r>
      <w:r w:rsidR="00AF19A6">
        <w:rPr>
          <w:rFonts w:ascii="Times New Roman" w:hAnsi="Times New Roman" w:cs="Times New Roman"/>
          <w:sz w:val="28"/>
          <w:szCs w:val="28"/>
        </w:rPr>
        <w:t>нашей</w:t>
      </w:r>
      <w:r w:rsidR="007F0947">
        <w:rPr>
          <w:rFonts w:ascii="Times New Roman" w:hAnsi="Times New Roman" w:cs="Times New Roman"/>
          <w:sz w:val="28"/>
          <w:szCs w:val="28"/>
        </w:rPr>
        <w:t xml:space="preserve"> выборке </w:t>
      </w:r>
      <w:r w:rsidR="00AF19A6">
        <w:rPr>
          <w:rFonts w:ascii="Times New Roman" w:hAnsi="Times New Roman" w:cs="Times New Roman"/>
          <w:sz w:val="28"/>
          <w:szCs w:val="28"/>
        </w:rPr>
        <w:t>исследования</w:t>
      </w:r>
      <w:r>
        <w:rPr>
          <w:rFonts w:ascii="Times New Roman" w:hAnsi="Times New Roman" w:cs="Times New Roman"/>
          <w:sz w:val="28"/>
          <w:szCs w:val="28"/>
        </w:rPr>
        <w:t xml:space="preserve">, тогда как </w:t>
      </w:r>
      <w:r w:rsidR="009E0564">
        <w:rPr>
          <w:rFonts w:ascii="Times New Roman" w:hAnsi="Times New Roman" w:cs="Times New Roman"/>
          <w:sz w:val="28"/>
          <w:szCs w:val="28"/>
          <w:lang w:val="kk-KZ"/>
        </w:rPr>
        <w:t xml:space="preserve">наличие </w:t>
      </w:r>
      <w:r>
        <w:rPr>
          <w:rFonts w:ascii="Times New Roman" w:hAnsi="Times New Roman" w:cs="Times New Roman"/>
          <w:sz w:val="28"/>
          <w:szCs w:val="28"/>
        </w:rPr>
        <w:t>G/G генотип</w:t>
      </w:r>
      <w:r w:rsidR="009E0564">
        <w:rPr>
          <w:rFonts w:ascii="Times New Roman" w:hAnsi="Times New Roman" w:cs="Times New Roman"/>
          <w:sz w:val="28"/>
          <w:szCs w:val="28"/>
          <w:lang w:val="kk-KZ"/>
        </w:rPr>
        <w:t>а уменьшает</w:t>
      </w:r>
      <w:r>
        <w:rPr>
          <w:rFonts w:ascii="Times New Roman" w:hAnsi="Times New Roman" w:cs="Times New Roman"/>
          <w:sz w:val="28"/>
          <w:szCs w:val="28"/>
        </w:rPr>
        <w:t xml:space="preserve"> риск развития гипертриглицеридемии на 0,45 раз </w:t>
      </w:r>
      <w:r w:rsidR="008C6095">
        <w:rPr>
          <w:rFonts w:ascii="Times New Roman" w:hAnsi="Times New Roman" w:cs="Times New Roman"/>
          <w:sz w:val="28"/>
          <w:szCs w:val="28"/>
        </w:rPr>
        <w:t>(ОШ=0,45 95% ДИ 0,23-0,86 р=0,018)</w:t>
      </w:r>
      <w:r>
        <w:rPr>
          <w:rFonts w:ascii="Times New Roman" w:hAnsi="Times New Roman" w:cs="Times New Roman"/>
          <w:sz w:val="28"/>
          <w:szCs w:val="28"/>
        </w:rPr>
        <w:t xml:space="preserve">. </w:t>
      </w:r>
    </w:p>
    <w:p w:rsidR="00671A3B" w:rsidRDefault="00671A3B" w:rsidP="00671A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outlineLvl w:val="0"/>
        <w:rPr>
          <w:rFonts w:ascii="Times New Roman" w:hAnsi="Times New Roman" w:cs="Times New Roman"/>
          <w:sz w:val="28"/>
          <w:szCs w:val="24"/>
          <w:lang w:val="kk-KZ"/>
        </w:rPr>
      </w:pPr>
      <w:r>
        <w:rPr>
          <w:rFonts w:ascii="Times New Roman" w:hAnsi="Times New Roman" w:cs="Times New Roman"/>
          <w:sz w:val="28"/>
          <w:szCs w:val="28"/>
          <w:lang w:val="kk-KZ"/>
        </w:rPr>
        <w:t>Некоторые авторы исследовали связь между полиморфизма Gln27Glu (rs1042714) гена</w:t>
      </w:r>
      <w:r>
        <w:rPr>
          <w:rFonts w:ascii="Times New Roman" w:hAnsi="Times New Roman" w:cs="Times New Roman"/>
          <w:i/>
          <w:sz w:val="28"/>
          <w:szCs w:val="28"/>
          <w:lang w:val="kk-KZ"/>
        </w:rPr>
        <w:t xml:space="preserve"> ADRB2</w:t>
      </w:r>
      <w:r>
        <w:rPr>
          <w:rFonts w:ascii="Times New Roman" w:hAnsi="Times New Roman" w:cs="Times New Roman"/>
          <w:sz w:val="28"/>
          <w:szCs w:val="28"/>
          <w:lang w:val="kk-KZ"/>
        </w:rPr>
        <w:t xml:space="preserve"> с параметрами, связанными с ожирением </w:t>
      </w:r>
      <w:r>
        <w:rPr>
          <w:rFonts w:ascii="Times New Roman" w:hAnsi="Times New Roman" w:cs="Times New Roman"/>
          <w:sz w:val="28"/>
          <w:szCs w:val="28"/>
          <w:lang w:val="kk-KZ"/>
        </w:rPr>
        <w:fldChar w:fldCharType="begin" w:fldLock="1"/>
      </w:r>
      <w:r w:rsidR="00027D70">
        <w:rPr>
          <w:rFonts w:ascii="Times New Roman" w:hAnsi="Times New Roman" w:cs="Times New Roman"/>
          <w:sz w:val="28"/>
          <w:szCs w:val="28"/>
          <w:lang w:val="kk-KZ"/>
        </w:rPr>
        <w:instrText>ADDIN CSL_CITATION {"citationItems":[{"id":"ITEM-1","itemData":{"DOI":"10.1177/1010539511430250","ISBN":"1010-5395","ISSN":"10105395","PMID":"22199155","abstract":"Recent findings have shown that the rs1042714 (Gln27Glu) single-nucleotide polymorphism (SNP) on the Î²2-adrenoceptor gene may predispose to obesity. The findings from other studies carried on different populations, however, have been inconsistent. The authors investigated the association between the rs1042714 SNP with obesity-related parameters. DNA of 672 Malaysian Malays was analyzed using real-time polymerase chain reaction. Univariate and multivariate linear regression analyses revealed significant associations between rs1042714 and diastolic blood pressure in the pooled Malaysian Malay subjects under additive and recessive models. After gender stratification, however, a significant association was found between the rs1042714 and triglyceride and the rs1042714 and log-transformed high-density lipoprotein cholesterol levels in Malaysian Malay men. No significant association was found between the SNP and log-transformed body mass index. This polymorphism may have an important role in the development of obesity-related traits in Malaysian Malays. Gender is an effect modifier for the effect of the rs1042714 polymorphism on obesity-related traits in Malaysian Malays.","author":[{"dropping-particle":"","family":"Apalasamy","given":"Yamunah Devi","non-dropping-particle":"","parse-names":false,"suffix":""},{"dropping-particle":"","family":"Ming","given":"Moy Foong","non-dropping-particle":"","parse-names":false,"suffix":""},{"dropping-particle":"","family":"Rampal","given":"Sanjay","non-dropping-particle":"","parse-names":false,"suffix":""},{"dropping-particle":"","family":"Bulgiba","given":"Awang","non-dropping-particle":"","parse-names":false,"suffix":""},{"dropping-particle":"","family":"Mohamed","given":"Zahurin","non-dropping-particle":"","parse-names":false,"suffix":""}],"container-title":"Asia-Pacific Journal of Public Health","id":"ITEM-1","issue":"2","issued":{"date-parts":[["2015"]]},"page":"NP154-NP165","title":"Gender-dependent association of a β2-adrenergic gene variant with obesity parameters in Malaysian Malays","type":"article-journal","volume":"27"},"uris":["http://www.mendeley.com/documents/?uuid=31c6ef43-7029-4c68-9be1-2a9d620f0a40"]}],"mendeley":{"formattedCitation":"[78]","manualFormatting":"[78, р. 160]","plainTextFormattedCitation":"[78]","previouslyFormattedCitation":"[78]"},"properties":{"noteIndex":0},"schema":"https://github.com/citation-style-language/schema/raw/master/csl-citation.json"}</w:instrText>
      </w:r>
      <w:r>
        <w:rPr>
          <w:rFonts w:ascii="Times New Roman" w:hAnsi="Times New Roman" w:cs="Times New Roman"/>
          <w:sz w:val="28"/>
          <w:szCs w:val="28"/>
          <w:lang w:val="kk-KZ"/>
        </w:rPr>
        <w:fldChar w:fldCharType="separate"/>
      </w:r>
      <w:r w:rsidR="00027D70" w:rsidRPr="00027D70">
        <w:rPr>
          <w:rFonts w:ascii="Times New Roman" w:hAnsi="Times New Roman" w:cs="Times New Roman"/>
          <w:noProof/>
          <w:sz w:val="28"/>
          <w:szCs w:val="28"/>
          <w:lang w:val="kk-KZ"/>
        </w:rPr>
        <w:t>[78</w:t>
      </w:r>
      <w:r w:rsidR="00027D70">
        <w:rPr>
          <w:rFonts w:ascii="Times New Roman" w:hAnsi="Times New Roman" w:cs="Times New Roman"/>
          <w:noProof/>
          <w:sz w:val="28"/>
          <w:szCs w:val="28"/>
          <w:lang w:val="kk-KZ"/>
        </w:rPr>
        <w:t>, р. 160</w:t>
      </w:r>
      <w:r w:rsidR="00027D70" w:rsidRPr="00027D70">
        <w:rPr>
          <w:rFonts w:ascii="Times New Roman" w:hAnsi="Times New Roman" w:cs="Times New Roman"/>
          <w:noProof/>
          <w:sz w:val="28"/>
          <w:szCs w:val="28"/>
          <w:lang w:val="kk-KZ"/>
        </w:rPr>
        <w:t>]</w: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и обнаружили, что </w:t>
      </w:r>
      <w:r w:rsidR="009E0564">
        <w:rPr>
          <w:rFonts w:ascii="Times New Roman" w:hAnsi="Times New Roman" w:cs="Times New Roman"/>
          <w:sz w:val="28"/>
          <w:szCs w:val="28"/>
          <w:lang w:val="kk-KZ"/>
        </w:rPr>
        <w:t>он</w:t>
      </w:r>
      <w:r>
        <w:rPr>
          <w:rFonts w:ascii="Times New Roman" w:hAnsi="Times New Roman" w:cs="Times New Roman"/>
          <w:sz w:val="28"/>
          <w:szCs w:val="28"/>
          <w:lang w:val="kk-KZ"/>
        </w:rPr>
        <w:t xml:space="preserve"> </w:t>
      </w:r>
      <w:r w:rsidR="008E29AE">
        <w:rPr>
          <w:rFonts w:ascii="Times New Roman" w:hAnsi="Times New Roman" w:cs="Times New Roman"/>
          <w:sz w:val="28"/>
          <w:szCs w:val="28"/>
          <w:lang w:val="kk-KZ"/>
        </w:rPr>
        <w:t>ассоциирован со показателями уровня</w:t>
      </w:r>
      <w:r>
        <w:rPr>
          <w:rFonts w:ascii="Times New Roman" w:hAnsi="Times New Roman" w:cs="Times New Roman"/>
          <w:sz w:val="28"/>
          <w:szCs w:val="28"/>
          <w:lang w:val="kk-KZ"/>
        </w:rPr>
        <w:t xml:space="preserve"> ТГ и ЛПВП.</w:t>
      </w:r>
    </w:p>
    <w:p w:rsidR="00671A3B" w:rsidRDefault="007F0947" w:rsidP="00671A3B">
      <w:pPr>
        <w:pStyle w:val="a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71A3B" w:rsidRPr="00CA2358">
        <w:rPr>
          <w:rFonts w:ascii="Times New Roman" w:hAnsi="Times New Roman" w:cs="Times New Roman"/>
          <w:sz w:val="28"/>
          <w:szCs w:val="28"/>
          <w:lang w:val="kk-KZ"/>
        </w:rPr>
        <w:t>Недавнее</w:t>
      </w:r>
      <w:r w:rsidR="00671A3B">
        <w:rPr>
          <w:rFonts w:ascii="Times New Roman" w:hAnsi="Times New Roman" w:cs="Times New Roman"/>
          <w:sz w:val="28"/>
          <w:szCs w:val="28"/>
          <w:lang w:val="kk-KZ"/>
        </w:rPr>
        <w:t xml:space="preserve"> </w:t>
      </w:r>
      <w:r w:rsidR="00671A3B" w:rsidRPr="00CA2358">
        <w:rPr>
          <w:rFonts w:ascii="Times New Roman" w:hAnsi="Times New Roman" w:cs="Times New Roman"/>
          <w:sz w:val="28"/>
          <w:szCs w:val="28"/>
          <w:lang w:val="kk-KZ"/>
        </w:rPr>
        <w:t>исследование</w:t>
      </w:r>
      <w:r w:rsidR="00671A3B">
        <w:rPr>
          <w:rFonts w:ascii="Times New Roman" w:hAnsi="Times New Roman" w:cs="Times New Roman"/>
          <w:sz w:val="28"/>
          <w:szCs w:val="28"/>
          <w:lang w:val="kk-KZ"/>
        </w:rPr>
        <w:t xml:space="preserve"> </w:t>
      </w:r>
      <w:r w:rsidR="00671A3B" w:rsidRPr="00CA2358">
        <w:rPr>
          <w:rFonts w:ascii="Times New Roman" w:hAnsi="Times New Roman" w:cs="Times New Roman"/>
          <w:sz w:val="28"/>
          <w:szCs w:val="28"/>
          <w:lang w:val="kk-KZ"/>
        </w:rPr>
        <w:t>показало, что</w:t>
      </w:r>
      <w:r w:rsidR="00671A3B">
        <w:rPr>
          <w:rFonts w:ascii="Times New Roman" w:hAnsi="Times New Roman" w:cs="Times New Roman"/>
          <w:sz w:val="28"/>
          <w:szCs w:val="28"/>
          <w:lang w:val="kk-KZ"/>
        </w:rPr>
        <w:t xml:space="preserve"> </w:t>
      </w:r>
      <w:r w:rsidR="00671A3B" w:rsidRPr="00CA2358">
        <w:rPr>
          <w:rFonts w:ascii="Times New Roman" w:hAnsi="Times New Roman" w:cs="Times New Roman"/>
          <w:sz w:val="28"/>
          <w:szCs w:val="28"/>
          <w:lang w:val="kk-KZ"/>
        </w:rPr>
        <w:t xml:space="preserve">гомозиготный вариант </w:t>
      </w:r>
      <w:r w:rsidR="00671A3B" w:rsidRPr="00CA2358">
        <w:rPr>
          <w:rFonts w:ascii="Times New Roman" w:hAnsi="Times New Roman" w:cs="Times New Roman"/>
          <w:i/>
          <w:sz w:val="28"/>
          <w:szCs w:val="28"/>
          <w:lang w:val="kk-KZ"/>
        </w:rPr>
        <w:t>ADRB2</w:t>
      </w:r>
      <w:r w:rsidR="00671A3B" w:rsidRPr="00CA2358">
        <w:rPr>
          <w:rFonts w:ascii="Times New Roman" w:hAnsi="Times New Roman" w:cs="Times New Roman"/>
          <w:sz w:val="28"/>
          <w:szCs w:val="28"/>
          <w:lang w:val="kk-KZ"/>
        </w:rPr>
        <w:t xml:space="preserve"> Gln27Glu связан с СД 2 типа, и это фактор риска, который, возможно, </w:t>
      </w:r>
      <w:r w:rsidR="00427898">
        <w:rPr>
          <w:rFonts w:ascii="Times New Roman" w:hAnsi="Times New Roman" w:cs="Times New Roman"/>
          <w:sz w:val="28"/>
          <w:szCs w:val="28"/>
          <w:lang w:val="kk-KZ"/>
        </w:rPr>
        <w:t>был ассоциирован с</w:t>
      </w:r>
      <w:r w:rsidR="00671A3B">
        <w:rPr>
          <w:rFonts w:ascii="Times New Roman" w:hAnsi="Times New Roman" w:cs="Times New Roman"/>
          <w:sz w:val="28"/>
          <w:szCs w:val="28"/>
          <w:lang w:val="kk-KZ"/>
        </w:rPr>
        <w:t xml:space="preserve"> </w:t>
      </w:r>
      <w:r w:rsidR="004470F6">
        <w:rPr>
          <w:rFonts w:ascii="Times New Roman" w:hAnsi="Times New Roman" w:cs="Times New Roman"/>
          <w:sz w:val="28"/>
          <w:szCs w:val="28"/>
          <w:lang w:val="kk-KZ"/>
        </w:rPr>
        <w:t xml:space="preserve">риском </w:t>
      </w:r>
      <w:r w:rsidR="00671A3B" w:rsidRPr="00CA2358">
        <w:rPr>
          <w:rFonts w:ascii="Times New Roman" w:hAnsi="Times New Roman" w:cs="Times New Roman"/>
          <w:sz w:val="28"/>
          <w:szCs w:val="28"/>
          <w:lang w:val="kk-KZ"/>
        </w:rPr>
        <w:t>накоплени</w:t>
      </w:r>
      <w:r w:rsidR="004470F6">
        <w:rPr>
          <w:rFonts w:ascii="Times New Roman" w:hAnsi="Times New Roman" w:cs="Times New Roman"/>
          <w:sz w:val="28"/>
          <w:szCs w:val="28"/>
          <w:lang w:val="kk-KZ"/>
        </w:rPr>
        <w:t>я</w:t>
      </w:r>
      <w:r w:rsidR="00671A3B">
        <w:rPr>
          <w:rFonts w:ascii="Times New Roman" w:hAnsi="Times New Roman" w:cs="Times New Roman"/>
          <w:sz w:val="28"/>
          <w:szCs w:val="28"/>
          <w:lang w:val="kk-KZ"/>
        </w:rPr>
        <w:t xml:space="preserve"> </w:t>
      </w:r>
      <w:r w:rsidR="00671A3B" w:rsidRPr="00CA2358">
        <w:rPr>
          <w:rFonts w:ascii="Times New Roman" w:hAnsi="Times New Roman" w:cs="Times New Roman"/>
          <w:sz w:val="28"/>
          <w:szCs w:val="28"/>
          <w:lang w:val="kk-KZ"/>
        </w:rPr>
        <w:t>висцерального</w:t>
      </w:r>
      <w:r w:rsidR="00671A3B">
        <w:rPr>
          <w:rFonts w:ascii="Times New Roman" w:hAnsi="Times New Roman" w:cs="Times New Roman"/>
          <w:sz w:val="28"/>
          <w:szCs w:val="28"/>
          <w:lang w:val="kk-KZ"/>
        </w:rPr>
        <w:t xml:space="preserve"> </w:t>
      </w:r>
      <w:r w:rsidR="00671A3B" w:rsidRPr="00CA2358">
        <w:rPr>
          <w:rFonts w:ascii="Times New Roman" w:hAnsi="Times New Roman" w:cs="Times New Roman"/>
          <w:sz w:val="28"/>
          <w:szCs w:val="28"/>
          <w:lang w:val="kk-KZ"/>
        </w:rPr>
        <w:t>жира и с развитием СД 2 типа у мужчин, но не у женщин</w:t>
      </w:r>
      <w:r w:rsidR="00671A3B">
        <w:rPr>
          <w:rFonts w:ascii="Times New Roman" w:hAnsi="Times New Roman" w:cs="Times New Roman"/>
          <w:sz w:val="28"/>
          <w:szCs w:val="28"/>
          <w:lang w:val="kk-KZ"/>
        </w:rPr>
        <w:t xml:space="preserve"> </w:t>
      </w:r>
      <w:r w:rsidR="00671A3B" w:rsidRPr="00CA2358">
        <w:rPr>
          <w:rFonts w:ascii="Times New Roman" w:hAnsi="Times New Roman" w:cs="Times New Roman"/>
          <w:sz w:val="28"/>
          <w:szCs w:val="28"/>
          <w:lang w:val="kk-KZ"/>
        </w:rPr>
        <w:fldChar w:fldCharType="begin" w:fldLock="1"/>
      </w:r>
      <w:r w:rsidR="009D40AC">
        <w:rPr>
          <w:rFonts w:ascii="Times New Roman" w:hAnsi="Times New Roman" w:cs="Times New Roman"/>
          <w:sz w:val="28"/>
          <w:szCs w:val="28"/>
          <w:lang w:val="kk-KZ"/>
        </w:rPr>
        <w:instrText>ADDIN CSL_CITATION {"citationItems":[{"id":"ITEM-1","itemData":{"DOI":"10.1046/j.1365-2265.2003.01871.x","ISSN":"0300-0664","PMID":"14510910","abstract":"OBJECTIVE: Given the important role of the beta2-adrenoceptor (beta2-AR) in lipid mobilization and the lack of studies in Southern European countries, the aim of this study was to investigate the role of the glutamine 27 glutamic acid (Gln27Glu) beta2-AR polymorphism in the susceptibility to obesity and its metabolic complications in a population-based nationwide multicentre study in Spain, especially focusing on the hypothetical influence of gender. DESIGN: Cross-sectional population-based study. PATIENTS: We studied 666 nonrelated adults (47.9% men and 52.1% women), aged 35-64 years, chosen randomly from a nationwide population-based survey of obesity, and related conditions including insulin resistance and cardiovascular risk factors. MEASUREMENTS: Body mass index (BMI), waist-to-hip ratio (WHR), sagittal abdominal diameter (SAD), systolic and diastolic blood pressure, fasting and 2-h post-glucose load glycaemic levels, total cholesterol, high density lipoprotein (HDL)- and low density lipoprotein (LDL)-cholesterol, triglycerides, insulin, proinsulin and leptin plasma levels were measured. Beta2-AR Gln27Glu genotypes were determined by restriction fragment length polymorphism (RFLP)-polymerase chain reaction (PCR). RESULTS: Glu27 homozygous obese men had significantly higher BMI and SAD mean values than both heterozygous and Gln27 homozygous obese men. Two-hour post-load plasma glucose concentration was higher in Glu27 homozygous than in Gln27 homozygous in the whole population and only in men when stratified by gender. No differences according to the genotype were found for the rest of the parameters studied, including homeostasis model assessment (HOMA), insulin, proinsulin and leptin levels, but for total and LDL-cholesterol these increased in men. We did not find differences in the anthropometrical and biochemical parameters according to the genotype in women. Multivariate logistic regression analysis showed that Glu27 homozygosity after adjustment for SAD was associated with type 2 diabetes mellitus. CONCLUSIONS: Our results suggest that the glutamic acid 27 allele of the beta2-adrenoceptor may be a risk factor in men but not in women for the accumulation of visceral fat and for its association with the development of type 2 diabetes mellitus.","author":[{"dropping-particle":"","family":"Gonzalez Sanchez","given":"J. L.","non-dropping-particle":"","parse-names":false,"suffix":""},{"dropping-particle":"","family":"Proenza","given":"A. M.","non-dropping-particle":"","parse-names":false,"suffix":""},{"dropping-particle":"","family":"Martinez Larrad","given":"M. T.","non-dropping-particle":"","parse-names":false,"suffix":""},{"dropping-particle":"","family":"Ramis","given":"J. M.","non-dropping-particle":"","parse-names":false,"suffix":""},{"dropping-particle":"","family":"Fernandez Perez","given":"C.","non-dropping-particle":"","parse-names":false,"suffix":""},{"dropping-particle":"","family":"Palou","given":"A.","non-dropping-particle":"","parse-names":false,"suffix":""},{"dropping-particle":"","family":"Serrano Rios","given":"M.","non-dropping-particle":"","parse-names":false,"suffix":""}],"container-title":"Clinical Endocrinology","id":"ITEM-1","issue":"4","issued":{"date-parts":[["2003","10"]]},"page":"476-481","title":"The glutamine 27 glutamic acid polymorphism of the beta2-adrenoceptor gene is associated with abdominal obesity and greater risk of impaired glucose tolerance in men but not in women: a population-based study in Spain","type":"article-journal","volume":"59"},"uris":["http://www.mendeley.com/documents/?uuid=53516600-5dd7-47ef-a605-9421226ab781"]}],"mendeley":{"formattedCitation":"[200]","plainTextFormattedCitation":"[200]","previouslyFormattedCitation":"[200]"},"properties":{"noteIndex":0},"schema":"https://github.com/citation-style-language/schema/raw/master/csl-citation.json"}</w:instrText>
      </w:r>
      <w:r w:rsidR="00671A3B" w:rsidRPr="00CA2358">
        <w:rPr>
          <w:rFonts w:ascii="Times New Roman" w:hAnsi="Times New Roman" w:cs="Times New Roman"/>
          <w:sz w:val="28"/>
          <w:szCs w:val="28"/>
          <w:lang w:val="kk-KZ"/>
        </w:rPr>
        <w:fldChar w:fldCharType="separate"/>
      </w:r>
      <w:r w:rsidR="009D40AC" w:rsidRPr="009D40AC">
        <w:rPr>
          <w:rFonts w:ascii="Times New Roman" w:hAnsi="Times New Roman" w:cs="Times New Roman"/>
          <w:noProof/>
          <w:sz w:val="28"/>
          <w:szCs w:val="28"/>
          <w:lang w:val="kk-KZ"/>
        </w:rPr>
        <w:t>[200]</w:t>
      </w:r>
      <w:r w:rsidR="00671A3B" w:rsidRPr="00CA2358">
        <w:rPr>
          <w:rFonts w:ascii="Times New Roman" w:hAnsi="Times New Roman" w:cs="Times New Roman"/>
          <w:sz w:val="28"/>
          <w:szCs w:val="28"/>
          <w:lang w:val="kk-KZ"/>
        </w:rPr>
        <w:fldChar w:fldCharType="end"/>
      </w:r>
      <w:r w:rsidR="00671A3B" w:rsidRPr="00CA2358">
        <w:rPr>
          <w:rFonts w:ascii="Times New Roman" w:hAnsi="Times New Roman" w:cs="Times New Roman"/>
          <w:sz w:val="28"/>
          <w:szCs w:val="28"/>
          <w:lang w:val="kk-KZ"/>
        </w:rPr>
        <w:t>.</w:t>
      </w:r>
      <w:r w:rsidR="00671A3B">
        <w:rPr>
          <w:rFonts w:ascii="Times New Roman" w:hAnsi="Times New Roman" w:cs="Times New Roman"/>
          <w:sz w:val="28"/>
          <w:szCs w:val="28"/>
          <w:lang w:val="kk-KZ"/>
        </w:rPr>
        <w:t xml:space="preserve"> </w:t>
      </w:r>
      <w:r w:rsidR="00671A3B">
        <w:rPr>
          <w:rFonts w:ascii="Times New Roman" w:hAnsi="Times New Roman" w:cs="Times New Roman"/>
          <w:noProof/>
          <w:sz w:val="28"/>
          <w:szCs w:val="28"/>
          <w:lang w:val="en-US"/>
        </w:rPr>
        <w:t>Wang</w:t>
      </w:r>
      <w:r w:rsidR="00671A3B">
        <w:rPr>
          <w:rFonts w:ascii="Times New Roman" w:hAnsi="Times New Roman" w:cs="Times New Roman"/>
          <w:sz w:val="28"/>
          <w:szCs w:val="28"/>
          <w:lang w:val="kk-KZ"/>
        </w:rPr>
        <w:t xml:space="preserve"> Т. и соавторы обнаружили, что полиморфный вариант Gln27Glu гена </w:t>
      </w:r>
      <w:r w:rsidR="00671A3B">
        <w:rPr>
          <w:rFonts w:ascii="Times New Roman" w:hAnsi="Times New Roman" w:cs="Times New Roman"/>
          <w:i/>
          <w:sz w:val="28"/>
          <w:szCs w:val="28"/>
          <w:lang w:val="kk-KZ"/>
        </w:rPr>
        <w:t xml:space="preserve">ADRB2 </w:t>
      </w:r>
      <w:r w:rsidR="00671A3B">
        <w:rPr>
          <w:rFonts w:ascii="Times New Roman" w:hAnsi="Times New Roman" w:cs="Times New Roman"/>
          <w:sz w:val="28"/>
          <w:szCs w:val="28"/>
          <w:lang w:val="kk-KZ"/>
        </w:rPr>
        <w:t xml:space="preserve">демонстрирует заметно повышенный уровень норэпинефрина, тогда как полиморфный вариант Thr54Thr гена </w:t>
      </w:r>
      <w:r w:rsidR="00671A3B">
        <w:rPr>
          <w:rFonts w:ascii="Times New Roman" w:hAnsi="Times New Roman" w:cs="Times New Roman"/>
          <w:i/>
          <w:sz w:val="28"/>
          <w:szCs w:val="28"/>
          <w:lang w:val="kk-KZ"/>
        </w:rPr>
        <w:t xml:space="preserve">ADRB2 </w:t>
      </w:r>
      <w:r w:rsidR="00671A3B">
        <w:rPr>
          <w:rFonts w:ascii="Times New Roman" w:hAnsi="Times New Roman" w:cs="Times New Roman"/>
          <w:sz w:val="28"/>
          <w:szCs w:val="28"/>
          <w:lang w:val="kk-KZ"/>
        </w:rPr>
        <w:t xml:space="preserve">свидетельствует о резистентности к инсулину </w:t>
      </w:r>
      <w:r w:rsidR="00671A3B">
        <w:rPr>
          <w:rFonts w:ascii="Times New Roman" w:hAnsi="Times New Roman" w:cs="Times New Roman"/>
          <w:sz w:val="28"/>
          <w:szCs w:val="28"/>
          <w:lang w:val="kk-KZ"/>
        </w:rPr>
        <w:fldChar w:fldCharType="begin" w:fldLock="1"/>
      </w:r>
      <w:r w:rsidR="009D40AC">
        <w:rPr>
          <w:rFonts w:ascii="Times New Roman" w:hAnsi="Times New Roman" w:cs="Times New Roman"/>
          <w:sz w:val="28"/>
          <w:szCs w:val="28"/>
          <w:lang w:val="kk-KZ"/>
        </w:rPr>
        <w:instrText>ADDIN CSL_CITATION {"citationItems":[{"id":"ITEM-1","itemData":{"DOI":"10.1007/s11255-018-1812-2","ISSN":"0301-1623","PMID":"29404926","abstract":"Since altered sympathetic nerve activity and insulin resistance are implicated in the pathogenesis of type 2 diabetic nephropathy, we investigated the effect of polymorphic Arg16Gly and Gln27Glu in the β2 adrenoceptor gene and Ala54Thr in the fatty acid binding protein 2 gene on the estimated glomerular filtration rate (eGFR) in Chinese patients with the above disease. METHODS: A total of 552 diabetic subjects recruited from annual health examinations were studied. The eGFR was calculated from the Modification of Diet in Renal Disease equation for the Chinese. Plasma norepinephrine level and genotype were determined by high-performance liquid chromatography-tandem mass spectrometry and TaqMan method, respectively. Holter-derived heart rate viability (HRV) and the MRI-generated renal apparent diffusion coefficient (ADC) were evaluated. RESULTS: The Gly16Gly and Thr54Thr homozygotes had significantly higher microalbuminuria and lower eGFR against other genotypes in their individual polymorphism. Besides, the Gly16Gly variant exhibited markedly elevated norepinephrine level, whereas indicative of insulin resistance was increased in the Thr54Thr one. Multiple linear regression analysis further confirmed the independent genetic effect on the eGFR. Moreover, multifactor dimensionality reduction method detected a gene-gene synergistic action that subjects with the Gly16Gly/Thr54Thr genotype were exposed to higher risk of eGFR loss. Finally, these findings were accompanied by lower HRV and ADC, indicating sympathetically mediated hemodynamic changes. CONCLUSIONS: By uncovering the genetic component of the coherent interplay between the elevated sympathetic nerve activity and metabolic disorders, our observations might promote the development of novel personalized prevention and management strategies against the diabetic nephropathy, especially in the genetically susceptible individuals.","author":[{"dropping-particle":"","family":"Wang","given":"Tao","non-dropping-particle":"","parse-names":false,"suffix":""},{"dropping-particle":"","family":"Zhang","given":"Yan","non-dropping-particle":"","parse-names":false,"suffix":""},{"dropping-particle":"","family":"Wang","given":"Ning","non-dropping-particle":"","parse-names":false,"suffix":""},{"dropping-particle":"","family":"Liu","given":"Qiong","non-dropping-particle":"","parse-names":false,"suffix":""},{"dropping-particle":"","family":"Wang","given":"ZeKai","non-dropping-particle":"","parse-names":false,"suffix":""},{"dropping-particle":"","family":"Liu","given":"Bing","non-dropping-particle":"","parse-names":false,"suffix":""},{"dropping-particle":"","family":"Niu","given":"Kai","non-dropping-particle":"","parse-names":false,"suffix":""}],"container-title":"International Urology and Nephrology","id":"ITEM-1","issue":"4","issued":{"date-parts":[["2018","4","5"]]},"page":"715-723","title":"Synergistical action of the β2 adrenoceptor and fatty acid binding protein 2 polymorphisms on the loss of glomerular filtration rate in Chinese patients with type 2 diabetic nephropathy","type":"article-journal","volume":"50"},"uris":["http://www.mendeley.com/documents/?uuid=52452d25-e4a8-4c6c-84d3-032371e88cf8"]}],"mendeley":{"formattedCitation":"[201]","plainTextFormattedCitation":"[201]","previouslyFormattedCitation":"[201]"},"properties":{"noteIndex":0},"schema":"https://github.com/citation-style-language/schema/raw/master/csl-citation.json"}</w:instrText>
      </w:r>
      <w:r w:rsidR="00671A3B">
        <w:rPr>
          <w:rFonts w:ascii="Times New Roman" w:hAnsi="Times New Roman" w:cs="Times New Roman"/>
          <w:sz w:val="28"/>
          <w:szCs w:val="28"/>
          <w:lang w:val="kk-KZ"/>
        </w:rPr>
        <w:fldChar w:fldCharType="separate"/>
      </w:r>
      <w:r w:rsidR="009D40AC" w:rsidRPr="009D40AC">
        <w:rPr>
          <w:rFonts w:ascii="Times New Roman" w:hAnsi="Times New Roman" w:cs="Times New Roman"/>
          <w:noProof/>
          <w:sz w:val="28"/>
          <w:szCs w:val="28"/>
          <w:lang w:val="kk-KZ"/>
        </w:rPr>
        <w:t>[201]</w:t>
      </w:r>
      <w:r w:rsidR="00671A3B">
        <w:rPr>
          <w:rFonts w:ascii="Times New Roman" w:hAnsi="Times New Roman" w:cs="Times New Roman"/>
          <w:sz w:val="28"/>
          <w:szCs w:val="28"/>
          <w:lang w:val="kk-KZ"/>
        </w:rPr>
        <w:fldChar w:fldCharType="end"/>
      </w:r>
      <w:r w:rsidR="00671A3B">
        <w:rPr>
          <w:rFonts w:ascii="Times New Roman" w:hAnsi="Times New Roman" w:cs="Times New Roman"/>
          <w:sz w:val="28"/>
          <w:szCs w:val="28"/>
          <w:lang w:val="kk-KZ"/>
        </w:rPr>
        <w:t xml:space="preserve">. В </w:t>
      </w:r>
      <w:r w:rsidR="00671A3B">
        <w:rPr>
          <w:rFonts w:ascii="Times New Roman" w:hAnsi="Times New Roman" w:cs="Times New Roman"/>
          <w:sz w:val="28"/>
          <w:szCs w:val="28"/>
          <w:lang w:val="kk-KZ"/>
        </w:rPr>
        <w:lastRenderedPageBreak/>
        <w:t>нашем исследовании мы обнаружили</w:t>
      </w:r>
      <w:r w:rsidR="00671A3B" w:rsidRPr="00671A3B">
        <w:rPr>
          <w:rFonts w:ascii="Century" w:hAnsi="Century" w:cs="Times New Roman"/>
          <w:sz w:val="28"/>
          <w:szCs w:val="28"/>
          <w:lang w:val="kk-KZ"/>
        </w:rPr>
        <w:t xml:space="preserve">, </w:t>
      </w:r>
      <w:r w:rsidR="00671A3B">
        <w:rPr>
          <w:rFonts w:ascii="Times New Roman" w:hAnsi="Times New Roman" w:cs="Times New Roman"/>
          <w:sz w:val="28"/>
          <w:szCs w:val="28"/>
          <w:lang w:val="kk-KZ"/>
        </w:rPr>
        <w:t xml:space="preserve">что аллели полиморфизма Gln27Glu (rs1042714) гена </w:t>
      </w:r>
      <w:r w:rsidR="00671A3B">
        <w:rPr>
          <w:rFonts w:ascii="Times New Roman" w:hAnsi="Times New Roman" w:cs="Times New Roman"/>
          <w:i/>
          <w:sz w:val="28"/>
          <w:szCs w:val="28"/>
          <w:lang w:val="kk-KZ"/>
        </w:rPr>
        <w:t xml:space="preserve">ADRB2 </w:t>
      </w:r>
      <w:r w:rsidR="00671A3B">
        <w:rPr>
          <w:rFonts w:ascii="Times New Roman" w:hAnsi="Times New Roman" w:cs="Times New Roman"/>
          <w:sz w:val="28"/>
          <w:szCs w:val="28"/>
          <w:lang w:val="kk-KZ"/>
        </w:rPr>
        <w:t xml:space="preserve">были </w:t>
      </w:r>
      <w:r w:rsidR="00427898">
        <w:rPr>
          <w:rFonts w:ascii="Times New Roman" w:hAnsi="Times New Roman" w:cs="Times New Roman"/>
          <w:sz w:val="28"/>
          <w:szCs w:val="28"/>
          <w:lang w:val="kk-KZ"/>
        </w:rPr>
        <w:t>ассоциированы</w:t>
      </w:r>
      <w:r w:rsidR="00671A3B">
        <w:rPr>
          <w:rFonts w:ascii="Times New Roman" w:hAnsi="Times New Roman" w:cs="Times New Roman"/>
          <w:sz w:val="28"/>
          <w:szCs w:val="28"/>
          <w:lang w:val="kk-KZ"/>
        </w:rPr>
        <w:t xml:space="preserve"> с </w:t>
      </w:r>
      <w:r w:rsidR="00427898">
        <w:rPr>
          <w:rFonts w:ascii="Times New Roman" w:hAnsi="Times New Roman" w:cs="Times New Roman"/>
          <w:sz w:val="28"/>
          <w:szCs w:val="28"/>
          <w:lang w:val="kk-KZ"/>
        </w:rPr>
        <w:t xml:space="preserve">высоким </w:t>
      </w:r>
      <w:r w:rsidR="00671A3B">
        <w:rPr>
          <w:rFonts w:ascii="Times New Roman" w:hAnsi="Times New Roman" w:cs="Times New Roman"/>
          <w:sz w:val="28"/>
          <w:szCs w:val="28"/>
          <w:lang w:val="kk-KZ"/>
        </w:rPr>
        <w:t xml:space="preserve">риском развития гипертриглицеридемии и не были связаны со риском гиперинсулинемии и/или ИР. </w:t>
      </w:r>
    </w:p>
    <w:p w:rsidR="00671A3B" w:rsidRPr="00671A3B" w:rsidRDefault="00671A3B"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outlineLvl w:val="0"/>
        <w:rPr>
          <w:rFonts w:ascii="Times New Roman" w:hAnsi="Times New Roman" w:cs="Times New Roman"/>
          <w:sz w:val="28"/>
          <w:szCs w:val="24"/>
          <w:lang w:val="kk-KZ"/>
        </w:rPr>
      </w:pP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outlineLvl w:val="0"/>
        <w:rPr>
          <w:rFonts w:ascii="Times New Roman" w:hAnsi="Times New Roman" w:cs="Times New Roman"/>
          <w:sz w:val="28"/>
          <w:szCs w:val="24"/>
          <w:lang w:val="kk-KZ"/>
        </w:rPr>
      </w:pPr>
      <w:r>
        <w:rPr>
          <w:rFonts w:ascii="Times New Roman" w:hAnsi="Times New Roman" w:cs="Times New Roman"/>
          <w:sz w:val="28"/>
          <w:szCs w:val="24"/>
        </w:rPr>
        <w:t>Таблица 5</w:t>
      </w:r>
      <w:r w:rsidR="003C0BEF">
        <w:rPr>
          <w:rFonts w:ascii="Times New Roman" w:hAnsi="Times New Roman" w:cs="Times New Roman"/>
          <w:sz w:val="28"/>
          <w:szCs w:val="24"/>
          <w:lang w:val="kk-KZ"/>
        </w:rPr>
        <w:t>4</w:t>
      </w:r>
      <w:r w:rsidR="00B648CF">
        <w:rPr>
          <w:rFonts w:ascii="Times New Roman" w:hAnsi="Times New Roman" w:cs="Times New Roman"/>
          <w:sz w:val="28"/>
          <w:szCs w:val="24"/>
          <w:lang w:val="kk-KZ"/>
        </w:rPr>
        <w:t xml:space="preserve"> -</w:t>
      </w:r>
      <w:r>
        <w:rPr>
          <w:rFonts w:ascii="Times New Roman" w:hAnsi="Times New Roman" w:cs="Times New Roman"/>
          <w:sz w:val="28"/>
          <w:szCs w:val="24"/>
        </w:rPr>
        <w:t xml:space="preserve"> Сравнительная характеристика </w:t>
      </w:r>
      <w:r>
        <w:rPr>
          <w:rFonts w:ascii="Times New Roman" w:hAnsi="Times New Roman" w:cs="Times New Roman"/>
          <w:sz w:val="28"/>
          <w:szCs w:val="28"/>
        </w:rPr>
        <w:t xml:space="preserve">полиморфизма Gln27Glu (rs1042714) гена </w:t>
      </w:r>
      <w:r>
        <w:rPr>
          <w:rFonts w:ascii="Times New Roman" w:hAnsi="Times New Roman" w:cs="Times New Roman"/>
          <w:i/>
          <w:sz w:val="28"/>
          <w:szCs w:val="28"/>
        </w:rPr>
        <w:t>ADRB2</w:t>
      </w:r>
      <w:r>
        <w:rPr>
          <w:rFonts w:ascii="Times New Roman" w:hAnsi="Times New Roman" w:cs="Times New Roman"/>
          <w:sz w:val="28"/>
          <w:szCs w:val="24"/>
          <w:lang w:val="kk-KZ"/>
        </w:rPr>
        <w:t xml:space="preserve"> в исследуемой</w:t>
      </w:r>
      <w:r w:rsidR="00CD4077">
        <w:rPr>
          <w:rFonts w:ascii="Times New Roman" w:hAnsi="Times New Roman" w:cs="Times New Roman"/>
          <w:sz w:val="28"/>
          <w:szCs w:val="24"/>
          <w:lang w:val="kk-KZ"/>
        </w:rPr>
        <w:t xml:space="preserve"> </w:t>
      </w:r>
      <w:r w:rsidR="00127D44">
        <w:rPr>
          <w:rFonts w:ascii="Times New Roman" w:hAnsi="Times New Roman" w:cs="Times New Roman"/>
          <w:sz w:val="28"/>
          <w:szCs w:val="24"/>
          <w:lang w:val="kk-KZ"/>
        </w:rPr>
        <w:t>выборке</w:t>
      </w:r>
    </w:p>
    <w:p w:rsidR="00132A90" w:rsidRDefault="00132A90"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outlineLvl w:val="0"/>
        <w:rPr>
          <w:rFonts w:ascii="Times New Roman" w:hAnsi="Times New Roman" w:cs="Times New Roman"/>
          <w:sz w:val="28"/>
          <w:szCs w:val="24"/>
        </w:rPr>
      </w:pPr>
    </w:p>
    <w:tbl>
      <w:tblPr>
        <w:tblStyle w:val="21"/>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701"/>
        <w:gridCol w:w="992"/>
        <w:gridCol w:w="992"/>
        <w:gridCol w:w="851"/>
        <w:gridCol w:w="850"/>
        <w:gridCol w:w="851"/>
        <w:gridCol w:w="992"/>
      </w:tblGrid>
      <w:tr w:rsidR="00AB12B3" w:rsidTr="002532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gridSpan w:val="2"/>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b w:val="0"/>
                <w:sz w:val="28"/>
                <w:szCs w:val="28"/>
              </w:rPr>
            </w:pPr>
            <w:r>
              <w:rPr>
                <w:rFonts w:ascii="Times New Roman" w:hAnsi="Times New Roman" w:cs="Times New Roman"/>
                <w:b w:val="0"/>
                <w:sz w:val="28"/>
                <w:szCs w:val="28"/>
              </w:rPr>
              <w:t>Полиморфизм гена</w:t>
            </w:r>
          </w:p>
        </w:tc>
        <w:tc>
          <w:tcPr>
            <w:tcW w:w="2835" w:type="dxa"/>
            <w:gridSpan w:val="3"/>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 xml:space="preserve">Генотипы </w:t>
            </w:r>
            <w:r>
              <w:rPr>
                <w:rFonts w:ascii="Times New Roman" w:hAnsi="Times New Roman" w:cs="Times New Roman"/>
                <w:b w:val="0"/>
                <w:sz w:val="28"/>
                <w:szCs w:val="28"/>
                <w:lang w:val="en-US"/>
              </w:rPr>
              <w:t>n</w:t>
            </w:r>
          </w:p>
        </w:tc>
        <w:tc>
          <w:tcPr>
            <w:tcW w:w="1701" w:type="dxa"/>
            <w:gridSpan w:val="2"/>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Аллели</w:t>
            </w:r>
            <w:r>
              <w:rPr>
                <w:rFonts w:ascii="Times New Roman" w:hAnsi="Times New Roman" w:cs="Times New Roman"/>
                <w:b w:val="0"/>
                <w:sz w:val="28"/>
                <w:szCs w:val="28"/>
                <w:lang w:val="en-US"/>
              </w:rPr>
              <w:t xml:space="preserve"> n</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p*</w:t>
            </w:r>
          </w:p>
        </w:tc>
      </w:tr>
      <w:tr w:rsidR="00AB12B3" w:rsidTr="002532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gridSpan w:val="2"/>
            <w:tcBorders>
              <w:top w:val="single" w:sz="4" w:space="0" w:color="auto"/>
              <w:left w:val="single" w:sz="4" w:space="0" w:color="auto"/>
              <w:bottom w:val="single" w:sz="4" w:space="0" w:color="auto"/>
              <w:right w:val="single" w:sz="4" w:space="0" w:color="auto"/>
            </w:tcBorders>
            <w:hideMark/>
          </w:tcPr>
          <w:p w:rsidR="00AB12B3" w:rsidRDefault="00AB12B3">
            <w:pPr>
              <w:outlineLvl w:val="0"/>
              <w:rPr>
                <w:rFonts w:ascii="Times New Roman" w:hAnsi="Times New Roman" w:cs="Times New Roman"/>
                <w:sz w:val="28"/>
                <w:szCs w:val="28"/>
                <w:lang w:val="kk-KZ"/>
              </w:rPr>
            </w:pPr>
            <w:r>
              <w:rPr>
                <w:rFonts w:ascii="Times New Roman" w:hAnsi="Times New Roman" w:cs="Times New Roman"/>
                <w:b w:val="0"/>
                <w:i/>
                <w:sz w:val="28"/>
                <w:szCs w:val="24"/>
              </w:rPr>
              <w:t xml:space="preserve">ADBR2 </w:t>
            </w:r>
            <w:r>
              <w:rPr>
                <w:rFonts w:ascii="Times New Roman" w:hAnsi="Times New Roman" w:cs="Times New Roman"/>
                <w:b w:val="0"/>
                <w:sz w:val="28"/>
                <w:szCs w:val="24"/>
              </w:rPr>
              <w:t>Gln27Glu (rs1042714)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C/C</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C/G</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G/G</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C</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G</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sz w:val="28"/>
                <w:szCs w:val="28"/>
              </w:rPr>
              <w:t>0,82**</w:t>
            </w:r>
          </w:p>
        </w:tc>
      </w:tr>
      <w:tr w:rsidR="00AB12B3" w:rsidTr="002532A8">
        <w:tc>
          <w:tcPr>
            <w:cnfStyle w:val="001000000000" w:firstRow="0" w:lastRow="0" w:firstColumn="1" w:lastColumn="0" w:oddVBand="0" w:evenVBand="0" w:oddHBand="0" w:evenHBand="0" w:firstRowFirstColumn="0" w:firstRowLastColumn="0" w:lastRowFirstColumn="0" w:lastRowLastColumn="0"/>
            <w:tcW w:w="3828" w:type="dxa"/>
            <w:gridSpan w:val="2"/>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sz w:val="28"/>
                <w:szCs w:val="28"/>
                <w:lang w:val="en-US"/>
              </w:rPr>
            </w:pPr>
            <w:r>
              <w:rPr>
                <w:rFonts w:ascii="Times New Roman" w:hAnsi="Times New Roman" w:cs="Times New Roman"/>
                <w:b w:val="0"/>
                <w:sz w:val="28"/>
                <w:szCs w:val="28"/>
              </w:rPr>
              <w:t>Всего</w:t>
            </w:r>
            <w:r w:rsidR="00CD4077">
              <w:rPr>
                <w:rFonts w:ascii="Times New Roman" w:hAnsi="Times New Roman" w:cs="Times New Roman"/>
                <w:b w:val="0"/>
                <w:sz w:val="28"/>
                <w:szCs w:val="28"/>
              </w:rPr>
              <w:t xml:space="preserve"> </w:t>
            </w:r>
            <w:r>
              <w:rPr>
                <w:rFonts w:ascii="Times New Roman" w:hAnsi="Times New Roman" w:cs="Times New Roman"/>
                <w:b w:val="0"/>
                <w:sz w:val="28"/>
                <w:szCs w:val="28"/>
                <w:lang w:val="en-US"/>
              </w:rPr>
              <w:t>n=460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227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191</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42</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645</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275</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p>
        </w:tc>
      </w:tr>
      <w:tr w:rsidR="00AB12B3" w:rsidTr="002532A8">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27"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b w:val="0"/>
                <w:sz w:val="28"/>
                <w:szCs w:val="28"/>
              </w:rPr>
            </w:pPr>
            <w:r>
              <w:rPr>
                <w:rFonts w:ascii="Times New Roman" w:hAnsi="Times New Roman" w:cs="Times New Roman"/>
                <w:b w:val="0"/>
                <w:sz w:val="28"/>
                <w:szCs w:val="28"/>
              </w:rPr>
              <w:t>Пол</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Муж </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119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96</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16</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334</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128</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0,23</w:t>
            </w:r>
          </w:p>
        </w:tc>
      </w:tr>
      <w:tr w:rsidR="00AB12B3" w:rsidTr="002532A8">
        <w:tc>
          <w:tcPr>
            <w:cnfStyle w:val="001000000000" w:firstRow="0" w:lastRow="0" w:firstColumn="1" w:lastColumn="0" w:oddVBand="0" w:evenVBand="0" w:oddHBand="0" w:evenHBand="0" w:firstRowFirstColumn="0" w:firstRowLastColumn="0" w:lastRowFirstColumn="0" w:lastRowLastColumn="0"/>
            <w:tcW w:w="212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Жен </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95</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26</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311</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147</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p>
        </w:tc>
      </w:tr>
      <w:tr w:rsidR="00AB12B3" w:rsidTr="002532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b w:val="0"/>
                <w:sz w:val="28"/>
                <w:szCs w:val="28"/>
              </w:rPr>
            </w:pPr>
            <w:r>
              <w:rPr>
                <w:rFonts w:ascii="Times New Roman" w:hAnsi="Times New Roman" w:cs="Times New Roman"/>
                <w:b w:val="0"/>
                <w:sz w:val="28"/>
                <w:szCs w:val="28"/>
              </w:rPr>
              <w:t>ИМТ</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НВ</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83</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247</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123</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0,46</w:t>
            </w:r>
          </w:p>
        </w:tc>
      </w:tr>
      <w:tr w:rsidR="00AB12B3" w:rsidTr="002532A8">
        <w:tc>
          <w:tcPr>
            <w:cnfStyle w:val="001000000000" w:firstRow="0" w:lastRow="0" w:firstColumn="1" w:lastColumn="0" w:oddVBand="0" w:evenVBand="0" w:oddHBand="0" w:evenHBand="0" w:firstRowFirstColumn="0" w:firstRowLastColumn="0" w:lastRowFirstColumn="0" w:lastRowLastColumn="0"/>
            <w:tcW w:w="212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rPr>
              <w:t>ИВ</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100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77</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277</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109</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p>
        </w:tc>
      </w:tr>
      <w:tr w:rsidR="00AB12B3" w:rsidTr="002532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Ож</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121</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43</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2532A8">
        <w:tc>
          <w:tcPr>
            <w:cnfStyle w:val="001000000000" w:firstRow="0" w:lastRow="0" w:firstColumn="1" w:lastColumn="0" w:oddVBand="0" w:evenVBand="0" w:oddHBand="0" w:evenHBand="0" w:firstRowFirstColumn="0" w:firstRowLastColumn="0" w:lastRowFirstColumn="0" w:lastRowLastColumn="0"/>
            <w:tcW w:w="212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ОХС, ммоль/л</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≤4,9 </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197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171</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38</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565</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247</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0,61</w:t>
            </w:r>
          </w:p>
        </w:tc>
      </w:tr>
      <w:tr w:rsidR="00AB12B3" w:rsidTr="002532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&gt;4,9 </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80</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28</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2532A8">
        <w:tc>
          <w:tcPr>
            <w:cnfStyle w:val="001000000000" w:firstRow="0" w:lastRow="0" w:firstColumn="1" w:lastColumn="0" w:oddVBand="0" w:evenVBand="0" w:oddHBand="0" w:evenHBand="0" w:firstRowFirstColumn="0" w:firstRowLastColumn="0" w:lastRowFirstColumn="0" w:lastRowLastColumn="0"/>
            <w:tcW w:w="212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ТГ, ммоль/л</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172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140</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24</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484</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188</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4"/>
              </w:rPr>
              <w:t>0,04</w:t>
            </w:r>
          </w:p>
        </w:tc>
      </w:tr>
      <w:tr w:rsidR="00AB12B3" w:rsidTr="002532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pPr>
            <w:r>
              <w:rPr>
                <w:rFonts w:ascii="Times New Roman" w:hAnsi="Times New Roman"/>
                <w:sz w:val="28"/>
                <w:szCs w:val="28"/>
              </w:rPr>
              <w:t>&gt;1,7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51</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18</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161</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87</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2532A8">
        <w:tc>
          <w:tcPr>
            <w:cnfStyle w:val="001000000000" w:firstRow="0" w:lastRow="0" w:firstColumn="1" w:lastColumn="0" w:oddVBand="0" w:evenVBand="0" w:oddHBand="0" w:evenHBand="0" w:firstRowFirstColumn="0" w:firstRowLastColumn="0" w:lastRowFirstColumn="0" w:lastRowLastColumn="0"/>
            <w:tcW w:w="2127" w:type="dxa"/>
            <w:vMerge w:val="restart"/>
            <w:tcBorders>
              <w:top w:val="single" w:sz="4" w:space="0" w:color="auto"/>
              <w:left w:val="single" w:sz="4" w:space="0" w:color="auto"/>
              <w:bottom w:val="single" w:sz="4" w:space="0" w:color="7F7F7F" w:themeColor="text1" w:themeTint="80"/>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ЛПВП, ммоль/л</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Муж ≥1,0</w:t>
            </w:r>
          </w:p>
          <w:p w:rsidR="00AB12B3" w:rsidRDefault="00AB12B3">
            <w:pPr>
              <w:jc w:val="center"/>
              <w:cnfStyle w:val="000000000000" w:firstRow="0" w:lastRow="0" w:firstColumn="0" w:lastColumn="0" w:oddVBand="0" w:evenVBand="0" w:oddHBand="0" w:evenHBand="0" w:firstRowFirstColumn="0" w:firstRowLastColumn="0" w:lastRowFirstColumn="0" w:lastRowLastColumn="0"/>
            </w:pPr>
            <w:r>
              <w:rPr>
                <w:rFonts w:ascii="Times New Roman" w:hAnsi="Times New Roman"/>
                <w:sz w:val="28"/>
                <w:szCs w:val="28"/>
              </w:rPr>
              <w:t>Жен ≥1,2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77</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241</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103</w:t>
            </w:r>
          </w:p>
        </w:tc>
        <w:tc>
          <w:tcPr>
            <w:tcW w:w="992"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0,45</w:t>
            </w:r>
          </w:p>
        </w:tc>
      </w:tr>
      <w:tr w:rsidR="00AB12B3" w:rsidTr="002532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top w:val="single" w:sz="4" w:space="0" w:color="auto"/>
              <w:left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left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Муж &lt;1,0</w:t>
            </w:r>
          </w:p>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Жен &lt;1,2</w:t>
            </w:r>
          </w:p>
        </w:tc>
        <w:tc>
          <w:tcPr>
            <w:tcW w:w="992" w:type="dxa"/>
            <w:tcBorders>
              <w:left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145</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114</w:t>
            </w:r>
          </w:p>
        </w:tc>
        <w:tc>
          <w:tcPr>
            <w:tcW w:w="851"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29</w:t>
            </w:r>
          </w:p>
        </w:tc>
        <w:tc>
          <w:tcPr>
            <w:tcW w:w="850"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404</w:t>
            </w:r>
          </w:p>
        </w:tc>
        <w:tc>
          <w:tcPr>
            <w:tcW w:w="851"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172</w:t>
            </w:r>
          </w:p>
        </w:tc>
        <w:tc>
          <w:tcPr>
            <w:tcW w:w="992" w:type="dxa"/>
            <w:vMerge/>
            <w:tcBorders>
              <w:top w:val="single" w:sz="4" w:space="0" w:color="auto"/>
              <w:left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2532A8">
        <w:tc>
          <w:tcPr>
            <w:cnfStyle w:val="001000000000" w:firstRow="0" w:lastRow="0" w:firstColumn="1" w:lastColumn="0" w:oddVBand="0" w:evenVBand="0" w:oddHBand="0" w:evenHBand="0" w:firstRowFirstColumn="0" w:firstRowLastColumn="0" w:lastRowFirstColumn="0" w:lastRowLastColumn="0"/>
            <w:tcW w:w="212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 xml:space="preserve">ЛПНП, ммоль/л </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195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167</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557</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239</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0,89</w:t>
            </w:r>
          </w:p>
        </w:tc>
      </w:tr>
      <w:tr w:rsidR="00AB12B3" w:rsidTr="002532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&gt;3, 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24</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88</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2532A8">
        <w:tc>
          <w:tcPr>
            <w:cnfStyle w:val="001000000000" w:firstRow="0" w:lastRow="0" w:firstColumn="1" w:lastColumn="0" w:oddVBand="0" w:evenVBand="0" w:oddHBand="0" w:evenHBand="0" w:firstRowFirstColumn="0" w:firstRowLastColumn="0" w:lastRowFirstColumn="0" w:lastRowLastColumn="0"/>
            <w:tcW w:w="212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апоВ, г/л</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&lt;0,9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83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71</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17</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237</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105</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0,89</w:t>
            </w:r>
          </w:p>
        </w:tc>
      </w:tr>
      <w:tr w:rsidR="00AB12B3" w:rsidTr="002532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≥0,9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144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120</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408</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170</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2532A8">
        <w:tc>
          <w:tcPr>
            <w:cnfStyle w:val="001000000000" w:firstRow="0" w:lastRow="0" w:firstColumn="1" w:lastColumn="0" w:oddVBand="0" w:evenVBand="0" w:oddHBand="0" w:evenHBand="0" w:firstRowFirstColumn="0" w:firstRowLastColumn="0" w:lastRowFirstColumn="0" w:lastRowLastColumn="0"/>
            <w:tcW w:w="2127" w:type="dxa"/>
            <w:vMerge w:val="restart"/>
            <w:tcBorders>
              <w:top w:val="single" w:sz="4" w:space="0" w:color="auto"/>
              <w:left w:val="single" w:sz="4" w:space="0" w:color="auto"/>
              <w:bottom w:val="single" w:sz="4" w:space="0" w:color="7F7F7F" w:themeColor="text1" w:themeTint="80"/>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апоА1</w:t>
            </w:r>
            <w:r w:rsidRPr="00536976">
              <w:rPr>
                <w:rFonts w:ascii="Century" w:hAnsi="Century"/>
                <w:b w:val="0"/>
                <w:sz w:val="28"/>
                <w:szCs w:val="28"/>
              </w:rPr>
              <w:t>,</w:t>
            </w:r>
            <w:r>
              <w:rPr>
                <w:rFonts w:ascii="Times New Roman" w:hAnsi="Times New Roman"/>
                <w:b w:val="0"/>
                <w:sz w:val="28"/>
                <w:szCs w:val="28"/>
              </w:rPr>
              <w:t xml:space="preserve"> г</w:t>
            </w:r>
            <w:r w:rsidRPr="00536976">
              <w:rPr>
                <w:rFonts w:ascii="Century" w:hAnsi="Century"/>
                <w:b w:val="0"/>
                <w:sz w:val="28"/>
                <w:szCs w:val="28"/>
              </w:rPr>
              <w:t>/</w:t>
            </w:r>
            <w:r>
              <w:rPr>
                <w:rFonts w:ascii="Times New Roman" w:hAnsi="Times New Roman"/>
                <w:b w:val="0"/>
                <w:sz w:val="28"/>
                <w:szCs w:val="28"/>
              </w:rPr>
              <w:t>л</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szCs w:val="28"/>
              </w:rPr>
            </w:pPr>
            <w:r>
              <w:rPr>
                <w:rFonts w:ascii="Times New Roman" w:hAnsi="Times New Roman"/>
                <w:color w:val="000000"/>
                <w:sz w:val="28"/>
                <w:szCs w:val="28"/>
              </w:rPr>
              <w:t xml:space="preserve">Муж </w:t>
            </w:r>
            <w:r w:rsidRPr="00536976">
              <w:rPr>
                <w:rFonts w:ascii="Century" w:hAnsi="Century"/>
                <w:color w:val="000000"/>
                <w:sz w:val="28"/>
                <w:szCs w:val="28"/>
              </w:rPr>
              <w:t>≥</w:t>
            </w:r>
            <w:r>
              <w:rPr>
                <w:rFonts w:ascii="Times New Roman" w:hAnsi="Times New Roman"/>
                <w:color w:val="000000"/>
                <w:sz w:val="28"/>
                <w:szCs w:val="28"/>
              </w:rPr>
              <w:t>1</w:t>
            </w:r>
            <w:r w:rsidRPr="00536976">
              <w:rPr>
                <w:rFonts w:ascii="Century" w:hAnsi="Century"/>
                <w:color w:val="000000"/>
                <w:sz w:val="28"/>
                <w:szCs w:val="28"/>
              </w:rPr>
              <w:t>,</w:t>
            </w:r>
            <w:r>
              <w:rPr>
                <w:rFonts w:ascii="Times New Roman" w:hAnsi="Times New Roman"/>
                <w:color w:val="000000"/>
                <w:sz w:val="28"/>
                <w:szCs w:val="28"/>
              </w:rPr>
              <w:t>04</w:t>
            </w:r>
          </w:p>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color w:val="000000"/>
                <w:sz w:val="28"/>
                <w:szCs w:val="28"/>
              </w:rPr>
              <w:t xml:space="preserve">Жен </w:t>
            </w:r>
            <w:r w:rsidRPr="00536976">
              <w:rPr>
                <w:rFonts w:ascii="Century" w:hAnsi="Century"/>
                <w:color w:val="000000"/>
                <w:sz w:val="28"/>
                <w:szCs w:val="28"/>
              </w:rPr>
              <w:t>≥</w:t>
            </w:r>
            <w:r>
              <w:rPr>
                <w:rFonts w:ascii="Times New Roman" w:hAnsi="Times New Roman"/>
                <w:color w:val="000000"/>
                <w:sz w:val="28"/>
                <w:szCs w:val="28"/>
              </w:rPr>
              <w:t>1</w:t>
            </w:r>
            <w:r w:rsidRPr="00536976">
              <w:rPr>
                <w:rFonts w:ascii="Century" w:hAnsi="Century"/>
                <w:color w:val="000000"/>
                <w:sz w:val="28"/>
                <w:szCs w:val="28"/>
              </w:rPr>
              <w:t>,</w:t>
            </w:r>
            <w:r>
              <w:rPr>
                <w:rFonts w:ascii="Times New Roman" w:hAnsi="Times New Roman"/>
                <w:color w:val="000000"/>
                <w:sz w:val="28"/>
                <w:szCs w:val="28"/>
              </w:rPr>
              <w:t xml:space="preserve">08 </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215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178</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40</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608</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258</w:t>
            </w:r>
          </w:p>
        </w:tc>
        <w:tc>
          <w:tcPr>
            <w:tcW w:w="992"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w:t>
            </w:r>
            <w:r w:rsidRPr="00536976">
              <w:rPr>
                <w:rFonts w:ascii="Century" w:hAnsi="Century" w:cs="Times New Roman"/>
                <w:sz w:val="28"/>
                <w:szCs w:val="28"/>
                <w:lang w:val="kk-KZ"/>
              </w:rPr>
              <w:t>,</w:t>
            </w:r>
            <w:r>
              <w:rPr>
                <w:rFonts w:ascii="Times New Roman" w:hAnsi="Times New Roman" w:cs="Times New Roman"/>
                <w:sz w:val="28"/>
                <w:szCs w:val="28"/>
                <w:lang w:val="kk-KZ"/>
              </w:rPr>
              <w:t>57</w:t>
            </w:r>
          </w:p>
        </w:tc>
      </w:tr>
      <w:tr w:rsidR="00AB12B3" w:rsidTr="002532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top w:val="single" w:sz="4" w:space="0" w:color="auto"/>
              <w:left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left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szCs w:val="28"/>
              </w:rPr>
            </w:pPr>
            <w:r>
              <w:rPr>
                <w:rFonts w:ascii="Times New Roman" w:hAnsi="Times New Roman"/>
                <w:color w:val="000000"/>
                <w:sz w:val="28"/>
                <w:szCs w:val="28"/>
              </w:rPr>
              <w:t xml:space="preserve">Муж </w:t>
            </w:r>
            <w:r w:rsidRPr="00536976">
              <w:rPr>
                <w:rFonts w:ascii="Century" w:hAnsi="Century"/>
                <w:color w:val="000000"/>
                <w:sz w:val="28"/>
                <w:szCs w:val="28"/>
              </w:rPr>
              <w:t>&lt;</w:t>
            </w:r>
            <w:r>
              <w:rPr>
                <w:rFonts w:ascii="Times New Roman" w:hAnsi="Times New Roman"/>
                <w:color w:val="000000"/>
                <w:sz w:val="28"/>
                <w:szCs w:val="28"/>
              </w:rPr>
              <w:t>1</w:t>
            </w:r>
            <w:r w:rsidRPr="00536976">
              <w:rPr>
                <w:rFonts w:ascii="Century" w:hAnsi="Century"/>
                <w:color w:val="000000"/>
                <w:sz w:val="28"/>
                <w:szCs w:val="28"/>
              </w:rPr>
              <w:t>,</w:t>
            </w:r>
            <w:r>
              <w:rPr>
                <w:rFonts w:ascii="Times New Roman" w:hAnsi="Times New Roman"/>
                <w:color w:val="000000"/>
                <w:sz w:val="28"/>
                <w:szCs w:val="28"/>
              </w:rPr>
              <w:t>04</w:t>
            </w:r>
          </w:p>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szCs w:val="28"/>
              </w:rPr>
            </w:pPr>
            <w:r>
              <w:rPr>
                <w:rFonts w:ascii="Times New Roman" w:hAnsi="Times New Roman"/>
                <w:color w:val="000000"/>
                <w:sz w:val="28"/>
                <w:szCs w:val="28"/>
              </w:rPr>
              <w:t xml:space="preserve">Жен </w:t>
            </w:r>
            <w:r w:rsidRPr="00536976">
              <w:rPr>
                <w:rFonts w:ascii="Century" w:hAnsi="Century"/>
                <w:color w:val="000000"/>
                <w:sz w:val="28"/>
                <w:szCs w:val="28"/>
              </w:rPr>
              <w:t>&lt;</w:t>
            </w:r>
            <w:r>
              <w:rPr>
                <w:rFonts w:ascii="Times New Roman" w:hAnsi="Times New Roman"/>
                <w:color w:val="000000"/>
                <w:sz w:val="28"/>
                <w:szCs w:val="28"/>
              </w:rPr>
              <w:t>1</w:t>
            </w:r>
            <w:r w:rsidRPr="00536976">
              <w:rPr>
                <w:rFonts w:ascii="Century" w:hAnsi="Century"/>
                <w:color w:val="000000"/>
                <w:sz w:val="28"/>
                <w:szCs w:val="28"/>
              </w:rPr>
              <w:t>,</w:t>
            </w:r>
            <w:r>
              <w:rPr>
                <w:rFonts w:ascii="Times New Roman" w:hAnsi="Times New Roman"/>
                <w:color w:val="000000"/>
                <w:sz w:val="28"/>
                <w:szCs w:val="28"/>
              </w:rPr>
              <w:t>08</w:t>
            </w:r>
          </w:p>
        </w:tc>
        <w:tc>
          <w:tcPr>
            <w:tcW w:w="992" w:type="dxa"/>
            <w:tcBorders>
              <w:left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12</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851"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850"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37</w:t>
            </w:r>
          </w:p>
        </w:tc>
        <w:tc>
          <w:tcPr>
            <w:tcW w:w="851"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17</w:t>
            </w:r>
          </w:p>
        </w:tc>
        <w:tc>
          <w:tcPr>
            <w:tcW w:w="992" w:type="dxa"/>
            <w:vMerge/>
            <w:tcBorders>
              <w:top w:val="single" w:sz="4" w:space="0" w:color="auto"/>
              <w:left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2532A8">
        <w:tc>
          <w:tcPr>
            <w:cnfStyle w:val="001000000000" w:firstRow="0" w:lastRow="0" w:firstColumn="1" w:lastColumn="0" w:oddVBand="0" w:evenVBand="0" w:oddHBand="0" w:evenHBand="0" w:firstRowFirstColumn="0" w:firstRowLastColumn="0" w:lastRowFirstColumn="0" w:lastRowLastColumn="0"/>
            <w:tcW w:w="212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rsidP="00536976">
            <w:pPr>
              <w:jc w:val="center"/>
              <w:rPr>
                <w:rFonts w:ascii="Times New Roman" w:hAnsi="Times New Roman"/>
                <w:b w:val="0"/>
                <w:sz w:val="28"/>
                <w:szCs w:val="28"/>
              </w:rPr>
            </w:pPr>
            <w:r>
              <w:rPr>
                <w:rFonts w:ascii="Times New Roman" w:hAnsi="Times New Roman"/>
                <w:b w:val="0"/>
                <w:sz w:val="28"/>
                <w:szCs w:val="28"/>
              </w:rPr>
              <w:t>апоВ</w:t>
            </w:r>
            <w:r w:rsidRPr="00536976">
              <w:rPr>
                <w:rFonts w:ascii="Century" w:hAnsi="Century"/>
                <w:b w:val="0"/>
                <w:sz w:val="28"/>
                <w:szCs w:val="28"/>
              </w:rPr>
              <w:t>/</w:t>
            </w:r>
            <w:r>
              <w:rPr>
                <w:rFonts w:ascii="Times New Roman" w:hAnsi="Times New Roman"/>
                <w:b w:val="0"/>
                <w:sz w:val="28"/>
                <w:szCs w:val="28"/>
              </w:rPr>
              <w:t>апоА1</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536976">
              <w:rPr>
                <w:rFonts w:ascii="Century" w:hAnsi="Century"/>
                <w:sz w:val="28"/>
                <w:szCs w:val="28"/>
              </w:rPr>
              <w:t>≤</w:t>
            </w:r>
            <w:r>
              <w:rPr>
                <w:rFonts w:ascii="Times New Roman" w:hAnsi="Times New Roman"/>
                <w:sz w:val="28"/>
                <w:szCs w:val="28"/>
              </w:rPr>
              <w:t>0,85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179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149</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507</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211</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w:t>
            </w:r>
            <w:r w:rsidRPr="00536976">
              <w:rPr>
                <w:rFonts w:ascii="Century" w:hAnsi="Century" w:cs="Times New Roman"/>
                <w:sz w:val="28"/>
                <w:szCs w:val="28"/>
                <w:lang w:val="kk-KZ"/>
              </w:rPr>
              <w:t>,</w:t>
            </w:r>
            <w:r>
              <w:rPr>
                <w:rFonts w:ascii="Times New Roman" w:hAnsi="Times New Roman" w:cs="Times New Roman"/>
                <w:sz w:val="28"/>
                <w:szCs w:val="28"/>
                <w:lang w:val="kk-KZ"/>
              </w:rPr>
              <w:t>77</w:t>
            </w:r>
          </w:p>
        </w:tc>
      </w:tr>
      <w:tr w:rsidR="00AB12B3" w:rsidTr="002532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536976">
              <w:rPr>
                <w:rFonts w:ascii="Century" w:hAnsi="Century"/>
                <w:sz w:val="28"/>
                <w:szCs w:val="28"/>
              </w:rPr>
              <w:t>&gt;</w:t>
            </w:r>
            <w:r>
              <w:rPr>
                <w:rFonts w:ascii="Times New Roman" w:hAnsi="Times New Roman"/>
                <w:sz w:val="28"/>
                <w:szCs w:val="28"/>
              </w:rPr>
              <w:t>0,85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48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138</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64</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2532A8">
        <w:tc>
          <w:tcPr>
            <w:cnfStyle w:val="001000000000" w:firstRow="0" w:lastRow="0" w:firstColumn="1" w:lastColumn="0" w:oddVBand="0" w:evenVBand="0" w:oddHBand="0" w:evenHBand="0" w:firstRowFirstColumn="0" w:firstRowLastColumn="0" w:lastRowFirstColumn="0" w:lastRowLastColumn="0"/>
            <w:tcW w:w="212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глюкоза</w:t>
            </w:r>
            <w:r w:rsidRPr="00671A3B">
              <w:rPr>
                <w:rFonts w:ascii="Century" w:hAnsi="Century"/>
                <w:b w:val="0"/>
                <w:sz w:val="28"/>
                <w:szCs w:val="28"/>
              </w:rPr>
              <w:t xml:space="preserve">, </w:t>
            </w:r>
            <w:r>
              <w:rPr>
                <w:rFonts w:ascii="Times New Roman" w:hAnsi="Times New Roman"/>
                <w:b w:val="0"/>
                <w:sz w:val="28"/>
                <w:szCs w:val="28"/>
              </w:rPr>
              <w:t>ммоль</w:t>
            </w:r>
            <w:r w:rsidRPr="00671A3B">
              <w:rPr>
                <w:rFonts w:ascii="Century" w:hAnsi="Century"/>
                <w:b w:val="0"/>
                <w:sz w:val="28"/>
                <w:szCs w:val="28"/>
              </w:rPr>
              <w:t>/</w:t>
            </w:r>
            <w:r>
              <w:rPr>
                <w:rFonts w:ascii="Times New Roman" w:hAnsi="Times New Roman"/>
                <w:b w:val="0"/>
                <w:sz w:val="28"/>
                <w:szCs w:val="28"/>
              </w:rPr>
              <w:t>л</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536976">
              <w:rPr>
                <w:rFonts w:ascii="Century" w:hAnsi="Century"/>
                <w:sz w:val="28"/>
                <w:szCs w:val="28"/>
              </w:rPr>
              <w:t>≤</w:t>
            </w:r>
            <w:r>
              <w:rPr>
                <w:rFonts w:ascii="Times New Roman" w:hAnsi="Times New Roman"/>
                <w:sz w:val="28"/>
                <w:szCs w:val="28"/>
              </w:rPr>
              <w:t>5</w:t>
            </w:r>
            <w:r w:rsidRPr="00536976">
              <w:rPr>
                <w:rFonts w:ascii="Century" w:hAnsi="Century"/>
                <w:sz w:val="28"/>
                <w:szCs w:val="28"/>
              </w:rPr>
              <w:t>,</w:t>
            </w:r>
            <w:r>
              <w:rPr>
                <w:rFonts w:ascii="Times New Roman" w:hAnsi="Times New Roman"/>
                <w:sz w:val="28"/>
                <w:szCs w:val="28"/>
              </w:rPr>
              <w:t>59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116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91</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23</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323</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137</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w:t>
            </w:r>
            <w:r w:rsidRPr="00536976">
              <w:rPr>
                <w:rFonts w:ascii="Century" w:hAnsi="Century" w:cs="Times New Roman"/>
                <w:sz w:val="28"/>
                <w:szCs w:val="28"/>
                <w:lang w:val="kk-KZ"/>
              </w:rPr>
              <w:t>,</w:t>
            </w:r>
            <w:r>
              <w:rPr>
                <w:rFonts w:ascii="Times New Roman" w:hAnsi="Times New Roman" w:cs="Times New Roman"/>
                <w:sz w:val="28"/>
                <w:szCs w:val="28"/>
                <w:lang w:val="kk-KZ"/>
              </w:rPr>
              <w:t>63</w:t>
            </w:r>
          </w:p>
        </w:tc>
      </w:tr>
      <w:tr w:rsidR="00AB12B3" w:rsidTr="002532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536976">
              <w:rPr>
                <w:rFonts w:ascii="Century" w:hAnsi="Century"/>
                <w:sz w:val="28"/>
                <w:szCs w:val="28"/>
              </w:rPr>
              <w:t>&gt;</w:t>
            </w:r>
            <w:r>
              <w:rPr>
                <w:rFonts w:ascii="Times New Roman" w:hAnsi="Times New Roman"/>
                <w:sz w:val="28"/>
                <w:szCs w:val="28"/>
              </w:rPr>
              <w:t>5</w:t>
            </w:r>
            <w:r w:rsidRPr="00536976">
              <w:rPr>
                <w:rFonts w:ascii="Century" w:hAnsi="Century"/>
                <w:sz w:val="28"/>
                <w:szCs w:val="28"/>
              </w:rPr>
              <w:t>,</w:t>
            </w:r>
            <w:r>
              <w:rPr>
                <w:rFonts w:ascii="Times New Roman" w:hAnsi="Times New Roman"/>
                <w:sz w:val="28"/>
                <w:szCs w:val="28"/>
              </w:rPr>
              <w:t>59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111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100</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322</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138</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2532A8">
        <w:tc>
          <w:tcPr>
            <w:cnfStyle w:val="001000000000" w:firstRow="0" w:lastRow="0" w:firstColumn="1" w:lastColumn="0" w:oddVBand="0" w:evenVBand="0" w:oddHBand="0" w:evenHBand="0" w:firstRowFirstColumn="0" w:firstRowLastColumn="0" w:lastRowFirstColumn="0" w:lastRowLastColumn="0"/>
            <w:tcW w:w="212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 xml:space="preserve">Инсулин, мкМЕ/мл </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≤24,9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204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177</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38</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585</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253</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0,6</w:t>
            </w:r>
          </w:p>
        </w:tc>
      </w:tr>
      <w:tr w:rsidR="00AB12B3" w:rsidTr="002532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&gt;24,9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23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60</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2532A8">
        <w:tc>
          <w:tcPr>
            <w:cnfStyle w:val="001000000000" w:firstRow="0" w:lastRow="0" w:firstColumn="1" w:lastColumn="0" w:oddVBand="0" w:evenVBand="0" w:oddHBand="0" w:evenHBand="0" w:firstRowFirstColumn="0" w:firstRowLastColumn="0" w:lastRowFirstColumn="0" w:lastRowLastColumn="0"/>
            <w:tcW w:w="2127"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cs="Times New Roman"/>
                <w:b w:val="0"/>
                <w:sz w:val="28"/>
                <w:szCs w:val="28"/>
              </w:rPr>
            </w:pPr>
            <w:r>
              <w:rPr>
                <w:rFonts w:ascii="Times New Roman" w:hAnsi="Times New Roman"/>
                <w:b w:val="0"/>
                <w:sz w:val="28"/>
                <w:szCs w:val="28"/>
              </w:rPr>
              <w:t>HOMA-IR</w:t>
            </w: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&lt;</w:t>
            </w:r>
            <w:r>
              <w:rPr>
                <w:rFonts w:ascii="Times New Roman" w:hAnsi="Times New Roman"/>
                <w:sz w:val="28"/>
                <w:szCs w:val="28"/>
              </w:rPr>
              <w:t>2,7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134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114</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24</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388</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162</w:t>
            </w:r>
          </w:p>
        </w:tc>
        <w:tc>
          <w:tcPr>
            <w:tcW w:w="992"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0,93</w:t>
            </w:r>
          </w:p>
        </w:tc>
      </w:tr>
      <w:tr w:rsidR="00AB12B3" w:rsidTr="002532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sz w:val="28"/>
                <w:szCs w:val="28"/>
              </w:rPr>
              <w:t>2,7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90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77</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850"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257</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113</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RPr="00ED46BF" w:rsidTr="002532A8">
        <w:tc>
          <w:tcPr>
            <w:cnfStyle w:val="001000000000" w:firstRow="0" w:lastRow="0" w:firstColumn="1" w:lastColumn="0" w:oddVBand="0" w:evenVBand="0" w:oddHBand="0" w:evenHBand="0" w:firstRowFirstColumn="0" w:firstRowLastColumn="0" w:lastRowFirstColumn="0" w:lastRowLastColumn="0"/>
            <w:tcW w:w="9356" w:type="dxa"/>
            <w:gridSpan w:val="8"/>
            <w:tcBorders>
              <w:top w:val="single" w:sz="4" w:space="0" w:color="auto"/>
              <w:left w:val="single" w:sz="4" w:space="0" w:color="auto"/>
              <w:bottom w:val="single" w:sz="4" w:space="0" w:color="auto"/>
              <w:right w:val="single" w:sz="4" w:space="0" w:color="auto"/>
            </w:tcBorders>
            <w:hideMark/>
          </w:tcPr>
          <w:p w:rsidR="00ED46BF" w:rsidRPr="00ED46BF" w:rsidRDefault="00ED46BF" w:rsidP="00ED46BF">
            <w:pPr>
              <w:jc w:val="both"/>
              <w:rPr>
                <w:rFonts w:ascii="Times New Roman" w:hAnsi="Times New Roman"/>
                <w:b w:val="0"/>
                <w:bCs w:val="0"/>
              </w:rPr>
            </w:pPr>
            <w:r w:rsidRPr="00ED46BF">
              <w:rPr>
                <w:rFonts w:ascii="Times New Roman" w:hAnsi="Times New Roman"/>
                <w:b w:val="0"/>
                <w:bCs w:val="0"/>
              </w:rPr>
              <w:t xml:space="preserve">НВ – нормальный вес; ИВ – избыточный вес; Ож – ожирение; </w:t>
            </w:r>
          </w:p>
          <w:p w:rsidR="00AB12B3" w:rsidRPr="00ED46BF" w:rsidRDefault="00AB12B3">
            <w:pPr>
              <w:jc w:val="both"/>
              <w:outlineLvl w:val="0"/>
              <w:rPr>
                <w:rFonts w:ascii="Times New Roman" w:hAnsi="Times New Roman" w:cs="Times New Roman"/>
                <w:b w:val="0"/>
                <w:color w:val="050505"/>
                <w:lang w:val="kk-KZ"/>
              </w:rPr>
            </w:pPr>
            <w:r w:rsidRPr="00ED46BF">
              <w:rPr>
                <w:rFonts w:ascii="Times New Roman" w:hAnsi="Times New Roman" w:cs="Times New Roman"/>
                <w:b w:val="0"/>
                <w:color w:val="050505"/>
              </w:rPr>
              <w:t>* - критерий χ</w:t>
            </w:r>
            <w:r w:rsidRPr="00ED46BF">
              <w:rPr>
                <w:rFonts w:ascii="Times New Roman" w:hAnsi="Times New Roman" w:cs="Times New Roman"/>
                <w:b w:val="0"/>
                <w:color w:val="050505"/>
                <w:vertAlign w:val="superscript"/>
              </w:rPr>
              <w:t>2</w:t>
            </w:r>
            <w:r w:rsidRPr="00ED46BF">
              <w:rPr>
                <w:rFonts w:ascii="Times New Roman" w:hAnsi="Times New Roman" w:cs="Times New Roman"/>
                <w:b w:val="0"/>
                <w:color w:val="050505"/>
              </w:rPr>
              <w:t xml:space="preserve"> Пирсона</w:t>
            </w:r>
            <w:r w:rsidRPr="00ED46BF">
              <w:rPr>
                <w:rFonts w:ascii="Times New Roman" w:hAnsi="Times New Roman" w:cs="Times New Roman"/>
                <w:b w:val="0"/>
                <w:color w:val="050505"/>
                <w:lang w:val="kk-KZ"/>
              </w:rPr>
              <w:t xml:space="preserve"> ** - </w:t>
            </w:r>
            <w:r w:rsidRPr="00ED46BF">
              <w:rPr>
                <w:rFonts w:ascii="Times New Roman" w:hAnsi="Times New Roman"/>
                <w:b w:val="0"/>
              </w:rPr>
              <w:t>равновесие Харди-Вайнберга</w:t>
            </w:r>
          </w:p>
        </w:tc>
      </w:tr>
    </w:tbl>
    <w:p w:rsidR="00AB12B3" w:rsidRPr="00ED46BF" w:rsidRDefault="00AB12B3" w:rsidP="00AB12B3">
      <w:pPr>
        <w:pStyle w:val="a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center"/>
        <w:rPr>
          <w:rFonts w:ascii="Times New Roman" w:hAnsi="Times New Roman" w:cs="Times New Roman"/>
          <w:lang w:val="kk-KZ"/>
        </w:rPr>
      </w:pPr>
    </w:p>
    <w:p w:rsidR="00644AE3" w:rsidRDefault="00644AE3" w:rsidP="00644AE3">
      <w:pPr>
        <w:pStyle w:val="a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hAnsi="Times New Roman" w:cs="Times New Roman"/>
          <w:sz w:val="28"/>
          <w:szCs w:val="28"/>
        </w:rPr>
        <w:sectPr w:rsidR="00644AE3">
          <w:pgSz w:w="11906" w:h="16838"/>
          <w:pgMar w:top="1134" w:right="850" w:bottom="1134" w:left="1701" w:header="708" w:footer="708" w:gutter="0"/>
          <w:cols w:space="720"/>
        </w:sectPr>
      </w:pPr>
    </w:p>
    <w:p w:rsidR="00AB12B3" w:rsidRDefault="00AB12B3" w:rsidP="005E19B8">
      <w:pPr>
        <w:pStyle w:val="a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rPr>
        <w:lastRenderedPageBreak/>
        <w:t>Таблица 5</w:t>
      </w:r>
      <w:r w:rsidR="003C0BEF">
        <w:rPr>
          <w:rFonts w:ascii="Times New Roman" w:hAnsi="Times New Roman" w:cs="Times New Roman"/>
          <w:sz w:val="28"/>
          <w:szCs w:val="28"/>
          <w:lang w:val="kk-KZ"/>
        </w:rPr>
        <w:t>5</w:t>
      </w:r>
      <w:r w:rsidR="00B648CF">
        <w:rPr>
          <w:rFonts w:ascii="Times New Roman" w:hAnsi="Times New Roman" w:cs="Times New Roman"/>
          <w:sz w:val="28"/>
          <w:szCs w:val="28"/>
          <w:lang w:val="kk-KZ"/>
        </w:rPr>
        <w:t xml:space="preserve"> -</w:t>
      </w:r>
      <w:r>
        <w:rPr>
          <w:rFonts w:ascii="Times New Roman" w:hAnsi="Times New Roman" w:cs="Times New Roman"/>
          <w:sz w:val="28"/>
          <w:szCs w:val="28"/>
        </w:rPr>
        <w:t xml:space="preserve"> Частота генотипа полиморфизма Gln27Glu (rs1042714) гена </w:t>
      </w:r>
      <w:r>
        <w:rPr>
          <w:rFonts w:ascii="Times New Roman" w:hAnsi="Times New Roman" w:cs="Times New Roman"/>
          <w:i/>
          <w:sz w:val="28"/>
          <w:szCs w:val="28"/>
        </w:rPr>
        <w:t>ADRB2</w:t>
      </w:r>
      <w:r>
        <w:rPr>
          <w:rFonts w:ascii="Times New Roman" w:hAnsi="Times New Roman" w:cs="Times New Roman"/>
          <w:sz w:val="28"/>
          <w:szCs w:val="28"/>
        </w:rPr>
        <w:t xml:space="preserve"> по группам ТГ</w:t>
      </w:r>
    </w:p>
    <w:p w:rsidR="00132A90" w:rsidRPr="00132A90" w:rsidRDefault="00132A90" w:rsidP="005E19B8">
      <w:pPr>
        <w:pStyle w:val="a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hAnsi="Times New Roman" w:cs="Times New Roman"/>
          <w:sz w:val="28"/>
          <w:szCs w:val="28"/>
          <w:lang w:val="kk-KZ"/>
        </w:rPr>
      </w:pPr>
    </w:p>
    <w:tbl>
      <w:tblPr>
        <w:tblStyle w:val="21"/>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416"/>
        <w:gridCol w:w="1275"/>
        <w:gridCol w:w="1275"/>
        <w:gridCol w:w="2299"/>
        <w:gridCol w:w="851"/>
      </w:tblGrid>
      <w:tr w:rsidR="00AB12B3" w:rsidTr="005E1D88">
        <w:trPr>
          <w:cnfStyle w:val="100000000000" w:firstRow="1" w:lastRow="0" w:firstColumn="0" w:lastColumn="0" w:oddVBand="0" w:evenVBand="0" w:oddHBand="0"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b w:val="0"/>
                <w:sz w:val="28"/>
                <w:szCs w:val="28"/>
              </w:rPr>
            </w:pPr>
            <w:r>
              <w:rPr>
                <w:rFonts w:ascii="Times New Roman" w:hAnsi="Times New Roman" w:cs="Times New Roman"/>
                <w:b w:val="0"/>
                <w:sz w:val="28"/>
                <w:szCs w:val="28"/>
              </w:rPr>
              <w:t>Модель</w:t>
            </w:r>
          </w:p>
        </w:tc>
        <w:tc>
          <w:tcPr>
            <w:tcW w:w="1416"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Генотип</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shd w:val="clear" w:color="auto" w:fill="FFFFFF"/>
              </w:rPr>
            </w:pPr>
            <w:r>
              <w:rPr>
                <w:rFonts w:ascii="Times New Roman" w:hAnsi="Times New Roman" w:cs="Times New Roman"/>
                <w:b w:val="0"/>
                <w:sz w:val="28"/>
                <w:szCs w:val="28"/>
              </w:rPr>
              <w:t xml:space="preserve">ТГ </w:t>
            </w:r>
            <w:r>
              <w:rPr>
                <w:rFonts w:ascii="Times New Roman" w:hAnsi="Times New Roman" w:cs="Times New Roman"/>
                <w:b w:val="0"/>
                <w:sz w:val="28"/>
                <w:szCs w:val="28"/>
                <w:shd w:val="clear" w:color="auto" w:fill="FFFFFF"/>
              </w:rPr>
              <w:t>≤1,7</w:t>
            </w:r>
          </w:p>
          <w:p w:rsidR="00AB12B3" w:rsidRDefault="00AB12B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shd w:val="clear" w:color="auto" w:fill="FFFFFF"/>
              </w:rPr>
            </w:pPr>
            <w:r>
              <w:rPr>
                <w:rFonts w:ascii="Times New Roman" w:hAnsi="Times New Roman" w:cs="Times New Roman"/>
                <w:b w:val="0"/>
                <w:sz w:val="28"/>
                <w:szCs w:val="28"/>
                <w:shd w:val="clear" w:color="auto" w:fill="FFFFFF"/>
              </w:rPr>
              <w:t>n</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rsidP="003731B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shd w:val="clear" w:color="auto" w:fill="FFFFFF"/>
              </w:rPr>
            </w:pPr>
            <w:r>
              <w:rPr>
                <w:rFonts w:ascii="Times New Roman" w:hAnsi="Times New Roman" w:cs="Times New Roman"/>
                <w:b w:val="0"/>
                <w:sz w:val="28"/>
                <w:szCs w:val="28"/>
              </w:rPr>
              <w:t xml:space="preserve">ТГ </w:t>
            </w:r>
            <w:r w:rsidR="003731B0">
              <w:rPr>
                <w:rFonts w:ascii="Times New Roman" w:hAnsi="Times New Roman" w:cs="Times New Roman"/>
                <w:b w:val="0"/>
                <w:sz w:val="28"/>
                <w:szCs w:val="28"/>
              </w:rPr>
              <w:t>&gt;</w:t>
            </w:r>
            <w:r>
              <w:rPr>
                <w:rFonts w:ascii="Times New Roman" w:hAnsi="Times New Roman" w:cs="Times New Roman"/>
                <w:b w:val="0"/>
                <w:sz w:val="28"/>
                <w:szCs w:val="28"/>
                <w:shd w:val="clear" w:color="auto" w:fill="FFFFFF"/>
              </w:rPr>
              <w:t>1,7 n</w:t>
            </w:r>
          </w:p>
        </w:tc>
        <w:tc>
          <w:tcPr>
            <w:tcW w:w="2299" w:type="dxa"/>
            <w:tcBorders>
              <w:top w:val="single" w:sz="4" w:space="0" w:color="auto"/>
              <w:left w:val="single" w:sz="4" w:space="0" w:color="auto"/>
              <w:bottom w:val="single" w:sz="4" w:space="0" w:color="auto"/>
              <w:right w:val="single" w:sz="4" w:space="0" w:color="auto"/>
            </w:tcBorders>
            <w:hideMark/>
          </w:tcPr>
          <w:p w:rsidR="00AB12B3" w:rsidRDefault="00AB12B3">
            <w:pPr>
              <w:pStyle w:val="af4"/>
              <w:tabs>
                <w:tab w:val="center" w:pos="955"/>
              </w:tabs>
              <w:ind w:left="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ab/>
              <w:t>ОШ (95% ДИ)</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p</w:t>
            </w:r>
          </w:p>
        </w:tc>
      </w:tr>
      <w:tr w:rsidR="00AB12B3" w:rsidTr="005E1D88">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2235" w:type="dxa"/>
            <w:vMerge w:val="restart"/>
            <w:tcBorders>
              <w:left w:val="single" w:sz="4" w:space="0" w:color="auto"/>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sz w:val="28"/>
                <w:szCs w:val="28"/>
              </w:rPr>
              <w:t>Ко-доминант</w:t>
            </w:r>
          </w:p>
        </w:tc>
        <w:tc>
          <w:tcPr>
            <w:tcW w:w="1416" w:type="dxa"/>
            <w:tcBorders>
              <w:left w:val="single" w:sz="4" w:space="0" w:color="auto"/>
              <w:right w:val="single" w:sz="4" w:space="0" w:color="auto"/>
            </w:tcBorders>
            <w:hideMark/>
          </w:tcPr>
          <w:p w:rsidR="00AB12B3" w:rsidRDefault="00AB12B3">
            <w:pPr>
              <w:pStyle w:val="af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C/C</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172</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55</w:t>
            </w:r>
          </w:p>
        </w:tc>
        <w:tc>
          <w:tcPr>
            <w:tcW w:w="2299"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w:t>
            </w:r>
          </w:p>
        </w:tc>
        <w:tc>
          <w:tcPr>
            <w:tcW w:w="851" w:type="dxa"/>
            <w:vMerge w:val="restart"/>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0,05</w:t>
            </w:r>
          </w:p>
        </w:tc>
      </w:tr>
      <w:tr w:rsidR="00AB12B3" w:rsidTr="005E1D88">
        <w:trPr>
          <w:trHeight w:val="144"/>
        </w:trPr>
        <w:tc>
          <w:tcPr>
            <w:cnfStyle w:val="001000000000" w:firstRow="0" w:lastRow="0" w:firstColumn="1" w:lastColumn="0" w:oddVBand="0" w:evenVBand="0" w:oddHBand="0" w:evenHBand="0" w:firstRowFirstColumn="0" w:firstRowLastColumn="0" w:lastRowFirstColumn="0" w:lastRowLastColumn="0"/>
            <w:tcW w:w="2235" w:type="dxa"/>
            <w:vMerge/>
            <w:tcBorders>
              <w:top w:val="single" w:sz="4" w:space="0" w:color="7F7F7F" w:themeColor="text1" w:themeTint="80"/>
              <w:left w:val="single" w:sz="4" w:space="0" w:color="auto"/>
              <w:bottom w:val="single" w:sz="4" w:space="0" w:color="7F7F7F" w:themeColor="text1" w:themeTint="80"/>
              <w:right w:val="single" w:sz="4" w:space="0" w:color="auto"/>
            </w:tcBorders>
            <w:vAlign w:val="center"/>
            <w:hideMark/>
          </w:tcPr>
          <w:p w:rsidR="00AB12B3" w:rsidRDefault="00AB12B3">
            <w:pPr>
              <w:rPr>
                <w:rFonts w:ascii="Times New Roman" w:hAnsi="Times New Roman" w:cs="Times New Roman"/>
                <w:sz w:val="28"/>
                <w:szCs w:val="28"/>
              </w:rPr>
            </w:pPr>
          </w:p>
        </w:tc>
        <w:tc>
          <w:tcPr>
            <w:tcW w:w="1416"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C/G</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140</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51</w:t>
            </w:r>
          </w:p>
        </w:tc>
        <w:tc>
          <w:tcPr>
            <w:tcW w:w="22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0,88 (0,56-1,36)</w:t>
            </w:r>
          </w:p>
        </w:tc>
        <w:tc>
          <w:tcPr>
            <w:tcW w:w="851" w:type="dxa"/>
            <w:vMerge/>
            <w:tcBorders>
              <w:top w:val="single" w:sz="4" w:space="0" w:color="7F7F7F" w:themeColor="text1" w:themeTint="80"/>
              <w:left w:val="single" w:sz="4" w:space="0" w:color="auto"/>
              <w:bottom w:val="single" w:sz="4" w:space="0" w:color="7F7F7F" w:themeColor="text1" w:themeTint="80"/>
              <w:right w:val="single" w:sz="4" w:space="0" w:color="auto"/>
            </w:tcBorders>
            <w:vAlign w:val="center"/>
            <w:hideMark/>
          </w:tcPr>
          <w:p w:rsidR="00AB12B3" w:rsidRDefault="00AB12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r>
      <w:tr w:rsidR="00AB12B3" w:rsidTr="005E1D88">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235" w:type="dxa"/>
            <w:vMerge/>
            <w:tcBorders>
              <w:left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416" w:type="dxa"/>
            <w:tcBorders>
              <w:left w:val="single" w:sz="4" w:space="0" w:color="auto"/>
              <w:right w:val="single" w:sz="4" w:space="0" w:color="auto"/>
            </w:tcBorders>
            <w:hideMark/>
          </w:tcPr>
          <w:p w:rsidR="00AB12B3" w:rsidRDefault="00AB12B3">
            <w:pPr>
              <w:pStyle w:val="af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G/G</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24</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18</w:t>
            </w:r>
          </w:p>
        </w:tc>
        <w:tc>
          <w:tcPr>
            <w:tcW w:w="2299"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0,42 (0,21-0,84)</w:t>
            </w:r>
          </w:p>
        </w:tc>
        <w:tc>
          <w:tcPr>
            <w:tcW w:w="851" w:type="dxa"/>
            <w:vMerge/>
            <w:tcBorders>
              <w:left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5E1D88">
        <w:trPr>
          <w:trHeight w:val="406"/>
        </w:trPr>
        <w:tc>
          <w:tcPr>
            <w:cnfStyle w:val="001000000000" w:firstRow="0" w:lastRow="0" w:firstColumn="1" w:lastColumn="0" w:oddVBand="0" w:evenVBand="0" w:oddHBand="0" w:evenHBand="0" w:firstRowFirstColumn="0" w:firstRowLastColumn="0" w:lastRowFirstColumn="0" w:lastRowLastColumn="0"/>
            <w:tcW w:w="2235"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sz w:val="28"/>
                <w:szCs w:val="28"/>
              </w:rPr>
              <w:t>Доминант</w:t>
            </w:r>
          </w:p>
        </w:tc>
        <w:tc>
          <w:tcPr>
            <w:tcW w:w="1416"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C/C</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172</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55</w:t>
            </w:r>
          </w:p>
        </w:tc>
        <w:tc>
          <w:tcPr>
            <w:tcW w:w="22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w:t>
            </w:r>
          </w:p>
        </w:tc>
        <w:tc>
          <w:tcPr>
            <w:tcW w:w="851"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0,19</w:t>
            </w:r>
          </w:p>
        </w:tc>
      </w:tr>
      <w:tr w:rsidR="00AB12B3" w:rsidTr="005E1D88">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235" w:type="dxa"/>
            <w:vMerge/>
            <w:tcBorders>
              <w:top w:val="single" w:sz="4" w:space="0" w:color="auto"/>
              <w:left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416" w:type="dxa"/>
            <w:tcBorders>
              <w:left w:val="single" w:sz="4" w:space="0" w:color="auto"/>
              <w:right w:val="single" w:sz="4" w:space="0" w:color="auto"/>
            </w:tcBorders>
            <w:hideMark/>
          </w:tcPr>
          <w:p w:rsidR="00AB12B3" w:rsidRDefault="00AB12B3">
            <w:pPr>
              <w:pStyle w:val="af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C/G </w:t>
            </w:r>
            <w:r w:rsidR="00C16F07">
              <w:rPr>
                <w:rFonts w:ascii="Times New Roman" w:hAnsi="Times New Roman" w:cs="Times New Roman"/>
                <w:sz w:val="28"/>
                <w:szCs w:val="28"/>
              </w:rPr>
              <w:t>–</w:t>
            </w:r>
            <w:r>
              <w:rPr>
                <w:rFonts w:ascii="Times New Roman" w:hAnsi="Times New Roman" w:cs="Times New Roman"/>
                <w:sz w:val="28"/>
                <w:szCs w:val="28"/>
              </w:rPr>
              <w:t xml:space="preserve"> G/G</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164</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69</w:t>
            </w:r>
          </w:p>
        </w:tc>
        <w:tc>
          <w:tcPr>
            <w:tcW w:w="2299"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0,76 (0,0,5-1,15)</w:t>
            </w:r>
          </w:p>
        </w:tc>
        <w:tc>
          <w:tcPr>
            <w:tcW w:w="851" w:type="dxa"/>
            <w:vMerge/>
            <w:tcBorders>
              <w:top w:val="single" w:sz="4" w:space="0" w:color="auto"/>
              <w:left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5E1D88">
        <w:trPr>
          <w:trHeight w:val="406"/>
        </w:trPr>
        <w:tc>
          <w:tcPr>
            <w:cnfStyle w:val="001000000000" w:firstRow="0" w:lastRow="0" w:firstColumn="1" w:lastColumn="0" w:oddVBand="0" w:evenVBand="0" w:oddHBand="0" w:evenHBand="0" w:firstRowFirstColumn="0" w:firstRowLastColumn="0" w:lastRowFirstColumn="0" w:lastRowLastColumn="0"/>
            <w:tcW w:w="2235"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sz w:val="28"/>
                <w:szCs w:val="28"/>
              </w:rPr>
              <w:t>Рецессив</w:t>
            </w:r>
          </w:p>
        </w:tc>
        <w:tc>
          <w:tcPr>
            <w:tcW w:w="1416"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C/C </w:t>
            </w:r>
            <w:r w:rsidR="00C16F07">
              <w:rPr>
                <w:rFonts w:ascii="Times New Roman" w:hAnsi="Times New Roman" w:cs="Times New Roman"/>
                <w:sz w:val="28"/>
                <w:szCs w:val="28"/>
              </w:rPr>
              <w:t>–</w:t>
            </w:r>
            <w:r>
              <w:rPr>
                <w:rFonts w:ascii="Times New Roman" w:hAnsi="Times New Roman" w:cs="Times New Roman"/>
                <w:sz w:val="28"/>
                <w:szCs w:val="28"/>
              </w:rPr>
              <w:t xml:space="preserve"> C/G</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312</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106</w:t>
            </w:r>
          </w:p>
        </w:tc>
        <w:tc>
          <w:tcPr>
            <w:tcW w:w="22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w:t>
            </w:r>
          </w:p>
        </w:tc>
        <w:tc>
          <w:tcPr>
            <w:tcW w:w="851"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0,018</w:t>
            </w:r>
          </w:p>
        </w:tc>
      </w:tr>
      <w:tr w:rsidR="00AB12B3" w:rsidTr="005E1D88">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235" w:type="dxa"/>
            <w:vMerge/>
            <w:tcBorders>
              <w:top w:val="single" w:sz="4" w:space="0" w:color="auto"/>
              <w:left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416" w:type="dxa"/>
            <w:tcBorders>
              <w:left w:val="single" w:sz="4" w:space="0" w:color="auto"/>
              <w:right w:val="single" w:sz="4" w:space="0" w:color="auto"/>
            </w:tcBorders>
            <w:hideMark/>
          </w:tcPr>
          <w:p w:rsidR="00AB12B3" w:rsidRDefault="00AB12B3">
            <w:pPr>
              <w:pStyle w:val="af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G/G</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24</w:t>
            </w:r>
          </w:p>
        </w:tc>
        <w:tc>
          <w:tcPr>
            <w:tcW w:w="1275"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18</w:t>
            </w:r>
          </w:p>
        </w:tc>
        <w:tc>
          <w:tcPr>
            <w:tcW w:w="2299"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0,45 (0,23-0,86)</w:t>
            </w:r>
          </w:p>
        </w:tc>
        <w:tc>
          <w:tcPr>
            <w:tcW w:w="851" w:type="dxa"/>
            <w:vMerge/>
            <w:tcBorders>
              <w:top w:val="single" w:sz="4" w:space="0" w:color="auto"/>
              <w:left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5E1D88">
        <w:trPr>
          <w:trHeight w:val="406"/>
        </w:trPr>
        <w:tc>
          <w:tcPr>
            <w:cnfStyle w:val="001000000000" w:firstRow="0" w:lastRow="0" w:firstColumn="1" w:lastColumn="0" w:oddVBand="0" w:evenVBand="0" w:oddHBand="0" w:evenHBand="0" w:firstRowFirstColumn="0" w:firstRowLastColumn="0" w:lastRowFirstColumn="0" w:lastRowLastColumn="0"/>
            <w:tcW w:w="2235"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sz w:val="28"/>
                <w:szCs w:val="28"/>
              </w:rPr>
              <w:t>Сверх-доминант</w:t>
            </w:r>
          </w:p>
        </w:tc>
        <w:tc>
          <w:tcPr>
            <w:tcW w:w="1416"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C/C </w:t>
            </w:r>
            <w:r w:rsidR="00C16F07">
              <w:rPr>
                <w:rFonts w:ascii="Times New Roman" w:hAnsi="Times New Roman" w:cs="Times New Roman"/>
                <w:sz w:val="28"/>
                <w:szCs w:val="28"/>
              </w:rPr>
              <w:t>–</w:t>
            </w:r>
            <w:r>
              <w:rPr>
                <w:rFonts w:ascii="Times New Roman" w:hAnsi="Times New Roman" w:cs="Times New Roman"/>
                <w:sz w:val="28"/>
                <w:szCs w:val="28"/>
              </w:rPr>
              <w:t xml:space="preserve"> G/G</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196</w:t>
            </w:r>
          </w:p>
        </w:tc>
        <w:tc>
          <w:tcPr>
            <w:tcW w:w="127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73</w:t>
            </w:r>
          </w:p>
        </w:tc>
        <w:tc>
          <w:tcPr>
            <w:tcW w:w="22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w:t>
            </w:r>
          </w:p>
        </w:tc>
        <w:tc>
          <w:tcPr>
            <w:tcW w:w="851"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0,92</w:t>
            </w:r>
          </w:p>
        </w:tc>
      </w:tr>
      <w:tr w:rsidR="00AB12B3" w:rsidTr="005E1D88">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2235"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416" w:type="dxa"/>
            <w:tcBorders>
              <w:left w:val="single" w:sz="4" w:space="0" w:color="auto"/>
              <w:bottom w:val="single" w:sz="4" w:space="0" w:color="auto"/>
              <w:right w:val="single" w:sz="4" w:space="0" w:color="auto"/>
            </w:tcBorders>
            <w:hideMark/>
          </w:tcPr>
          <w:p w:rsidR="00AB12B3" w:rsidRDefault="00AB12B3">
            <w:pPr>
              <w:pStyle w:val="af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C/G</w:t>
            </w:r>
          </w:p>
        </w:tc>
        <w:tc>
          <w:tcPr>
            <w:tcW w:w="1275" w:type="dxa"/>
            <w:tcBorders>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140</w:t>
            </w:r>
          </w:p>
        </w:tc>
        <w:tc>
          <w:tcPr>
            <w:tcW w:w="1275" w:type="dxa"/>
            <w:tcBorders>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51</w:t>
            </w:r>
          </w:p>
        </w:tc>
        <w:tc>
          <w:tcPr>
            <w:tcW w:w="2299" w:type="dxa"/>
            <w:tcBorders>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1,02 (0,0,67-1,55)</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5E1D88">
        <w:trPr>
          <w:trHeight w:val="406"/>
        </w:trPr>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sz w:val="28"/>
                <w:szCs w:val="28"/>
              </w:rPr>
              <w:t>Логистическая регрессия</w:t>
            </w:r>
          </w:p>
        </w:tc>
        <w:tc>
          <w:tcPr>
            <w:tcW w:w="1416" w:type="dxa"/>
            <w:tcBorders>
              <w:top w:val="single" w:sz="4" w:space="0" w:color="auto"/>
              <w:left w:val="single" w:sz="4" w:space="0" w:color="auto"/>
              <w:bottom w:val="single" w:sz="4" w:space="0" w:color="auto"/>
              <w:right w:val="single" w:sz="4" w:space="0" w:color="auto"/>
            </w:tcBorders>
          </w:tcPr>
          <w:p w:rsidR="00AB12B3" w:rsidRDefault="00AB12B3">
            <w:pPr>
              <w:pStyle w:val="af4"/>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22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0,72 (0,52-0,98)</w:t>
            </w:r>
          </w:p>
        </w:tc>
        <w:tc>
          <w:tcPr>
            <w:tcW w:w="851"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0,038</w:t>
            </w:r>
          </w:p>
        </w:tc>
      </w:tr>
      <w:tr w:rsidR="00AB12B3" w:rsidTr="005E1D88">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9351" w:type="dxa"/>
            <w:gridSpan w:val="6"/>
            <w:tcBorders>
              <w:top w:val="single" w:sz="4" w:space="0" w:color="auto"/>
              <w:left w:val="single" w:sz="4" w:space="0" w:color="auto"/>
              <w:bottom w:val="single" w:sz="4" w:space="0" w:color="auto"/>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b w:val="0"/>
                <w:szCs w:val="24"/>
              </w:rPr>
              <w:t>ОШ (</w:t>
            </w:r>
            <w:r>
              <w:rPr>
                <w:rFonts w:ascii="Times New Roman" w:hAnsi="Times New Roman" w:cs="Times New Roman"/>
                <w:b w:val="0"/>
                <w:szCs w:val="24"/>
              </w:rPr>
              <w:t xml:space="preserve">95% </w:t>
            </w:r>
            <w:r>
              <w:rPr>
                <w:rFonts w:ascii="Times New Roman" w:hAnsi="Times New Roman"/>
                <w:b w:val="0"/>
                <w:szCs w:val="24"/>
              </w:rPr>
              <w:t>ДИ) – Отношение шансов (</w:t>
            </w:r>
            <w:r>
              <w:rPr>
                <w:rFonts w:ascii="Times New Roman" w:hAnsi="Times New Roman" w:cs="Times New Roman"/>
                <w:b w:val="0"/>
                <w:szCs w:val="24"/>
              </w:rPr>
              <w:t xml:space="preserve">95% </w:t>
            </w:r>
            <w:r>
              <w:rPr>
                <w:rFonts w:ascii="Times New Roman" w:hAnsi="Times New Roman"/>
                <w:b w:val="0"/>
                <w:szCs w:val="24"/>
              </w:rPr>
              <w:t>Доверительный интервал)</w:t>
            </w:r>
          </w:p>
        </w:tc>
      </w:tr>
    </w:tbl>
    <w:p w:rsidR="00AB12B3" w:rsidRDefault="00AB12B3" w:rsidP="00AB12B3">
      <w:pPr>
        <w:pStyle w:val="HTML"/>
        <w:shd w:val="clear" w:color="auto" w:fill="FFFFFF"/>
        <w:ind w:firstLine="567"/>
        <w:jc w:val="both"/>
        <w:rPr>
          <w:rFonts w:ascii="Times New Roman" w:hAnsi="Times New Roman" w:cs="Times New Roman"/>
          <w:i/>
          <w:sz w:val="28"/>
          <w:szCs w:val="28"/>
          <w:lang w:val="kk-KZ"/>
        </w:rPr>
      </w:pPr>
    </w:p>
    <w:p w:rsidR="00AB12B3" w:rsidRDefault="00AB12B3" w:rsidP="00AB12B3">
      <w:pPr>
        <w:pStyle w:val="HTML"/>
        <w:shd w:val="clear" w:color="auto" w:fill="FFFFFF"/>
        <w:ind w:firstLine="567"/>
        <w:jc w:val="both"/>
        <w:rPr>
          <w:rFonts w:ascii="Times New Roman" w:hAnsi="Times New Roman" w:cs="Times New Roman"/>
          <w:sz w:val="28"/>
          <w:szCs w:val="28"/>
        </w:rPr>
      </w:pPr>
      <w:r>
        <w:rPr>
          <w:rFonts w:ascii="Times New Roman" w:hAnsi="Times New Roman" w:cs="Times New Roman"/>
          <w:sz w:val="28"/>
          <w:szCs w:val="28"/>
        </w:rPr>
        <w:t>Исходя из этого, аллел</w:t>
      </w:r>
      <w:r w:rsidR="00022836">
        <w:rPr>
          <w:rFonts w:ascii="Times New Roman" w:hAnsi="Times New Roman" w:cs="Times New Roman"/>
          <w:sz w:val="28"/>
          <w:szCs w:val="28"/>
        </w:rPr>
        <w:t>ь</w:t>
      </w:r>
      <w:r>
        <w:rPr>
          <w:rFonts w:ascii="Times New Roman" w:hAnsi="Times New Roman" w:cs="Times New Roman"/>
          <w:sz w:val="28"/>
          <w:szCs w:val="28"/>
        </w:rPr>
        <w:t xml:space="preserve"> С и генотип</w:t>
      </w:r>
      <w:r w:rsidR="00022836">
        <w:rPr>
          <w:rFonts w:ascii="Times New Roman" w:hAnsi="Times New Roman" w:cs="Times New Roman"/>
          <w:sz w:val="28"/>
          <w:szCs w:val="28"/>
        </w:rPr>
        <w:t>ы</w:t>
      </w:r>
      <w:r>
        <w:rPr>
          <w:rFonts w:ascii="Times New Roman" w:hAnsi="Times New Roman" w:cs="Times New Roman"/>
          <w:sz w:val="28"/>
          <w:szCs w:val="28"/>
        </w:rPr>
        <w:t xml:space="preserve"> С/С и С/G полиморфизма Gln27Glu (rs1042714) гена </w:t>
      </w:r>
      <w:r>
        <w:rPr>
          <w:rFonts w:ascii="Times New Roman" w:hAnsi="Times New Roman" w:cs="Times New Roman"/>
          <w:i/>
          <w:sz w:val="28"/>
          <w:szCs w:val="28"/>
        </w:rPr>
        <w:t xml:space="preserve">ADBR2 </w:t>
      </w:r>
      <w:r>
        <w:rPr>
          <w:rFonts w:ascii="Times New Roman" w:hAnsi="Times New Roman" w:cs="Times New Roman"/>
          <w:sz w:val="28"/>
          <w:szCs w:val="28"/>
        </w:rPr>
        <w:t>ассо</w:t>
      </w:r>
      <w:r w:rsidR="00BC340E">
        <w:rPr>
          <w:rFonts w:ascii="Times New Roman" w:hAnsi="Times New Roman" w:cs="Times New Roman"/>
          <w:sz w:val="28"/>
          <w:szCs w:val="28"/>
        </w:rPr>
        <w:t>циированы с повыш</w:t>
      </w:r>
      <w:r w:rsidR="00022836">
        <w:rPr>
          <w:rFonts w:ascii="Times New Roman" w:hAnsi="Times New Roman" w:cs="Times New Roman"/>
          <w:sz w:val="28"/>
          <w:szCs w:val="28"/>
        </w:rPr>
        <w:t>енным</w:t>
      </w:r>
      <w:r>
        <w:rPr>
          <w:rFonts w:ascii="Times New Roman" w:hAnsi="Times New Roman" w:cs="Times New Roman"/>
          <w:sz w:val="28"/>
          <w:szCs w:val="28"/>
        </w:rPr>
        <w:t xml:space="preserve"> риск</w:t>
      </w:r>
      <w:r w:rsidR="00022836">
        <w:rPr>
          <w:rFonts w:ascii="Times New Roman" w:hAnsi="Times New Roman" w:cs="Times New Roman"/>
          <w:sz w:val="28"/>
          <w:szCs w:val="28"/>
        </w:rPr>
        <w:t>ом</w:t>
      </w:r>
      <w:r>
        <w:rPr>
          <w:rFonts w:ascii="Times New Roman" w:hAnsi="Times New Roman" w:cs="Times New Roman"/>
          <w:sz w:val="28"/>
          <w:szCs w:val="28"/>
        </w:rPr>
        <w:t xml:space="preserve"> р</w:t>
      </w:r>
      <w:r w:rsidR="00EB4E6D">
        <w:rPr>
          <w:rFonts w:ascii="Times New Roman" w:hAnsi="Times New Roman" w:cs="Times New Roman"/>
          <w:sz w:val="28"/>
          <w:szCs w:val="28"/>
        </w:rPr>
        <w:t>азвития гипертриглицеридемии в исследуемой выборке</w:t>
      </w:r>
      <w:r>
        <w:rPr>
          <w:rFonts w:ascii="Times New Roman" w:hAnsi="Times New Roman" w:cs="Times New Roman"/>
          <w:sz w:val="28"/>
          <w:szCs w:val="28"/>
        </w:rPr>
        <w:t>. В свою очередь, аллел</w:t>
      </w:r>
      <w:r w:rsidR="00022836">
        <w:rPr>
          <w:rFonts w:ascii="Times New Roman" w:hAnsi="Times New Roman" w:cs="Times New Roman"/>
          <w:sz w:val="28"/>
          <w:szCs w:val="28"/>
        </w:rPr>
        <w:t>ь G и тенотип</w:t>
      </w:r>
      <w:r>
        <w:rPr>
          <w:rFonts w:ascii="Times New Roman" w:hAnsi="Times New Roman" w:cs="Times New Roman"/>
          <w:sz w:val="28"/>
          <w:szCs w:val="28"/>
        </w:rPr>
        <w:t xml:space="preserve"> G/G полиморфизма Gln27Glu (rs1042714) гена </w:t>
      </w:r>
      <w:r>
        <w:rPr>
          <w:rFonts w:ascii="Times New Roman" w:hAnsi="Times New Roman" w:cs="Times New Roman"/>
          <w:i/>
          <w:sz w:val="28"/>
          <w:szCs w:val="28"/>
        </w:rPr>
        <w:t xml:space="preserve">ADBR2 </w:t>
      </w:r>
      <w:r w:rsidR="00022836">
        <w:rPr>
          <w:rFonts w:ascii="Times New Roman" w:hAnsi="Times New Roman" w:cs="Times New Roman"/>
          <w:sz w:val="28"/>
          <w:szCs w:val="28"/>
        </w:rPr>
        <w:t xml:space="preserve">был ассоциирован с </w:t>
      </w:r>
      <w:r>
        <w:rPr>
          <w:rFonts w:ascii="Times New Roman" w:hAnsi="Times New Roman" w:cs="Times New Roman"/>
          <w:sz w:val="28"/>
          <w:szCs w:val="28"/>
        </w:rPr>
        <w:t>сниж</w:t>
      </w:r>
      <w:r w:rsidR="00022836">
        <w:rPr>
          <w:rFonts w:ascii="Times New Roman" w:hAnsi="Times New Roman" w:cs="Times New Roman"/>
          <w:sz w:val="28"/>
          <w:szCs w:val="28"/>
        </w:rPr>
        <w:t>енным</w:t>
      </w:r>
      <w:r>
        <w:rPr>
          <w:rFonts w:ascii="Times New Roman" w:hAnsi="Times New Roman" w:cs="Times New Roman"/>
          <w:sz w:val="28"/>
          <w:szCs w:val="28"/>
        </w:rPr>
        <w:t xml:space="preserve"> риск</w:t>
      </w:r>
      <w:r w:rsidR="00022836">
        <w:rPr>
          <w:rFonts w:ascii="Times New Roman" w:hAnsi="Times New Roman" w:cs="Times New Roman"/>
          <w:sz w:val="28"/>
          <w:szCs w:val="28"/>
        </w:rPr>
        <w:t>ом</w:t>
      </w:r>
      <w:r>
        <w:rPr>
          <w:rFonts w:ascii="Times New Roman" w:hAnsi="Times New Roman" w:cs="Times New Roman"/>
          <w:sz w:val="28"/>
          <w:szCs w:val="28"/>
        </w:rPr>
        <w:t xml:space="preserve"> развития гипертриглицеридемии в </w:t>
      </w:r>
      <w:r w:rsidR="008B2E77">
        <w:rPr>
          <w:rFonts w:ascii="Times New Roman" w:hAnsi="Times New Roman" w:cs="Times New Roman"/>
          <w:sz w:val="28"/>
          <w:szCs w:val="28"/>
        </w:rPr>
        <w:t xml:space="preserve">исследуемой </w:t>
      </w:r>
      <w:r w:rsidR="00EB4E6D">
        <w:rPr>
          <w:rFonts w:ascii="Times New Roman" w:hAnsi="Times New Roman" w:cs="Times New Roman"/>
          <w:sz w:val="28"/>
          <w:szCs w:val="28"/>
        </w:rPr>
        <w:t xml:space="preserve">нами </w:t>
      </w:r>
      <w:r w:rsidR="008B2E77">
        <w:rPr>
          <w:rFonts w:ascii="Times New Roman" w:hAnsi="Times New Roman" w:cs="Times New Roman"/>
          <w:sz w:val="28"/>
          <w:szCs w:val="28"/>
        </w:rPr>
        <w:t>выборке</w:t>
      </w:r>
      <w:r>
        <w:rPr>
          <w:rFonts w:ascii="Times New Roman" w:hAnsi="Times New Roman" w:cs="Times New Roman"/>
          <w:sz w:val="28"/>
          <w:szCs w:val="28"/>
        </w:rPr>
        <w:t xml:space="preserve">. </w:t>
      </w:r>
      <w:r w:rsidR="00BC340E">
        <w:rPr>
          <w:rFonts w:ascii="Times New Roman" w:hAnsi="Times New Roman" w:cs="Times New Roman"/>
          <w:sz w:val="28"/>
          <w:szCs w:val="28"/>
        </w:rPr>
        <w:t>П</w:t>
      </w:r>
      <w:r>
        <w:rPr>
          <w:rFonts w:ascii="Times New Roman" w:hAnsi="Times New Roman" w:cs="Times New Roman"/>
          <w:sz w:val="28"/>
          <w:szCs w:val="28"/>
        </w:rPr>
        <w:t>олиморфизм</w:t>
      </w:r>
      <w:r w:rsidR="00D70EA4">
        <w:rPr>
          <w:rFonts w:ascii="Times New Roman" w:hAnsi="Times New Roman" w:cs="Times New Roman"/>
          <w:sz w:val="28"/>
          <w:szCs w:val="28"/>
        </w:rPr>
        <w:t xml:space="preserve"> </w:t>
      </w:r>
      <w:r>
        <w:rPr>
          <w:rFonts w:ascii="Times New Roman" w:hAnsi="Times New Roman" w:cs="Times New Roman"/>
          <w:sz w:val="28"/>
          <w:szCs w:val="28"/>
        </w:rPr>
        <w:t xml:space="preserve">Gln27Glu (rs1042714) гена </w:t>
      </w:r>
      <w:r>
        <w:rPr>
          <w:rFonts w:ascii="Times New Roman" w:hAnsi="Times New Roman" w:cs="Times New Roman"/>
          <w:i/>
          <w:sz w:val="28"/>
          <w:szCs w:val="28"/>
        </w:rPr>
        <w:t>ADBR2</w:t>
      </w:r>
      <w:r>
        <w:rPr>
          <w:rFonts w:ascii="Times New Roman" w:hAnsi="Times New Roman" w:cs="Times New Roman"/>
          <w:sz w:val="28"/>
          <w:szCs w:val="28"/>
        </w:rPr>
        <w:t xml:space="preserve"> не является</w:t>
      </w:r>
      <w:r w:rsidR="002B5817">
        <w:rPr>
          <w:rFonts w:ascii="Times New Roman" w:hAnsi="Times New Roman" w:cs="Times New Roman"/>
          <w:sz w:val="28"/>
          <w:szCs w:val="28"/>
          <w:lang w:val="kk-KZ"/>
        </w:rPr>
        <w:t xml:space="preserve"> информативным</w:t>
      </w:r>
      <w:r>
        <w:rPr>
          <w:rFonts w:ascii="Times New Roman" w:hAnsi="Times New Roman" w:cs="Times New Roman"/>
          <w:sz w:val="28"/>
          <w:szCs w:val="28"/>
        </w:rPr>
        <w:t xml:space="preserve"> генетическим </w:t>
      </w:r>
      <w:r w:rsidR="002B5817">
        <w:rPr>
          <w:rFonts w:ascii="Times New Roman" w:hAnsi="Times New Roman" w:cs="Times New Roman"/>
          <w:sz w:val="28"/>
          <w:szCs w:val="28"/>
          <w:lang w:val="kk-KZ"/>
        </w:rPr>
        <w:t>маркером</w:t>
      </w:r>
      <w:r>
        <w:rPr>
          <w:rFonts w:ascii="Times New Roman" w:hAnsi="Times New Roman" w:cs="Times New Roman"/>
          <w:sz w:val="28"/>
          <w:szCs w:val="28"/>
        </w:rPr>
        <w:t xml:space="preserve"> риска развития ИР</w:t>
      </w:r>
      <w:r w:rsidR="00652576">
        <w:rPr>
          <w:rFonts w:ascii="Times New Roman" w:hAnsi="Times New Roman" w:cs="Times New Roman"/>
          <w:sz w:val="28"/>
          <w:szCs w:val="28"/>
        </w:rPr>
        <w:t xml:space="preserve"> в </w:t>
      </w:r>
      <w:r w:rsidR="00A14FE0">
        <w:rPr>
          <w:rFonts w:ascii="Times New Roman" w:hAnsi="Times New Roman" w:cs="Times New Roman"/>
          <w:sz w:val="28"/>
          <w:szCs w:val="28"/>
        </w:rPr>
        <w:t xml:space="preserve">данной </w:t>
      </w:r>
      <w:r w:rsidR="00EB4E6D">
        <w:rPr>
          <w:rFonts w:ascii="Times New Roman" w:hAnsi="Times New Roman" w:cs="Times New Roman"/>
          <w:sz w:val="28"/>
          <w:szCs w:val="28"/>
        </w:rPr>
        <w:t>выборке</w:t>
      </w:r>
      <w:r w:rsidR="00652576">
        <w:rPr>
          <w:rFonts w:ascii="Times New Roman" w:hAnsi="Times New Roman" w:cs="Times New Roman"/>
          <w:sz w:val="28"/>
          <w:szCs w:val="28"/>
        </w:rPr>
        <w:t xml:space="preserve"> исследования</w:t>
      </w:r>
      <w:r w:rsidR="008F00DC">
        <w:rPr>
          <w:rFonts w:ascii="Times New Roman" w:hAnsi="Times New Roman" w:cs="Times New Roman"/>
          <w:sz w:val="28"/>
          <w:szCs w:val="28"/>
        </w:rPr>
        <w:t xml:space="preserve"> </w:t>
      </w:r>
      <w:r w:rsidR="00955447">
        <w:rPr>
          <w:rFonts w:ascii="Times New Roman" w:hAnsi="Times New Roman" w:cs="Times New Roman"/>
          <w:sz w:val="28"/>
          <w:szCs w:val="28"/>
        </w:rPr>
        <w:fldChar w:fldCharType="begin" w:fldLock="1"/>
      </w:r>
      <w:r w:rsidR="009D40AC">
        <w:rPr>
          <w:rFonts w:ascii="Times New Roman" w:hAnsi="Times New Roman" w:cs="Times New Roman"/>
          <w:sz w:val="28"/>
          <w:szCs w:val="28"/>
        </w:rPr>
        <w:instrText>ADDIN CSL_CITATION {"citationItems":[{"id":"ITEM-1","itemData":{"author":[{"dropping-particle":"","family":"Шаханова","given":"Айжан Т","non-dropping-particle":"","parse-names":false,"suffix":""},{"dropping-particle":"","family":"Аукенов","given":"Нурлан Е","non-dropping-particle":"","parse-names":false,"suffix":""},{"dropping-particle":"","family":"Нуртазина","given":"Алма У","non-dropping-particle":"","parse-names":false,"suffix":""},{"dropping-particle":"","family":"Масабаева Меруерт Р","given":"","non-dropping-particle":"","parse-names":false,"suffix":""},{"dropping-particle":"","family":"Кожахметова","given":"Дана К","non-dropping-particle":"","parse-names":false,"suffix":""}],"id":"ITEM-1","issued":{"date-parts":[["2021"]]},"publisher-place":"Инновационный патент Республики Казахстан №35145","title":"Способ прогнозирования риска развития гипертриглицеридемии у здоровых лиц в казахской популяции","type":"patent"},"uris":["http://www.mendeley.com/documents/?uuid=ae269b87-c2d4-4359-ac04-dd0d13cc00b4"]}],"mendeley":{"formattedCitation":"[202]","plainTextFormattedCitation":"[202]","previouslyFormattedCitation":"[202]"},"properties":{"noteIndex":0},"schema":"https://github.com/citation-style-language/schema/raw/master/csl-citation.json"}</w:instrText>
      </w:r>
      <w:r w:rsidR="00955447">
        <w:rPr>
          <w:rFonts w:ascii="Times New Roman" w:hAnsi="Times New Roman" w:cs="Times New Roman"/>
          <w:sz w:val="28"/>
          <w:szCs w:val="28"/>
        </w:rPr>
        <w:fldChar w:fldCharType="separate"/>
      </w:r>
      <w:r w:rsidR="009D40AC" w:rsidRPr="009D40AC">
        <w:rPr>
          <w:rFonts w:ascii="Times New Roman" w:hAnsi="Times New Roman" w:cs="Times New Roman"/>
          <w:noProof/>
          <w:sz w:val="28"/>
          <w:szCs w:val="28"/>
        </w:rPr>
        <w:t>[202]</w:t>
      </w:r>
      <w:r w:rsidR="00955447">
        <w:rPr>
          <w:rFonts w:ascii="Times New Roman" w:hAnsi="Times New Roman" w:cs="Times New Roman"/>
          <w:sz w:val="28"/>
          <w:szCs w:val="28"/>
        </w:rPr>
        <w:fldChar w:fldCharType="end"/>
      </w:r>
      <w:r>
        <w:rPr>
          <w:rFonts w:ascii="Times New Roman" w:hAnsi="Times New Roman" w:cs="Times New Roman"/>
          <w:sz w:val="28"/>
          <w:szCs w:val="28"/>
        </w:rPr>
        <w:t>.</w:t>
      </w:r>
    </w:p>
    <w:p w:rsidR="007256CD" w:rsidRDefault="007256CD"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i/>
          <w:sz w:val="28"/>
          <w:szCs w:val="28"/>
        </w:rPr>
      </w:pPr>
    </w:p>
    <w:p w:rsidR="00AB12B3" w:rsidRPr="007256CD"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i/>
          <w:sz w:val="28"/>
          <w:szCs w:val="28"/>
        </w:rPr>
      </w:pPr>
      <w:r w:rsidRPr="007256CD">
        <w:rPr>
          <w:rFonts w:ascii="Times New Roman" w:hAnsi="Times New Roman" w:cs="Times New Roman"/>
          <w:i/>
          <w:sz w:val="28"/>
          <w:szCs w:val="28"/>
        </w:rPr>
        <w:t>Ген, кодирующий ангиотензиноген AGT Thr174Met (rs4762)</w:t>
      </w:r>
    </w:p>
    <w:p w:rsidR="00644AE3" w:rsidRDefault="00644AE3" w:rsidP="00644A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Частота аллелей и генотипов полиморфизма Thr174Met (rs4762) гена </w:t>
      </w:r>
      <w:r>
        <w:rPr>
          <w:rFonts w:ascii="Times New Roman" w:hAnsi="Times New Roman" w:cs="Times New Roman"/>
          <w:i/>
          <w:sz w:val="28"/>
          <w:szCs w:val="28"/>
        </w:rPr>
        <w:t xml:space="preserve">AGT </w:t>
      </w:r>
      <w:r>
        <w:rPr>
          <w:rFonts w:ascii="Times New Roman" w:hAnsi="Times New Roman" w:cs="Times New Roman"/>
          <w:sz w:val="28"/>
          <w:szCs w:val="28"/>
        </w:rPr>
        <w:t>предоставлена в таблице 5</w:t>
      </w:r>
      <w:r w:rsidR="003C0BEF">
        <w:rPr>
          <w:rFonts w:ascii="Times New Roman" w:hAnsi="Times New Roman" w:cs="Times New Roman"/>
          <w:sz w:val="28"/>
          <w:szCs w:val="28"/>
          <w:lang w:val="kk-KZ"/>
        </w:rPr>
        <w:t>6</w:t>
      </w:r>
      <w:r>
        <w:rPr>
          <w:rFonts w:ascii="Times New Roman" w:hAnsi="Times New Roman" w:cs="Times New Roman"/>
          <w:sz w:val="28"/>
          <w:szCs w:val="28"/>
        </w:rPr>
        <w:t xml:space="preserve">. При </w:t>
      </w:r>
      <w:r w:rsidR="00EF17ED">
        <w:rPr>
          <w:rFonts w:ascii="Times New Roman" w:hAnsi="Times New Roman" w:cs="Times New Roman"/>
          <w:sz w:val="28"/>
          <w:szCs w:val="28"/>
          <w:lang w:val="kk-KZ"/>
        </w:rPr>
        <w:t xml:space="preserve">изучении </w:t>
      </w:r>
      <w:r>
        <w:rPr>
          <w:rFonts w:ascii="Times New Roman" w:hAnsi="Times New Roman" w:cs="Times New Roman"/>
          <w:sz w:val="28"/>
          <w:szCs w:val="28"/>
        </w:rPr>
        <w:t>распределени</w:t>
      </w:r>
      <w:r w:rsidR="00EF17ED">
        <w:rPr>
          <w:rFonts w:ascii="Times New Roman" w:hAnsi="Times New Roman" w:cs="Times New Roman"/>
          <w:sz w:val="28"/>
          <w:szCs w:val="28"/>
          <w:lang w:val="kk-KZ"/>
        </w:rPr>
        <w:t>я</w:t>
      </w:r>
      <w:r>
        <w:rPr>
          <w:rFonts w:ascii="Times New Roman" w:hAnsi="Times New Roman" w:cs="Times New Roman"/>
          <w:sz w:val="28"/>
          <w:szCs w:val="28"/>
        </w:rPr>
        <w:t xml:space="preserve"> генотипов </w:t>
      </w:r>
      <w:r>
        <w:rPr>
          <w:rFonts w:ascii="Times New Roman" w:hAnsi="Times New Roman" w:cs="Times New Roman"/>
          <w:sz w:val="28"/>
          <w:szCs w:val="24"/>
        </w:rPr>
        <w:t xml:space="preserve">полиморфизма </w:t>
      </w:r>
      <w:r>
        <w:rPr>
          <w:rFonts w:ascii="Times New Roman" w:hAnsi="Times New Roman" w:cs="Times New Roman"/>
          <w:sz w:val="28"/>
          <w:szCs w:val="28"/>
        </w:rPr>
        <w:t xml:space="preserve">Thr174Met (rs4762) гена </w:t>
      </w:r>
      <w:r>
        <w:rPr>
          <w:rFonts w:ascii="Times New Roman" w:hAnsi="Times New Roman" w:cs="Times New Roman"/>
          <w:i/>
          <w:sz w:val="28"/>
          <w:szCs w:val="28"/>
        </w:rPr>
        <w:t>AGT</w:t>
      </w:r>
      <w:r>
        <w:rPr>
          <w:rFonts w:ascii="Times New Roman" w:hAnsi="Times New Roman" w:cs="Times New Roman"/>
          <w:sz w:val="28"/>
          <w:szCs w:val="28"/>
        </w:rPr>
        <w:t xml:space="preserve"> отклонения от равновесия Харди-Вайнберга не обнаружено. </w:t>
      </w:r>
    </w:p>
    <w:p w:rsidR="00644AE3" w:rsidRDefault="00644AE3" w:rsidP="00644A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Генотип G/G чаще встречался </w:t>
      </w:r>
      <w:r w:rsidR="00EF17ED">
        <w:rPr>
          <w:rFonts w:ascii="Times New Roman" w:hAnsi="Times New Roman" w:cs="Times New Roman"/>
          <w:sz w:val="28"/>
          <w:szCs w:val="28"/>
          <w:lang w:val="kk-KZ"/>
        </w:rPr>
        <w:t xml:space="preserve">в </w:t>
      </w:r>
      <w:r w:rsidR="00EF17ED">
        <w:rPr>
          <w:rFonts w:ascii="Times New Roman" w:hAnsi="Times New Roman" w:cs="Times New Roman"/>
          <w:sz w:val="28"/>
          <w:szCs w:val="28"/>
        </w:rPr>
        <w:t>исследуемой выборк</w:t>
      </w:r>
      <w:r w:rsidR="00EF17ED">
        <w:rPr>
          <w:rFonts w:ascii="Times New Roman" w:hAnsi="Times New Roman" w:cs="Times New Roman"/>
          <w:sz w:val="28"/>
          <w:szCs w:val="28"/>
          <w:lang w:val="kk-KZ"/>
        </w:rPr>
        <w:t>е</w:t>
      </w:r>
      <w:r w:rsidR="00EF17ED">
        <w:rPr>
          <w:rFonts w:ascii="Times New Roman" w:hAnsi="Times New Roman" w:cs="Times New Roman"/>
          <w:sz w:val="28"/>
          <w:szCs w:val="28"/>
        </w:rPr>
        <w:t xml:space="preserve"> </w:t>
      </w:r>
      <w:r>
        <w:rPr>
          <w:rFonts w:ascii="Times New Roman" w:hAnsi="Times New Roman" w:cs="Times New Roman"/>
          <w:sz w:val="28"/>
          <w:szCs w:val="28"/>
        </w:rPr>
        <w:t xml:space="preserve">у мужчин-казахов, тогда как у женщин чаще встречался гетерозиготный генотип. Между </w:t>
      </w:r>
      <w:r>
        <w:rPr>
          <w:rFonts w:ascii="Times New Roman" w:hAnsi="Times New Roman" w:cs="Times New Roman"/>
          <w:sz w:val="28"/>
          <w:szCs w:val="24"/>
        </w:rPr>
        <w:t xml:space="preserve">полиморфизмом </w:t>
      </w:r>
      <w:r>
        <w:rPr>
          <w:rFonts w:ascii="Times New Roman" w:hAnsi="Times New Roman" w:cs="Times New Roman"/>
          <w:sz w:val="28"/>
          <w:szCs w:val="28"/>
        </w:rPr>
        <w:t xml:space="preserve">Thr174Met (rs4762) гена </w:t>
      </w:r>
      <w:r>
        <w:rPr>
          <w:rFonts w:ascii="Times New Roman" w:hAnsi="Times New Roman" w:cs="Times New Roman"/>
          <w:i/>
          <w:sz w:val="28"/>
          <w:szCs w:val="28"/>
        </w:rPr>
        <w:t>AGT</w:t>
      </w:r>
      <w:r>
        <w:rPr>
          <w:rFonts w:ascii="Times New Roman" w:hAnsi="Times New Roman" w:cs="Times New Roman"/>
          <w:sz w:val="28"/>
          <w:szCs w:val="28"/>
        </w:rPr>
        <w:t xml:space="preserve"> и биохимическими показателями</w:t>
      </w:r>
      <w:r w:rsidR="00615C21">
        <w:rPr>
          <w:rFonts w:ascii="Times New Roman" w:hAnsi="Times New Roman" w:cs="Times New Roman"/>
          <w:sz w:val="28"/>
          <w:szCs w:val="28"/>
        </w:rPr>
        <w:t xml:space="preserve"> </w:t>
      </w:r>
      <w:r w:rsidR="00EF17ED">
        <w:rPr>
          <w:rFonts w:ascii="Times New Roman" w:hAnsi="Times New Roman" w:cs="Times New Roman"/>
          <w:sz w:val="28"/>
          <w:szCs w:val="28"/>
          <w:lang w:val="kk-KZ"/>
        </w:rPr>
        <w:t>ассоциации нами не выявлено</w:t>
      </w:r>
      <w:r>
        <w:rPr>
          <w:rFonts w:ascii="Times New Roman" w:hAnsi="Times New Roman" w:cs="Times New Roman"/>
          <w:sz w:val="28"/>
          <w:szCs w:val="28"/>
        </w:rPr>
        <w:t>.</w:t>
      </w:r>
    </w:p>
    <w:p w:rsidR="00644AE3" w:rsidRDefault="00644AE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outlineLvl w:val="0"/>
        <w:rPr>
          <w:rFonts w:ascii="Times New Roman" w:hAnsi="Times New Roman" w:cs="Times New Roman"/>
          <w:sz w:val="28"/>
          <w:szCs w:val="24"/>
        </w:rPr>
        <w:sectPr w:rsidR="00644AE3">
          <w:pgSz w:w="11906" w:h="16838"/>
          <w:pgMar w:top="1134" w:right="850" w:bottom="1134" w:left="1701" w:header="708" w:footer="708" w:gutter="0"/>
          <w:cols w:space="720"/>
        </w:sectPr>
      </w:pP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outlineLvl w:val="0"/>
        <w:rPr>
          <w:rFonts w:ascii="Times New Roman" w:hAnsi="Times New Roman" w:cs="Times New Roman"/>
          <w:sz w:val="28"/>
          <w:szCs w:val="24"/>
          <w:lang w:val="kk-KZ"/>
        </w:rPr>
      </w:pPr>
      <w:r>
        <w:rPr>
          <w:rFonts w:ascii="Times New Roman" w:hAnsi="Times New Roman" w:cs="Times New Roman"/>
          <w:sz w:val="28"/>
          <w:szCs w:val="24"/>
        </w:rPr>
        <w:lastRenderedPageBreak/>
        <w:t>Таблица 5</w:t>
      </w:r>
      <w:r w:rsidR="003C0BEF">
        <w:rPr>
          <w:rFonts w:ascii="Times New Roman" w:hAnsi="Times New Roman" w:cs="Times New Roman"/>
          <w:sz w:val="28"/>
          <w:szCs w:val="24"/>
          <w:lang w:val="kk-KZ"/>
        </w:rPr>
        <w:t>6</w:t>
      </w:r>
      <w:r w:rsidR="00B648CF">
        <w:rPr>
          <w:rFonts w:ascii="Times New Roman" w:hAnsi="Times New Roman" w:cs="Times New Roman"/>
          <w:sz w:val="28"/>
          <w:szCs w:val="24"/>
          <w:lang w:val="kk-KZ"/>
        </w:rPr>
        <w:t xml:space="preserve"> -</w:t>
      </w:r>
      <w:r>
        <w:rPr>
          <w:rFonts w:ascii="Times New Roman" w:hAnsi="Times New Roman" w:cs="Times New Roman"/>
          <w:sz w:val="28"/>
          <w:szCs w:val="24"/>
        </w:rPr>
        <w:t xml:space="preserve"> Сравнительная характеристика полиморфизма </w:t>
      </w:r>
      <w:r>
        <w:rPr>
          <w:rFonts w:ascii="Times New Roman" w:hAnsi="Times New Roman" w:cs="Times New Roman"/>
          <w:sz w:val="28"/>
          <w:szCs w:val="28"/>
        </w:rPr>
        <w:t>Thr174Met (rs4762)</w:t>
      </w:r>
      <w:r w:rsidR="0043587E">
        <w:rPr>
          <w:rFonts w:ascii="Times New Roman" w:hAnsi="Times New Roman" w:cs="Times New Roman"/>
          <w:sz w:val="28"/>
          <w:szCs w:val="28"/>
        </w:rPr>
        <w:t xml:space="preserve"> </w:t>
      </w:r>
      <w:r>
        <w:rPr>
          <w:rFonts w:ascii="Times New Roman" w:hAnsi="Times New Roman" w:cs="Times New Roman"/>
          <w:sz w:val="28"/>
          <w:szCs w:val="28"/>
        </w:rPr>
        <w:t xml:space="preserve">гена </w:t>
      </w:r>
      <w:r>
        <w:rPr>
          <w:rFonts w:ascii="Times New Roman" w:hAnsi="Times New Roman" w:cs="Times New Roman"/>
          <w:i/>
          <w:sz w:val="28"/>
          <w:szCs w:val="28"/>
        </w:rPr>
        <w:t>AGT</w:t>
      </w:r>
      <w:r w:rsidR="0043587E">
        <w:rPr>
          <w:rFonts w:ascii="Times New Roman" w:hAnsi="Times New Roman" w:cs="Times New Roman"/>
          <w:i/>
          <w:sz w:val="28"/>
          <w:szCs w:val="28"/>
        </w:rPr>
        <w:t xml:space="preserve"> </w:t>
      </w:r>
      <w:r>
        <w:rPr>
          <w:rFonts w:ascii="Times New Roman" w:hAnsi="Times New Roman" w:cs="Times New Roman"/>
          <w:sz w:val="28"/>
          <w:szCs w:val="24"/>
          <w:lang w:val="kk-KZ"/>
        </w:rPr>
        <w:t>в исследуемой</w:t>
      </w:r>
      <w:r w:rsidR="0043587E">
        <w:rPr>
          <w:rFonts w:ascii="Times New Roman" w:hAnsi="Times New Roman" w:cs="Times New Roman"/>
          <w:sz w:val="28"/>
          <w:szCs w:val="24"/>
          <w:lang w:val="kk-KZ"/>
        </w:rPr>
        <w:t xml:space="preserve"> </w:t>
      </w:r>
      <w:r w:rsidR="003C0955">
        <w:rPr>
          <w:rFonts w:ascii="Times New Roman" w:hAnsi="Times New Roman" w:cs="Times New Roman"/>
          <w:sz w:val="28"/>
          <w:szCs w:val="24"/>
          <w:lang w:val="kk-KZ"/>
        </w:rPr>
        <w:t>выборке</w:t>
      </w:r>
    </w:p>
    <w:p w:rsidR="00132A90" w:rsidRDefault="00132A90"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outlineLvl w:val="0"/>
        <w:rPr>
          <w:rFonts w:ascii="Times New Roman" w:hAnsi="Times New Roman" w:cs="Times New Roman"/>
          <w:sz w:val="28"/>
          <w:szCs w:val="24"/>
          <w:lang w:val="kk-KZ"/>
        </w:rPr>
      </w:pPr>
    </w:p>
    <w:tbl>
      <w:tblPr>
        <w:tblStyle w:val="21"/>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1699"/>
        <w:gridCol w:w="1134"/>
        <w:gridCol w:w="992"/>
        <w:gridCol w:w="992"/>
        <w:gridCol w:w="993"/>
        <w:gridCol w:w="992"/>
        <w:gridCol w:w="1024"/>
      </w:tblGrid>
      <w:tr w:rsidR="00AB12B3" w:rsidTr="005E1D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gridSpan w:val="2"/>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b w:val="0"/>
                <w:sz w:val="28"/>
                <w:szCs w:val="28"/>
              </w:rPr>
            </w:pPr>
            <w:r>
              <w:rPr>
                <w:rFonts w:ascii="Times New Roman" w:hAnsi="Times New Roman" w:cs="Times New Roman"/>
                <w:b w:val="0"/>
                <w:sz w:val="28"/>
                <w:szCs w:val="28"/>
              </w:rPr>
              <w:t>Полиморфизм гена</w:t>
            </w:r>
          </w:p>
        </w:tc>
        <w:tc>
          <w:tcPr>
            <w:tcW w:w="3118" w:type="dxa"/>
            <w:gridSpan w:val="3"/>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 xml:space="preserve">Генотипы </w:t>
            </w:r>
            <w:r>
              <w:rPr>
                <w:rFonts w:ascii="Times New Roman" w:hAnsi="Times New Roman" w:cs="Times New Roman"/>
                <w:b w:val="0"/>
                <w:sz w:val="28"/>
                <w:szCs w:val="28"/>
                <w:lang w:val="en-US"/>
              </w:rPr>
              <w:t>n</w:t>
            </w:r>
          </w:p>
        </w:tc>
        <w:tc>
          <w:tcPr>
            <w:tcW w:w="1985" w:type="dxa"/>
            <w:gridSpan w:val="2"/>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Аллели</w:t>
            </w:r>
            <w:r>
              <w:rPr>
                <w:rFonts w:ascii="Times New Roman" w:hAnsi="Times New Roman" w:cs="Times New Roman"/>
                <w:b w:val="0"/>
                <w:sz w:val="28"/>
                <w:szCs w:val="28"/>
                <w:lang w:val="en-US"/>
              </w:rPr>
              <w:t xml:space="preserve"> n</w:t>
            </w:r>
          </w:p>
        </w:tc>
        <w:tc>
          <w:tcPr>
            <w:tcW w:w="102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p*</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gridSpan w:val="2"/>
            <w:tcBorders>
              <w:top w:val="single" w:sz="4" w:space="0" w:color="auto"/>
              <w:left w:val="single" w:sz="4" w:space="0" w:color="auto"/>
              <w:bottom w:val="single" w:sz="4" w:space="0" w:color="auto"/>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i/>
                <w:sz w:val="28"/>
                <w:szCs w:val="28"/>
              </w:rPr>
              <w:t>AGT</w:t>
            </w:r>
            <w:r>
              <w:rPr>
                <w:rFonts w:ascii="Times New Roman" w:hAnsi="Times New Roman" w:cs="Times New Roman"/>
                <w:b w:val="0"/>
                <w:sz w:val="28"/>
                <w:szCs w:val="28"/>
              </w:rPr>
              <w:t xml:space="preserve"> Thr174Met (rs4762)</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G/G</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G/А</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А/А</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G</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А</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sz w:val="28"/>
                <w:szCs w:val="28"/>
              </w:rPr>
              <w:t>0,79**</w:t>
            </w:r>
          </w:p>
        </w:tc>
      </w:tr>
      <w:tr w:rsidR="00AB12B3" w:rsidTr="005E1D88">
        <w:tc>
          <w:tcPr>
            <w:cnfStyle w:val="001000000000" w:firstRow="0" w:lastRow="0" w:firstColumn="1" w:lastColumn="0" w:oddVBand="0" w:evenVBand="0" w:oddHBand="0" w:evenHBand="0" w:firstRowFirstColumn="0" w:firstRowLastColumn="0" w:lastRowFirstColumn="0" w:lastRowLastColumn="0"/>
            <w:tcW w:w="3116" w:type="dxa"/>
            <w:gridSpan w:val="2"/>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sz w:val="28"/>
                <w:szCs w:val="28"/>
                <w:lang w:val="en-US"/>
              </w:rPr>
            </w:pPr>
            <w:r>
              <w:rPr>
                <w:rFonts w:ascii="Times New Roman" w:hAnsi="Times New Roman" w:cs="Times New Roman"/>
                <w:b w:val="0"/>
                <w:sz w:val="28"/>
                <w:szCs w:val="28"/>
              </w:rPr>
              <w:t>Всего</w:t>
            </w:r>
            <w:r w:rsidR="00772306">
              <w:rPr>
                <w:rFonts w:ascii="Times New Roman" w:hAnsi="Times New Roman" w:cs="Times New Roman"/>
                <w:b w:val="0"/>
                <w:sz w:val="28"/>
                <w:szCs w:val="28"/>
              </w:rPr>
              <w:t xml:space="preserve"> </w:t>
            </w:r>
            <w:r>
              <w:rPr>
                <w:rFonts w:ascii="Times New Roman" w:hAnsi="Times New Roman" w:cs="Times New Roman"/>
                <w:b w:val="0"/>
                <w:sz w:val="28"/>
                <w:szCs w:val="28"/>
                <w:lang w:val="en-US"/>
              </w:rPr>
              <w:t>n=460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375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80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830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90</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p>
        </w:tc>
      </w:tr>
      <w:tr w:rsidR="00AB12B3" w:rsidTr="005E1D88">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b w:val="0"/>
                <w:sz w:val="28"/>
                <w:szCs w:val="28"/>
              </w:rPr>
            </w:pPr>
            <w:r>
              <w:rPr>
                <w:rFonts w:ascii="Times New Roman" w:hAnsi="Times New Roman" w:cs="Times New Roman"/>
                <w:b w:val="0"/>
                <w:sz w:val="28"/>
                <w:szCs w:val="28"/>
              </w:rPr>
              <w:t>Пол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Муж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199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3</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427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35</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0,02</w:t>
            </w: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Жен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176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403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55</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b w:val="0"/>
                <w:sz w:val="28"/>
                <w:szCs w:val="28"/>
              </w:rPr>
            </w:pPr>
            <w:r>
              <w:rPr>
                <w:rFonts w:ascii="Times New Roman" w:hAnsi="Times New Roman" w:cs="Times New Roman"/>
                <w:b w:val="0"/>
                <w:sz w:val="28"/>
                <w:szCs w:val="28"/>
              </w:rPr>
              <w:t>ИМТ</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НВ</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152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334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63</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0,83</w:t>
            </w: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rPr>
              <w:t>ИВ</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158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350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Ож</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146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ОХС, ммоль/л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≤4,9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329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730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82</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0,61</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&gt;4,9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46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100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ТГ, ммоль/л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272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603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69</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0,38</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pPr>
            <w:r>
              <w:rPr>
                <w:rFonts w:ascii="Times New Roman" w:hAnsi="Times New Roman"/>
                <w:sz w:val="28"/>
                <w:szCs w:val="28"/>
              </w:rPr>
              <w:t>&gt;1,7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227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21</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7F7F7F" w:themeColor="text1" w:themeTint="80"/>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ЛПВП, ммоль/л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Муж ≥1,0</w:t>
            </w:r>
          </w:p>
          <w:p w:rsidR="00AB12B3" w:rsidRDefault="00AB12B3">
            <w:pPr>
              <w:jc w:val="center"/>
              <w:cnfStyle w:val="000000000000" w:firstRow="0" w:lastRow="0" w:firstColumn="0" w:lastColumn="0" w:oddVBand="0" w:evenVBand="0" w:oddHBand="0" w:evenHBand="0" w:firstRowFirstColumn="0" w:firstRowLastColumn="0" w:lastRowFirstColumn="0" w:lastRowLastColumn="0"/>
            </w:pPr>
            <w:r>
              <w:rPr>
                <w:rFonts w:ascii="Times New Roman" w:hAnsi="Times New Roman"/>
                <w:sz w:val="28"/>
                <w:szCs w:val="28"/>
              </w:rPr>
              <w:t>Жен ≥1,2</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141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311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33</w:t>
            </w:r>
          </w:p>
        </w:tc>
        <w:tc>
          <w:tcPr>
            <w:tcW w:w="1024"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0,97</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left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Муж &lt;1,0</w:t>
            </w:r>
          </w:p>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Жен &lt;1,2</w:t>
            </w:r>
          </w:p>
        </w:tc>
        <w:tc>
          <w:tcPr>
            <w:tcW w:w="1134" w:type="dxa"/>
            <w:tcBorders>
              <w:left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234</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51</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993"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519</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57</w:t>
            </w:r>
          </w:p>
        </w:tc>
        <w:tc>
          <w:tcPr>
            <w:tcW w:w="1024" w:type="dxa"/>
            <w:vMerge/>
            <w:tcBorders>
              <w:top w:val="single" w:sz="4" w:space="0" w:color="auto"/>
              <w:left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 xml:space="preserve">ЛПНП, ммоль/л </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326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719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77</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0,51</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&gt;3, 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49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111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апоВ, г/л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&lt;0,9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141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311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0,71</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≥0,9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234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4</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519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59</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7F7F7F" w:themeColor="text1" w:themeTint="80"/>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апоА1</w:t>
            </w:r>
            <w:r w:rsidRPr="00772306">
              <w:rPr>
                <w:rFonts w:ascii="Century" w:hAnsi="Century"/>
                <w:b w:val="0"/>
                <w:sz w:val="28"/>
                <w:szCs w:val="28"/>
              </w:rPr>
              <w:t xml:space="preserve">, </w:t>
            </w:r>
            <w:r>
              <w:rPr>
                <w:rFonts w:ascii="Times New Roman" w:hAnsi="Times New Roman"/>
                <w:b w:val="0"/>
                <w:sz w:val="28"/>
                <w:szCs w:val="28"/>
              </w:rPr>
              <w:t>г</w:t>
            </w:r>
            <w:r w:rsidRPr="00772306">
              <w:rPr>
                <w:rFonts w:ascii="Century" w:hAnsi="Century"/>
                <w:b w:val="0"/>
                <w:sz w:val="28"/>
                <w:szCs w:val="28"/>
              </w:rPr>
              <w:t>/</w:t>
            </w:r>
            <w:r>
              <w:rPr>
                <w:rFonts w:ascii="Times New Roman" w:hAnsi="Times New Roman"/>
                <w:b w:val="0"/>
                <w:sz w:val="28"/>
                <w:szCs w:val="28"/>
              </w:rPr>
              <w:t>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szCs w:val="28"/>
              </w:rPr>
            </w:pPr>
            <w:r>
              <w:rPr>
                <w:rFonts w:ascii="Times New Roman" w:hAnsi="Times New Roman"/>
                <w:color w:val="000000"/>
                <w:sz w:val="28"/>
                <w:szCs w:val="28"/>
              </w:rPr>
              <w:t xml:space="preserve">Муж </w:t>
            </w:r>
            <w:r w:rsidRPr="00772306">
              <w:rPr>
                <w:rFonts w:ascii="Century" w:hAnsi="Century"/>
                <w:color w:val="000000"/>
                <w:sz w:val="28"/>
                <w:szCs w:val="28"/>
              </w:rPr>
              <w:t>≥</w:t>
            </w:r>
            <w:r>
              <w:rPr>
                <w:rFonts w:ascii="Times New Roman" w:hAnsi="Times New Roman"/>
                <w:color w:val="000000"/>
                <w:sz w:val="28"/>
                <w:szCs w:val="28"/>
              </w:rPr>
              <w:t>1</w:t>
            </w:r>
            <w:r w:rsidRPr="00772306">
              <w:rPr>
                <w:rFonts w:ascii="Century" w:hAnsi="Century"/>
                <w:color w:val="000000"/>
                <w:sz w:val="28"/>
                <w:szCs w:val="28"/>
              </w:rPr>
              <w:t>,</w:t>
            </w:r>
            <w:r>
              <w:rPr>
                <w:rFonts w:ascii="Times New Roman" w:hAnsi="Times New Roman"/>
                <w:color w:val="000000"/>
                <w:sz w:val="28"/>
                <w:szCs w:val="28"/>
              </w:rPr>
              <w:t>04</w:t>
            </w:r>
          </w:p>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color w:val="000000"/>
                <w:sz w:val="28"/>
                <w:szCs w:val="28"/>
              </w:rPr>
              <w:t xml:space="preserve">Жен </w:t>
            </w:r>
            <w:r w:rsidRPr="00772306">
              <w:rPr>
                <w:rFonts w:ascii="Century" w:hAnsi="Century"/>
                <w:color w:val="000000"/>
                <w:sz w:val="28"/>
                <w:szCs w:val="28"/>
              </w:rPr>
              <w:t>≥</w:t>
            </w:r>
            <w:r>
              <w:rPr>
                <w:rFonts w:ascii="Times New Roman" w:hAnsi="Times New Roman"/>
                <w:color w:val="000000"/>
                <w:sz w:val="28"/>
                <w:szCs w:val="28"/>
              </w:rPr>
              <w:t>1</w:t>
            </w:r>
            <w:r w:rsidRPr="00772306">
              <w:rPr>
                <w:rFonts w:ascii="Century" w:hAnsi="Century"/>
                <w:color w:val="000000"/>
                <w:sz w:val="28"/>
                <w:szCs w:val="28"/>
              </w:rPr>
              <w:t>,</w:t>
            </w:r>
            <w:r>
              <w:rPr>
                <w:rFonts w:ascii="Times New Roman" w:hAnsi="Times New Roman"/>
                <w:color w:val="000000"/>
                <w:sz w:val="28"/>
                <w:szCs w:val="28"/>
              </w:rPr>
              <w:t xml:space="preserve">08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354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5</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782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84</w:t>
            </w:r>
          </w:p>
        </w:tc>
        <w:tc>
          <w:tcPr>
            <w:tcW w:w="1024"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w:t>
            </w:r>
            <w:r w:rsidRPr="00772306">
              <w:rPr>
                <w:rFonts w:ascii="Century" w:hAnsi="Century" w:cs="Times New Roman"/>
                <w:sz w:val="28"/>
                <w:szCs w:val="28"/>
                <w:lang w:val="kk-KZ"/>
              </w:rPr>
              <w:t>,</w:t>
            </w:r>
            <w:r>
              <w:rPr>
                <w:rFonts w:ascii="Times New Roman" w:hAnsi="Times New Roman" w:cs="Times New Roman"/>
                <w:sz w:val="28"/>
                <w:szCs w:val="28"/>
                <w:lang w:val="kk-KZ"/>
              </w:rPr>
              <w:t>53</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left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szCs w:val="28"/>
              </w:rPr>
            </w:pPr>
            <w:r>
              <w:rPr>
                <w:rFonts w:ascii="Times New Roman" w:hAnsi="Times New Roman"/>
                <w:color w:val="000000"/>
                <w:sz w:val="28"/>
                <w:szCs w:val="28"/>
              </w:rPr>
              <w:t>Муж &lt;1,04</w:t>
            </w:r>
          </w:p>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szCs w:val="28"/>
              </w:rPr>
            </w:pPr>
            <w:r>
              <w:rPr>
                <w:rFonts w:ascii="Times New Roman" w:hAnsi="Times New Roman"/>
                <w:color w:val="000000"/>
                <w:sz w:val="28"/>
                <w:szCs w:val="28"/>
              </w:rPr>
              <w:t>Жен &lt;1,08</w:t>
            </w:r>
          </w:p>
        </w:tc>
        <w:tc>
          <w:tcPr>
            <w:tcW w:w="1134"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992" w:type="dxa"/>
            <w:tcBorders>
              <w:left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0</w:t>
            </w:r>
          </w:p>
        </w:tc>
        <w:tc>
          <w:tcPr>
            <w:tcW w:w="993"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48</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1024" w:type="dxa"/>
            <w:vMerge/>
            <w:tcBorders>
              <w:top w:val="single" w:sz="4" w:space="0" w:color="auto"/>
              <w:left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772306" w:rsidRDefault="00AB12B3" w:rsidP="00772306">
            <w:pPr>
              <w:jc w:val="center"/>
              <w:rPr>
                <w:rFonts w:ascii="Times New Roman" w:hAnsi="Times New Roman"/>
                <w:bCs w:val="0"/>
                <w:sz w:val="28"/>
                <w:szCs w:val="28"/>
              </w:rPr>
            </w:pPr>
            <w:r>
              <w:rPr>
                <w:rFonts w:ascii="Times New Roman" w:hAnsi="Times New Roman"/>
                <w:b w:val="0"/>
                <w:sz w:val="28"/>
                <w:szCs w:val="28"/>
              </w:rPr>
              <w:t>апоВ</w:t>
            </w:r>
            <w:r w:rsidRPr="00772306">
              <w:rPr>
                <w:rFonts w:ascii="Century" w:hAnsi="Century"/>
                <w:b w:val="0"/>
                <w:sz w:val="28"/>
                <w:szCs w:val="28"/>
              </w:rPr>
              <w:t>/</w:t>
            </w:r>
          </w:p>
          <w:p w:rsidR="00AB12B3" w:rsidRDefault="00AB12B3" w:rsidP="00772306">
            <w:pPr>
              <w:jc w:val="center"/>
              <w:rPr>
                <w:rFonts w:ascii="Times New Roman" w:hAnsi="Times New Roman"/>
                <w:b w:val="0"/>
                <w:sz w:val="28"/>
                <w:szCs w:val="28"/>
              </w:rPr>
            </w:pPr>
            <w:r>
              <w:rPr>
                <w:rFonts w:ascii="Times New Roman" w:hAnsi="Times New Roman"/>
                <w:b w:val="0"/>
                <w:sz w:val="28"/>
                <w:szCs w:val="28"/>
              </w:rPr>
              <w:t>апоА1</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772306">
              <w:rPr>
                <w:rFonts w:ascii="Century" w:hAnsi="Century"/>
                <w:sz w:val="28"/>
                <w:szCs w:val="28"/>
              </w:rPr>
              <w:t>≤</w:t>
            </w:r>
            <w:r>
              <w:rPr>
                <w:rFonts w:ascii="Times New Roman" w:hAnsi="Times New Roman"/>
                <w:sz w:val="28"/>
                <w:szCs w:val="28"/>
              </w:rPr>
              <w:t>0</w:t>
            </w:r>
            <w:r w:rsidRPr="00772306">
              <w:rPr>
                <w:rFonts w:ascii="Century" w:hAnsi="Century"/>
                <w:sz w:val="28"/>
                <w:szCs w:val="28"/>
              </w:rPr>
              <w:t>,</w:t>
            </w:r>
            <w:r>
              <w:rPr>
                <w:rFonts w:ascii="Times New Roman" w:hAnsi="Times New Roman"/>
                <w:sz w:val="28"/>
                <w:szCs w:val="28"/>
              </w:rPr>
              <w:t>85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287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5</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641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77</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w:t>
            </w:r>
            <w:r w:rsidRPr="00772306">
              <w:rPr>
                <w:rFonts w:ascii="Century" w:hAnsi="Century" w:cs="Times New Roman"/>
                <w:sz w:val="28"/>
                <w:szCs w:val="28"/>
                <w:lang w:val="kk-KZ"/>
              </w:rPr>
              <w:t>,</w:t>
            </w:r>
            <w:r>
              <w:rPr>
                <w:rFonts w:ascii="Times New Roman" w:hAnsi="Times New Roman" w:cs="Times New Roman"/>
                <w:sz w:val="28"/>
                <w:szCs w:val="28"/>
                <w:lang w:val="kk-KZ"/>
              </w:rPr>
              <w:t>18</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772306">
              <w:rPr>
                <w:rFonts w:ascii="Century" w:hAnsi="Century"/>
                <w:sz w:val="28"/>
                <w:szCs w:val="28"/>
              </w:rPr>
              <w:t>&gt;</w:t>
            </w:r>
            <w:r>
              <w:rPr>
                <w:rFonts w:ascii="Times New Roman" w:hAnsi="Times New Roman"/>
                <w:sz w:val="28"/>
                <w:szCs w:val="28"/>
              </w:rPr>
              <w:t>0</w:t>
            </w:r>
            <w:r w:rsidRPr="00772306">
              <w:rPr>
                <w:rFonts w:ascii="Century" w:hAnsi="Century"/>
                <w:sz w:val="28"/>
                <w:szCs w:val="28"/>
              </w:rPr>
              <w:t>,</w:t>
            </w:r>
            <w:r>
              <w:rPr>
                <w:rFonts w:ascii="Times New Roman" w:hAnsi="Times New Roman"/>
                <w:sz w:val="28"/>
                <w:szCs w:val="28"/>
              </w:rPr>
              <w:t>85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0</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189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глюкоза, ммоль</w:t>
            </w:r>
            <w:r w:rsidRPr="00772306">
              <w:rPr>
                <w:rFonts w:ascii="Century" w:hAnsi="Century"/>
                <w:b w:val="0"/>
                <w:sz w:val="28"/>
                <w:szCs w:val="28"/>
              </w:rPr>
              <w:t>/</w:t>
            </w:r>
            <w:r>
              <w:rPr>
                <w:rFonts w:ascii="Times New Roman" w:hAnsi="Times New Roman"/>
                <w:b w:val="0"/>
                <w:sz w:val="28"/>
                <w:szCs w:val="28"/>
              </w:rPr>
              <w:t>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≤5,59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189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416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44</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w:t>
            </w:r>
            <w:r w:rsidRPr="00772306">
              <w:rPr>
                <w:rFonts w:ascii="Century" w:hAnsi="Century" w:cs="Times New Roman"/>
                <w:sz w:val="28"/>
                <w:szCs w:val="28"/>
                <w:lang w:val="kk-KZ"/>
              </w:rPr>
              <w:t>,</w:t>
            </w:r>
            <w:r>
              <w:rPr>
                <w:rFonts w:ascii="Times New Roman" w:hAnsi="Times New Roman" w:cs="Times New Roman"/>
                <w:sz w:val="28"/>
                <w:szCs w:val="28"/>
                <w:lang w:val="kk-KZ"/>
              </w:rPr>
              <w:t>81</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&gt;5</w:t>
            </w:r>
            <w:r w:rsidRPr="00772306">
              <w:rPr>
                <w:rFonts w:ascii="Century" w:hAnsi="Century"/>
                <w:sz w:val="28"/>
                <w:szCs w:val="28"/>
              </w:rPr>
              <w:t>,</w:t>
            </w:r>
            <w:r>
              <w:rPr>
                <w:rFonts w:ascii="Times New Roman" w:hAnsi="Times New Roman"/>
                <w:sz w:val="28"/>
                <w:szCs w:val="28"/>
              </w:rPr>
              <w:t>59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186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414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46</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 xml:space="preserve">Инсулин, мкМЕ/мл </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≤24,9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339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754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84</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0,29</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&gt;24,9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cs="Times New Roman"/>
                <w:b w:val="0"/>
                <w:sz w:val="28"/>
                <w:szCs w:val="28"/>
              </w:rPr>
            </w:pPr>
            <w:r>
              <w:rPr>
                <w:rFonts w:ascii="Times New Roman" w:hAnsi="Times New Roman"/>
                <w:b w:val="0"/>
                <w:sz w:val="28"/>
                <w:szCs w:val="28"/>
              </w:rPr>
              <w:t>HOMA-IR</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&lt;</w:t>
            </w:r>
            <w:r>
              <w:rPr>
                <w:rFonts w:ascii="Times New Roman" w:hAnsi="Times New Roman"/>
                <w:sz w:val="28"/>
                <w:szCs w:val="28"/>
              </w:rPr>
              <w:t>2,7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227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498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52</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0,43</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sz w:val="28"/>
                <w:szCs w:val="28"/>
              </w:rPr>
              <w:t>2,7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148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332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38</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5E1D88">
        <w:tc>
          <w:tcPr>
            <w:cnfStyle w:val="001000000000" w:firstRow="0" w:lastRow="0" w:firstColumn="1" w:lastColumn="0" w:oddVBand="0" w:evenVBand="0" w:oddHBand="0" w:evenHBand="0" w:firstRowFirstColumn="0" w:firstRowLastColumn="0" w:lastRowFirstColumn="0" w:lastRowLastColumn="0"/>
            <w:tcW w:w="9243" w:type="dxa"/>
            <w:gridSpan w:val="8"/>
            <w:tcBorders>
              <w:top w:val="single" w:sz="4" w:space="0" w:color="auto"/>
              <w:left w:val="single" w:sz="4" w:space="0" w:color="auto"/>
              <w:bottom w:val="single" w:sz="4" w:space="0" w:color="auto"/>
              <w:right w:val="single" w:sz="4" w:space="0" w:color="auto"/>
            </w:tcBorders>
            <w:hideMark/>
          </w:tcPr>
          <w:p w:rsidR="00214141" w:rsidRPr="00214141" w:rsidRDefault="00214141" w:rsidP="00214141">
            <w:pPr>
              <w:jc w:val="both"/>
              <w:rPr>
                <w:rFonts w:ascii="Times New Roman" w:hAnsi="Times New Roman"/>
                <w:b w:val="0"/>
                <w:bCs w:val="0"/>
              </w:rPr>
            </w:pPr>
            <w:r w:rsidRPr="00214141">
              <w:rPr>
                <w:rFonts w:ascii="Times New Roman" w:hAnsi="Times New Roman"/>
                <w:b w:val="0"/>
                <w:bCs w:val="0"/>
              </w:rPr>
              <w:t xml:space="preserve">НВ – нормальный вес; ИВ – избыточный вес; Ож – ожирение; </w:t>
            </w:r>
          </w:p>
          <w:p w:rsidR="00AB12B3" w:rsidRPr="00214141" w:rsidRDefault="00AB12B3">
            <w:pPr>
              <w:jc w:val="both"/>
              <w:outlineLvl w:val="0"/>
              <w:rPr>
                <w:rFonts w:ascii="Times New Roman" w:hAnsi="Times New Roman" w:cs="Times New Roman"/>
                <w:b w:val="0"/>
                <w:color w:val="050505"/>
                <w:lang w:val="kk-KZ"/>
              </w:rPr>
            </w:pPr>
            <w:r w:rsidRPr="00214141">
              <w:rPr>
                <w:rFonts w:ascii="Times New Roman" w:hAnsi="Times New Roman" w:cs="Times New Roman"/>
                <w:b w:val="0"/>
                <w:color w:val="050505"/>
              </w:rPr>
              <w:t>* - критерий χ</w:t>
            </w:r>
            <w:r w:rsidRPr="00214141">
              <w:rPr>
                <w:rFonts w:ascii="Times New Roman" w:hAnsi="Times New Roman" w:cs="Times New Roman"/>
                <w:b w:val="0"/>
                <w:color w:val="050505"/>
                <w:vertAlign w:val="superscript"/>
              </w:rPr>
              <w:t>2</w:t>
            </w:r>
            <w:r w:rsidRPr="00214141">
              <w:rPr>
                <w:rFonts w:ascii="Times New Roman" w:hAnsi="Times New Roman" w:cs="Times New Roman"/>
                <w:b w:val="0"/>
                <w:color w:val="050505"/>
              </w:rPr>
              <w:t xml:space="preserve"> Пирсона</w:t>
            </w:r>
            <w:r w:rsidRPr="00214141">
              <w:rPr>
                <w:rFonts w:ascii="Times New Roman" w:hAnsi="Times New Roman" w:cs="Times New Roman"/>
                <w:b w:val="0"/>
                <w:color w:val="050505"/>
                <w:lang w:val="kk-KZ"/>
              </w:rPr>
              <w:t xml:space="preserve"> ** - </w:t>
            </w:r>
            <w:r w:rsidRPr="00214141">
              <w:rPr>
                <w:rFonts w:ascii="Times New Roman" w:hAnsi="Times New Roman"/>
                <w:b w:val="0"/>
              </w:rPr>
              <w:t>равновесие Харди-Вайнберга</w:t>
            </w:r>
          </w:p>
        </w:tc>
      </w:tr>
    </w:tbl>
    <w:p w:rsidR="005F65D4" w:rsidRDefault="005F65D4"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Полиморфизмы гена</w:t>
      </w:r>
      <w:r w:rsidR="00F47EFE">
        <w:rPr>
          <w:rFonts w:ascii="Times New Roman" w:hAnsi="Times New Roman" w:cs="Times New Roman"/>
          <w:sz w:val="28"/>
          <w:szCs w:val="28"/>
          <w:lang w:val="kk-KZ"/>
        </w:rPr>
        <w:t xml:space="preserve"> </w:t>
      </w:r>
      <w:r>
        <w:rPr>
          <w:rFonts w:ascii="Times New Roman" w:hAnsi="Times New Roman" w:cs="Times New Roman"/>
          <w:i/>
          <w:sz w:val="28"/>
          <w:szCs w:val="28"/>
          <w:lang w:val="kk-KZ"/>
        </w:rPr>
        <w:t>AGT</w:t>
      </w:r>
      <w:r w:rsidR="00F47EFE">
        <w:rPr>
          <w:rFonts w:ascii="Times New Roman" w:hAnsi="Times New Roman" w:cs="Times New Roman"/>
          <w:i/>
          <w:sz w:val="28"/>
          <w:szCs w:val="28"/>
          <w:lang w:val="kk-KZ"/>
        </w:rPr>
        <w:t xml:space="preserve"> </w:t>
      </w:r>
      <w:r>
        <w:rPr>
          <w:rFonts w:ascii="Times New Roman" w:hAnsi="Times New Roman" w:cs="Times New Roman"/>
          <w:sz w:val="28"/>
          <w:szCs w:val="28"/>
          <w:lang w:val="kk-KZ"/>
        </w:rPr>
        <w:t>связаны с гипертонией, чувствительностью к инсулину</w:t>
      </w:r>
      <w:r w:rsidR="00F47EFE">
        <w:rPr>
          <w:rFonts w:ascii="Times New Roman" w:hAnsi="Times New Roman" w:cs="Times New Roman"/>
          <w:sz w:val="28"/>
          <w:szCs w:val="28"/>
          <w:lang w:val="kk-KZ"/>
        </w:rPr>
        <w:t xml:space="preserve"> </w:t>
      </w:r>
      <w:r w:rsidR="00EA0E64">
        <w:rPr>
          <w:rFonts w:ascii="Times New Roman" w:hAnsi="Times New Roman" w:cs="Times New Roman"/>
          <w:sz w:val="28"/>
          <w:szCs w:val="28"/>
          <w:lang w:val="kk-KZ"/>
        </w:rPr>
        <w:fldChar w:fldCharType="begin" w:fldLock="1"/>
      </w:r>
      <w:r w:rsidR="00027D70">
        <w:rPr>
          <w:rFonts w:ascii="Times New Roman" w:hAnsi="Times New Roman" w:cs="Times New Roman"/>
          <w:sz w:val="28"/>
          <w:szCs w:val="28"/>
          <w:lang w:val="kk-KZ"/>
        </w:rPr>
        <w:instrText>ADDIN CSL_CITATION {"citationItems":[{"id":"ITEM-1","itemData":{"DOI":"10.1007/s11906-012-0323-2","ISSN":"1522-6417","abstract":"Alterations in the renin angiotensin aldosterone system (RAAS) contribute to the underlying pathophysiology of insulin resistance in humans; however, individual differences in the treatment response of insulin resistance to RAAS blockade persist. Thus, understanding inter-individual differences in the relationship between the RAAS and insulin resistance may provide insights into improved personalized treatments and improved outcomes. The effects of the systemic RAAS on blood pressure regulation and glucose metabolism have been studied extensively; however, recent discoveries on the influence of local tissue RAAS in the skeletal muscle, heart, vasculature, adipocytes, and pancreas have led to an improved understanding of how activated tissue RAAS influences the development of insulin resistance and diabetes in humans. Angiotensin II (ANGII) is the predominant RAAS component contributing to insulin resistance; however, other players such as aldosterone, renin, and ACE2 are also involved. This review examines the role of local ANGII activity on insulin resistance development in skeletal muscle, adipocytes, and pancreas, followed by a discussion of the other RAAS components implicated in insulin resistance, including ACE2, Ang1-7, renin, and aldosterone. Keywords Renin angiotensin aldosterone system; Angiotensin II; Insulin resistance; Aldosterone; Insulin signaling; Angiotensin converting enzyme; Angiotensin 1-7; Diabetes mellitus; Glucose metabolism; Skeletal muscle; Adipocytes; Pancreas; Insulin secretion; Inflammation; Genetics; Polymorphisms; Angiotensin II receptor blocker; Angiotensin converting enzyme inhibitor; Insulin sensitivity; Human studies; Animal models; Renin inhibitor; Obesity; Hypertension; Clinical trials Introduction Insulin resistance is a well-known risk factor for type 2 diabetes, cardiovascular disease and the metabolic syndrome [1, 2]; leading causes of morbidity and mortality worldwide. Correspondence to: Gail K. Adler, gadler@partners.org. Disclosure No potential conflicts of interest relevant to this article were reported. NIH Public Access Author Manuscript Curr Hypertens Rep. Author manuscript; available in PMC 2014 February 01. Published in final edited form as: Curr Hypertens Rep. 2013 February ; 15(1): 59–70. doi:10.1007/s11906-012-0323-2. $watermark-text $watermark-text $","author":[{"dropping-particle":"","family":"Underwood","given":"Patricia C","non-dropping-particle":"","parse-names":false,"suffix":""},{"dropping-particle":"","family":"Adler","given":"Gail K.","non-dropping-particle":"","parse-names":false,"suffix":""}],"container-title":"Current Hypertension Reports","id":"ITEM-1","issue":"1","issued":{"date-parts":[["2013","2","15"]]},"page":"59-70","title":"The Renin Angiotensin Aldosterone System and Insulin Resistance in Humans","type":"article-journal","volume":"15"},"uris":["http://www.mendeley.com/documents/?uuid=0569ce16-2118-4668-ac3b-472f3491dca1"]}],"mendeley":{"formattedCitation":"[131]","manualFormatting":"[131, р. 9]","plainTextFormattedCitation":"[131]","previouslyFormattedCitation":"[131]"},"properties":{"noteIndex":0},"schema":"https://github.com/citation-style-language/schema/raw/master/csl-citation.json"}</w:instrText>
      </w:r>
      <w:r w:rsidR="00EA0E64">
        <w:rPr>
          <w:rFonts w:ascii="Times New Roman" w:hAnsi="Times New Roman" w:cs="Times New Roman"/>
          <w:sz w:val="28"/>
          <w:szCs w:val="28"/>
          <w:lang w:val="kk-KZ"/>
        </w:rPr>
        <w:fldChar w:fldCharType="separate"/>
      </w:r>
      <w:r w:rsidR="00027D70" w:rsidRPr="00027D70">
        <w:rPr>
          <w:rFonts w:ascii="Times New Roman" w:hAnsi="Times New Roman" w:cs="Times New Roman"/>
          <w:noProof/>
          <w:sz w:val="28"/>
          <w:szCs w:val="28"/>
          <w:lang w:val="kk-KZ"/>
        </w:rPr>
        <w:t>[131</w:t>
      </w:r>
      <w:r w:rsidR="00027D70">
        <w:rPr>
          <w:rFonts w:ascii="Times New Roman" w:hAnsi="Times New Roman" w:cs="Times New Roman"/>
          <w:noProof/>
          <w:sz w:val="28"/>
          <w:szCs w:val="28"/>
          <w:lang w:val="kk-KZ"/>
        </w:rPr>
        <w:t>, р. 9</w:t>
      </w:r>
      <w:r w:rsidR="00027D70" w:rsidRPr="00027D70">
        <w:rPr>
          <w:rFonts w:ascii="Times New Roman" w:hAnsi="Times New Roman" w:cs="Times New Roman"/>
          <w:noProof/>
          <w:sz w:val="28"/>
          <w:szCs w:val="28"/>
          <w:lang w:val="kk-KZ"/>
        </w:rPr>
        <w:t>]</w:t>
      </w:r>
      <w:r w:rsidR="00EA0E64">
        <w:rPr>
          <w:rFonts w:ascii="Times New Roman" w:hAnsi="Times New Roman" w:cs="Times New Roman"/>
          <w:sz w:val="28"/>
          <w:szCs w:val="28"/>
          <w:lang w:val="kk-KZ"/>
        </w:rPr>
        <w:fldChar w:fldCharType="end"/>
      </w:r>
      <w:r>
        <w:rPr>
          <w:rFonts w:ascii="Times New Roman" w:hAnsi="Times New Roman" w:cs="Times New Roman"/>
          <w:sz w:val="28"/>
          <w:szCs w:val="28"/>
          <w:lang w:val="kk-KZ"/>
        </w:rPr>
        <w:t>. В исследованиях</w:t>
      </w:r>
      <w:r w:rsidR="00F47EFE">
        <w:rPr>
          <w:rFonts w:ascii="Times New Roman" w:hAnsi="Times New Roman" w:cs="Times New Roman"/>
          <w:sz w:val="28"/>
          <w:szCs w:val="28"/>
          <w:lang w:val="kk-KZ"/>
        </w:rPr>
        <w:t xml:space="preserve"> </w:t>
      </w:r>
      <w:r w:rsidR="00A26D43">
        <w:rPr>
          <w:rFonts w:ascii="Times New Roman" w:hAnsi="Times New Roman" w:cs="Times New Roman"/>
          <w:sz w:val="28"/>
          <w:szCs w:val="28"/>
          <w:lang w:val="kk-KZ"/>
        </w:rPr>
        <w:t xml:space="preserve">последних лет </w:t>
      </w:r>
      <w:r>
        <w:rPr>
          <w:rFonts w:ascii="Times New Roman" w:hAnsi="Times New Roman" w:cs="Times New Roman"/>
          <w:sz w:val="28"/>
          <w:szCs w:val="28"/>
          <w:lang w:val="kk-KZ"/>
        </w:rPr>
        <w:t>уровни</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t>глюкозы, ТГ, ЛПНП, апоВ</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t>были</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t>значительно</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t>выше в группе с ИР, чем в группе без ИР. И женщины</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t>имели</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t>более</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t>высокую ИР, чем</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t>мужчины</w:t>
      </w:r>
      <w:r w:rsidR="00A14FE0">
        <w:rPr>
          <w:rFonts w:ascii="Times New Roman" w:hAnsi="Times New Roman" w:cs="Times New Roman"/>
          <w:sz w:val="28"/>
          <w:szCs w:val="28"/>
          <w:lang w:val="kk-KZ"/>
        </w:rPr>
        <w:t xml:space="preserve"> данной выборки</w:t>
      </w:r>
      <w:r>
        <w:rPr>
          <w:rFonts w:ascii="Times New Roman" w:hAnsi="Times New Roman" w:cs="Times New Roman"/>
          <w:sz w:val="28"/>
          <w:szCs w:val="28"/>
          <w:lang w:val="kk-KZ"/>
        </w:rPr>
        <w:t>. Мы</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t>обнаружили, что</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t>гаплотип, содержащий</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t>аллели</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t>полиморфизма Thr174Met</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lastRenderedPageBreak/>
        <w:t>(rs4762) гена</w:t>
      </w:r>
      <w:r w:rsidR="00F47EFE">
        <w:rPr>
          <w:rFonts w:ascii="Times New Roman" w:hAnsi="Times New Roman" w:cs="Times New Roman"/>
          <w:sz w:val="28"/>
          <w:szCs w:val="28"/>
          <w:lang w:val="kk-KZ"/>
        </w:rPr>
        <w:t xml:space="preserve"> </w:t>
      </w:r>
      <w:r>
        <w:rPr>
          <w:rFonts w:ascii="Times New Roman" w:hAnsi="Times New Roman" w:cs="Times New Roman"/>
          <w:i/>
          <w:sz w:val="28"/>
          <w:szCs w:val="28"/>
          <w:lang w:val="kk-KZ"/>
        </w:rPr>
        <w:t>AGT</w:t>
      </w:r>
      <w:r w:rsidRPr="00B258D4">
        <w:rPr>
          <w:rFonts w:ascii="Century" w:hAnsi="Century" w:cs="Times New Roman"/>
          <w:sz w:val="28"/>
          <w:szCs w:val="28"/>
          <w:lang w:val="kk-KZ"/>
        </w:rPr>
        <w:t>,</w:t>
      </w:r>
      <w:r>
        <w:rPr>
          <w:rFonts w:ascii="Times New Roman" w:hAnsi="Times New Roman" w:cs="Times New Roman"/>
          <w:sz w:val="28"/>
          <w:szCs w:val="28"/>
          <w:lang w:val="kk-KZ"/>
        </w:rPr>
        <w:t xml:space="preserve"> не был</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t>связан с повышенным</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t>риском</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t>дислипидемии и/или</w:t>
      </w:r>
      <w:r w:rsidR="00F47EFE">
        <w:rPr>
          <w:rFonts w:ascii="Times New Roman" w:hAnsi="Times New Roman" w:cs="Times New Roman"/>
          <w:sz w:val="28"/>
          <w:szCs w:val="28"/>
          <w:lang w:val="kk-KZ"/>
        </w:rPr>
        <w:t xml:space="preserve"> </w:t>
      </w:r>
      <w:r>
        <w:rPr>
          <w:rFonts w:ascii="Times New Roman" w:hAnsi="Times New Roman" w:cs="Times New Roman"/>
          <w:sz w:val="28"/>
          <w:szCs w:val="28"/>
          <w:lang w:val="kk-KZ"/>
        </w:rPr>
        <w:t>риском ИР</w:t>
      </w:r>
      <w:r w:rsidR="00CB4692">
        <w:rPr>
          <w:rFonts w:ascii="Times New Roman" w:hAnsi="Times New Roman" w:cs="Times New Roman"/>
          <w:sz w:val="28"/>
          <w:szCs w:val="28"/>
          <w:lang w:val="kk-KZ"/>
        </w:rPr>
        <w:t xml:space="preserve"> в нашей исследуемой выборке</w:t>
      </w:r>
      <w:r>
        <w:rPr>
          <w:rFonts w:ascii="Times New Roman" w:hAnsi="Times New Roman" w:cs="Times New Roman"/>
          <w:sz w:val="28"/>
          <w:szCs w:val="28"/>
          <w:lang w:val="kk-KZ"/>
        </w:rPr>
        <w:t>.</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Таким</w:t>
      </w:r>
      <w:r w:rsidR="00B8006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образом, </w:t>
      </w:r>
      <w:r>
        <w:rPr>
          <w:rFonts w:ascii="Times New Roman" w:hAnsi="Times New Roman" w:cs="Times New Roman"/>
          <w:sz w:val="28"/>
          <w:szCs w:val="24"/>
        </w:rPr>
        <w:t xml:space="preserve">полиморфизма </w:t>
      </w:r>
      <w:r>
        <w:rPr>
          <w:rFonts w:ascii="Times New Roman" w:hAnsi="Times New Roman" w:cs="Times New Roman"/>
          <w:sz w:val="28"/>
          <w:szCs w:val="28"/>
        </w:rPr>
        <w:t>Thr174Met (rs4762)</w:t>
      </w:r>
      <w:r w:rsidR="00B8006E">
        <w:rPr>
          <w:rFonts w:ascii="Times New Roman" w:hAnsi="Times New Roman" w:cs="Times New Roman"/>
          <w:sz w:val="28"/>
          <w:szCs w:val="28"/>
        </w:rPr>
        <w:t xml:space="preserve"> </w:t>
      </w:r>
      <w:r>
        <w:rPr>
          <w:rFonts w:ascii="Times New Roman" w:hAnsi="Times New Roman" w:cs="Times New Roman"/>
          <w:sz w:val="28"/>
          <w:szCs w:val="28"/>
        </w:rPr>
        <w:t xml:space="preserve">гена </w:t>
      </w:r>
      <w:r>
        <w:rPr>
          <w:rFonts w:ascii="Times New Roman" w:hAnsi="Times New Roman" w:cs="Times New Roman"/>
          <w:i/>
          <w:sz w:val="28"/>
          <w:szCs w:val="28"/>
        </w:rPr>
        <w:t>AGT</w:t>
      </w:r>
      <w:r>
        <w:rPr>
          <w:rFonts w:ascii="Times New Roman" w:hAnsi="Times New Roman" w:cs="Times New Roman"/>
          <w:sz w:val="28"/>
          <w:szCs w:val="28"/>
        </w:rPr>
        <w:t xml:space="preserve"> не является генетическим </w:t>
      </w:r>
      <w:r w:rsidR="00A26D43">
        <w:rPr>
          <w:rFonts w:ascii="Times New Roman" w:hAnsi="Times New Roman" w:cs="Times New Roman"/>
          <w:sz w:val="28"/>
          <w:szCs w:val="28"/>
          <w:lang w:val="kk-KZ"/>
        </w:rPr>
        <w:t>маркер</w:t>
      </w:r>
      <w:r>
        <w:rPr>
          <w:rFonts w:ascii="Times New Roman" w:hAnsi="Times New Roman" w:cs="Times New Roman"/>
          <w:sz w:val="28"/>
          <w:szCs w:val="28"/>
        </w:rPr>
        <w:t>ом риск</w:t>
      </w:r>
      <w:r w:rsidR="00A26D43">
        <w:rPr>
          <w:rFonts w:ascii="Times New Roman" w:hAnsi="Times New Roman" w:cs="Times New Roman"/>
          <w:sz w:val="28"/>
          <w:szCs w:val="28"/>
          <w:lang w:val="kk-KZ"/>
        </w:rPr>
        <w:t>а</w:t>
      </w:r>
      <w:r>
        <w:rPr>
          <w:rFonts w:ascii="Times New Roman" w:hAnsi="Times New Roman" w:cs="Times New Roman"/>
          <w:sz w:val="28"/>
          <w:szCs w:val="28"/>
        </w:rPr>
        <w:t xml:space="preserve"> развития дислипидемии и ИР в </w:t>
      </w:r>
      <w:r w:rsidR="00CB4692">
        <w:rPr>
          <w:rFonts w:ascii="Times New Roman" w:hAnsi="Times New Roman" w:cs="Times New Roman"/>
          <w:sz w:val="28"/>
          <w:szCs w:val="28"/>
        </w:rPr>
        <w:t>данной выборке</w:t>
      </w:r>
      <w:r>
        <w:rPr>
          <w:rFonts w:ascii="Times New Roman" w:hAnsi="Times New Roman" w:cs="Times New Roman"/>
          <w:sz w:val="28"/>
          <w:szCs w:val="28"/>
        </w:rPr>
        <w:t>.</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lang w:val="kk-KZ"/>
        </w:rPr>
      </w:pPr>
    </w:p>
    <w:p w:rsidR="00AB12B3" w:rsidRPr="007256CD"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i/>
          <w:sz w:val="28"/>
          <w:szCs w:val="28"/>
          <w:lang w:val="kk-KZ"/>
        </w:rPr>
      </w:pPr>
      <w:r w:rsidRPr="007256CD">
        <w:rPr>
          <w:rFonts w:ascii="Times New Roman" w:hAnsi="Times New Roman" w:cs="Times New Roman"/>
          <w:i/>
          <w:sz w:val="28"/>
          <w:szCs w:val="28"/>
        </w:rPr>
        <w:t>Ген рецептора ангиотензина II типа I AGTR1 A1166C (rs5186)</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Частота аллелей и генотипов полиморфизма A1166C (rs5186)</w:t>
      </w:r>
      <w:r w:rsidR="00B8006E">
        <w:rPr>
          <w:rFonts w:ascii="Times New Roman" w:hAnsi="Times New Roman" w:cs="Times New Roman"/>
          <w:sz w:val="28"/>
          <w:szCs w:val="28"/>
        </w:rPr>
        <w:t xml:space="preserve"> </w:t>
      </w:r>
      <w:r>
        <w:rPr>
          <w:rFonts w:ascii="Times New Roman" w:hAnsi="Times New Roman" w:cs="Times New Roman"/>
          <w:sz w:val="28"/>
          <w:szCs w:val="24"/>
          <w:lang w:val="kk-KZ"/>
        </w:rPr>
        <w:t>гена</w:t>
      </w:r>
      <w:r w:rsidR="00B8006E">
        <w:rPr>
          <w:rFonts w:ascii="Times New Roman" w:hAnsi="Times New Roman" w:cs="Times New Roman"/>
          <w:sz w:val="28"/>
          <w:szCs w:val="24"/>
          <w:lang w:val="kk-KZ"/>
        </w:rPr>
        <w:t xml:space="preserve"> </w:t>
      </w:r>
      <w:r>
        <w:rPr>
          <w:rFonts w:ascii="Times New Roman" w:hAnsi="Times New Roman" w:cs="Times New Roman"/>
          <w:i/>
          <w:sz w:val="28"/>
          <w:szCs w:val="28"/>
        </w:rPr>
        <w:t>AGTR1</w:t>
      </w:r>
      <w:r w:rsidR="003C0BEF">
        <w:rPr>
          <w:rFonts w:ascii="Times New Roman" w:hAnsi="Times New Roman" w:cs="Times New Roman"/>
          <w:sz w:val="28"/>
          <w:szCs w:val="28"/>
        </w:rPr>
        <w:t xml:space="preserve"> предоставлена в таблице 5</w:t>
      </w:r>
      <w:r w:rsidR="003C0BEF">
        <w:rPr>
          <w:rFonts w:ascii="Times New Roman" w:hAnsi="Times New Roman" w:cs="Times New Roman"/>
          <w:sz w:val="28"/>
          <w:szCs w:val="28"/>
          <w:lang w:val="kk-KZ"/>
        </w:rPr>
        <w:t>7</w:t>
      </w:r>
      <w:r>
        <w:rPr>
          <w:rFonts w:ascii="Times New Roman" w:hAnsi="Times New Roman" w:cs="Times New Roman"/>
          <w:sz w:val="28"/>
          <w:szCs w:val="28"/>
        </w:rPr>
        <w:t xml:space="preserve">. </w:t>
      </w:r>
    </w:p>
    <w:p w:rsidR="00132A90" w:rsidRDefault="00132A90" w:rsidP="00132A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w:t>
      </w:r>
      <w:r>
        <w:rPr>
          <w:rFonts w:ascii="Times New Roman" w:hAnsi="Times New Roman" w:cs="Times New Roman"/>
          <w:sz w:val="28"/>
          <w:szCs w:val="28"/>
          <w:lang w:val="kk-KZ"/>
        </w:rPr>
        <w:t xml:space="preserve">иследовании </w:t>
      </w:r>
      <w:r>
        <w:rPr>
          <w:rFonts w:ascii="Times New Roman" w:hAnsi="Times New Roman" w:cs="Times New Roman"/>
          <w:sz w:val="28"/>
          <w:szCs w:val="28"/>
        </w:rPr>
        <w:t>распределени</w:t>
      </w:r>
      <w:r>
        <w:rPr>
          <w:rFonts w:ascii="Times New Roman" w:hAnsi="Times New Roman" w:cs="Times New Roman"/>
          <w:sz w:val="28"/>
          <w:szCs w:val="28"/>
          <w:lang w:val="kk-KZ"/>
        </w:rPr>
        <w:t>я</w:t>
      </w:r>
      <w:r>
        <w:rPr>
          <w:rFonts w:ascii="Times New Roman" w:hAnsi="Times New Roman" w:cs="Times New Roman"/>
          <w:sz w:val="28"/>
          <w:szCs w:val="28"/>
        </w:rPr>
        <w:t xml:space="preserve"> генотипов </w:t>
      </w:r>
      <w:r>
        <w:rPr>
          <w:rFonts w:ascii="Times New Roman" w:hAnsi="Times New Roman" w:cs="Times New Roman"/>
          <w:sz w:val="28"/>
          <w:szCs w:val="24"/>
        </w:rPr>
        <w:t xml:space="preserve">полиморфизма </w:t>
      </w:r>
      <w:r>
        <w:rPr>
          <w:rFonts w:ascii="Times New Roman" w:hAnsi="Times New Roman" w:cs="Times New Roman"/>
          <w:sz w:val="28"/>
          <w:szCs w:val="28"/>
        </w:rPr>
        <w:t xml:space="preserve">A1166C (rs5186) </w:t>
      </w:r>
      <w:r>
        <w:rPr>
          <w:rFonts w:ascii="Times New Roman" w:hAnsi="Times New Roman" w:cs="Times New Roman"/>
          <w:sz w:val="28"/>
          <w:szCs w:val="24"/>
          <w:lang w:val="kk-KZ"/>
        </w:rPr>
        <w:t xml:space="preserve">гена </w:t>
      </w:r>
      <w:r>
        <w:rPr>
          <w:rFonts w:ascii="Times New Roman" w:hAnsi="Times New Roman" w:cs="Times New Roman"/>
          <w:i/>
          <w:sz w:val="28"/>
          <w:szCs w:val="28"/>
        </w:rPr>
        <w:t>AGTR1</w:t>
      </w:r>
      <w:r>
        <w:rPr>
          <w:rFonts w:ascii="Times New Roman" w:hAnsi="Times New Roman" w:cs="Times New Roman"/>
          <w:sz w:val="28"/>
          <w:szCs w:val="28"/>
        </w:rPr>
        <w:t xml:space="preserve"> было выявлено отклонение от равновесия Харди-Вайнберга. Генотип А/А </w:t>
      </w:r>
      <w:r>
        <w:rPr>
          <w:rFonts w:ascii="Times New Roman" w:hAnsi="Times New Roman" w:cs="Times New Roman"/>
          <w:sz w:val="28"/>
          <w:szCs w:val="24"/>
        </w:rPr>
        <w:t xml:space="preserve">полиморфизма </w:t>
      </w:r>
      <w:r>
        <w:rPr>
          <w:rFonts w:ascii="Times New Roman" w:hAnsi="Times New Roman" w:cs="Times New Roman"/>
          <w:sz w:val="28"/>
          <w:szCs w:val="28"/>
        </w:rPr>
        <w:t xml:space="preserve">A1166C (rs5186) </w:t>
      </w:r>
      <w:r>
        <w:rPr>
          <w:rFonts w:ascii="Times New Roman" w:hAnsi="Times New Roman" w:cs="Times New Roman"/>
          <w:sz w:val="28"/>
          <w:szCs w:val="24"/>
          <w:lang w:val="kk-KZ"/>
        </w:rPr>
        <w:t xml:space="preserve">гена </w:t>
      </w:r>
      <w:r>
        <w:rPr>
          <w:rFonts w:ascii="Times New Roman" w:hAnsi="Times New Roman" w:cs="Times New Roman"/>
          <w:i/>
          <w:sz w:val="28"/>
          <w:szCs w:val="28"/>
        </w:rPr>
        <w:t>AGTR1</w:t>
      </w:r>
      <w:r>
        <w:rPr>
          <w:rFonts w:ascii="Times New Roman" w:hAnsi="Times New Roman" w:cs="Times New Roman"/>
          <w:sz w:val="28"/>
          <w:szCs w:val="28"/>
        </w:rPr>
        <w:t xml:space="preserve"> чаще встреча</w:t>
      </w:r>
      <w:r>
        <w:rPr>
          <w:rFonts w:ascii="Times New Roman" w:hAnsi="Times New Roman" w:cs="Times New Roman"/>
          <w:sz w:val="28"/>
          <w:szCs w:val="28"/>
          <w:lang w:val="kk-KZ"/>
        </w:rPr>
        <w:t>л</w:t>
      </w:r>
      <w:r>
        <w:rPr>
          <w:rFonts w:ascii="Times New Roman" w:hAnsi="Times New Roman" w:cs="Times New Roman"/>
          <w:sz w:val="28"/>
          <w:szCs w:val="28"/>
        </w:rPr>
        <w:t>ся у мужчин</w:t>
      </w:r>
      <w:r w:rsidRPr="00307755">
        <w:rPr>
          <w:rFonts w:ascii="Times New Roman" w:hAnsi="Times New Roman" w:cs="Times New Roman"/>
          <w:sz w:val="28"/>
          <w:szCs w:val="28"/>
        </w:rPr>
        <w:t xml:space="preserve"> </w:t>
      </w:r>
      <w:r>
        <w:rPr>
          <w:rFonts w:ascii="Times New Roman" w:hAnsi="Times New Roman" w:cs="Times New Roman"/>
          <w:sz w:val="28"/>
          <w:szCs w:val="28"/>
        </w:rPr>
        <w:t>исследуемой выборки, а у женщин чаще выявлялс</w:t>
      </w:r>
      <w:r>
        <w:rPr>
          <w:rFonts w:ascii="Times New Roman" w:hAnsi="Times New Roman" w:cs="Times New Roman"/>
          <w:sz w:val="28"/>
          <w:szCs w:val="28"/>
          <w:lang w:val="kk-KZ"/>
        </w:rPr>
        <w:t>я</w:t>
      </w:r>
      <w:r>
        <w:rPr>
          <w:rFonts w:ascii="Times New Roman" w:hAnsi="Times New Roman" w:cs="Times New Roman"/>
          <w:sz w:val="28"/>
          <w:szCs w:val="28"/>
        </w:rPr>
        <w:t xml:space="preserve"> гетерозиготный и рецессивный гомозиготны</w:t>
      </w:r>
      <w:r>
        <w:rPr>
          <w:rFonts w:ascii="Times New Roman" w:hAnsi="Times New Roman" w:cs="Times New Roman"/>
          <w:sz w:val="28"/>
          <w:szCs w:val="28"/>
          <w:lang w:val="kk-KZ"/>
        </w:rPr>
        <w:t>й</w:t>
      </w:r>
      <w:r>
        <w:rPr>
          <w:rFonts w:ascii="Times New Roman" w:hAnsi="Times New Roman" w:cs="Times New Roman"/>
          <w:sz w:val="28"/>
          <w:szCs w:val="28"/>
        </w:rPr>
        <w:t xml:space="preserve"> генотипы. При изучении взаимосвязи </w:t>
      </w:r>
      <w:r>
        <w:rPr>
          <w:rFonts w:ascii="Times New Roman" w:hAnsi="Times New Roman" w:cs="Times New Roman"/>
          <w:sz w:val="28"/>
          <w:szCs w:val="24"/>
        </w:rPr>
        <w:t xml:space="preserve">полиморфизма </w:t>
      </w:r>
      <w:r>
        <w:rPr>
          <w:rFonts w:ascii="Times New Roman" w:hAnsi="Times New Roman" w:cs="Times New Roman"/>
          <w:sz w:val="28"/>
          <w:szCs w:val="28"/>
        </w:rPr>
        <w:t xml:space="preserve">A1166C (rs5186) </w:t>
      </w:r>
      <w:r>
        <w:rPr>
          <w:rFonts w:ascii="Times New Roman" w:hAnsi="Times New Roman" w:cs="Times New Roman"/>
          <w:sz w:val="28"/>
          <w:szCs w:val="24"/>
          <w:lang w:val="kk-KZ"/>
        </w:rPr>
        <w:t xml:space="preserve">гена </w:t>
      </w:r>
      <w:r>
        <w:rPr>
          <w:rFonts w:ascii="Times New Roman" w:hAnsi="Times New Roman" w:cs="Times New Roman"/>
          <w:i/>
          <w:sz w:val="28"/>
          <w:szCs w:val="28"/>
        </w:rPr>
        <w:t>AGTR1</w:t>
      </w:r>
      <w:r>
        <w:rPr>
          <w:rFonts w:ascii="Times New Roman" w:hAnsi="Times New Roman" w:cs="Times New Roman"/>
          <w:sz w:val="28"/>
          <w:szCs w:val="28"/>
        </w:rPr>
        <w:t xml:space="preserve"> с биохимическими показателями мы не выявили </w:t>
      </w:r>
      <w:r>
        <w:rPr>
          <w:rFonts w:ascii="Times New Roman" w:hAnsi="Times New Roman" w:cs="Times New Roman"/>
          <w:sz w:val="28"/>
          <w:szCs w:val="28"/>
          <w:lang w:val="kk-KZ"/>
        </w:rPr>
        <w:t>ассоциации</w:t>
      </w:r>
      <w:r>
        <w:rPr>
          <w:rFonts w:ascii="Times New Roman" w:hAnsi="Times New Roman" w:cs="Times New Roman"/>
          <w:sz w:val="28"/>
          <w:szCs w:val="28"/>
        </w:rPr>
        <w:t xml:space="preserve"> (таблица 5</w:t>
      </w:r>
      <w:r>
        <w:rPr>
          <w:rFonts w:ascii="Times New Roman" w:hAnsi="Times New Roman" w:cs="Times New Roman"/>
          <w:sz w:val="28"/>
          <w:szCs w:val="28"/>
          <w:lang w:val="kk-KZ"/>
        </w:rPr>
        <w:t>7</w:t>
      </w:r>
      <w:r>
        <w:rPr>
          <w:rFonts w:ascii="Times New Roman" w:hAnsi="Times New Roman" w:cs="Times New Roman"/>
          <w:sz w:val="28"/>
          <w:szCs w:val="28"/>
        </w:rPr>
        <w:t>).</w:t>
      </w:r>
    </w:p>
    <w:p w:rsidR="00132A90" w:rsidRDefault="00132A90" w:rsidP="00132A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lang w:val="kk-KZ"/>
        </w:rPr>
      </w:pPr>
      <w:r>
        <w:rPr>
          <w:rFonts w:ascii="Times New Roman" w:eastAsia="Times New Roman" w:hAnsi="Times New Roman" w:cs="Times New Roman"/>
          <w:sz w:val="28"/>
          <w:szCs w:val="28"/>
          <w:lang w:val="en-US"/>
        </w:rPr>
        <w:t>Procopciuc</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L</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M</w:t>
      </w:r>
      <w:r>
        <w:rPr>
          <w:rFonts w:ascii="Times New Roman" w:eastAsia="Times New Roman" w:hAnsi="Times New Roman" w:cs="Times New Roman"/>
          <w:sz w:val="28"/>
          <w:szCs w:val="28"/>
        </w:rPr>
        <w:t>.</w:t>
      </w:r>
      <w:r>
        <w:rPr>
          <w:rFonts w:ascii="Times New Roman" w:hAnsi="Times New Roman" w:cs="Times New Roman"/>
          <w:sz w:val="28"/>
          <w:szCs w:val="28"/>
          <w:lang w:val="kk-KZ"/>
        </w:rPr>
        <w:t xml:space="preserve"> и соавторы предположили, что среди лиц, страдающих гипертонией с МС наличие А/А генотипа полиморфизма Thr174Met (rs4762) гена </w:t>
      </w:r>
      <w:r>
        <w:rPr>
          <w:rFonts w:ascii="Times New Roman" w:hAnsi="Times New Roman" w:cs="Times New Roman"/>
          <w:i/>
          <w:sz w:val="28"/>
          <w:szCs w:val="28"/>
          <w:lang w:val="kk-KZ"/>
        </w:rPr>
        <w:t>AGT</w:t>
      </w:r>
      <w:r>
        <w:rPr>
          <w:rFonts w:ascii="Times New Roman" w:hAnsi="Times New Roman" w:cs="Times New Roman"/>
          <w:sz w:val="28"/>
          <w:szCs w:val="28"/>
          <w:lang w:val="kk-KZ"/>
        </w:rPr>
        <w:t xml:space="preserve"> и генотипа C/C </w:t>
      </w:r>
      <w:r>
        <w:rPr>
          <w:rFonts w:ascii="Times New Roman" w:hAnsi="Times New Roman" w:cs="Times New Roman"/>
          <w:sz w:val="28"/>
          <w:szCs w:val="24"/>
        </w:rPr>
        <w:t xml:space="preserve">полиморфизма </w:t>
      </w:r>
      <w:r>
        <w:rPr>
          <w:rFonts w:ascii="Times New Roman" w:hAnsi="Times New Roman" w:cs="Times New Roman"/>
          <w:sz w:val="28"/>
          <w:szCs w:val="28"/>
        </w:rPr>
        <w:t xml:space="preserve">A1166C (rs5186) </w:t>
      </w:r>
      <w:r>
        <w:rPr>
          <w:rFonts w:ascii="Times New Roman" w:hAnsi="Times New Roman" w:cs="Times New Roman"/>
          <w:sz w:val="28"/>
          <w:szCs w:val="24"/>
          <w:lang w:val="kk-KZ"/>
        </w:rPr>
        <w:t xml:space="preserve">гена </w:t>
      </w:r>
      <w:r>
        <w:rPr>
          <w:rFonts w:ascii="Times New Roman" w:hAnsi="Times New Roman" w:cs="Times New Roman"/>
          <w:i/>
          <w:sz w:val="28"/>
          <w:szCs w:val="28"/>
        </w:rPr>
        <w:t xml:space="preserve">AGTR1 </w:t>
      </w:r>
      <w:r>
        <w:rPr>
          <w:rFonts w:ascii="Times New Roman" w:hAnsi="Times New Roman" w:cs="Times New Roman"/>
          <w:sz w:val="28"/>
          <w:szCs w:val="28"/>
          <w:lang w:val="kk-KZ"/>
        </w:rPr>
        <w:t xml:space="preserve">может быть фактором риска центрального ожирения и дислипидемии </w:t>
      </w:r>
      <w:r>
        <w:rPr>
          <w:rFonts w:ascii="Times New Roman" w:hAnsi="Times New Roman" w:cs="Times New Roman"/>
          <w:sz w:val="28"/>
          <w:szCs w:val="28"/>
          <w:lang w:val="kk-KZ"/>
        </w:rPr>
        <w:fldChar w:fldCharType="begin" w:fldLock="1"/>
      </w:r>
      <w:r w:rsidR="009D40AC">
        <w:rPr>
          <w:rFonts w:ascii="Times New Roman" w:hAnsi="Times New Roman" w:cs="Times New Roman"/>
          <w:sz w:val="28"/>
          <w:szCs w:val="28"/>
          <w:lang w:val="kk-KZ"/>
        </w:rPr>
        <w:instrText>ADDIN CSL_CITATION {"citationItems":[{"id":"ITEM-1","itemData":{"DOI":"10.1016/j.ejim.2010.06.001","ISSN":"1879-0828","PMID":"20816596","abstract":"BACKGROUND: The genes associated with hypertension could be genetic risk factors for metabolic syndrome (MetS). AIM: To determine the frequency of M235T and T174M-AGT, I/D-ACE and A1166C-AGTR1 in hypertensive patients with MetS and to evaluate the relationship between these polymorphisms and central obesity and dyslipidemia, respectively. MATERIALS AND METHODS: We performed AGT, AGTR1 and ACE genotyping in 56 hypertensive women (24 with MetS) and 71 normotensive women using PCR-RFLP methods and PCR, respectively. RESULTS: Hypertensive patients carrying the mutated TT235, MM174 and DD genotypes had an 1.53 (p=0.56), 1.78 (p=0.52) and 1.28 (p=0.78)-fold increased risk to develop MetS. Hypertensive carriers of both mutated TT235 and MM174 or TT235 and D/D or TT235 and CC+AC genotypes had an 8.15 (p=0.04), 4.83 (p=0.04) and 10.53 (p=0.05)-fold increased risk to develop MetS. Hypertensive patients with MetS and TT, D/D or CC genotypes had higher body mass index compared to hypertensive patients without MetS (p&lt;/=0.05 for all the genotypes). Hypertensive patients with MetS and TT235, MM174, D/D or CC1166 genotypes had higher triglyceride levels, lower HDL-cholesterol levels and higher waist circumference compared to hypertensive patients without MetS (p&lt;/=0.05, except for the association between CC1166 and HDL-cholesterol level). CONCLUSIONS: The effect of the T174M, I/D and A1166C polymorphisms on MetS may depend on the M235T polymorphism. Among hypertensive subjects with MetS, the presence of TT235, MM174, DD and CC1166 genotypes could be a risk factor for central obesity and dyslipidemia.","author":[{"dropping-particle":"","family":"Procopciuc","given":"Lucia Maria","non-dropping-particle":"","parse-names":false,"suffix":""},{"dropping-particle":"","family":"Sitar-Tăut","given":"Adela","non-dropping-particle":"","parse-names":false,"suffix":""},{"dropping-particle":"","family":"Pop","given":"Dana","non-dropping-particle":"","parse-names":false,"suffix":""},{"dropping-particle":"","family":"Sitar-Tăut","given":"Dan-Andrei","non-dropping-particle":"","parse-names":false,"suffix":""},{"dropping-particle":"","family":"Olteanu","given":"Ileana","non-dropping-particle":"","parse-names":false,"suffix":""},{"dropping-particle":"","family":"Zdrenghea","given":"Dumitru","non-dropping-particle":"","parse-names":false,"suffix":""}],"container-title":"European journal of internal medicine","id":"ITEM-1","issue":"5","issued":{"date-parts":[["2010"]]},"page":"414-418","title":"Renin angiotensin system polymorphisms in patients with metabolic syndrome (MetS).","type":"article","volume":"21"},"uris":["http://www.mendeley.com/documents/?uuid=c0c40287-75c9-4449-bd36-71c5f93549db"]}],"mendeley":{"formattedCitation":"[203]","plainTextFormattedCitation":"[203]","previouslyFormattedCitation":"[203]"},"properties":{"noteIndex":0},"schema":"https://github.com/citation-style-language/schema/raw/master/csl-citation.json"}</w:instrText>
      </w:r>
      <w:r>
        <w:rPr>
          <w:rFonts w:ascii="Times New Roman" w:hAnsi="Times New Roman" w:cs="Times New Roman"/>
          <w:sz w:val="28"/>
          <w:szCs w:val="28"/>
          <w:lang w:val="kk-KZ"/>
        </w:rPr>
        <w:fldChar w:fldCharType="separate"/>
      </w:r>
      <w:r w:rsidR="009D40AC" w:rsidRPr="009D40AC">
        <w:rPr>
          <w:rFonts w:ascii="Times New Roman" w:hAnsi="Times New Roman" w:cs="Times New Roman"/>
          <w:noProof/>
          <w:sz w:val="28"/>
          <w:szCs w:val="28"/>
          <w:lang w:val="kk-KZ"/>
        </w:rPr>
        <w:t>[203]</w: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Goulart A. и соавторы установили, что гены-кандидаты, связанные с ССЗ, представляют потенциальные факторы риска МС. Они также обнаружили, что </w:t>
      </w:r>
      <w:r>
        <w:rPr>
          <w:rFonts w:ascii="Times New Roman" w:hAnsi="Times New Roman" w:cs="Times New Roman"/>
          <w:sz w:val="28"/>
          <w:szCs w:val="24"/>
        </w:rPr>
        <w:t xml:space="preserve">полиморфизм </w:t>
      </w:r>
      <w:r>
        <w:rPr>
          <w:rFonts w:ascii="Times New Roman" w:hAnsi="Times New Roman" w:cs="Times New Roman"/>
          <w:sz w:val="28"/>
          <w:szCs w:val="28"/>
        </w:rPr>
        <w:t xml:space="preserve">A1166C (rs5186) </w:t>
      </w:r>
      <w:r>
        <w:rPr>
          <w:rFonts w:ascii="Times New Roman" w:hAnsi="Times New Roman" w:cs="Times New Roman"/>
          <w:sz w:val="28"/>
          <w:szCs w:val="24"/>
          <w:lang w:val="kk-KZ"/>
        </w:rPr>
        <w:t xml:space="preserve">гена </w:t>
      </w:r>
      <w:r>
        <w:rPr>
          <w:rFonts w:ascii="Times New Roman" w:hAnsi="Times New Roman" w:cs="Times New Roman"/>
          <w:i/>
          <w:sz w:val="28"/>
          <w:szCs w:val="28"/>
        </w:rPr>
        <w:t xml:space="preserve">AGTR1 </w:t>
      </w:r>
      <w:r>
        <w:rPr>
          <w:rFonts w:ascii="Times New Roman" w:hAnsi="Times New Roman" w:cs="Times New Roman"/>
          <w:sz w:val="28"/>
          <w:szCs w:val="28"/>
          <w:lang w:val="kk-KZ"/>
        </w:rPr>
        <w:t xml:space="preserve">был ассоциирован со снижением риска МС у женщин в постменопаузе </w:t>
      </w:r>
      <w:r>
        <w:rPr>
          <w:rFonts w:ascii="Times New Roman" w:hAnsi="Times New Roman" w:cs="Times New Roman"/>
          <w:sz w:val="28"/>
          <w:szCs w:val="28"/>
          <w:lang w:val="kk-KZ"/>
        </w:rPr>
        <w:fldChar w:fldCharType="begin" w:fldLock="1"/>
      </w:r>
      <w:r w:rsidR="009D40AC">
        <w:rPr>
          <w:rFonts w:ascii="Times New Roman" w:hAnsi="Times New Roman" w:cs="Times New Roman"/>
          <w:sz w:val="28"/>
          <w:szCs w:val="28"/>
          <w:lang w:val="kk-KZ"/>
        </w:rPr>
        <w:instrText>ADDIN CSL_CITATION {"citationItems":[{"id":"ITEM-1","itemData":{"DOI":"10.1016/j.ahj.2009.05.015","ISBN":"0000000000000","ISSN":"00028703","abstract":"OBJECTIVE The objective of the study was to assess the efficacy of maternal betamethasone for improving preterm lung function in the presence of inflammation induced by amniotic fluid Ureaplasma colonization. STUDY DESIGN Ewes bearing single fetuses were randomized to receive an intraamniotic injection of Ureaplasma parvum (serovar 6; 2 x 10(7) colony-forming units) or vehicle at 86 +/- 2 days of pregnancy (mean +/- SD: term is 150 days), followed by maternal intramuscular betamethasone (0.5 mg/kg) or saline, either 2 or 7 days before delivery of lambs at 123 +/- 1 d. RESULTS Amniotic fluid interleukin-8 was elevated by ureaplasmas (P = .049) but unaffected by betamethasone. Lung inflammation induced by ureaplasmas was not affected by betamethasone. Lung compliance was increased by Ureaplasma colonization (P = .009) and betamethasone (P = .042), and effects were additive. Lung surfactant was increased by Ureaplasma colonization (P &lt; .001) and betamethasone 7 days (P = .001), but not 2 days, before delivery. CONCLUSION Inflammation improves preterm lung function because of increases in surfactant. Antenatal corticosteroids further augment lung function through an apparently independent mechanism.","author":[{"dropping-particle":"","family":"Goulart","given":"Alessandra C.","non-dropping-particle":"","parse-names":false,"suffix":""},{"dropping-particle":"","family":"Rexrode","given":"Kathryn M.","non-dropping-particle":"","parse-names":false,"suffix":""},{"dropping-particle":"","family":"Cheng","given":"Suzanne","non-dropping-particle":"","parse-names":false,"suffix":""},{"dropping-particle":"","family":"Rose","given":"Lynda","non-dropping-particle":"","parse-names":false,"suffix":""},{"dropping-particle":"","family":"Buring","given":"Julie E.","non-dropping-particle":"","parse-names":false,"suffix":""},{"dropping-particle":"","family":"Ridker","given":"Paul M.","non-dropping-particle":"","parse-names":false,"suffix":""},{"dropping-particle":"","family":"Zee","given":"Robert Y.L.","non-dropping-particle":"","parse-names":false,"suffix":""}],"container-title":"American Heart Journal","id":"ITEM-1","issue":"2","issued":{"date-parts":[["2009","8"]]},"page":"257-262.e1","title":"Association of genetic variants with the metabolic syndrome in 20,806 white women: The women's health genome study","type":"article-journal","volume":"158"},"uris":["http://www.mendeley.com/documents/?uuid=2d618729-da21-42ed-a9a7-b7f4d36e1a8f"]}],"mendeley":{"formattedCitation":"[204]","plainTextFormattedCitation":"[204]","previouslyFormattedCitation":"[204]"},"properties":{"noteIndex":0},"schema":"https://github.com/citation-style-language/schema/raw/master/csl-citation.json"}</w:instrText>
      </w:r>
      <w:r>
        <w:rPr>
          <w:rFonts w:ascii="Times New Roman" w:hAnsi="Times New Roman" w:cs="Times New Roman"/>
          <w:sz w:val="28"/>
          <w:szCs w:val="28"/>
          <w:lang w:val="kk-KZ"/>
        </w:rPr>
        <w:fldChar w:fldCharType="separate"/>
      </w:r>
      <w:r w:rsidR="009D40AC" w:rsidRPr="009D40AC">
        <w:rPr>
          <w:rFonts w:ascii="Times New Roman" w:hAnsi="Times New Roman" w:cs="Times New Roman"/>
          <w:noProof/>
          <w:sz w:val="28"/>
          <w:szCs w:val="28"/>
          <w:lang w:val="kk-KZ"/>
        </w:rPr>
        <w:t>[204]</w: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Herrera Ch. и соавторы обнаружили, что мужчины-носители генотипа A/A </w:t>
      </w:r>
      <w:r>
        <w:rPr>
          <w:rFonts w:ascii="Times New Roman" w:hAnsi="Times New Roman" w:cs="Times New Roman"/>
          <w:sz w:val="28"/>
          <w:szCs w:val="24"/>
        </w:rPr>
        <w:t xml:space="preserve">полиморфизма </w:t>
      </w:r>
      <w:r>
        <w:rPr>
          <w:rFonts w:ascii="Times New Roman" w:hAnsi="Times New Roman" w:cs="Times New Roman"/>
          <w:sz w:val="28"/>
          <w:szCs w:val="28"/>
        </w:rPr>
        <w:t xml:space="preserve">A1166C (rs5186) </w:t>
      </w:r>
      <w:r>
        <w:rPr>
          <w:rFonts w:ascii="Times New Roman" w:hAnsi="Times New Roman" w:cs="Times New Roman"/>
          <w:sz w:val="28"/>
          <w:szCs w:val="24"/>
          <w:lang w:val="kk-KZ"/>
        </w:rPr>
        <w:t xml:space="preserve">гена </w:t>
      </w:r>
      <w:r>
        <w:rPr>
          <w:rFonts w:ascii="Times New Roman" w:hAnsi="Times New Roman" w:cs="Times New Roman"/>
          <w:i/>
          <w:sz w:val="28"/>
          <w:szCs w:val="28"/>
        </w:rPr>
        <w:t xml:space="preserve">AGTR1 </w:t>
      </w:r>
      <w:r>
        <w:rPr>
          <w:rFonts w:ascii="Times New Roman" w:hAnsi="Times New Roman" w:cs="Times New Roman"/>
          <w:sz w:val="28"/>
          <w:szCs w:val="28"/>
          <w:lang w:val="kk-KZ"/>
        </w:rPr>
        <w:t xml:space="preserve">имеют более высокий риск МС </w:t>
      </w:r>
      <w:r>
        <w:rPr>
          <w:rFonts w:ascii="Times New Roman" w:hAnsi="Times New Roman" w:cs="Times New Roman"/>
          <w:sz w:val="28"/>
          <w:szCs w:val="28"/>
          <w:lang w:val="kk-KZ"/>
        </w:rPr>
        <w:fldChar w:fldCharType="begin" w:fldLock="1"/>
      </w:r>
      <w:r w:rsidR="00027D70">
        <w:rPr>
          <w:rFonts w:ascii="Times New Roman" w:hAnsi="Times New Roman" w:cs="Times New Roman"/>
          <w:sz w:val="28"/>
          <w:szCs w:val="28"/>
          <w:lang w:val="kk-KZ"/>
        </w:rPr>
        <w:instrText>ADDIN CSL_CITATION {"citationItems":[{"id":"ITEM-1","itemData":{"DOI":"10.1590/2359-3997000000134","ISBN":"2359-4292 (Electronic)\\r2359-3997 (Linking)","ISSN":"2359-3997","PMID":"26910623","abstract":"OBJECTIVE: Metabolic syndrome (MetS) is associated with hypertension, obesity and dyslipidemia. Thus, genetic variants related with these conditions may modulate its development. We evaluated the effect of polymorphisms in the renin-angiotensin system (RAS) on metabolic syndrome risk in a cohort of Chilean subjects. SUBJECTS AND METHODS: A total of 152 subjects, 83 with MetS (51.2 +/- 9.6 years) and 69 without MetS (49.5 +/- 9.3 years) of both genders were included, according to the ATP III update criteria. The rs4340 Insertion/Deletion (I/D), rs699 (T&gt;C) and rs5186 (A&gt;C) of the ACE, AGT and AGTR1 genes, respectively, were genotyped. RESULTS: After adjusting for age and gender, we observed the DD genotype of rs4340 associated with MetS (p = 0.02). Specifically, the DD genotype was associated with MetS risk in women (OR = 4.62, 95%CI, 1.41 - 15.04; p &lt; 0.01). In males, the AA genotype for rs5186 variant was associated with an increased risk for developing MetS when compared with women carrying the same genotype (OR = 3.2; 95%CI, 1.03 - 9.89; p = 0.04). In subjects without MetS, DD genotype was associated with increased waist circumference (p = 0.023) while subjects with MetS carrying the rs5186 TT genotype showed higher levels of HDL-cholesterol (p = 0.031). CONCLUSION: The present study contributes data highlighting the role for RAS polymorphisms in predisposing to metabolic syndrome in Chilean subjects.","author":[{"dropping-particle":"","family":"Herrera","given":"Christian L","non-dropping-particle":"","parse-names":false,"suffix":""},{"dropping-particle":"","family":"Castillo","given":"Wilma","non-dropping-particle":"","parse-names":false,"suffix":""},{"dropping-particle":"","family":"Estrada","given":"Patricia","non-dropping-particle":"","parse-names":false,"suffix":""},{"dropping-particle":"","family":"Mancilla","given":"Bárbara","non-dropping-particle":"","parse-names":false,"suffix":""},{"dropping-particle":"","family":"Reyes","given":"Gerardo","non-dropping-particle":"","parse-names":false,"suffix":""},{"dropping-particle":"","family":"Saavedra","given":"Nicolás","non-dropping-particle":"","parse-names":false,"suffix":""},{"dropping-particle":"","family":"Guzmán","given":"Neftalí","non-dropping-particle":"","parse-names":false,"suffix":""},{"dropping-particle":"","family":"Serón","given":"Pamela","non-dropping-particle":"","parse-names":false,"suffix":""},{"dropping-particle":"","family":"Lanas","given":"Fernando","non-dropping-particle":"","parse-names":false,"suffix":""},{"dropping-particle":"","family":"Salazar","given":"Luis A","non-dropping-particle":"","parse-names":false,"suffix":""}],"container-title":"Archives of Endocrinology and Metabolism","id":"ITEM-1","issue":"3","issued":{"date-parts":[["2016","6"]]},"page":"190-198","title":"Association of polymorphisms within the Renin-Angiotensin System with metabolic syndrome in a cohort of Chilean subjects","type":"article-journal","volume":"60"},"uris":["http://www.mendeley.com/documents/?uuid=cb05fc2e-3525-4a95-ba22-e14e1f6003a9"]}],"mendeley":{"formattedCitation":"[112]","manualFormatting":"[112, р. 196]","plainTextFormattedCitation":"[112]","previouslyFormattedCitation":"[112]"},"properties":{"noteIndex":0},"schema":"https://github.com/citation-style-language/schema/raw/master/csl-citation.json"}</w:instrText>
      </w:r>
      <w:r>
        <w:rPr>
          <w:rFonts w:ascii="Times New Roman" w:hAnsi="Times New Roman" w:cs="Times New Roman"/>
          <w:sz w:val="28"/>
          <w:szCs w:val="28"/>
          <w:lang w:val="kk-KZ"/>
        </w:rPr>
        <w:fldChar w:fldCharType="separate"/>
      </w:r>
      <w:r w:rsidR="00027D70" w:rsidRPr="00027D70">
        <w:rPr>
          <w:rFonts w:ascii="Times New Roman" w:hAnsi="Times New Roman" w:cs="Times New Roman"/>
          <w:noProof/>
          <w:sz w:val="28"/>
          <w:szCs w:val="28"/>
          <w:lang w:val="kk-KZ"/>
        </w:rPr>
        <w:t>[112</w:t>
      </w:r>
      <w:r w:rsidR="00027D70">
        <w:rPr>
          <w:rFonts w:ascii="Times New Roman" w:hAnsi="Times New Roman" w:cs="Times New Roman"/>
          <w:noProof/>
          <w:sz w:val="28"/>
          <w:szCs w:val="28"/>
          <w:lang w:val="kk-KZ"/>
        </w:rPr>
        <w:t>, р. 196</w:t>
      </w:r>
      <w:r w:rsidR="00027D70" w:rsidRPr="00027D70">
        <w:rPr>
          <w:rFonts w:ascii="Times New Roman" w:hAnsi="Times New Roman" w:cs="Times New Roman"/>
          <w:noProof/>
          <w:sz w:val="28"/>
          <w:szCs w:val="28"/>
          <w:lang w:val="kk-KZ"/>
        </w:rPr>
        <w:t>]</w: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w:t>
      </w:r>
    </w:p>
    <w:p w:rsidR="00132A90" w:rsidRDefault="00132A90" w:rsidP="00132A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Akasaka H. и соавторы установили, что определенные генетические варианты РААС были вовлечены в формирование чувствительности к инсулину и сообщили, что </w:t>
      </w:r>
      <w:r>
        <w:rPr>
          <w:rFonts w:ascii="Times New Roman" w:hAnsi="Times New Roman" w:cs="Times New Roman"/>
          <w:sz w:val="28"/>
          <w:szCs w:val="24"/>
        </w:rPr>
        <w:t xml:space="preserve">полиморфизм </w:t>
      </w:r>
      <w:r>
        <w:rPr>
          <w:rFonts w:ascii="Times New Roman" w:hAnsi="Times New Roman" w:cs="Times New Roman"/>
          <w:sz w:val="28"/>
          <w:szCs w:val="28"/>
        </w:rPr>
        <w:t xml:space="preserve">A1166C (rs5186) </w:t>
      </w:r>
      <w:r>
        <w:rPr>
          <w:rFonts w:ascii="Times New Roman" w:hAnsi="Times New Roman" w:cs="Times New Roman"/>
          <w:sz w:val="28"/>
          <w:szCs w:val="24"/>
          <w:lang w:val="kk-KZ"/>
        </w:rPr>
        <w:t xml:space="preserve">гена </w:t>
      </w:r>
      <w:r>
        <w:rPr>
          <w:rFonts w:ascii="Times New Roman" w:hAnsi="Times New Roman" w:cs="Times New Roman"/>
          <w:i/>
          <w:sz w:val="28"/>
          <w:szCs w:val="28"/>
        </w:rPr>
        <w:t xml:space="preserve">AGTR1 </w:t>
      </w:r>
      <w:r>
        <w:rPr>
          <w:rFonts w:ascii="Times New Roman" w:hAnsi="Times New Roman" w:cs="Times New Roman"/>
          <w:sz w:val="28"/>
          <w:szCs w:val="28"/>
          <w:lang w:val="kk-KZ"/>
        </w:rPr>
        <w:t xml:space="preserve">может влиять на ИР </w:t>
      </w:r>
      <w:r>
        <w:rPr>
          <w:rFonts w:ascii="Times New Roman" w:hAnsi="Times New Roman" w:cs="Times New Roman"/>
          <w:sz w:val="28"/>
          <w:szCs w:val="28"/>
          <w:lang w:val="kk-KZ"/>
        </w:rPr>
        <w:fldChar w:fldCharType="begin" w:fldLock="1"/>
      </w:r>
      <w:r w:rsidR="009D40AC">
        <w:rPr>
          <w:rFonts w:ascii="Times New Roman" w:hAnsi="Times New Roman" w:cs="Times New Roman"/>
          <w:sz w:val="28"/>
          <w:szCs w:val="28"/>
          <w:lang w:val="kk-KZ"/>
        </w:rPr>
        <w:instrText>ADDIN CSL_CITATION {"citationItems":[{"id":"ITEM-1","itemData":{"DOI":"10.1291/hypres.29.961","ISSN":"0916-9636","PMID":"17378368","abstract":"Although gene polymorphisms in the renin-angiotensin system (RAS) are predisposing factors for cardiovascular diseases, the precise mechanisms and interactions among confounding factors have not been clarified. We investigated whether genetic variants of RAS are involved in insulin sensitivity in a Japanese general population. During a medical checkup in 2001, participants (n=550) were recruited from among the residents of the towns of Tanno and Sobetsu, and written informed consent was obtained to participate in the genetic analysis and the epidemiological study. The insertion/deletion (lID) polymorphism of the angiotensin-converting enzyme gene (ACE), the Met235Thr polymorphism of the angiotensinogen gene (AGT), and the A1166C polymorphism of the angiotensin II type 1 receptor gene (AGTR1) were determined by gel electrophoresis or the TaqMan PCR method. We assessed insulin sensitivity using the homeostasis model assessment insulin resistance (HOMA-IR). The RAS gene polymorphisms were not associated with log-transformed values of HOMA-IR, whereas borderline association (p=0.02) was found between the A1166C polymorphism and dichotomous categorization of insulin resistance (defined as HOMA-IR &gt; or =1.73). Our results suggested that the A1166C polymorphism of AGTR1 might affect insulin resistance by altering the responsiveness to angiotensin II signaling, though this mechanism is as yet inconclusive. Further study is required to confirm these findings in a larger, multi-ethnic population.","author":[{"dropping-particle":"","family":"Akasaka","given":"Hiroshi","non-dropping-particle":"","parse-names":false,"suffix":""},{"dropping-particle":"","family":"Katsuya","given":"Tomohiro","non-dropping-particle":"","parse-names":false,"suffix":""},{"dropping-particle":"","family":"Saitoh","given":"Shigeyuki","non-dropping-particle":"","parse-names":false,"suffix":""},{"dropping-particle":"","family":"Sugimoto","given":"Ken","non-dropping-particle":"","parse-names":false,"suffix":""},{"dropping-particle":"","family":"Fu","given":"Yuxiao","non-dropping-particle":"","parse-names":false,"suffix":""},{"dropping-particle":"","family":"Takagi","given":"Satoru","non-dropping-particle":"","parse-names":false,"suffix":""},{"dropping-particle":"","family":"Ohnishi","given":"Hirofumi","non-dropping-particle":"","parse-names":false,"suffix":""},{"dropping-particle":"","family":"Rakugi","given":"Hiromi","non-dropping-particle":"","parse-names":false,"suffix":""},{"dropping-particle":"","family":"Ura","given":"Nobuyuki","non-dropping-particle":"","parse-names":false,"suffix":""},{"dropping-particle":"","family":"Shimamoto","given":"Kazuaki","non-dropping-particle":"","parse-names":false,"suffix":""},{"dropping-particle":"","family":"Ogihara","given":"Toshio","non-dropping-particle":"","parse-names":false,"suffix":""}],"container-title":"Hypertension research : official journal of the Japanese Society of Hypertension","id":"ITEM-1","issue":"12","issued":{"date-parts":[["2006"]]},"page":"961-7","title":"Effects of angiotensin II type 1 receptor gene polymorphisms on insulin resistance in a Japanese general population: the Tanno-Sobetsu study.","type":"article-journal","volume":"29"},"uris":["http://www.mendeley.com/documents/?uuid=d5ad4ebf-59c6-43ce-a220-f9411e0a31bb"]}],"mendeley":{"formattedCitation":"[205]","plainTextFormattedCitation":"[205]","previouslyFormattedCitation":"[205]"},"properties":{"noteIndex":0},"schema":"https://github.com/citation-style-language/schema/raw/master/csl-citation.json"}</w:instrText>
      </w:r>
      <w:r>
        <w:rPr>
          <w:rFonts w:ascii="Times New Roman" w:hAnsi="Times New Roman" w:cs="Times New Roman"/>
          <w:sz w:val="28"/>
          <w:szCs w:val="28"/>
          <w:lang w:val="kk-KZ"/>
        </w:rPr>
        <w:fldChar w:fldCharType="separate"/>
      </w:r>
      <w:r w:rsidR="009D40AC" w:rsidRPr="009D40AC">
        <w:rPr>
          <w:rFonts w:ascii="Times New Roman" w:hAnsi="Times New Roman" w:cs="Times New Roman"/>
          <w:noProof/>
          <w:sz w:val="28"/>
          <w:szCs w:val="28"/>
          <w:lang w:val="kk-KZ"/>
        </w:rPr>
        <w:t>[205]</w: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Было обнаружено, что гаплотип, содержащий аллели </w:t>
      </w:r>
      <w:r>
        <w:rPr>
          <w:rFonts w:ascii="Times New Roman" w:hAnsi="Times New Roman" w:cs="Times New Roman"/>
          <w:sz w:val="28"/>
          <w:szCs w:val="24"/>
        </w:rPr>
        <w:t xml:space="preserve">полиморфизма </w:t>
      </w:r>
      <w:r>
        <w:rPr>
          <w:rFonts w:ascii="Times New Roman" w:hAnsi="Times New Roman" w:cs="Times New Roman"/>
          <w:sz w:val="28"/>
          <w:szCs w:val="28"/>
        </w:rPr>
        <w:t xml:space="preserve">A1166C (rs5186) </w:t>
      </w:r>
      <w:r>
        <w:rPr>
          <w:rFonts w:ascii="Times New Roman" w:hAnsi="Times New Roman" w:cs="Times New Roman"/>
          <w:sz w:val="28"/>
          <w:szCs w:val="24"/>
          <w:lang w:val="kk-KZ"/>
        </w:rPr>
        <w:t xml:space="preserve">гена </w:t>
      </w:r>
      <w:r>
        <w:rPr>
          <w:rFonts w:ascii="Times New Roman" w:hAnsi="Times New Roman" w:cs="Times New Roman"/>
          <w:i/>
          <w:sz w:val="28"/>
          <w:szCs w:val="28"/>
        </w:rPr>
        <w:t>AGTR1</w:t>
      </w:r>
      <w:r>
        <w:rPr>
          <w:rFonts w:ascii="Times New Roman" w:hAnsi="Times New Roman" w:cs="Times New Roman"/>
          <w:sz w:val="28"/>
          <w:szCs w:val="28"/>
          <w:lang w:val="kk-KZ"/>
        </w:rPr>
        <w:t>, не был связан повышенным риском развития дислипидемии и/или риском ИР.</w:t>
      </w:r>
    </w:p>
    <w:p w:rsidR="00132A90" w:rsidRDefault="00132A90"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outlineLvl w:val="0"/>
        <w:rPr>
          <w:rFonts w:ascii="Times New Roman" w:hAnsi="Times New Roman" w:cs="Times New Roman"/>
          <w:sz w:val="28"/>
          <w:szCs w:val="24"/>
        </w:rPr>
        <w:sectPr w:rsidR="00132A90">
          <w:pgSz w:w="11906" w:h="16838"/>
          <w:pgMar w:top="1134" w:right="850" w:bottom="1134" w:left="1701" w:header="708" w:footer="708" w:gutter="0"/>
          <w:cols w:space="720"/>
        </w:sectPr>
      </w:pP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outlineLvl w:val="0"/>
        <w:rPr>
          <w:rFonts w:ascii="Times New Roman" w:hAnsi="Times New Roman" w:cs="Times New Roman"/>
          <w:sz w:val="28"/>
          <w:szCs w:val="24"/>
          <w:lang w:val="kk-KZ"/>
        </w:rPr>
      </w:pPr>
      <w:r>
        <w:rPr>
          <w:rFonts w:ascii="Times New Roman" w:hAnsi="Times New Roman" w:cs="Times New Roman"/>
          <w:sz w:val="28"/>
          <w:szCs w:val="24"/>
        </w:rPr>
        <w:lastRenderedPageBreak/>
        <w:t>Таблица 5</w:t>
      </w:r>
      <w:r w:rsidR="003C0BEF">
        <w:rPr>
          <w:rFonts w:ascii="Times New Roman" w:hAnsi="Times New Roman" w:cs="Times New Roman"/>
          <w:sz w:val="28"/>
          <w:szCs w:val="24"/>
          <w:lang w:val="kk-KZ"/>
        </w:rPr>
        <w:t>7</w:t>
      </w:r>
      <w:r w:rsidR="00B648CF">
        <w:rPr>
          <w:rFonts w:ascii="Times New Roman" w:hAnsi="Times New Roman" w:cs="Times New Roman"/>
          <w:sz w:val="28"/>
          <w:szCs w:val="24"/>
          <w:lang w:val="kk-KZ"/>
        </w:rPr>
        <w:t xml:space="preserve"> -</w:t>
      </w:r>
      <w:r>
        <w:rPr>
          <w:rFonts w:ascii="Times New Roman" w:hAnsi="Times New Roman" w:cs="Times New Roman"/>
          <w:sz w:val="28"/>
          <w:szCs w:val="24"/>
        </w:rPr>
        <w:t xml:space="preserve"> Сравнительная характеристика полиморфизма </w:t>
      </w:r>
      <w:r>
        <w:rPr>
          <w:rFonts w:ascii="Times New Roman" w:hAnsi="Times New Roman" w:cs="Times New Roman"/>
          <w:sz w:val="28"/>
          <w:szCs w:val="28"/>
        </w:rPr>
        <w:t>A1166C (rs5186)</w:t>
      </w:r>
      <w:r w:rsidR="00B8006E">
        <w:rPr>
          <w:rFonts w:ascii="Times New Roman" w:hAnsi="Times New Roman" w:cs="Times New Roman"/>
          <w:sz w:val="28"/>
          <w:szCs w:val="28"/>
        </w:rPr>
        <w:t xml:space="preserve"> </w:t>
      </w:r>
      <w:r>
        <w:rPr>
          <w:rFonts w:ascii="Times New Roman" w:hAnsi="Times New Roman" w:cs="Times New Roman"/>
          <w:sz w:val="28"/>
          <w:szCs w:val="24"/>
          <w:lang w:val="kk-KZ"/>
        </w:rPr>
        <w:t>гена</w:t>
      </w:r>
      <w:r w:rsidR="00B8006E">
        <w:rPr>
          <w:rFonts w:ascii="Times New Roman" w:hAnsi="Times New Roman" w:cs="Times New Roman"/>
          <w:sz w:val="28"/>
          <w:szCs w:val="24"/>
          <w:lang w:val="kk-KZ"/>
        </w:rPr>
        <w:t xml:space="preserve"> </w:t>
      </w:r>
      <w:r>
        <w:rPr>
          <w:rFonts w:ascii="Times New Roman" w:hAnsi="Times New Roman" w:cs="Times New Roman"/>
          <w:i/>
          <w:sz w:val="28"/>
          <w:szCs w:val="28"/>
        </w:rPr>
        <w:t>AGTR</w:t>
      </w:r>
      <w:r w:rsidR="00682131">
        <w:rPr>
          <w:rFonts w:ascii="Times New Roman" w:hAnsi="Times New Roman" w:cs="Times New Roman"/>
          <w:i/>
          <w:sz w:val="28"/>
          <w:szCs w:val="28"/>
        </w:rPr>
        <w:t xml:space="preserve">1 </w:t>
      </w:r>
      <w:r>
        <w:rPr>
          <w:rFonts w:ascii="Times New Roman" w:hAnsi="Times New Roman" w:cs="Times New Roman"/>
          <w:sz w:val="28"/>
          <w:szCs w:val="24"/>
          <w:lang w:val="kk-KZ"/>
        </w:rPr>
        <w:t>в исследуемой</w:t>
      </w:r>
      <w:r w:rsidR="00B8006E">
        <w:rPr>
          <w:rFonts w:ascii="Times New Roman" w:hAnsi="Times New Roman" w:cs="Times New Roman"/>
          <w:sz w:val="28"/>
          <w:szCs w:val="24"/>
          <w:lang w:val="kk-KZ"/>
        </w:rPr>
        <w:t xml:space="preserve"> </w:t>
      </w:r>
      <w:r w:rsidR="002B590F">
        <w:rPr>
          <w:rFonts w:ascii="Times New Roman" w:hAnsi="Times New Roman" w:cs="Times New Roman"/>
          <w:sz w:val="28"/>
          <w:szCs w:val="24"/>
          <w:lang w:val="kk-KZ"/>
        </w:rPr>
        <w:t>выборке</w:t>
      </w:r>
    </w:p>
    <w:p w:rsidR="00132A90" w:rsidRDefault="00132A90"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outlineLvl w:val="0"/>
        <w:rPr>
          <w:rFonts w:ascii="Times New Roman" w:hAnsi="Times New Roman" w:cs="Times New Roman"/>
          <w:sz w:val="28"/>
          <w:szCs w:val="24"/>
          <w:lang w:val="kk-KZ"/>
        </w:rPr>
      </w:pPr>
    </w:p>
    <w:tbl>
      <w:tblPr>
        <w:tblStyle w:val="21"/>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1699"/>
        <w:gridCol w:w="1134"/>
        <w:gridCol w:w="992"/>
        <w:gridCol w:w="992"/>
        <w:gridCol w:w="993"/>
        <w:gridCol w:w="992"/>
        <w:gridCol w:w="1024"/>
      </w:tblGrid>
      <w:tr w:rsidR="00AB12B3" w:rsidTr="005E1D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gridSpan w:val="2"/>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b w:val="0"/>
                <w:sz w:val="28"/>
                <w:szCs w:val="28"/>
              </w:rPr>
            </w:pPr>
            <w:r>
              <w:rPr>
                <w:rFonts w:ascii="Times New Roman" w:hAnsi="Times New Roman" w:cs="Times New Roman"/>
                <w:b w:val="0"/>
                <w:sz w:val="28"/>
                <w:szCs w:val="28"/>
              </w:rPr>
              <w:t>Полиморфизм гена</w:t>
            </w:r>
          </w:p>
        </w:tc>
        <w:tc>
          <w:tcPr>
            <w:tcW w:w="3118" w:type="dxa"/>
            <w:gridSpan w:val="3"/>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 xml:space="preserve">Генотипы </w:t>
            </w:r>
            <w:r>
              <w:rPr>
                <w:rFonts w:ascii="Times New Roman" w:hAnsi="Times New Roman" w:cs="Times New Roman"/>
                <w:b w:val="0"/>
                <w:sz w:val="28"/>
                <w:szCs w:val="28"/>
                <w:lang w:val="en-US"/>
              </w:rPr>
              <w:t>n</w:t>
            </w:r>
          </w:p>
        </w:tc>
        <w:tc>
          <w:tcPr>
            <w:tcW w:w="1985" w:type="dxa"/>
            <w:gridSpan w:val="2"/>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Аллели</w:t>
            </w:r>
            <w:r>
              <w:rPr>
                <w:rFonts w:ascii="Times New Roman" w:hAnsi="Times New Roman" w:cs="Times New Roman"/>
                <w:b w:val="0"/>
                <w:sz w:val="28"/>
                <w:szCs w:val="28"/>
                <w:lang w:val="en-US"/>
              </w:rPr>
              <w:t xml:space="preserve"> n</w:t>
            </w:r>
          </w:p>
        </w:tc>
        <w:tc>
          <w:tcPr>
            <w:tcW w:w="102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Pr>
                <w:rFonts w:ascii="Times New Roman" w:hAnsi="Times New Roman" w:cs="Times New Roman"/>
                <w:b w:val="0"/>
                <w:sz w:val="28"/>
                <w:szCs w:val="28"/>
              </w:rPr>
              <w:t>p*</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gridSpan w:val="2"/>
            <w:tcBorders>
              <w:top w:val="single" w:sz="4" w:space="0" w:color="auto"/>
              <w:left w:val="single" w:sz="4" w:space="0" w:color="auto"/>
              <w:bottom w:val="single" w:sz="4" w:space="0" w:color="auto"/>
              <w:right w:val="single" w:sz="4" w:space="0" w:color="auto"/>
            </w:tcBorders>
            <w:hideMark/>
          </w:tcPr>
          <w:p w:rsidR="00AB12B3" w:rsidRDefault="00AB12B3">
            <w:pPr>
              <w:pStyle w:val="af4"/>
              <w:ind w:left="0"/>
              <w:rPr>
                <w:rFonts w:ascii="Times New Roman" w:hAnsi="Times New Roman" w:cs="Times New Roman"/>
                <w:b w:val="0"/>
                <w:sz w:val="28"/>
                <w:szCs w:val="28"/>
              </w:rPr>
            </w:pPr>
            <w:r>
              <w:rPr>
                <w:rFonts w:ascii="Times New Roman" w:hAnsi="Times New Roman" w:cs="Times New Roman"/>
                <w:b w:val="0"/>
                <w:i/>
                <w:sz w:val="28"/>
                <w:szCs w:val="28"/>
              </w:rPr>
              <w:t>AGTR1</w:t>
            </w:r>
            <w:r>
              <w:rPr>
                <w:rFonts w:ascii="Times New Roman" w:hAnsi="Times New Roman" w:cs="Times New Roman"/>
                <w:b w:val="0"/>
                <w:sz w:val="28"/>
                <w:szCs w:val="28"/>
              </w:rPr>
              <w:t xml:space="preserve"> A1166C (rs5186)</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А/А</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А/С</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С/С</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А</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С</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sz w:val="28"/>
                <w:szCs w:val="28"/>
              </w:rPr>
              <w:t>0,017**</w:t>
            </w:r>
          </w:p>
        </w:tc>
      </w:tr>
      <w:tr w:rsidR="00AB12B3" w:rsidTr="005E1D88">
        <w:tc>
          <w:tcPr>
            <w:cnfStyle w:val="001000000000" w:firstRow="0" w:lastRow="0" w:firstColumn="1" w:lastColumn="0" w:oddVBand="0" w:evenVBand="0" w:oddHBand="0" w:evenHBand="0" w:firstRowFirstColumn="0" w:firstRowLastColumn="0" w:lastRowFirstColumn="0" w:lastRowLastColumn="0"/>
            <w:tcW w:w="3116" w:type="dxa"/>
            <w:gridSpan w:val="2"/>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sz w:val="28"/>
                <w:szCs w:val="28"/>
                <w:lang w:val="en-US"/>
              </w:rPr>
            </w:pPr>
            <w:r>
              <w:rPr>
                <w:rFonts w:ascii="Times New Roman" w:hAnsi="Times New Roman" w:cs="Times New Roman"/>
                <w:b w:val="0"/>
                <w:sz w:val="28"/>
                <w:szCs w:val="28"/>
              </w:rPr>
              <w:t>Всего</w:t>
            </w:r>
            <w:r w:rsidR="00B8006E">
              <w:rPr>
                <w:rFonts w:ascii="Times New Roman" w:hAnsi="Times New Roman" w:cs="Times New Roman"/>
                <w:b w:val="0"/>
                <w:sz w:val="28"/>
                <w:szCs w:val="28"/>
              </w:rPr>
              <w:t xml:space="preserve"> </w:t>
            </w:r>
            <w:r>
              <w:rPr>
                <w:rFonts w:ascii="Times New Roman" w:hAnsi="Times New Roman" w:cs="Times New Roman"/>
                <w:b w:val="0"/>
                <w:sz w:val="28"/>
                <w:szCs w:val="28"/>
                <w:lang w:val="en-US"/>
              </w:rPr>
              <w:t>n=460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369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80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11</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818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102</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p>
        </w:tc>
      </w:tr>
      <w:tr w:rsidR="00AB12B3" w:rsidTr="005E1D88">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b w:val="0"/>
                <w:sz w:val="28"/>
                <w:szCs w:val="28"/>
              </w:rPr>
            </w:pPr>
            <w:r>
              <w:rPr>
                <w:rFonts w:ascii="Times New Roman" w:hAnsi="Times New Roman" w:cs="Times New Roman"/>
                <w:b w:val="0"/>
                <w:sz w:val="28"/>
                <w:szCs w:val="28"/>
              </w:rPr>
              <w:t>Пол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Муж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202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3</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430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32</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0,0001</w:t>
            </w: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 xml:space="preserve">Жен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167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8</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388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70</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rPr>
                <w:rFonts w:ascii="Times New Roman" w:hAnsi="Times New Roman" w:cs="Times New Roman"/>
                <w:b w:val="0"/>
                <w:sz w:val="28"/>
                <w:szCs w:val="28"/>
              </w:rPr>
            </w:pPr>
            <w:r>
              <w:rPr>
                <w:rFonts w:ascii="Times New Roman" w:hAnsi="Times New Roman" w:cs="Times New Roman"/>
                <w:b w:val="0"/>
                <w:sz w:val="28"/>
                <w:szCs w:val="28"/>
              </w:rPr>
              <w:t>ИМТ</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НВ</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151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330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40</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0,71</w:t>
            </w: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rPr>
              <w:t>ИВ</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153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342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44</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Ож</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146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ОХС, ммоль/л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≤4,9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324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720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92</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0,83</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&gt;4,9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45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98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ТГ, ммоль/л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269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595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77</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0,38</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pPr>
            <w:r>
              <w:rPr>
                <w:rFonts w:ascii="Times New Roman" w:hAnsi="Times New Roman"/>
                <w:sz w:val="28"/>
                <w:szCs w:val="28"/>
              </w:rPr>
              <w:t>&gt;1,7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223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25</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7F7F7F" w:themeColor="text1" w:themeTint="80"/>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ЛПВП, ммоль/л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Муж ≥1,0</w:t>
            </w:r>
          </w:p>
          <w:p w:rsidR="00AB12B3" w:rsidRDefault="00AB12B3">
            <w:pPr>
              <w:jc w:val="center"/>
              <w:cnfStyle w:val="000000000000" w:firstRow="0" w:lastRow="0" w:firstColumn="0" w:lastColumn="0" w:oddVBand="0" w:evenVBand="0" w:oddHBand="0" w:evenHBand="0" w:firstRowFirstColumn="0" w:firstRowLastColumn="0" w:lastRowFirstColumn="0" w:lastRowLastColumn="0"/>
            </w:pPr>
            <w:r>
              <w:rPr>
                <w:rFonts w:ascii="Times New Roman" w:hAnsi="Times New Roman"/>
                <w:sz w:val="28"/>
                <w:szCs w:val="28"/>
              </w:rPr>
              <w:t>Жен ≥1,2</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147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23</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317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27</w:t>
            </w:r>
          </w:p>
        </w:tc>
        <w:tc>
          <w:tcPr>
            <w:tcW w:w="1024"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0,07</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left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Муж &lt;1,0</w:t>
            </w:r>
          </w:p>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Жен &lt;1,2</w:t>
            </w:r>
          </w:p>
        </w:tc>
        <w:tc>
          <w:tcPr>
            <w:tcW w:w="1134" w:type="dxa"/>
            <w:tcBorders>
              <w:left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222</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57</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993"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501</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75</w:t>
            </w:r>
          </w:p>
        </w:tc>
        <w:tc>
          <w:tcPr>
            <w:tcW w:w="1024" w:type="dxa"/>
            <w:vMerge/>
            <w:tcBorders>
              <w:top w:val="single" w:sz="4" w:space="0" w:color="auto"/>
              <w:left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 xml:space="preserve">ЛПНП, ммоль/л </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319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710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86</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0,056</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&gt;3, 0</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50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108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апоВ, г/л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&lt;0,9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135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301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41</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0,79</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≥0,9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234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517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61</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7F7F7F" w:themeColor="text1" w:themeTint="80"/>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апоА1</w:t>
            </w:r>
            <w:r w:rsidRPr="00DC272B">
              <w:rPr>
                <w:rFonts w:ascii="Century" w:hAnsi="Century"/>
                <w:b w:val="0"/>
                <w:sz w:val="28"/>
                <w:szCs w:val="28"/>
              </w:rPr>
              <w:t xml:space="preserve">, </w:t>
            </w:r>
            <w:r>
              <w:rPr>
                <w:rFonts w:ascii="Times New Roman" w:hAnsi="Times New Roman"/>
                <w:b w:val="0"/>
                <w:sz w:val="28"/>
                <w:szCs w:val="28"/>
              </w:rPr>
              <w:t>г</w:t>
            </w:r>
            <w:r w:rsidRPr="00DC272B">
              <w:rPr>
                <w:rFonts w:ascii="Century" w:hAnsi="Century"/>
                <w:b w:val="0"/>
                <w:sz w:val="28"/>
                <w:szCs w:val="28"/>
              </w:rPr>
              <w:t>/</w:t>
            </w:r>
            <w:r>
              <w:rPr>
                <w:rFonts w:ascii="Times New Roman" w:hAnsi="Times New Roman"/>
                <w:b w:val="0"/>
                <w:sz w:val="28"/>
                <w:szCs w:val="28"/>
              </w:rPr>
              <w:t>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8"/>
                <w:szCs w:val="28"/>
              </w:rPr>
            </w:pPr>
            <w:r>
              <w:rPr>
                <w:rFonts w:ascii="Times New Roman" w:hAnsi="Times New Roman"/>
                <w:color w:val="000000"/>
                <w:sz w:val="28"/>
                <w:szCs w:val="28"/>
              </w:rPr>
              <w:t xml:space="preserve">Муж </w:t>
            </w:r>
            <w:r w:rsidRPr="00DC272B">
              <w:rPr>
                <w:rFonts w:ascii="Century" w:hAnsi="Century"/>
                <w:color w:val="000000"/>
                <w:sz w:val="28"/>
                <w:szCs w:val="28"/>
              </w:rPr>
              <w:t>≥</w:t>
            </w:r>
            <w:r>
              <w:rPr>
                <w:rFonts w:ascii="Times New Roman" w:hAnsi="Times New Roman"/>
                <w:color w:val="000000"/>
                <w:sz w:val="28"/>
                <w:szCs w:val="28"/>
              </w:rPr>
              <w:t>1</w:t>
            </w:r>
            <w:r w:rsidRPr="00DC272B">
              <w:rPr>
                <w:rFonts w:ascii="Century" w:hAnsi="Century"/>
                <w:color w:val="000000"/>
                <w:sz w:val="28"/>
                <w:szCs w:val="28"/>
              </w:rPr>
              <w:t>,</w:t>
            </w:r>
            <w:r>
              <w:rPr>
                <w:rFonts w:ascii="Times New Roman" w:hAnsi="Times New Roman"/>
                <w:color w:val="000000"/>
                <w:sz w:val="28"/>
                <w:szCs w:val="28"/>
              </w:rPr>
              <w:t>04</w:t>
            </w:r>
          </w:p>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color w:val="000000"/>
                <w:sz w:val="28"/>
                <w:szCs w:val="28"/>
              </w:rPr>
              <w:t xml:space="preserve">Жен </w:t>
            </w:r>
            <w:r w:rsidRPr="00DC272B">
              <w:rPr>
                <w:rFonts w:ascii="Century" w:hAnsi="Century"/>
                <w:color w:val="000000"/>
                <w:sz w:val="28"/>
                <w:szCs w:val="28"/>
              </w:rPr>
              <w:t>≥</w:t>
            </w:r>
            <w:r>
              <w:rPr>
                <w:rFonts w:ascii="Times New Roman" w:hAnsi="Times New Roman"/>
                <w:color w:val="000000"/>
                <w:sz w:val="28"/>
                <w:szCs w:val="28"/>
              </w:rPr>
              <w:t>1</w:t>
            </w:r>
            <w:r w:rsidRPr="00DC272B">
              <w:rPr>
                <w:rFonts w:ascii="Century" w:hAnsi="Century"/>
                <w:color w:val="000000"/>
                <w:sz w:val="28"/>
                <w:szCs w:val="28"/>
              </w:rPr>
              <w:t>,</w:t>
            </w:r>
            <w:r>
              <w:rPr>
                <w:rFonts w:ascii="Times New Roman" w:hAnsi="Times New Roman"/>
                <w:color w:val="000000"/>
                <w:sz w:val="28"/>
                <w:szCs w:val="28"/>
              </w:rPr>
              <w:t xml:space="preserve">08 </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345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767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99</w:t>
            </w:r>
          </w:p>
        </w:tc>
        <w:tc>
          <w:tcPr>
            <w:tcW w:w="1024" w:type="dxa"/>
            <w:vMerge w:val="restart"/>
            <w:tcBorders>
              <w:top w:val="single" w:sz="4" w:space="0" w:color="auto"/>
              <w:left w:val="single" w:sz="4" w:space="0" w:color="auto"/>
              <w:bottom w:val="single" w:sz="4" w:space="0" w:color="7F7F7F" w:themeColor="text1" w:themeTint="80"/>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w:t>
            </w:r>
            <w:r w:rsidRPr="00DC272B">
              <w:rPr>
                <w:rFonts w:ascii="Century" w:hAnsi="Century" w:cs="Times New Roman"/>
                <w:sz w:val="28"/>
                <w:szCs w:val="28"/>
                <w:lang w:val="kk-KZ"/>
              </w:rPr>
              <w:t>,</w:t>
            </w:r>
            <w:r>
              <w:rPr>
                <w:rFonts w:ascii="Times New Roman" w:hAnsi="Times New Roman" w:cs="Times New Roman"/>
                <w:sz w:val="28"/>
                <w:szCs w:val="28"/>
                <w:lang w:val="kk-KZ"/>
              </w:rPr>
              <w:t>39</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left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szCs w:val="28"/>
              </w:rPr>
            </w:pPr>
            <w:r>
              <w:rPr>
                <w:rFonts w:ascii="Times New Roman" w:hAnsi="Times New Roman"/>
                <w:color w:val="000000"/>
                <w:sz w:val="28"/>
                <w:szCs w:val="28"/>
              </w:rPr>
              <w:t>Муж &lt;1,04</w:t>
            </w:r>
          </w:p>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szCs w:val="28"/>
              </w:rPr>
            </w:pPr>
            <w:r>
              <w:rPr>
                <w:rFonts w:ascii="Times New Roman" w:hAnsi="Times New Roman"/>
                <w:color w:val="000000"/>
                <w:sz w:val="28"/>
                <w:szCs w:val="28"/>
              </w:rPr>
              <w:t>Жен &lt;1,08</w:t>
            </w:r>
          </w:p>
        </w:tc>
        <w:tc>
          <w:tcPr>
            <w:tcW w:w="1134" w:type="dxa"/>
            <w:tcBorders>
              <w:left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24</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w:t>
            </w:r>
          </w:p>
        </w:tc>
        <w:tc>
          <w:tcPr>
            <w:tcW w:w="993"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51</w:t>
            </w:r>
          </w:p>
        </w:tc>
        <w:tc>
          <w:tcPr>
            <w:tcW w:w="992" w:type="dxa"/>
            <w:tcBorders>
              <w:left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024" w:type="dxa"/>
            <w:vMerge/>
            <w:tcBorders>
              <w:top w:val="single" w:sz="4" w:space="0" w:color="auto"/>
              <w:left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lang w:val="kk-KZ"/>
              </w:rPr>
            </w:pPr>
            <w:r>
              <w:rPr>
                <w:rFonts w:ascii="Times New Roman" w:hAnsi="Times New Roman"/>
                <w:b w:val="0"/>
                <w:sz w:val="28"/>
                <w:szCs w:val="28"/>
              </w:rPr>
              <w:t>апоВ</w:t>
            </w:r>
            <w:r w:rsidRPr="00DC272B">
              <w:rPr>
                <w:rFonts w:ascii="Century" w:hAnsi="Century"/>
                <w:b w:val="0"/>
                <w:sz w:val="28"/>
                <w:szCs w:val="28"/>
              </w:rPr>
              <w:t>/</w:t>
            </w:r>
          </w:p>
          <w:p w:rsidR="00AB12B3" w:rsidRDefault="00AB12B3">
            <w:pPr>
              <w:jc w:val="center"/>
              <w:rPr>
                <w:rFonts w:ascii="Times New Roman" w:hAnsi="Times New Roman"/>
                <w:b w:val="0"/>
                <w:sz w:val="28"/>
                <w:szCs w:val="28"/>
              </w:rPr>
            </w:pPr>
            <w:r>
              <w:rPr>
                <w:rFonts w:ascii="Times New Roman" w:hAnsi="Times New Roman"/>
                <w:b w:val="0"/>
                <w:sz w:val="28"/>
                <w:szCs w:val="28"/>
              </w:rPr>
              <w:t>апоА1</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C272B">
              <w:rPr>
                <w:rFonts w:ascii="Century" w:hAnsi="Century"/>
                <w:sz w:val="28"/>
                <w:szCs w:val="28"/>
              </w:rPr>
              <w:t>≤</w:t>
            </w:r>
            <w:r>
              <w:rPr>
                <w:rFonts w:ascii="Times New Roman" w:hAnsi="Times New Roman"/>
                <w:sz w:val="28"/>
                <w:szCs w:val="28"/>
              </w:rPr>
              <w:t>0</w:t>
            </w:r>
            <w:r w:rsidRPr="00DC272B">
              <w:rPr>
                <w:rFonts w:ascii="Century" w:hAnsi="Century"/>
                <w:sz w:val="28"/>
                <w:szCs w:val="28"/>
              </w:rPr>
              <w:t>,</w:t>
            </w:r>
            <w:r>
              <w:rPr>
                <w:rFonts w:ascii="Times New Roman" w:hAnsi="Times New Roman"/>
                <w:sz w:val="28"/>
                <w:szCs w:val="28"/>
              </w:rPr>
              <w:t>85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288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637</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81</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w:t>
            </w:r>
            <w:r w:rsidRPr="00DC272B">
              <w:rPr>
                <w:rFonts w:ascii="Century" w:hAnsi="Century" w:cs="Times New Roman"/>
                <w:sz w:val="28"/>
                <w:szCs w:val="28"/>
                <w:lang w:val="kk-KZ"/>
              </w:rPr>
              <w:t>,</w:t>
            </w:r>
            <w:r>
              <w:rPr>
                <w:rFonts w:ascii="Times New Roman" w:hAnsi="Times New Roman" w:cs="Times New Roman"/>
                <w:sz w:val="28"/>
                <w:szCs w:val="28"/>
                <w:lang w:val="kk-KZ"/>
              </w:rPr>
              <w:t>54</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C272B">
              <w:rPr>
                <w:rFonts w:ascii="Century" w:hAnsi="Century"/>
                <w:sz w:val="28"/>
                <w:szCs w:val="28"/>
              </w:rPr>
              <w:t>&gt;</w:t>
            </w:r>
            <w:r>
              <w:rPr>
                <w:rFonts w:ascii="Times New Roman" w:hAnsi="Times New Roman"/>
                <w:sz w:val="28"/>
                <w:szCs w:val="28"/>
              </w:rPr>
              <w:t>0</w:t>
            </w:r>
            <w:r w:rsidRPr="00DC272B">
              <w:rPr>
                <w:rFonts w:ascii="Century" w:hAnsi="Century"/>
                <w:sz w:val="28"/>
                <w:szCs w:val="28"/>
              </w:rPr>
              <w:t>,</w:t>
            </w:r>
            <w:r>
              <w:rPr>
                <w:rFonts w:ascii="Times New Roman" w:hAnsi="Times New Roman"/>
                <w:sz w:val="28"/>
                <w:szCs w:val="28"/>
              </w:rPr>
              <w:t>85</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81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181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глюкоза</w:t>
            </w:r>
            <w:r w:rsidRPr="00DC272B">
              <w:rPr>
                <w:rFonts w:ascii="Century" w:hAnsi="Century"/>
                <w:b w:val="0"/>
                <w:sz w:val="28"/>
                <w:szCs w:val="28"/>
              </w:rPr>
              <w:t>,</w:t>
            </w:r>
            <w:r>
              <w:rPr>
                <w:rFonts w:ascii="Times New Roman" w:hAnsi="Times New Roman"/>
                <w:b w:val="0"/>
                <w:sz w:val="28"/>
                <w:szCs w:val="28"/>
              </w:rPr>
              <w:t xml:space="preserve"> ммоль</w:t>
            </w:r>
            <w:r w:rsidRPr="00DC272B">
              <w:rPr>
                <w:rFonts w:ascii="Century" w:hAnsi="Century"/>
                <w:b w:val="0"/>
                <w:sz w:val="28"/>
                <w:szCs w:val="28"/>
              </w:rPr>
              <w:t>/</w:t>
            </w:r>
            <w:r>
              <w:rPr>
                <w:rFonts w:ascii="Times New Roman" w:hAnsi="Times New Roman"/>
                <w:b w:val="0"/>
                <w:sz w:val="28"/>
                <w:szCs w:val="28"/>
              </w:rPr>
              <w:t>л</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325F93">
              <w:rPr>
                <w:rFonts w:ascii="Century" w:hAnsi="Century"/>
                <w:sz w:val="28"/>
                <w:szCs w:val="28"/>
              </w:rPr>
              <w:t>≤</w:t>
            </w:r>
            <w:r>
              <w:rPr>
                <w:rFonts w:ascii="Times New Roman" w:hAnsi="Times New Roman"/>
                <w:sz w:val="28"/>
                <w:szCs w:val="28"/>
              </w:rPr>
              <w:t>5</w:t>
            </w:r>
            <w:r w:rsidRPr="00325F93">
              <w:rPr>
                <w:rFonts w:ascii="Century" w:hAnsi="Century"/>
                <w:sz w:val="28"/>
                <w:szCs w:val="28"/>
              </w:rPr>
              <w:t>,</w:t>
            </w:r>
            <w:r>
              <w:rPr>
                <w:rFonts w:ascii="Times New Roman" w:hAnsi="Times New Roman"/>
                <w:sz w:val="28"/>
                <w:szCs w:val="28"/>
              </w:rPr>
              <w:t>59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181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408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52</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w:t>
            </w:r>
            <w:r w:rsidRPr="00325F93">
              <w:rPr>
                <w:rFonts w:ascii="Century" w:hAnsi="Century" w:cs="Times New Roman"/>
                <w:sz w:val="28"/>
                <w:szCs w:val="28"/>
                <w:lang w:val="kk-KZ"/>
              </w:rPr>
              <w:t>,</w:t>
            </w:r>
            <w:r>
              <w:rPr>
                <w:rFonts w:ascii="Times New Roman" w:hAnsi="Times New Roman" w:cs="Times New Roman"/>
                <w:sz w:val="28"/>
                <w:szCs w:val="28"/>
                <w:lang w:val="kk-KZ"/>
              </w:rPr>
              <w:t>12</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325F93">
              <w:rPr>
                <w:rFonts w:ascii="Century" w:hAnsi="Century"/>
                <w:sz w:val="28"/>
                <w:szCs w:val="28"/>
              </w:rPr>
              <w:t>&gt;</w:t>
            </w:r>
            <w:r>
              <w:rPr>
                <w:rFonts w:ascii="Times New Roman" w:hAnsi="Times New Roman"/>
                <w:sz w:val="28"/>
                <w:szCs w:val="28"/>
              </w:rPr>
              <w:t>5</w:t>
            </w:r>
            <w:r w:rsidRPr="00325F93">
              <w:rPr>
                <w:rFonts w:ascii="Century" w:hAnsi="Century"/>
                <w:sz w:val="28"/>
                <w:szCs w:val="28"/>
              </w:rPr>
              <w:t>,</w:t>
            </w:r>
            <w:r>
              <w:rPr>
                <w:rFonts w:ascii="Times New Roman" w:hAnsi="Times New Roman"/>
                <w:sz w:val="28"/>
                <w:szCs w:val="28"/>
              </w:rPr>
              <w:t>59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188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410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vAlign w:val="center"/>
            <w:hideMark/>
          </w:tcPr>
          <w:p w:rsidR="00AB12B3" w:rsidRDefault="00AB12B3">
            <w:pPr>
              <w:jc w:val="center"/>
              <w:rPr>
                <w:rFonts w:ascii="Times New Roman" w:hAnsi="Times New Roman"/>
                <w:b w:val="0"/>
                <w:sz w:val="28"/>
                <w:szCs w:val="28"/>
              </w:rPr>
            </w:pPr>
            <w:r>
              <w:rPr>
                <w:rFonts w:ascii="Times New Roman" w:hAnsi="Times New Roman"/>
                <w:b w:val="0"/>
                <w:sz w:val="28"/>
                <w:szCs w:val="28"/>
              </w:rPr>
              <w:t xml:space="preserve">Инсулин, мкМЕ/мл </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≤24,9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335</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744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94</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0,89</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&gt;24,9</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34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74</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5E1D88">
        <w:tc>
          <w:tcPr>
            <w:cnfStyle w:val="001000000000" w:firstRow="0" w:lastRow="0" w:firstColumn="1" w:lastColumn="0" w:oddVBand="0" w:evenVBand="0" w:oddHBand="0" w:evenHBand="0" w:firstRowFirstColumn="0" w:firstRowLastColumn="0" w:lastRowFirstColumn="0" w:lastRowLastColumn="0"/>
            <w:tcW w:w="1417"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jc w:val="center"/>
              <w:rPr>
                <w:rFonts w:ascii="Times New Roman" w:hAnsi="Times New Roman" w:cs="Times New Roman"/>
                <w:b w:val="0"/>
                <w:sz w:val="28"/>
                <w:szCs w:val="28"/>
              </w:rPr>
            </w:pPr>
            <w:r>
              <w:rPr>
                <w:rFonts w:ascii="Times New Roman" w:hAnsi="Times New Roman"/>
                <w:b w:val="0"/>
                <w:sz w:val="28"/>
                <w:szCs w:val="28"/>
              </w:rPr>
              <w:t>HOMA-IR</w:t>
            </w: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&lt;</w:t>
            </w:r>
            <w:r>
              <w:rPr>
                <w:rFonts w:ascii="Times New Roman" w:hAnsi="Times New Roman"/>
                <w:sz w:val="28"/>
                <w:szCs w:val="28"/>
              </w:rPr>
              <w:t>2,7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218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52</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488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62</w:t>
            </w:r>
          </w:p>
        </w:tc>
        <w:tc>
          <w:tcPr>
            <w:tcW w:w="1024" w:type="dxa"/>
            <w:vMerge w:val="restart"/>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0,38</w:t>
            </w:r>
          </w:p>
        </w:tc>
      </w:tr>
      <w:tr w:rsidR="00AB12B3" w:rsidTr="005E1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rPr>
                <w:rFonts w:ascii="Times New Roman" w:hAnsi="Times New Roman" w:cs="Times New Roman"/>
                <w:sz w:val="28"/>
                <w:szCs w:val="28"/>
              </w:rPr>
            </w:pPr>
          </w:p>
        </w:tc>
        <w:tc>
          <w:tcPr>
            <w:tcW w:w="1699"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sz w:val="28"/>
                <w:szCs w:val="28"/>
              </w:rPr>
              <w:t>2,7</w:t>
            </w:r>
          </w:p>
        </w:tc>
        <w:tc>
          <w:tcPr>
            <w:tcW w:w="1134"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sz w:val="28"/>
                <w:szCs w:val="28"/>
                <w:lang w:val="kk-KZ"/>
              </w:rPr>
              <w:t>151</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lang w:val="kk-KZ"/>
              </w:rPr>
            </w:pPr>
            <w:r>
              <w:rPr>
                <w:rFonts w:ascii="Times New Roman" w:hAnsi="Times New Roman" w:cs="Times New Roman"/>
                <w:sz w:val="28"/>
                <w:szCs w:val="28"/>
                <w:lang w:val="kk-KZ"/>
              </w:rPr>
              <w:t>28</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993"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330</w:t>
            </w:r>
          </w:p>
        </w:tc>
        <w:tc>
          <w:tcPr>
            <w:tcW w:w="992" w:type="dxa"/>
            <w:tcBorders>
              <w:top w:val="single" w:sz="4" w:space="0" w:color="auto"/>
              <w:left w:val="single" w:sz="4" w:space="0" w:color="auto"/>
              <w:bottom w:val="single" w:sz="4" w:space="0" w:color="auto"/>
              <w:right w:val="single" w:sz="4" w:space="0" w:color="auto"/>
            </w:tcBorders>
            <w:hideMark/>
          </w:tcPr>
          <w:p w:rsidR="00AB12B3" w:rsidRDefault="00AB12B3">
            <w:pPr>
              <w:pStyle w:val="af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40</w:t>
            </w:r>
          </w:p>
        </w:tc>
        <w:tc>
          <w:tcPr>
            <w:tcW w:w="1024" w:type="dxa"/>
            <w:vMerge/>
            <w:tcBorders>
              <w:top w:val="single" w:sz="4" w:space="0" w:color="auto"/>
              <w:left w:val="single" w:sz="4" w:space="0" w:color="auto"/>
              <w:bottom w:val="single" w:sz="4" w:space="0" w:color="auto"/>
              <w:right w:val="single" w:sz="4" w:space="0" w:color="auto"/>
            </w:tcBorders>
            <w:vAlign w:val="center"/>
            <w:hideMark/>
          </w:tcPr>
          <w:p w:rsidR="00AB12B3" w:rsidRDefault="00AB12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tc>
      </w:tr>
      <w:tr w:rsidR="00AB12B3" w:rsidTr="005E1D88">
        <w:tc>
          <w:tcPr>
            <w:cnfStyle w:val="001000000000" w:firstRow="0" w:lastRow="0" w:firstColumn="1" w:lastColumn="0" w:oddVBand="0" w:evenVBand="0" w:oddHBand="0" w:evenHBand="0" w:firstRowFirstColumn="0" w:firstRowLastColumn="0" w:lastRowFirstColumn="0" w:lastRowLastColumn="0"/>
            <w:tcW w:w="9243" w:type="dxa"/>
            <w:gridSpan w:val="8"/>
            <w:tcBorders>
              <w:top w:val="single" w:sz="4" w:space="0" w:color="auto"/>
              <w:left w:val="single" w:sz="4" w:space="0" w:color="auto"/>
              <w:bottom w:val="single" w:sz="4" w:space="0" w:color="auto"/>
              <w:right w:val="single" w:sz="4" w:space="0" w:color="auto"/>
            </w:tcBorders>
            <w:hideMark/>
          </w:tcPr>
          <w:p w:rsidR="00214141" w:rsidRPr="00214141" w:rsidRDefault="00214141" w:rsidP="00214141">
            <w:pPr>
              <w:jc w:val="both"/>
              <w:rPr>
                <w:rFonts w:ascii="Times New Roman" w:hAnsi="Times New Roman"/>
                <w:b w:val="0"/>
                <w:bCs w:val="0"/>
              </w:rPr>
            </w:pPr>
            <w:r w:rsidRPr="00214141">
              <w:rPr>
                <w:rFonts w:ascii="Times New Roman" w:hAnsi="Times New Roman"/>
                <w:b w:val="0"/>
                <w:bCs w:val="0"/>
              </w:rPr>
              <w:t xml:space="preserve">НВ – нормальный вес; ИВ – избыточный вес; Ож – ожирение; </w:t>
            </w:r>
          </w:p>
          <w:p w:rsidR="00AB12B3" w:rsidRDefault="00AB12B3">
            <w:pPr>
              <w:jc w:val="both"/>
              <w:outlineLvl w:val="0"/>
              <w:rPr>
                <w:rFonts w:ascii="Times New Roman" w:hAnsi="Times New Roman" w:cs="Times New Roman"/>
                <w:b w:val="0"/>
                <w:color w:val="050505"/>
                <w:sz w:val="24"/>
                <w:szCs w:val="24"/>
                <w:lang w:val="kk-KZ"/>
              </w:rPr>
            </w:pPr>
            <w:r w:rsidRPr="00214141">
              <w:rPr>
                <w:rFonts w:ascii="Times New Roman" w:hAnsi="Times New Roman" w:cs="Times New Roman"/>
                <w:b w:val="0"/>
                <w:bCs w:val="0"/>
                <w:color w:val="050505"/>
              </w:rPr>
              <w:t>* - критерий χ</w:t>
            </w:r>
            <w:r w:rsidRPr="00214141">
              <w:rPr>
                <w:rFonts w:ascii="Times New Roman" w:hAnsi="Times New Roman" w:cs="Times New Roman"/>
                <w:b w:val="0"/>
                <w:bCs w:val="0"/>
                <w:color w:val="050505"/>
                <w:vertAlign w:val="superscript"/>
              </w:rPr>
              <w:t>2</w:t>
            </w:r>
            <w:r w:rsidRPr="00214141">
              <w:rPr>
                <w:rFonts w:ascii="Times New Roman" w:hAnsi="Times New Roman" w:cs="Times New Roman"/>
                <w:b w:val="0"/>
                <w:bCs w:val="0"/>
                <w:color w:val="050505"/>
              </w:rPr>
              <w:t xml:space="preserve"> Пирсона</w:t>
            </w:r>
            <w:r w:rsidRPr="00214141">
              <w:rPr>
                <w:rFonts w:ascii="Times New Roman" w:hAnsi="Times New Roman" w:cs="Times New Roman"/>
                <w:b w:val="0"/>
                <w:bCs w:val="0"/>
                <w:color w:val="050505"/>
                <w:lang w:val="kk-KZ"/>
              </w:rPr>
              <w:t xml:space="preserve"> ** - </w:t>
            </w:r>
            <w:r w:rsidRPr="00214141">
              <w:rPr>
                <w:rFonts w:ascii="Times New Roman" w:hAnsi="Times New Roman"/>
                <w:b w:val="0"/>
                <w:bCs w:val="0"/>
              </w:rPr>
              <w:t>равновесие Харди-Вайнберга</w:t>
            </w:r>
          </w:p>
        </w:tc>
      </w:tr>
    </w:tbl>
    <w:p w:rsidR="00132A90" w:rsidRDefault="00132A90" w:rsidP="00AB12B3">
      <w:pPr>
        <w:pStyle w:val="a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8"/>
        <w:jc w:val="both"/>
        <w:rPr>
          <w:rFonts w:ascii="Times New Roman" w:hAnsi="Times New Roman" w:cs="Times New Roman"/>
          <w:sz w:val="28"/>
          <w:szCs w:val="28"/>
          <w:lang w:val="kk-KZ"/>
        </w:rPr>
      </w:pPr>
    </w:p>
    <w:p w:rsidR="00AB12B3" w:rsidRDefault="00AB12B3" w:rsidP="00AB12B3">
      <w:pPr>
        <w:pStyle w:val="af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lang w:val="kk-KZ"/>
        </w:rPr>
        <w:t>Таким</w:t>
      </w:r>
      <w:r w:rsidR="00CA7C03">
        <w:rPr>
          <w:rFonts w:ascii="Times New Roman" w:hAnsi="Times New Roman" w:cs="Times New Roman"/>
          <w:sz w:val="28"/>
          <w:szCs w:val="28"/>
          <w:lang w:val="kk-KZ"/>
        </w:rPr>
        <w:t xml:space="preserve"> </w:t>
      </w:r>
      <w:r>
        <w:rPr>
          <w:rFonts w:ascii="Times New Roman" w:hAnsi="Times New Roman" w:cs="Times New Roman"/>
          <w:sz w:val="28"/>
          <w:szCs w:val="28"/>
          <w:lang w:val="kk-KZ"/>
        </w:rPr>
        <w:t>образом, по</w:t>
      </w:r>
      <w:r w:rsidR="00CA7C03">
        <w:rPr>
          <w:rFonts w:ascii="Times New Roman" w:hAnsi="Times New Roman" w:cs="Times New Roman"/>
          <w:sz w:val="28"/>
          <w:szCs w:val="28"/>
          <w:lang w:val="kk-KZ"/>
        </w:rPr>
        <w:t xml:space="preserve"> </w:t>
      </w:r>
      <w:r>
        <w:rPr>
          <w:rFonts w:ascii="Times New Roman" w:hAnsi="Times New Roman" w:cs="Times New Roman"/>
          <w:sz w:val="28"/>
          <w:szCs w:val="28"/>
          <w:lang w:val="kk-KZ"/>
        </w:rPr>
        <w:t>результатам</w:t>
      </w:r>
      <w:r w:rsidR="00CA7C03">
        <w:rPr>
          <w:rFonts w:ascii="Times New Roman" w:hAnsi="Times New Roman" w:cs="Times New Roman"/>
          <w:sz w:val="28"/>
          <w:szCs w:val="28"/>
          <w:lang w:val="kk-KZ"/>
        </w:rPr>
        <w:t xml:space="preserve"> </w:t>
      </w:r>
      <w:r>
        <w:rPr>
          <w:rFonts w:ascii="Times New Roman" w:hAnsi="Times New Roman" w:cs="Times New Roman"/>
          <w:sz w:val="28"/>
          <w:szCs w:val="28"/>
          <w:lang w:val="kk-KZ"/>
        </w:rPr>
        <w:t>нашего</w:t>
      </w:r>
      <w:r w:rsidR="00CA7C03">
        <w:rPr>
          <w:rFonts w:ascii="Times New Roman" w:hAnsi="Times New Roman" w:cs="Times New Roman"/>
          <w:sz w:val="28"/>
          <w:szCs w:val="28"/>
          <w:lang w:val="kk-KZ"/>
        </w:rPr>
        <w:t xml:space="preserve"> </w:t>
      </w:r>
      <w:r>
        <w:rPr>
          <w:rFonts w:ascii="Times New Roman" w:hAnsi="Times New Roman" w:cs="Times New Roman"/>
          <w:sz w:val="28"/>
          <w:szCs w:val="28"/>
          <w:lang w:val="kk-KZ"/>
        </w:rPr>
        <w:t>исследования</w:t>
      </w:r>
      <w:r w:rsidR="00CA7C03">
        <w:rPr>
          <w:rFonts w:ascii="Times New Roman" w:hAnsi="Times New Roman" w:cs="Times New Roman"/>
          <w:sz w:val="28"/>
          <w:szCs w:val="28"/>
          <w:lang w:val="kk-KZ"/>
        </w:rPr>
        <w:t xml:space="preserve"> </w:t>
      </w:r>
      <w:r>
        <w:rPr>
          <w:rFonts w:ascii="Times New Roman" w:hAnsi="Times New Roman" w:cs="Times New Roman"/>
          <w:sz w:val="28"/>
          <w:szCs w:val="24"/>
        </w:rPr>
        <w:t xml:space="preserve">полиморфизм </w:t>
      </w:r>
      <w:r>
        <w:rPr>
          <w:rFonts w:ascii="Times New Roman" w:hAnsi="Times New Roman" w:cs="Times New Roman"/>
          <w:sz w:val="28"/>
          <w:szCs w:val="28"/>
        </w:rPr>
        <w:t>A1166C (rs5186)</w:t>
      </w:r>
      <w:r w:rsidR="00CA7C03">
        <w:rPr>
          <w:rFonts w:ascii="Times New Roman" w:hAnsi="Times New Roman" w:cs="Times New Roman"/>
          <w:sz w:val="28"/>
          <w:szCs w:val="28"/>
        </w:rPr>
        <w:t xml:space="preserve"> </w:t>
      </w:r>
      <w:r>
        <w:rPr>
          <w:rFonts w:ascii="Times New Roman" w:hAnsi="Times New Roman" w:cs="Times New Roman"/>
          <w:sz w:val="28"/>
          <w:szCs w:val="24"/>
          <w:lang w:val="kk-KZ"/>
        </w:rPr>
        <w:t>гена</w:t>
      </w:r>
      <w:r w:rsidR="00CA7C03">
        <w:rPr>
          <w:rFonts w:ascii="Times New Roman" w:hAnsi="Times New Roman" w:cs="Times New Roman"/>
          <w:sz w:val="28"/>
          <w:szCs w:val="24"/>
          <w:lang w:val="kk-KZ"/>
        </w:rPr>
        <w:t xml:space="preserve"> </w:t>
      </w:r>
      <w:r>
        <w:rPr>
          <w:rFonts w:ascii="Times New Roman" w:hAnsi="Times New Roman" w:cs="Times New Roman"/>
          <w:i/>
          <w:sz w:val="28"/>
          <w:szCs w:val="28"/>
        </w:rPr>
        <w:t>AGTR1</w:t>
      </w:r>
      <w:r>
        <w:rPr>
          <w:rFonts w:ascii="Times New Roman" w:hAnsi="Times New Roman" w:cs="Times New Roman"/>
          <w:sz w:val="28"/>
          <w:szCs w:val="28"/>
        </w:rPr>
        <w:t xml:space="preserve"> не является генетическим маркером дислипидемии и ИР в </w:t>
      </w:r>
      <w:r w:rsidR="00AA47A9">
        <w:rPr>
          <w:rFonts w:ascii="Times New Roman" w:hAnsi="Times New Roman" w:cs="Times New Roman"/>
          <w:sz w:val="28"/>
          <w:szCs w:val="28"/>
        </w:rPr>
        <w:t>исследуемой выборке</w:t>
      </w:r>
      <w:r>
        <w:rPr>
          <w:rFonts w:ascii="Times New Roman" w:hAnsi="Times New Roman" w:cs="Times New Roman"/>
          <w:sz w:val="28"/>
          <w:szCs w:val="28"/>
        </w:rPr>
        <w:t>.</w:t>
      </w:r>
    </w:p>
    <w:p w:rsidR="00132A90" w:rsidRDefault="00132A90"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u w:val="single"/>
        </w:rPr>
        <w:sectPr w:rsidR="00132A90">
          <w:pgSz w:w="11906" w:h="16838"/>
          <w:pgMar w:top="1134" w:right="850" w:bottom="1134" w:left="1701" w:header="708" w:footer="708" w:gutter="0"/>
          <w:cols w:space="720"/>
        </w:sectPr>
      </w:pP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u w:val="single"/>
        </w:rPr>
      </w:pPr>
      <w:r>
        <w:rPr>
          <w:rFonts w:ascii="Times New Roman" w:hAnsi="Times New Roman" w:cs="Times New Roman"/>
          <w:sz w:val="28"/>
          <w:szCs w:val="28"/>
          <w:u w:val="single"/>
        </w:rPr>
        <w:lastRenderedPageBreak/>
        <w:t xml:space="preserve">Множественный </w:t>
      </w:r>
      <w:r>
        <w:rPr>
          <w:rFonts w:ascii="Times New Roman" w:hAnsi="Times New Roman" w:cs="Times New Roman"/>
          <w:sz w:val="28"/>
          <w:szCs w:val="28"/>
          <w:u w:val="single"/>
          <w:lang w:val="en-US"/>
        </w:rPr>
        <w:t>SNP</w:t>
      </w:r>
      <w:r>
        <w:rPr>
          <w:rFonts w:ascii="Times New Roman" w:hAnsi="Times New Roman" w:cs="Times New Roman"/>
          <w:sz w:val="28"/>
          <w:szCs w:val="28"/>
          <w:u w:val="single"/>
        </w:rPr>
        <w:t xml:space="preserve"> – анализ между 4 </w:t>
      </w:r>
      <w:r>
        <w:rPr>
          <w:rFonts w:ascii="Times New Roman" w:hAnsi="Times New Roman" w:cs="Times New Roman"/>
          <w:sz w:val="28"/>
          <w:szCs w:val="28"/>
          <w:u w:val="single"/>
          <w:lang w:val="kk-KZ"/>
        </w:rPr>
        <w:t>SNP</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Мы</w:t>
      </w:r>
      <w:r w:rsidR="00A93B35">
        <w:rPr>
          <w:rFonts w:ascii="Times New Roman" w:hAnsi="Times New Roman" w:cs="Times New Roman"/>
          <w:sz w:val="28"/>
          <w:szCs w:val="28"/>
          <w:lang w:val="kk-KZ"/>
        </w:rPr>
        <w:t xml:space="preserve"> </w:t>
      </w:r>
      <w:r>
        <w:rPr>
          <w:rFonts w:ascii="Times New Roman" w:hAnsi="Times New Roman" w:cs="Times New Roman"/>
          <w:sz w:val="28"/>
          <w:szCs w:val="28"/>
          <w:lang w:val="kk-KZ"/>
        </w:rPr>
        <w:t>измерили</w:t>
      </w:r>
      <w:r w:rsidR="00A93B35">
        <w:rPr>
          <w:rFonts w:ascii="Times New Roman" w:hAnsi="Times New Roman" w:cs="Times New Roman"/>
          <w:sz w:val="28"/>
          <w:szCs w:val="28"/>
          <w:lang w:val="kk-KZ"/>
        </w:rPr>
        <w:t xml:space="preserve"> </w:t>
      </w:r>
      <w:r>
        <w:rPr>
          <w:rFonts w:ascii="Times New Roman" w:hAnsi="Times New Roman" w:cs="Times New Roman"/>
          <w:sz w:val="28"/>
          <w:szCs w:val="28"/>
          <w:lang w:val="kk-KZ"/>
        </w:rPr>
        <w:t>множественный SNP-анализ между 4 SNP, и значение D' между</w:t>
      </w:r>
      <w:r w:rsidR="00A93B35">
        <w:rPr>
          <w:rFonts w:ascii="Times New Roman" w:hAnsi="Times New Roman" w:cs="Times New Roman"/>
          <w:sz w:val="28"/>
          <w:szCs w:val="28"/>
          <w:lang w:val="kk-KZ"/>
        </w:rPr>
        <w:t xml:space="preserve"> </w:t>
      </w:r>
      <w:r>
        <w:rPr>
          <w:rFonts w:ascii="Times New Roman" w:hAnsi="Times New Roman" w:cs="Times New Roman"/>
          <w:i/>
          <w:sz w:val="28"/>
          <w:szCs w:val="28"/>
          <w:lang w:val="kk-KZ"/>
        </w:rPr>
        <w:t>LPL</w:t>
      </w:r>
      <w:r>
        <w:rPr>
          <w:rFonts w:ascii="Times New Roman" w:hAnsi="Times New Roman" w:cs="Times New Roman"/>
          <w:sz w:val="28"/>
          <w:szCs w:val="28"/>
          <w:lang w:val="kk-KZ"/>
        </w:rPr>
        <w:t xml:space="preserve"> Ser447Ter (rs328) и </w:t>
      </w:r>
      <w:r>
        <w:rPr>
          <w:rFonts w:ascii="Times New Roman" w:hAnsi="Times New Roman" w:cs="Times New Roman"/>
          <w:i/>
          <w:sz w:val="28"/>
          <w:szCs w:val="28"/>
          <w:lang w:val="kk-KZ"/>
        </w:rPr>
        <w:t>ADRB2</w:t>
      </w:r>
      <w:r>
        <w:rPr>
          <w:rFonts w:ascii="Times New Roman" w:hAnsi="Times New Roman" w:cs="Times New Roman"/>
          <w:sz w:val="28"/>
          <w:szCs w:val="28"/>
          <w:lang w:val="kk-KZ"/>
        </w:rPr>
        <w:t xml:space="preserve"> Gln27Glu (rs1042714) было 0,0311, значение D' между</w:t>
      </w:r>
      <w:r w:rsidR="00A93B35">
        <w:rPr>
          <w:rFonts w:ascii="Times New Roman" w:hAnsi="Times New Roman" w:cs="Times New Roman"/>
          <w:sz w:val="28"/>
          <w:szCs w:val="28"/>
          <w:lang w:val="kk-KZ"/>
        </w:rPr>
        <w:t xml:space="preserve"> </w:t>
      </w:r>
      <w:r>
        <w:rPr>
          <w:rFonts w:ascii="Times New Roman" w:hAnsi="Times New Roman" w:cs="Times New Roman"/>
          <w:i/>
          <w:sz w:val="28"/>
          <w:szCs w:val="28"/>
          <w:lang w:val="kk-KZ"/>
        </w:rPr>
        <w:t>LPL</w:t>
      </w:r>
      <w:r>
        <w:rPr>
          <w:rFonts w:ascii="Times New Roman" w:hAnsi="Times New Roman" w:cs="Times New Roman"/>
          <w:sz w:val="28"/>
          <w:szCs w:val="28"/>
          <w:lang w:val="kk-KZ"/>
        </w:rPr>
        <w:t xml:space="preserve"> Ser447Ter (rs328) и </w:t>
      </w:r>
      <w:r>
        <w:rPr>
          <w:rFonts w:ascii="Times New Roman" w:hAnsi="Times New Roman" w:cs="Times New Roman"/>
          <w:i/>
          <w:sz w:val="28"/>
          <w:szCs w:val="28"/>
          <w:lang w:val="kk-KZ"/>
        </w:rPr>
        <w:t>AGT</w:t>
      </w:r>
      <w:r>
        <w:rPr>
          <w:rFonts w:ascii="Times New Roman" w:hAnsi="Times New Roman" w:cs="Times New Roman"/>
          <w:sz w:val="28"/>
          <w:szCs w:val="28"/>
          <w:lang w:val="kk-KZ"/>
        </w:rPr>
        <w:t xml:space="preserve"> Thr174Met (rs4762) было 0,0045, значение D' между</w:t>
      </w:r>
      <w:r w:rsidR="00A93B35">
        <w:rPr>
          <w:rFonts w:ascii="Times New Roman" w:hAnsi="Times New Roman" w:cs="Times New Roman"/>
          <w:sz w:val="28"/>
          <w:szCs w:val="28"/>
          <w:lang w:val="kk-KZ"/>
        </w:rPr>
        <w:t xml:space="preserve"> </w:t>
      </w:r>
      <w:r>
        <w:rPr>
          <w:rFonts w:ascii="Times New Roman" w:hAnsi="Times New Roman" w:cs="Times New Roman"/>
          <w:i/>
          <w:sz w:val="28"/>
          <w:szCs w:val="28"/>
          <w:lang w:val="kk-KZ"/>
        </w:rPr>
        <w:t>LPL</w:t>
      </w:r>
      <w:r>
        <w:rPr>
          <w:rFonts w:ascii="Times New Roman" w:hAnsi="Times New Roman" w:cs="Times New Roman"/>
          <w:sz w:val="28"/>
          <w:szCs w:val="28"/>
          <w:lang w:val="kk-KZ"/>
        </w:rPr>
        <w:t xml:space="preserve"> Ser447Ter (rs328) и </w:t>
      </w:r>
      <w:r>
        <w:rPr>
          <w:rFonts w:ascii="Times New Roman" w:hAnsi="Times New Roman" w:cs="Times New Roman"/>
          <w:i/>
          <w:sz w:val="28"/>
          <w:szCs w:val="28"/>
          <w:lang w:val="kk-KZ"/>
        </w:rPr>
        <w:t>AGTR1</w:t>
      </w:r>
      <w:r>
        <w:rPr>
          <w:rFonts w:ascii="Times New Roman" w:hAnsi="Times New Roman" w:cs="Times New Roman"/>
          <w:sz w:val="28"/>
          <w:szCs w:val="28"/>
          <w:lang w:val="kk-KZ"/>
        </w:rPr>
        <w:t xml:space="preserve"> A1166C (rs5186) составил 0,3201. Значение D' между</w:t>
      </w:r>
      <w:r w:rsidR="00A93B35">
        <w:rPr>
          <w:rFonts w:ascii="Times New Roman" w:hAnsi="Times New Roman" w:cs="Times New Roman"/>
          <w:sz w:val="28"/>
          <w:szCs w:val="28"/>
          <w:lang w:val="kk-KZ"/>
        </w:rPr>
        <w:t xml:space="preserve"> </w:t>
      </w:r>
      <w:r>
        <w:rPr>
          <w:rFonts w:ascii="Times New Roman" w:hAnsi="Times New Roman" w:cs="Times New Roman"/>
          <w:i/>
          <w:sz w:val="28"/>
          <w:szCs w:val="28"/>
          <w:lang w:val="kk-KZ"/>
        </w:rPr>
        <w:t>ADRB2</w:t>
      </w:r>
      <w:r>
        <w:rPr>
          <w:rFonts w:ascii="Times New Roman" w:hAnsi="Times New Roman" w:cs="Times New Roman"/>
          <w:sz w:val="28"/>
          <w:szCs w:val="28"/>
          <w:lang w:val="kk-KZ"/>
        </w:rPr>
        <w:t xml:space="preserve"> Gln27Glu (rs1042714) и </w:t>
      </w:r>
      <w:r>
        <w:rPr>
          <w:rFonts w:ascii="Times New Roman" w:hAnsi="Times New Roman" w:cs="Times New Roman"/>
          <w:i/>
          <w:sz w:val="28"/>
          <w:szCs w:val="28"/>
          <w:lang w:val="kk-KZ"/>
        </w:rPr>
        <w:t>AGT</w:t>
      </w:r>
      <w:r>
        <w:rPr>
          <w:rFonts w:ascii="Times New Roman" w:hAnsi="Times New Roman" w:cs="Times New Roman"/>
          <w:sz w:val="28"/>
          <w:szCs w:val="28"/>
          <w:lang w:val="kk-KZ"/>
        </w:rPr>
        <w:t xml:space="preserve"> Thr174Met (rs4762) составляло 0,0172, значение D' между</w:t>
      </w:r>
      <w:r w:rsidR="00A93B35">
        <w:rPr>
          <w:rFonts w:ascii="Times New Roman" w:hAnsi="Times New Roman" w:cs="Times New Roman"/>
          <w:sz w:val="28"/>
          <w:szCs w:val="28"/>
          <w:lang w:val="kk-KZ"/>
        </w:rPr>
        <w:t xml:space="preserve"> </w:t>
      </w:r>
      <w:r>
        <w:rPr>
          <w:rFonts w:ascii="Times New Roman" w:hAnsi="Times New Roman" w:cs="Times New Roman"/>
          <w:i/>
          <w:sz w:val="28"/>
          <w:szCs w:val="28"/>
          <w:lang w:val="kk-KZ"/>
        </w:rPr>
        <w:t>ADRB2</w:t>
      </w:r>
      <w:r>
        <w:rPr>
          <w:rFonts w:ascii="Times New Roman" w:hAnsi="Times New Roman" w:cs="Times New Roman"/>
          <w:sz w:val="28"/>
          <w:szCs w:val="28"/>
          <w:lang w:val="kk-KZ"/>
        </w:rPr>
        <w:t xml:space="preserve"> Gln27Glu (rs1042714) и </w:t>
      </w:r>
      <w:r>
        <w:rPr>
          <w:rFonts w:ascii="Times New Roman" w:hAnsi="Times New Roman" w:cs="Times New Roman"/>
          <w:i/>
          <w:sz w:val="28"/>
          <w:szCs w:val="28"/>
          <w:lang w:val="kk-KZ"/>
        </w:rPr>
        <w:t>AGTR1</w:t>
      </w:r>
      <w:r>
        <w:rPr>
          <w:rFonts w:ascii="Times New Roman" w:hAnsi="Times New Roman" w:cs="Times New Roman"/>
          <w:sz w:val="28"/>
          <w:szCs w:val="28"/>
          <w:lang w:val="kk-KZ"/>
        </w:rPr>
        <w:t xml:space="preserve"> A1166C (rs5186) составляло 0,00004, значение D' между</w:t>
      </w:r>
      <w:r w:rsidR="00A93B35">
        <w:rPr>
          <w:rFonts w:ascii="Times New Roman" w:hAnsi="Times New Roman" w:cs="Times New Roman"/>
          <w:sz w:val="28"/>
          <w:szCs w:val="28"/>
          <w:lang w:val="kk-KZ"/>
        </w:rPr>
        <w:t xml:space="preserve"> </w:t>
      </w:r>
      <w:r>
        <w:rPr>
          <w:rFonts w:ascii="Times New Roman" w:hAnsi="Times New Roman" w:cs="Times New Roman"/>
          <w:i/>
          <w:sz w:val="28"/>
          <w:szCs w:val="28"/>
          <w:lang w:val="kk-KZ"/>
        </w:rPr>
        <w:t>AGT</w:t>
      </w:r>
      <w:r>
        <w:rPr>
          <w:rFonts w:ascii="Times New Roman" w:hAnsi="Times New Roman" w:cs="Times New Roman"/>
          <w:sz w:val="28"/>
          <w:szCs w:val="28"/>
          <w:lang w:val="kk-KZ"/>
        </w:rPr>
        <w:t xml:space="preserve"> Thr174186 (rs4762) и </w:t>
      </w:r>
      <w:r>
        <w:rPr>
          <w:rFonts w:ascii="Times New Roman" w:hAnsi="Times New Roman" w:cs="Times New Roman"/>
          <w:i/>
          <w:sz w:val="28"/>
          <w:szCs w:val="28"/>
          <w:lang w:val="kk-KZ"/>
        </w:rPr>
        <w:t>AGTR1</w:t>
      </w:r>
      <w:r>
        <w:rPr>
          <w:rFonts w:ascii="Times New Roman" w:hAnsi="Times New Roman" w:cs="Times New Roman"/>
          <w:sz w:val="28"/>
          <w:szCs w:val="28"/>
          <w:lang w:val="kk-KZ"/>
        </w:rPr>
        <w:t xml:space="preserve"> A1166C (rs5186) было 0,076. Только</w:t>
      </w:r>
      <w:r w:rsidR="00A93B35">
        <w:rPr>
          <w:rFonts w:ascii="Times New Roman" w:hAnsi="Times New Roman" w:cs="Times New Roman"/>
          <w:sz w:val="28"/>
          <w:szCs w:val="28"/>
          <w:lang w:val="kk-KZ"/>
        </w:rPr>
        <w:t xml:space="preserve"> </w:t>
      </w:r>
      <w:r>
        <w:rPr>
          <w:rFonts w:ascii="Times New Roman" w:hAnsi="Times New Roman" w:cs="Times New Roman"/>
          <w:sz w:val="28"/>
          <w:szCs w:val="28"/>
          <w:lang w:val="kk-KZ"/>
        </w:rPr>
        <w:t>значение p между</w:t>
      </w:r>
      <w:r w:rsidR="00A93B35">
        <w:rPr>
          <w:rFonts w:ascii="Times New Roman" w:hAnsi="Times New Roman" w:cs="Times New Roman"/>
          <w:sz w:val="28"/>
          <w:szCs w:val="28"/>
          <w:lang w:val="kk-KZ"/>
        </w:rPr>
        <w:t xml:space="preserve"> </w:t>
      </w:r>
      <w:r>
        <w:rPr>
          <w:rFonts w:ascii="Times New Roman" w:hAnsi="Times New Roman" w:cs="Times New Roman"/>
          <w:i/>
          <w:sz w:val="28"/>
          <w:szCs w:val="28"/>
          <w:lang w:val="kk-KZ"/>
        </w:rPr>
        <w:t>AGT</w:t>
      </w:r>
      <w:r>
        <w:rPr>
          <w:rFonts w:ascii="Times New Roman" w:hAnsi="Times New Roman" w:cs="Times New Roman"/>
          <w:sz w:val="28"/>
          <w:szCs w:val="28"/>
          <w:lang w:val="kk-KZ"/>
        </w:rPr>
        <w:t xml:space="preserve"> Thr174Met (rs4762) и </w:t>
      </w:r>
      <w:r>
        <w:rPr>
          <w:rFonts w:ascii="Times New Roman" w:hAnsi="Times New Roman" w:cs="Times New Roman"/>
          <w:i/>
          <w:sz w:val="28"/>
          <w:szCs w:val="28"/>
          <w:lang w:val="kk-KZ"/>
        </w:rPr>
        <w:t>AGTR1</w:t>
      </w:r>
      <w:r>
        <w:rPr>
          <w:rFonts w:ascii="Times New Roman" w:hAnsi="Times New Roman" w:cs="Times New Roman"/>
          <w:sz w:val="28"/>
          <w:szCs w:val="28"/>
          <w:lang w:val="kk-KZ"/>
        </w:rPr>
        <w:t xml:space="preserve"> A1166C (rs5186) было</w:t>
      </w:r>
      <w:r w:rsidR="00A93B35">
        <w:rPr>
          <w:rFonts w:ascii="Times New Roman" w:hAnsi="Times New Roman" w:cs="Times New Roman"/>
          <w:sz w:val="28"/>
          <w:szCs w:val="28"/>
          <w:lang w:val="kk-KZ"/>
        </w:rPr>
        <w:t xml:space="preserve"> </w:t>
      </w:r>
      <w:r>
        <w:rPr>
          <w:rFonts w:ascii="Times New Roman" w:hAnsi="Times New Roman" w:cs="Times New Roman"/>
          <w:sz w:val="28"/>
          <w:szCs w:val="28"/>
          <w:lang w:val="kk-KZ"/>
        </w:rPr>
        <w:t>достоверно 0,03 (рисунок 2).</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rPr>
      </w:pPr>
    </w:p>
    <w:p w:rsidR="00AB12B3" w:rsidRDefault="007F248D"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noProof/>
        </w:rPr>
        <w:drawing>
          <wp:anchor distT="0" distB="0" distL="114300" distR="114300" simplePos="0" relativeHeight="251708928" behindDoc="0" locked="0" layoutInCell="1" allowOverlap="1" wp14:anchorId="26EC4496" wp14:editId="510FECD5">
            <wp:simplePos x="0" y="0"/>
            <wp:positionH relativeFrom="margin">
              <wp:posOffset>469265</wp:posOffset>
            </wp:positionH>
            <wp:positionV relativeFrom="margin">
              <wp:posOffset>2482850</wp:posOffset>
            </wp:positionV>
            <wp:extent cx="4735830" cy="4757420"/>
            <wp:effectExtent l="0" t="0" r="7620" b="508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26809" t="27563" r="41635" b="16078"/>
                    <a:stretch/>
                  </pic:blipFill>
                  <pic:spPr bwMode="auto">
                    <a:xfrm>
                      <a:off x="0" y="0"/>
                      <a:ext cx="4735830" cy="4757420"/>
                    </a:xfrm>
                    <a:prstGeom prst="rect">
                      <a:avLst/>
                    </a:prstGeom>
                    <a:ln>
                      <a:noFill/>
                    </a:ln>
                    <a:extLst>
                      <a:ext uri="{53640926-AAD7-44D8-BBD7-CCE9431645EC}">
                        <a14:shadowObscured xmlns:a14="http://schemas.microsoft.com/office/drawing/2010/main"/>
                      </a:ext>
                    </a:extLst>
                  </pic:spPr>
                </pic:pic>
              </a:graphicData>
            </a:graphic>
          </wp:anchor>
        </w:drawing>
      </w:r>
    </w:p>
    <w:p w:rsidR="00E83EC5" w:rsidRDefault="00E83EC5" w:rsidP="00E83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lang w:val="kk-KZ"/>
        </w:rPr>
      </w:pPr>
      <w:r>
        <w:rPr>
          <w:rFonts w:ascii="Times New Roman" w:hAnsi="Times New Roman" w:cs="Times New Roman"/>
          <w:sz w:val="28"/>
          <w:szCs w:val="28"/>
          <w:lang w:val="kk-KZ"/>
        </w:rPr>
        <w:t xml:space="preserve">Рисунок 2 - </w:t>
      </w:r>
      <w:r w:rsidRPr="00E83EC5">
        <w:rPr>
          <w:rFonts w:ascii="Times New Roman" w:hAnsi="Times New Roman" w:cs="Times New Roman"/>
          <w:sz w:val="28"/>
          <w:szCs w:val="28"/>
          <w:lang w:val="kk-KZ"/>
        </w:rPr>
        <w:t xml:space="preserve">Множественный SNP – анализ между 4 </w:t>
      </w:r>
      <w:r>
        <w:rPr>
          <w:rFonts w:ascii="Times New Roman" w:hAnsi="Times New Roman" w:cs="Times New Roman"/>
          <w:sz w:val="28"/>
          <w:szCs w:val="28"/>
          <w:lang w:val="kk-KZ"/>
        </w:rPr>
        <w:t>SNP</w:t>
      </w:r>
      <w:r>
        <w:rPr>
          <w:rFonts w:ascii="Times New Roman" w:hAnsi="Times New Roman" w:cs="Times New Roman"/>
          <w:lang w:val="kk-KZ"/>
        </w:rPr>
        <w:t xml:space="preserve"> </w:t>
      </w:r>
    </w:p>
    <w:p w:rsidR="00132A90" w:rsidRDefault="00132A90" w:rsidP="00E83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lang w:val="kk-KZ"/>
        </w:rPr>
      </w:pPr>
    </w:p>
    <w:p w:rsidR="00AB12B3" w:rsidRDefault="00AB12B3" w:rsidP="00132A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lang w:val="kk-KZ"/>
        </w:rPr>
      </w:pPr>
      <w:r>
        <w:rPr>
          <w:rFonts w:ascii="Times New Roman" w:hAnsi="Times New Roman" w:cs="Times New Roman"/>
          <w:lang w:val="kk-KZ"/>
        </w:rPr>
        <w:t xml:space="preserve">Примечание к рисунку 2 – snp1 </w:t>
      </w:r>
      <w:r w:rsidR="00C16F07">
        <w:rPr>
          <w:rFonts w:ascii="Times New Roman" w:hAnsi="Times New Roman" w:cs="Times New Roman"/>
          <w:lang w:val="kk-KZ"/>
        </w:rPr>
        <w:t>–</w:t>
      </w:r>
      <w:r>
        <w:rPr>
          <w:rFonts w:ascii="Times New Roman" w:hAnsi="Times New Roman" w:cs="Times New Roman"/>
          <w:i/>
          <w:lang w:val="kk-KZ"/>
        </w:rPr>
        <w:t>LPL</w:t>
      </w:r>
      <w:r>
        <w:rPr>
          <w:rFonts w:ascii="Times New Roman" w:hAnsi="Times New Roman" w:cs="Times New Roman"/>
          <w:lang w:val="kk-KZ"/>
        </w:rPr>
        <w:t xml:space="preserve"> Ser447Ter; snp2 </w:t>
      </w:r>
      <w:r w:rsidR="00C16F07">
        <w:rPr>
          <w:rFonts w:ascii="Times New Roman" w:hAnsi="Times New Roman" w:cs="Times New Roman"/>
          <w:lang w:val="kk-KZ"/>
        </w:rPr>
        <w:t>–</w:t>
      </w:r>
      <w:r>
        <w:rPr>
          <w:rFonts w:ascii="Times New Roman" w:hAnsi="Times New Roman" w:cs="Times New Roman"/>
          <w:i/>
          <w:lang w:val="kk-KZ"/>
        </w:rPr>
        <w:t xml:space="preserve"> ADRB2</w:t>
      </w:r>
      <w:r>
        <w:rPr>
          <w:rFonts w:ascii="Times New Roman" w:hAnsi="Times New Roman" w:cs="Times New Roman"/>
          <w:lang w:val="kk-KZ"/>
        </w:rPr>
        <w:t xml:space="preserve"> Gln27Glu; snp3 </w:t>
      </w:r>
      <w:r w:rsidR="00C16F07">
        <w:rPr>
          <w:rFonts w:ascii="Times New Roman" w:hAnsi="Times New Roman" w:cs="Times New Roman"/>
          <w:lang w:val="kk-KZ"/>
        </w:rPr>
        <w:t>–</w:t>
      </w:r>
      <w:r>
        <w:rPr>
          <w:rFonts w:ascii="Times New Roman" w:hAnsi="Times New Roman" w:cs="Times New Roman"/>
          <w:i/>
          <w:lang w:val="kk-KZ"/>
        </w:rPr>
        <w:t>AGT</w:t>
      </w:r>
      <w:r>
        <w:rPr>
          <w:rFonts w:ascii="Times New Roman" w:hAnsi="Times New Roman" w:cs="Times New Roman"/>
          <w:lang w:val="kk-KZ"/>
        </w:rPr>
        <w:t xml:space="preserve"> Thr174Met; snp4 </w:t>
      </w:r>
      <w:r w:rsidR="00C16F07">
        <w:rPr>
          <w:rFonts w:ascii="Times New Roman" w:hAnsi="Times New Roman" w:cs="Times New Roman"/>
          <w:lang w:val="kk-KZ"/>
        </w:rPr>
        <w:t>–</w:t>
      </w:r>
      <w:r>
        <w:rPr>
          <w:rFonts w:ascii="Times New Roman" w:hAnsi="Times New Roman" w:cs="Times New Roman"/>
          <w:i/>
          <w:lang w:val="kk-KZ"/>
        </w:rPr>
        <w:t>AGTR1</w:t>
      </w:r>
      <w:r>
        <w:rPr>
          <w:rFonts w:ascii="Times New Roman" w:hAnsi="Times New Roman" w:cs="Times New Roman"/>
          <w:lang w:val="kk-KZ"/>
        </w:rPr>
        <w:t xml:space="preserve"> A1166C</w:t>
      </w:r>
    </w:p>
    <w:p w:rsidR="00E83EC5" w:rsidRPr="00E83EC5" w:rsidRDefault="00BD5FC5" w:rsidP="00E83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p>
    <w:p w:rsidR="00AB12B3" w:rsidRDefault="0084724F" w:rsidP="007F24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00AB12B3">
        <w:rPr>
          <w:rFonts w:ascii="Times New Roman" w:hAnsi="Times New Roman" w:cs="Times New Roman"/>
          <w:sz w:val="28"/>
          <w:szCs w:val="28"/>
          <w:lang w:val="kk-KZ"/>
        </w:rPr>
        <w:t>бнаруж</w:t>
      </w:r>
      <w:r>
        <w:rPr>
          <w:rFonts w:ascii="Times New Roman" w:hAnsi="Times New Roman" w:cs="Times New Roman"/>
          <w:sz w:val="28"/>
          <w:szCs w:val="28"/>
          <w:lang w:val="kk-KZ"/>
        </w:rPr>
        <w:t>ено,</w:t>
      </w:r>
      <w:r w:rsidR="00320436">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что</w:t>
      </w:r>
      <w:r w:rsidR="00320436">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между</w:t>
      </w:r>
      <w:r w:rsidR="00320436">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полиморфизмами</w:t>
      </w:r>
      <w:r w:rsidR="00320436">
        <w:rPr>
          <w:rFonts w:ascii="Times New Roman" w:hAnsi="Times New Roman" w:cs="Times New Roman"/>
          <w:sz w:val="28"/>
          <w:szCs w:val="28"/>
          <w:lang w:val="kk-KZ"/>
        </w:rPr>
        <w:t xml:space="preserve"> </w:t>
      </w:r>
      <w:r>
        <w:rPr>
          <w:rFonts w:ascii="Times New Roman" w:hAnsi="Times New Roman" w:cs="Times New Roman"/>
          <w:sz w:val="28"/>
          <w:szCs w:val="28"/>
          <w:lang w:val="kk-KZ"/>
        </w:rPr>
        <w:t>генов</w:t>
      </w:r>
      <w:r w:rsidR="00320436">
        <w:rPr>
          <w:rFonts w:ascii="Times New Roman" w:hAnsi="Times New Roman" w:cs="Times New Roman"/>
          <w:sz w:val="28"/>
          <w:szCs w:val="28"/>
          <w:lang w:val="kk-KZ"/>
        </w:rPr>
        <w:t xml:space="preserve"> </w:t>
      </w:r>
      <w:r w:rsidR="00AB12B3">
        <w:rPr>
          <w:rFonts w:ascii="Times New Roman" w:hAnsi="Times New Roman" w:cs="Times New Roman"/>
          <w:i/>
          <w:sz w:val="28"/>
          <w:szCs w:val="28"/>
          <w:lang w:val="kk-KZ"/>
        </w:rPr>
        <w:t>LPL</w:t>
      </w:r>
      <w:r w:rsidR="00AB12B3">
        <w:rPr>
          <w:rFonts w:ascii="Times New Roman" w:hAnsi="Times New Roman" w:cs="Times New Roman"/>
          <w:sz w:val="28"/>
          <w:szCs w:val="28"/>
          <w:lang w:val="kk-KZ"/>
        </w:rPr>
        <w:t xml:space="preserve"> Ser447Ter, </w:t>
      </w:r>
      <w:r w:rsidR="00AB12B3">
        <w:rPr>
          <w:rFonts w:ascii="Times New Roman" w:hAnsi="Times New Roman" w:cs="Times New Roman"/>
          <w:i/>
          <w:sz w:val="28"/>
          <w:szCs w:val="28"/>
          <w:lang w:val="kk-KZ"/>
        </w:rPr>
        <w:t>ADRB2</w:t>
      </w:r>
      <w:r w:rsidR="00AB12B3">
        <w:rPr>
          <w:rFonts w:ascii="Times New Roman" w:hAnsi="Times New Roman" w:cs="Times New Roman"/>
          <w:sz w:val="28"/>
          <w:szCs w:val="28"/>
          <w:lang w:val="kk-KZ"/>
        </w:rPr>
        <w:t xml:space="preserve"> Gln27Glu, </w:t>
      </w:r>
      <w:r w:rsidR="00AB12B3">
        <w:rPr>
          <w:rFonts w:ascii="Times New Roman" w:hAnsi="Times New Roman" w:cs="Times New Roman"/>
          <w:i/>
          <w:sz w:val="28"/>
          <w:szCs w:val="28"/>
          <w:lang w:val="kk-KZ"/>
        </w:rPr>
        <w:t>AGT</w:t>
      </w:r>
      <w:r w:rsidR="00AB12B3">
        <w:rPr>
          <w:rFonts w:ascii="Times New Roman" w:hAnsi="Times New Roman" w:cs="Times New Roman"/>
          <w:sz w:val="28"/>
          <w:szCs w:val="28"/>
          <w:lang w:val="kk-KZ"/>
        </w:rPr>
        <w:t xml:space="preserve"> Thr174Met и </w:t>
      </w:r>
      <w:r w:rsidR="00AB12B3">
        <w:rPr>
          <w:rFonts w:ascii="Times New Roman" w:hAnsi="Times New Roman" w:cs="Times New Roman"/>
          <w:i/>
          <w:sz w:val="28"/>
          <w:szCs w:val="28"/>
          <w:lang w:val="kk-KZ"/>
        </w:rPr>
        <w:t>AGTR1</w:t>
      </w:r>
      <w:r w:rsidR="00AB12B3">
        <w:rPr>
          <w:rFonts w:ascii="Times New Roman" w:hAnsi="Times New Roman" w:cs="Times New Roman"/>
          <w:sz w:val="28"/>
          <w:szCs w:val="28"/>
          <w:lang w:val="kk-KZ"/>
        </w:rPr>
        <w:t xml:space="preserve"> A1166C не было</w:t>
      </w:r>
      <w:r w:rsidR="00320436">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значительного</w:t>
      </w:r>
      <w:r w:rsidR="00320436">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взаимодействия</w:t>
      </w:r>
      <w:r w:rsidR="00320436">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генов с генами. Только</w:t>
      </w:r>
      <w:r w:rsidR="00320436">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между</w:t>
      </w:r>
      <w:r w:rsidR="00320436">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полиморфизмами</w:t>
      </w:r>
      <w:r w:rsidR="00320436">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ген</w:t>
      </w:r>
      <w:r>
        <w:rPr>
          <w:rFonts w:ascii="Times New Roman" w:hAnsi="Times New Roman" w:cs="Times New Roman"/>
          <w:sz w:val="28"/>
          <w:szCs w:val="28"/>
          <w:lang w:val="kk-KZ"/>
        </w:rPr>
        <w:t>ов РААС была</w:t>
      </w:r>
      <w:r w:rsidR="00320436">
        <w:rPr>
          <w:rFonts w:ascii="Times New Roman" w:hAnsi="Times New Roman" w:cs="Times New Roman"/>
          <w:sz w:val="28"/>
          <w:szCs w:val="28"/>
          <w:lang w:val="kk-KZ"/>
        </w:rPr>
        <w:t xml:space="preserve"> </w:t>
      </w:r>
      <w:r>
        <w:rPr>
          <w:rFonts w:ascii="Times New Roman" w:hAnsi="Times New Roman" w:cs="Times New Roman"/>
          <w:sz w:val="28"/>
          <w:szCs w:val="28"/>
          <w:lang w:val="kk-KZ"/>
        </w:rPr>
        <w:t>выявлена</w:t>
      </w:r>
      <w:r w:rsidR="00320436">
        <w:rPr>
          <w:rFonts w:ascii="Times New Roman" w:hAnsi="Times New Roman" w:cs="Times New Roman"/>
          <w:sz w:val="28"/>
          <w:szCs w:val="28"/>
          <w:lang w:val="kk-KZ"/>
        </w:rPr>
        <w:t xml:space="preserve"> </w:t>
      </w:r>
      <w:r>
        <w:rPr>
          <w:rFonts w:ascii="Times New Roman" w:hAnsi="Times New Roman" w:cs="Times New Roman"/>
          <w:sz w:val="28"/>
          <w:szCs w:val="28"/>
          <w:lang w:val="kk-KZ"/>
        </w:rPr>
        <w:t>достоверное</w:t>
      </w:r>
      <w:r w:rsidR="00320436">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взаимодействие.</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lang w:val="kk-KZ"/>
        </w:rPr>
        <w:sectPr w:rsidR="00AB12B3">
          <w:pgSz w:w="11906" w:h="16838"/>
          <w:pgMar w:top="1134" w:right="850" w:bottom="1134" w:left="1701" w:header="708" w:footer="708" w:gutter="0"/>
          <w:cols w:space="720"/>
        </w:sectPr>
      </w:pPr>
    </w:p>
    <w:p w:rsidR="00AB12B3" w:rsidRPr="00132A90" w:rsidRDefault="00132A90" w:rsidP="00132A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lang w:val="kk-KZ"/>
        </w:rPr>
      </w:pPr>
      <w:r>
        <w:rPr>
          <w:rFonts w:ascii="Times New Roman" w:hAnsi="Times New Roman"/>
          <w:b/>
          <w:sz w:val="28"/>
          <w:szCs w:val="28"/>
          <w:lang w:val="kk-KZ"/>
        </w:rPr>
        <w:lastRenderedPageBreak/>
        <w:tab/>
        <w:t xml:space="preserve">5 </w:t>
      </w:r>
      <w:r w:rsidR="00AB12B3" w:rsidRPr="00132A90">
        <w:rPr>
          <w:rFonts w:ascii="Times New Roman" w:hAnsi="Times New Roman"/>
          <w:b/>
          <w:sz w:val="28"/>
          <w:szCs w:val="28"/>
        </w:rPr>
        <w:t>АЛГОРИТМ РАННЕЙ ДИАГНОСТИКИ И ПРОГНОЗИРОВАНИЯ РАЗВИТИЯ ДИСЛИПИ</w:t>
      </w:r>
      <w:r w:rsidR="00280783" w:rsidRPr="00132A90">
        <w:rPr>
          <w:rFonts w:ascii="Times New Roman" w:hAnsi="Times New Roman"/>
          <w:b/>
          <w:sz w:val="28"/>
          <w:szCs w:val="28"/>
        </w:rPr>
        <w:t>ДЕМИИ И ИНСУЛИНОРЕЗИСТЕНТНОСТИ</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p>
    <w:p w:rsidR="00AB12B3" w:rsidRDefault="00F54C48" w:rsidP="00F54C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imes New Roman"/>
        </w:rPr>
      </w:pPr>
      <w:r>
        <w:rPr>
          <w:rFonts w:ascii="Times New Roman" w:hAnsi="Times New Roman"/>
          <w:sz w:val="28"/>
          <w:szCs w:val="28"/>
        </w:rPr>
        <w:tab/>
      </w:r>
      <w:r w:rsidR="00612476" w:rsidRPr="00561FFD">
        <w:rPr>
          <w:rFonts w:ascii="Times New Roman" w:hAnsi="Times New Roman"/>
          <w:sz w:val="28"/>
          <w:szCs w:val="28"/>
        </w:rPr>
        <w:t>Рання</w:t>
      </w:r>
      <w:r w:rsidR="009B75B6" w:rsidRPr="00561FFD">
        <w:rPr>
          <w:rFonts w:ascii="Times New Roman" w:hAnsi="Times New Roman"/>
          <w:sz w:val="28"/>
          <w:szCs w:val="28"/>
        </w:rPr>
        <w:t>я</w:t>
      </w:r>
      <w:r w:rsidR="005F19CF">
        <w:rPr>
          <w:rFonts w:ascii="Times New Roman" w:hAnsi="Times New Roman"/>
          <w:sz w:val="28"/>
          <w:szCs w:val="28"/>
        </w:rPr>
        <w:t xml:space="preserve"> </w:t>
      </w:r>
      <w:r w:rsidR="00B1190A">
        <w:rPr>
          <w:rFonts w:ascii="Times New Roman" w:hAnsi="Times New Roman"/>
          <w:sz w:val="28"/>
          <w:szCs w:val="28"/>
        </w:rPr>
        <w:t>диагностика и прогнозирование ра</w:t>
      </w:r>
      <w:r w:rsidR="00612476" w:rsidRPr="00561FFD">
        <w:rPr>
          <w:rFonts w:ascii="Times New Roman" w:hAnsi="Times New Roman"/>
          <w:sz w:val="28"/>
          <w:szCs w:val="28"/>
        </w:rPr>
        <w:t>звити</w:t>
      </w:r>
      <w:r w:rsidR="00491F5A">
        <w:rPr>
          <w:rFonts w:ascii="Times New Roman" w:hAnsi="Times New Roman"/>
          <w:sz w:val="28"/>
          <w:szCs w:val="28"/>
        </w:rPr>
        <w:t>я</w:t>
      </w:r>
      <w:r w:rsidR="005F19CF">
        <w:rPr>
          <w:rFonts w:ascii="Times New Roman" w:hAnsi="Times New Roman"/>
          <w:sz w:val="28"/>
          <w:szCs w:val="28"/>
        </w:rPr>
        <w:t xml:space="preserve"> </w:t>
      </w:r>
      <w:r w:rsidR="00612476" w:rsidRPr="00561FFD">
        <w:rPr>
          <w:rFonts w:ascii="Times New Roman" w:hAnsi="Times New Roman"/>
          <w:sz w:val="28"/>
          <w:szCs w:val="28"/>
        </w:rPr>
        <w:t>дислипидемии и ИР позволит</w:t>
      </w:r>
      <w:r w:rsidR="005F19CF">
        <w:rPr>
          <w:rFonts w:ascii="Times New Roman" w:hAnsi="Times New Roman"/>
          <w:sz w:val="28"/>
          <w:szCs w:val="28"/>
        </w:rPr>
        <w:t xml:space="preserve"> </w:t>
      </w:r>
      <w:r w:rsidR="001456FD">
        <w:rPr>
          <w:rFonts w:ascii="Times New Roman" w:hAnsi="Times New Roman"/>
          <w:sz w:val="28"/>
          <w:szCs w:val="28"/>
        </w:rPr>
        <w:t>своевременно</w:t>
      </w:r>
      <w:r w:rsidR="00561FFD">
        <w:rPr>
          <w:rFonts w:ascii="Times New Roman" w:hAnsi="Times New Roman"/>
          <w:sz w:val="28"/>
          <w:szCs w:val="28"/>
        </w:rPr>
        <w:t xml:space="preserve"> начать </w:t>
      </w:r>
      <w:r w:rsidR="001456FD">
        <w:rPr>
          <w:rFonts w:ascii="Times New Roman" w:hAnsi="Times New Roman"/>
          <w:sz w:val="28"/>
          <w:szCs w:val="28"/>
        </w:rPr>
        <w:t>профилактик</w:t>
      </w:r>
      <w:r w:rsidR="00561FFD">
        <w:rPr>
          <w:rFonts w:ascii="Times New Roman" w:hAnsi="Times New Roman"/>
          <w:sz w:val="28"/>
          <w:szCs w:val="28"/>
        </w:rPr>
        <w:t>у</w:t>
      </w:r>
      <w:r w:rsidR="001456FD">
        <w:rPr>
          <w:rFonts w:ascii="Times New Roman" w:hAnsi="Times New Roman"/>
          <w:sz w:val="28"/>
          <w:szCs w:val="28"/>
        </w:rPr>
        <w:t xml:space="preserve"> т</w:t>
      </w:r>
      <w:r w:rsidR="000E7D8E">
        <w:rPr>
          <w:rFonts w:ascii="Times New Roman" w:hAnsi="Times New Roman"/>
          <w:noProof/>
          <w:sz w:val="28"/>
          <w:szCs w:val="28"/>
        </w:rPr>
        <w:t>аки</w:t>
      </w:r>
      <w:r w:rsidR="001456FD">
        <w:rPr>
          <w:rFonts w:ascii="Times New Roman" w:hAnsi="Times New Roman"/>
          <w:noProof/>
          <w:sz w:val="28"/>
          <w:szCs w:val="28"/>
        </w:rPr>
        <w:t>х заболевании, как</w:t>
      </w:r>
      <w:r w:rsidR="000E7D8E">
        <w:rPr>
          <w:rFonts w:ascii="Times New Roman" w:hAnsi="Times New Roman"/>
          <w:noProof/>
          <w:sz w:val="28"/>
          <w:szCs w:val="28"/>
        </w:rPr>
        <w:t xml:space="preserve"> ожирение, ССЗ, СД и МС.</w:t>
      </w:r>
      <w:r w:rsidR="005F19CF">
        <w:rPr>
          <w:rFonts w:ascii="Times New Roman" w:hAnsi="Times New Roman"/>
          <w:noProof/>
          <w:sz w:val="28"/>
          <w:szCs w:val="28"/>
        </w:rPr>
        <w:t xml:space="preserve"> </w:t>
      </w:r>
      <w:r w:rsidR="00AB12B3">
        <w:rPr>
          <w:rFonts w:ascii="Times New Roman" w:hAnsi="Times New Roman" w:cs="Times New Roman"/>
          <w:sz w:val="28"/>
          <w:szCs w:val="28"/>
          <w:lang w:val="kk-KZ"/>
        </w:rPr>
        <w:t>Изменение</w:t>
      </w:r>
      <w:r w:rsidR="005F19CF">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состава и количественного</w:t>
      </w:r>
      <w:r w:rsidR="005F19CF">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соотношения</w:t>
      </w:r>
      <w:r w:rsidR="005F19CF">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липидов в организме</w:t>
      </w:r>
      <w:r w:rsidR="005F19CF">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приводит к метаболическим</w:t>
      </w:r>
      <w:r w:rsidR="005F19CF">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нарушениям, которые</w:t>
      </w:r>
      <w:r w:rsidR="005F19CF">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вызывают</w:t>
      </w:r>
      <w:r w:rsidR="005F19CF">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резистентность к инсулину и увеличивают риск развития</w:t>
      </w:r>
      <w:r w:rsidR="005F19CF">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сердечно-сосудистых</w:t>
      </w:r>
      <w:r w:rsidR="005F19CF">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осложнений. Часто в клинике</w:t>
      </w:r>
      <w:r w:rsidR="005F19CF">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дислипидемия и ИР долгое</w:t>
      </w:r>
      <w:r w:rsidR="005F19CF">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время</w:t>
      </w:r>
      <w:r w:rsidR="005F19CF">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протекают</w:t>
      </w:r>
      <w:r w:rsidR="005F19CF">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бессимптомно, что</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способствуют</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прогрессированию</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риска</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развития</w:t>
      </w:r>
      <w:r w:rsidR="00A2067A">
        <w:rPr>
          <w:rFonts w:ascii="Times New Roman" w:hAnsi="Times New Roman" w:cs="Times New Roman"/>
          <w:sz w:val="28"/>
          <w:szCs w:val="28"/>
          <w:lang w:val="kk-KZ"/>
        </w:rPr>
        <w:t xml:space="preserve"> </w:t>
      </w:r>
      <w:r w:rsidR="009B75B6">
        <w:rPr>
          <w:rFonts w:ascii="Times New Roman" w:hAnsi="Times New Roman" w:cs="Times New Roman"/>
          <w:sz w:val="28"/>
          <w:szCs w:val="28"/>
          <w:lang w:val="kk-KZ"/>
        </w:rPr>
        <w:t>таких</w:t>
      </w:r>
      <w:r w:rsidR="00A2067A">
        <w:rPr>
          <w:rFonts w:ascii="Times New Roman" w:hAnsi="Times New Roman" w:cs="Times New Roman"/>
          <w:sz w:val="28"/>
          <w:szCs w:val="28"/>
          <w:lang w:val="kk-KZ"/>
        </w:rPr>
        <w:t xml:space="preserve"> </w:t>
      </w:r>
      <w:r w:rsidR="009B75B6">
        <w:rPr>
          <w:rFonts w:ascii="Times New Roman" w:hAnsi="Times New Roman" w:cs="Times New Roman"/>
          <w:sz w:val="28"/>
          <w:szCs w:val="28"/>
          <w:lang w:val="kk-KZ"/>
        </w:rPr>
        <w:t>осложнений, как</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БСК и МС. Для</w:t>
      </w:r>
      <w:r w:rsidR="00A2067A">
        <w:rPr>
          <w:rFonts w:ascii="Times New Roman" w:hAnsi="Times New Roman" w:cs="Times New Roman"/>
          <w:sz w:val="28"/>
          <w:szCs w:val="28"/>
          <w:lang w:val="kk-KZ"/>
        </w:rPr>
        <w:t xml:space="preserve"> </w:t>
      </w:r>
      <w:r w:rsidR="009B75B6">
        <w:rPr>
          <w:rFonts w:ascii="Times New Roman" w:hAnsi="Times New Roman" w:cs="Times New Roman"/>
          <w:sz w:val="28"/>
          <w:szCs w:val="28"/>
          <w:lang w:val="kk-KZ"/>
        </w:rPr>
        <w:t>ранней</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диагностики</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дислипидемии и ИР необходимы</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определение</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уровней ОХС,</w:t>
      </w:r>
      <w:r w:rsidR="00E83EC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ТГ, ЛПНП, ЛПВП, апоВ, апоА1, апоВ/апоА1, глюк</w:t>
      </w:r>
      <w:r w:rsidR="009B75B6">
        <w:rPr>
          <w:rFonts w:ascii="Times New Roman" w:hAnsi="Times New Roman" w:cs="Times New Roman"/>
          <w:sz w:val="28"/>
          <w:szCs w:val="28"/>
          <w:lang w:val="kk-KZ"/>
        </w:rPr>
        <w:t>озы и инсулина в плазме</w:t>
      </w:r>
      <w:r w:rsidR="00A2067A">
        <w:rPr>
          <w:rFonts w:ascii="Times New Roman" w:hAnsi="Times New Roman" w:cs="Times New Roman"/>
          <w:sz w:val="28"/>
          <w:szCs w:val="28"/>
          <w:lang w:val="kk-KZ"/>
        </w:rPr>
        <w:t xml:space="preserve"> </w:t>
      </w:r>
      <w:r w:rsidR="009B75B6">
        <w:rPr>
          <w:rFonts w:ascii="Times New Roman" w:hAnsi="Times New Roman" w:cs="Times New Roman"/>
          <w:sz w:val="28"/>
          <w:szCs w:val="28"/>
          <w:lang w:val="kk-KZ"/>
        </w:rPr>
        <w:t>крови. Также</w:t>
      </w:r>
      <w:r w:rsidR="00A2067A">
        <w:rPr>
          <w:rFonts w:ascii="Times New Roman" w:hAnsi="Times New Roman" w:cs="Times New Roman"/>
          <w:sz w:val="28"/>
          <w:szCs w:val="28"/>
          <w:lang w:val="kk-KZ"/>
        </w:rPr>
        <w:t xml:space="preserve"> </w:t>
      </w:r>
      <w:r w:rsidR="009B75B6">
        <w:rPr>
          <w:rFonts w:ascii="Times New Roman" w:hAnsi="Times New Roman" w:cs="Times New Roman"/>
          <w:sz w:val="28"/>
          <w:szCs w:val="28"/>
          <w:lang w:val="kk-KZ"/>
        </w:rPr>
        <w:t>д</w:t>
      </w:r>
      <w:r w:rsidR="00AB12B3">
        <w:rPr>
          <w:rFonts w:ascii="Times New Roman" w:hAnsi="Times New Roman" w:cs="Times New Roman"/>
          <w:sz w:val="28"/>
          <w:szCs w:val="28"/>
          <w:lang w:val="kk-KZ"/>
        </w:rPr>
        <w:t>ля</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профилактики</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риска</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развития</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дислипидемии и ИР необходимо</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определять полиморфизмы генов</w:t>
      </w:r>
      <w:r w:rsidR="00A2067A">
        <w:rPr>
          <w:rFonts w:ascii="Times New Roman" w:hAnsi="Times New Roman" w:cs="Times New Roman"/>
          <w:sz w:val="28"/>
          <w:szCs w:val="28"/>
          <w:lang w:val="kk-KZ"/>
        </w:rPr>
        <w:t xml:space="preserve"> </w:t>
      </w:r>
      <w:r w:rsidR="00AB12B3">
        <w:rPr>
          <w:rFonts w:ascii="Times New Roman" w:hAnsi="Times New Roman" w:cs="Times New Roman"/>
          <w:i/>
          <w:sz w:val="28"/>
          <w:szCs w:val="28"/>
          <w:lang w:val="kk-KZ"/>
        </w:rPr>
        <w:t>LPL</w:t>
      </w:r>
      <w:r w:rsidR="00AB12B3">
        <w:rPr>
          <w:rFonts w:ascii="Times New Roman" w:hAnsi="Times New Roman" w:cs="Times New Roman"/>
          <w:sz w:val="28"/>
          <w:szCs w:val="28"/>
          <w:lang w:val="kk-KZ"/>
        </w:rPr>
        <w:t xml:space="preserve"> Ser447Ter, </w:t>
      </w:r>
      <w:r w:rsidR="00AB12B3">
        <w:rPr>
          <w:rFonts w:ascii="Times New Roman" w:hAnsi="Times New Roman" w:cs="Times New Roman"/>
          <w:i/>
          <w:sz w:val="28"/>
          <w:szCs w:val="28"/>
          <w:lang w:val="kk-KZ"/>
        </w:rPr>
        <w:t>ADRB2</w:t>
      </w:r>
      <w:r w:rsidR="00AB12B3">
        <w:rPr>
          <w:rFonts w:ascii="Times New Roman" w:hAnsi="Times New Roman" w:cs="Times New Roman"/>
          <w:sz w:val="28"/>
          <w:szCs w:val="28"/>
          <w:lang w:val="kk-KZ"/>
        </w:rPr>
        <w:t xml:space="preserve"> Gln27Glu. Молекулярно – генетическая диагностика дислипидемии и ИР позволит</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прогнозировать</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предрасположенность к развитию</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дислипидемии и ИР у представителей</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казахской</w:t>
      </w:r>
      <w:r w:rsidR="00A2067A">
        <w:rPr>
          <w:rFonts w:ascii="Times New Roman" w:hAnsi="Times New Roman" w:cs="Times New Roman"/>
          <w:sz w:val="28"/>
          <w:szCs w:val="28"/>
          <w:lang w:val="kk-KZ"/>
        </w:rPr>
        <w:t xml:space="preserve"> </w:t>
      </w:r>
      <w:r w:rsidR="009B75B6">
        <w:rPr>
          <w:rFonts w:ascii="Times New Roman" w:hAnsi="Times New Roman" w:cs="Times New Roman"/>
          <w:sz w:val="28"/>
          <w:szCs w:val="28"/>
          <w:lang w:val="kk-KZ"/>
        </w:rPr>
        <w:t>национальности</w:t>
      </w:r>
      <w:r w:rsidR="00AB12B3">
        <w:rPr>
          <w:rFonts w:ascii="Times New Roman" w:hAnsi="Times New Roman" w:cs="Times New Roman"/>
          <w:sz w:val="28"/>
          <w:szCs w:val="28"/>
          <w:lang w:val="kk-KZ"/>
        </w:rPr>
        <w:t>. Тем самым, будет</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способствовать</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своевременной</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 xml:space="preserve">профилактике БСК, СД и МС. </w:t>
      </w:r>
      <w:bookmarkStart w:id="0" w:name="_Hlk69904838"/>
      <w:r w:rsidR="00AB12B3">
        <w:rPr>
          <w:rFonts w:ascii="Times New Roman" w:hAnsi="Times New Roman" w:cs="Times New Roman"/>
          <w:sz w:val="28"/>
          <w:szCs w:val="28"/>
          <w:lang w:val="kk-KZ"/>
        </w:rPr>
        <w:t>Нами</w:t>
      </w:r>
      <w:r w:rsidR="00A2067A">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разработан</w:t>
      </w:r>
      <w:r w:rsidR="009B75B6">
        <w:rPr>
          <w:rFonts w:ascii="Times New Roman" w:hAnsi="Times New Roman" w:cs="Times New Roman"/>
          <w:sz w:val="28"/>
          <w:szCs w:val="28"/>
          <w:lang w:val="kk-KZ"/>
        </w:rPr>
        <w:t>ы</w:t>
      </w:r>
      <w:r w:rsidR="00AB12B3">
        <w:rPr>
          <w:rFonts w:ascii="Times New Roman" w:hAnsi="Times New Roman" w:cs="Times New Roman"/>
          <w:sz w:val="28"/>
          <w:szCs w:val="28"/>
          <w:lang w:val="kk-KZ"/>
        </w:rPr>
        <w:t xml:space="preserve"> и внедрен</w:t>
      </w:r>
      <w:r w:rsidR="009B75B6">
        <w:rPr>
          <w:rFonts w:ascii="Times New Roman" w:hAnsi="Times New Roman" w:cs="Times New Roman"/>
          <w:sz w:val="28"/>
          <w:szCs w:val="28"/>
          <w:lang w:val="kk-KZ"/>
        </w:rPr>
        <w:t>ы</w:t>
      </w:r>
      <w:r w:rsidR="00AB12B3">
        <w:rPr>
          <w:rFonts w:ascii="Times New Roman" w:hAnsi="Times New Roman" w:cs="Times New Roman"/>
          <w:sz w:val="28"/>
          <w:szCs w:val="28"/>
          <w:lang w:val="kk-KZ"/>
        </w:rPr>
        <w:t xml:space="preserve"> в практику </w:t>
      </w:r>
      <w:r w:rsidR="009A15AC">
        <w:rPr>
          <w:rFonts w:ascii="Times New Roman" w:hAnsi="Times New Roman" w:cs="Times New Roman"/>
          <w:sz w:val="28"/>
          <w:szCs w:val="28"/>
          <w:lang w:val="kk-KZ"/>
        </w:rPr>
        <w:t>(</w:t>
      </w:r>
      <w:r w:rsidR="009A15AC" w:rsidRPr="004B7DC4">
        <w:rPr>
          <w:rFonts w:ascii="Times New Roman" w:eastAsia="Calibri" w:hAnsi="Times New Roman" w:cs="Times New Roman"/>
          <w:sz w:val="28"/>
        </w:rPr>
        <w:t>КГП на ПХВ «Поликлиника №7 города Семей»</w:t>
      </w:r>
      <w:r w:rsidR="009A15AC" w:rsidRPr="004B7DC4">
        <w:rPr>
          <w:rFonts w:ascii="Times New Roman" w:hAnsi="Times New Roman" w:cs="Times New Roman"/>
          <w:sz w:val="28"/>
        </w:rPr>
        <w:t xml:space="preserve">, Медицинское учреждение «Победа», </w:t>
      </w:r>
      <w:r w:rsidR="009A15AC" w:rsidRPr="004B7DC4">
        <w:rPr>
          <w:rFonts w:ascii="Times New Roman" w:eastAsia="Calibri" w:hAnsi="Times New Roman" w:cs="Times New Roman"/>
          <w:sz w:val="28"/>
        </w:rPr>
        <w:t xml:space="preserve">КГП на ПХВ «Врачебная амбулатория №5 г. Семей», </w:t>
      </w:r>
      <w:r w:rsidR="009A15AC" w:rsidRPr="004B7DC4">
        <w:rPr>
          <w:rFonts w:ascii="Times New Roman" w:hAnsi="Times New Roman" w:cs="Times New Roman"/>
          <w:sz w:val="28"/>
          <w:szCs w:val="24"/>
        </w:rPr>
        <w:t xml:space="preserve">Учреждение «Поликлиника Хаким», </w:t>
      </w:r>
      <w:r w:rsidR="009A15AC" w:rsidRPr="004B7DC4">
        <w:rPr>
          <w:rFonts w:ascii="Times New Roman" w:hAnsi="Times New Roman" w:cs="Times New Roman"/>
          <w:sz w:val="28"/>
        </w:rPr>
        <w:t>КГКП «Центр первичной медико-санитарной помощи №12 города Семей»</w:t>
      </w:r>
      <w:r w:rsidR="009A15AC">
        <w:rPr>
          <w:rFonts w:ascii="Times New Roman" w:hAnsi="Times New Roman" w:cs="Times New Roman"/>
          <w:sz w:val="28"/>
        </w:rPr>
        <w:t xml:space="preserve">) </w:t>
      </w:r>
      <w:r w:rsidR="00AB12B3">
        <w:rPr>
          <w:rFonts w:ascii="Times New Roman" w:hAnsi="Times New Roman" w:cs="Times New Roman"/>
          <w:sz w:val="28"/>
          <w:szCs w:val="28"/>
          <w:lang w:val="kk-KZ"/>
        </w:rPr>
        <w:t>алгоритмы, позволяющие</w:t>
      </w:r>
      <w:r w:rsidR="00441318">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выявлять</w:t>
      </w:r>
      <w:r w:rsidR="00441318">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предрасположенность к развитию</w:t>
      </w:r>
      <w:r w:rsidR="00441318">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дислипидемии и ИР (рисунки 3-5).</w:t>
      </w:r>
      <w:r w:rsidR="00441318">
        <w:rPr>
          <w:rFonts w:ascii="Times New Roman" w:hAnsi="Times New Roman" w:cs="Times New Roman"/>
          <w:sz w:val="28"/>
          <w:szCs w:val="28"/>
          <w:lang w:val="kk-KZ"/>
        </w:rPr>
        <w:t xml:space="preserve"> </w:t>
      </w:r>
      <w:r w:rsidR="00AA17B0" w:rsidRPr="00441318">
        <w:rPr>
          <w:rFonts w:ascii="Times New Roman" w:hAnsi="Times New Roman" w:cs="Times New Roman"/>
          <w:sz w:val="28"/>
          <w:szCs w:val="28"/>
          <w:lang w:val="kk-KZ"/>
        </w:rPr>
        <w:t>Акты внедрения</w:t>
      </w:r>
      <w:r w:rsidR="00441318">
        <w:rPr>
          <w:rFonts w:ascii="Times New Roman" w:hAnsi="Times New Roman" w:cs="Times New Roman"/>
          <w:sz w:val="28"/>
          <w:szCs w:val="28"/>
          <w:lang w:val="kk-KZ"/>
        </w:rPr>
        <w:t xml:space="preserve"> </w:t>
      </w:r>
      <w:r w:rsidR="00AA17B0" w:rsidRPr="00441318">
        <w:rPr>
          <w:rFonts w:ascii="Times New Roman" w:hAnsi="Times New Roman" w:cs="Times New Roman"/>
          <w:sz w:val="28"/>
          <w:szCs w:val="28"/>
          <w:lang w:val="kk-KZ"/>
        </w:rPr>
        <w:t>анкеты и алгоритмов</w:t>
      </w:r>
      <w:r w:rsidR="00441318">
        <w:rPr>
          <w:rFonts w:ascii="Times New Roman" w:hAnsi="Times New Roman" w:cs="Times New Roman"/>
          <w:sz w:val="28"/>
          <w:szCs w:val="28"/>
          <w:lang w:val="kk-KZ"/>
        </w:rPr>
        <w:t xml:space="preserve"> </w:t>
      </w:r>
      <w:r w:rsidR="00AA17B0" w:rsidRPr="00441318">
        <w:rPr>
          <w:rFonts w:ascii="Times New Roman" w:hAnsi="Times New Roman" w:cs="Times New Roman"/>
          <w:sz w:val="28"/>
          <w:szCs w:val="28"/>
          <w:lang w:val="kk-KZ"/>
        </w:rPr>
        <w:t>предс</w:t>
      </w:r>
      <w:r w:rsidR="00555A8A" w:rsidRPr="00441318">
        <w:rPr>
          <w:rFonts w:ascii="Times New Roman" w:hAnsi="Times New Roman" w:cs="Times New Roman"/>
          <w:sz w:val="28"/>
          <w:szCs w:val="28"/>
          <w:lang w:val="kk-KZ"/>
        </w:rPr>
        <w:t>т</w:t>
      </w:r>
      <w:r w:rsidR="00AA17B0" w:rsidRPr="00441318">
        <w:rPr>
          <w:rFonts w:ascii="Times New Roman" w:hAnsi="Times New Roman" w:cs="Times New Roman"/>
          <w:sz w:val="28"/>
          <w:szCs w:val="28"/>
          <w:lang w:val="kk-KZ"/>
        </w:rPr>
        <w:t>авлены в приложении Е.</w:t>
      </w:r>
      <w:bookmarkEnd w:id="0"/>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rPr>
      </w:pP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sz w:val="28"/>
          <w:szCs w:val="28"/>
        </w:rPr>
        <w:sectPr w:rsidR="00AB12B3">
          <w:pgSz w:w="11906" w:h="16838"/>
          <w:pgMar w:top="1134" w:right="850" w:bottom="1134" w:left="1701" w:header="708" w:footer="708" w:gutter="0"/>
          <w:cols w:space="720"/>
        </w:sectPr>
      </w:pPr>
    </w:p>
    <w:p w:rsidR="00635AEF" w:rsidRPr="002B00D6"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hAnsi="Times New Roman" w:cs="Times New Roman"/>
          <w:b/>
          <w:bCs/>
          <w:sz w:val="28"/>
          <w:szCs w:val="28"/>
        </w:rPr>
      </w:pPr>
      <w:r>
        <w:rPr>
          <w:rFonts w:ascii="Times New Roman" w:hAnsi="Times New Roman" w:cs="Times New Roman"/>
          <w:b/>
          <w:bCs/>
          <w:sz w:val="28"/>
          <w:szCs w:val="28"/>
        </w:rPr>
        <w:lastRenderedPageBreak/>
        <w:t>Алгоритм диагностики гиперинсулинемии на основе ген</w:t>
      </w:r>
      <w:r w:rsidR="00524137">
        <w:rPr>
          <w:rFonts w:ascii="Times New Roman" w:hAnsi="Times New Roman" w:cs="Times New Roman"/>
          <w:b/>
          <w:bCs/>
          <w:sz w:val="28"/>
          <w:szCs w:val="28"/>
        </w:rPr>
        <w:t>о</w:t>
      </w:r>
      <w:r>
        <w:rPr>
          <w:rFonts w:ascii="Times New Roman" w:hAnsi="Times New Roman" w:cs="Times New Roman"/>
          <w:b/>
          <w:bCs/>
          <w:sz w:val="28"/>
          <w:szCs w:val="28"/>
        </w:rPr>
        <w:t>ти</w:t>
      </w:r>
      <w:r w:rsidR="002B00D6">
        <w:rPr>
          <w:rFonts w:ascii="Times New Roman" w:hAnsi="Times New Roman" w:cs="Times New Roman"/>
          <w:b/>
          <w:bCs/>
          <w:sz w:val="28"/>
          <w:szCs w:val="28"/>
        </w:rPr>
        <w:t xml:space="preserve">пирования гена </w:t>
      </w:r>
      <w:r w:rsidR="002B00D6">
        <w:rPr>
          <w:rFonts w:ascii="Times New Roman" w:hAnsi="Times New Roman" w:cs="Times New Roman"/>
          <w:b/>
          <w:bCs/>
          <w:sz w:val="28"/>
          <w:szCs w:val="28"/>
          <w:lang w:val="en-US"/>
        </w:rPr>
        <w:t>LPL</w:t>
      </w:r>
    </w:p>
    <w:p w:rsidR="00635AEF" w:rsidRDefault="00DC0D82"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center"/>
        <w:rPr>
          <w:rFonts w:ascii="Times New Roman" w:hAnsi="Times New Roman" w:cs="Times New Roman"/>
          <w:b/>
          <w:bCs/>
          <w:sz w:val="28"/>
          <w:szCs w:val="28"/>
        </w:rPr>
      </w:pPr>
      <w:r>
        <w:rPr>
          <w:noProof/>
        </w:rPr>
        <mc:AlternateContent>
          <mc:Choice Requires="wps">
            <w:drawing>
              <wp:anchor distT="0" distB="0" distL="114300" distR="114300" simplePos="0" relativeHeight="251607552" behindDoc="0" locked="0" layoutInCell="1" allowOverlap="1" wp14:anchorId="6AFD8603" wp14:editId="1B0B0ABE">
                <wp:simplePos x="0" y="0"/>
                <wp:positionH relativeFrom="column">
                  <wp:posOffset>1195070</wp:posOffset>
                </wp:positionH>
                <wp:positionV relativeFrom="paragraph">
                  <wp:posOffset>96520</wp:posOffset>
                </wp:positionV>
                <wp:extent cx="3570605" cy="337820"/>
                <wp:effectExtent l="0" t="0" r="29845" b="62230"/>
                <wp:wrapNone/>
                <wp:docPr id="12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70605" cy="33782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jc w:val="center"/>
                              <w:rPr>
                                <w:rFonts w:ascii="Times New Roman" w:hAnsi="Times New Roman" w:cs="Times New Roman"/>
                                <w:sz w:val="28"/>
                              </w:rPr>
                            </w:pPr>
                            <w:r>
                              <w:rPr>
                                <w:rFonts w:ascii="Times New Roman" w:hAnsi="Times New Roman" w:cs="Times New Roman"/>
                                <w:sz w:val="28"/>
                              </w:rPr>
                              <w:t>Здоровые лица казахской популяции</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94.1pt;margin-top:7.6pt;width:281.15pt;height:26.6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" fillcolor="#95b3d7 [1940]" strokecolor="#95b3d7 [1940]" strokeweight="1pt">
                <v:fill color2="#dbe5f1 [660]" angle="135" focus="50%" type="gradient"/>
                <v:shadow on="t" color="#243f60 [1604]" opacity=".5" offset="1pt"/>
                <v:path arrowok="t"/>
                <v:textbox>
                  <w:txbxContent>
                    <w:p w:rsidR="0041189E" w:rsidRDefault="0041189E" w:rsidP="00635AEF">
                      <w:pPr>
                        <w:jc w:val="center"/>
                        <w:rPr>
                          <w:rFonts w:ascii="Times New Roman" w:hAnsi="Times New Roman" w:cs="Times New Roman"/>
                          <w:sz w:val="28"/>
                        </w:rPr>
                      </w:pPr>
                      <w:r>
                        <w:rPr>
                          <w:rFonts w:ascii="Times New Roman" w:hAnsi="Times New Roman" w:cs="Times New Roman"/>
                          <w:sz w:val="28"/>
                        </w:rPr>
                        <w:t>Здоровые лица казахской популяции</w:t>
                      </w:r>
                    </w:p>
                  </w:txbxContent>
                </v:textbox>
              </v:rect>
            </w:pict>
          </mc:Fallback>
        </mc:AlternateContent>
      </w:r>
      <w:r>
        <w:rPr>
          <w:noProof/>
        </w:rPr>
        <mc:AlternateContent>
          <mc:Choice Requires="wps">
            <w:drawing>
              <wp:anchor distT="0" distB="0" distL="114293" distR="114293" simplePos="0" relativeHeight="251608576" behindDoc="0" locked="0" layoutInCell="1" allowOverlap="1" wp14:anchorId="11A7D2D9" wp14:editId="6E508EAB">
                <wp:simplePos x="0" y="0"/>
                <wp:positionH relativeFrom="column">
                  <wp:posOffset>2995930</wp:posOffset>
                </wp:positionH>
                <wp:positionV relativeFrom="paragraph">
                  <wp:posOffset>441960</wp:posOffset>
                </wp:positionV>
                <wp:extent cx="0" cy="576580"/>
                <wp:effectExtent l="56515" t="8890" r="57785" b="14605"/>
                <wp:wrapNone/>
                <wp:docPr id="122"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76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5570ADB" id="_x0000_t32" coordsize="21600,21600" o:spt="32" o:oned="t" path="m,l21600,21600e" filled="f">
                <v:path arrowok="t" fillok="f" o:connecttype="none"/>
                <o:lock v:ext="edit" shapetype="t"/>
              </v:shapetype>
              <v:shape id="AutoShape 17" o:spid="_x0000_s1026" type="#_x0000_t32" style="position:absolute;margin-left:235.9pt;margin-top:34.8pt;width:0;height:45.4pt;z-index:251608576;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">
                <v:stroke endarrow="block"/>
                <o:lock v:ext="edit" shapetype="f"/>
              </v:shape>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center"/>
        <w:rPr>
          <w:rFonts w:ascii="Times New Roman" w:hAnsi="Times New Roman" w:cs="Times New Roman"/>
          <w:b/>
          <w:bCs/>
          <w:sz w:val="28"/>
          <w:szCs w:val="28"/>
        </w:rPr>
      </w:pPr>
      <w:r>
        <w:rPr>
          <w:rFonts w:ascii="Times New Roman" w:hAnsi="Times New Roman" w:cs="Times New Roman"/>
          <w:b/>
          <w:bCs/>
          <w:sz w:val="28"/>
          <w:szCs w:val="28"/>
        </w:rPr>
        <w:t>Молекулярно – генетическое исследование</w:t>
      </w:r>
    </w:p>
    <w:p w:rsidR="00635AEF" w:rsidRDefault="00DC0D82"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11648" behindDoc="0" locked="0" layoutInCell="1" allowOverlap="1" wp14:anchorId="237E2D09" wp14:editId="3A926FF0">
                <wp:simplePos x="0" y="0"/>
                <wp:positionH relativeFrom="margin">
                  <wp:align>center</wp:align>
                </wp:positionH>
                <wp:positionV relativeFrom="paragraph">
                  <wp:posOffset>90805</wp:posOffset>
                </wp:positionV>
                <wp:extent cx="4182745" cy="360045"/>
                <wp:effectExtent l="0" t="0" r="46355" b="59055"/>
                <wp:wrapNone/>
                <wp:docPr id="11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82745" cy="36004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jc w:val="center"/>
                              <w:rPr>
                                <w:rFonts w:ascii="Times New Roman" w:hAnsi="Times New Roman" w:cs="Times New Roman"/>
                                <w:sz w:val="28"/>
                                <w:szCs w:val="28"/>
                              </w:rPr>
                            </w:pPr>
                            <w:r>
                              <w:rPr>
                                <w:rFonts w:ascii="Times New Roman" w:hAnsi="Times New Roman" w:cs="Times New Roman"/>
                                <w:sz w:val="28"/>
                                <w:szCs w:val="28"/>
                              </w:rPr>
                              <w:t xml:space="preserve">Генотипирование </w:t>
                            </w:r>
                            <w:r>
                              <w:rPr>
                                <w:rFonts w:ascii="Times New Roman" w:hAnsi="Times New Roman" w:cs="Times New Roman"/>
                                <w:i/>
                                <w:sz w:val="28"/>
                                <w:szCs w:val="28"/>
                                <w:lang w:val="kk-KZ"/>
                              </w:rPr>
                              <w:t>LPL</w:t>
                            </w:r>
                            <w:r>
                              <w:rPr>
                                <w:rFonts w:ascii="Times New Roman" w:hAnsi="Times New Roman" w:cs="Times New Roman"/>
                                <w:sz w:val="28"/>
                                <w:szCs w:val="28"/>
                                <w:lang w:val="kk-KZ"/>
                              </w:rPr>
                              <w:t xml:space="preserve"> Ser447Ter (rs328)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7" style="position:absolute;left:0;text-align:left;margin-left:0;margin-top:7.15pt;width:329.35pt;height:28.35pt;z-index:251611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" fillcolor="#95b3d7 [1940]" strokecolor="#95b3d7 [1940]" strokeweight="1pt">
                <v:fill color2="#dbe5f1 [660]" angle="135" focus="50%" type="gradient"/>
                <v:shadow on="t" color="#243f60 [1604]" opacity=".5" offset="1pt"/>
                <v:path arrowok="t"/>
                <v:textbox>
                  <w:txbxContent>
                    <w:p w:rsidR="0041189E" w:rsidRDefault="0041189E" w:rsidP="00635AEF">
                      <w:pPr>
                        <w:jc w:val="center"/>
                        <w:rPr>
                          <w:rFonts w:ascii="Times New Roman" w:hAnsi="Times New Roman" w:cs="Times New Roman"/>
                          <w:sz w:val="28"/>
                          <w:szCs w:val="28"/>
                        </w:rPr>
                      </w:pPr>
                      <w:r>
                        <w:rPr>
                          <w:rFonts w:ascii="Times New Roman" w:hAnsi="Times New Roman" w:cs="Times New Roman"/>
                          <w:sz w:val="28"/>
                          <w:szCs w:val="28"/>
                        </w:rPr>
                        <w:t xml:space="preserve">Генотипирование </w:t>
                      </w:r>
                      <w:r>
                        <w:rPr>
                          <w:rFonts w:ascii="Times New Roman" w:hAnsi="Times New Roman" w:cs="Times New Roman"/>
                          <w:i/>
                          <w:sz w:val="28"/>
                          <w:szCs w:val="28"/>
                          <w:lang w:val="kk-KZ"/>
                        </w:rPr>
                        <w:t>LPL</w:t>
                      </w:r>
                      <w:r>
                        <w:rPr>
                          <w:rFonts w:ascii="Times New Roman" w:hAnsi="Times New Roman" w:cs="Times New Roman"/>
                          <w:sz w:val="28"/>
                          <w:szCs w:val="28"/>
                          <w:lang w:val="kk-KZ"/>
                        </w:rPr>
                        <w:t xml:space="preserve"> Ser447Ter (rs328)</w:t>
                      </w:r>
                    </w:p>
                  </w:txbxContent>
                </v:textbox>
                <w10:wrap anchorx="margin"/>
              </v:rect>
            </w:pict>
          </mc:Fallback>
        </mc:AlternateContent>
      </w:r>
      <w:r>
        <w:rPr>
          <w:noProof/>
        </w:rPr>
        <mc:AlternateContent>
          <mc:Choice Requires="wps">
            <w:drawing>
              <wp:anchor distT="0" distB="0" distL="114300" distR="114300" simplePos="0" relativeHeight="251615744" behindDoc="0" locked="0" layoutInCell="1" allowOverlap="1" wp14:anchorId="1EDD1079" wp14:editId="21CDB3F9">
                <wp:simplePos x="0" y="0"/>
                <wp:positionH relativeFrom="column">
                  <wp:posOffset>4532630</wp:posOffset>
                </wp:positionH>
                <wp:positionV relativeFrom="paragraph">
                  <wp:posOffset>4156710</wp:posOffset>
                </wp:positionV>
                <wp:extent cx="1527175" cy="1716405"/>
                <wp:effectExtent l="12065" t="14605" r="13335" b="21590"/>
                <wp:wrapNone/>
                <wp:docPr id="11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7175" cy="171640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Рекомендации по контролю уровня инсулина 2-4 раза в год, соблюдение здорового образа жизни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8" style="position:absolute;left:0;text-align:left;margin-left:356.9pt;margin-top:327.3pt;width:120.25pt;height:135.1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" fillcolor="#c2d69b [1942]" strokecolor="#c2d69b [1942]" strokeweight="1pt">
                <v:fill color2="#eaf1dd [662]" angle="135" focus="50%" type="gradient"/>
                <v:shadow on="t" color="#4e6128 [1606]"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Рекомендации по контролю уровня инсулина 2-4 раза в год, соблюдение здорового образа жизни</w:t>
                      </w:r>
                    </w:p>
                  </w:txbxContent>
                </v:textbox>
              </v:rect>
            </w:pict>
          </mc:Fallback>
        </mc:AlternateContent>
      </w:r>
      <w:r>
        <w:rPr>
          <w:noProof/>
        </w:rPr>
        <mc:AlternateContent>
          <mc:Choice Requires="wps">
            <w:drawing>
              <wp:anchor distT="0" distB="0" distL="114300" distR="114300" simplePos="0" relativeHeight="251616768" behindDoc="0" locked="0" layoutInCell="1" allowOverlap="1" wp14:anchorId="6B7E0BE8" wp14:editId="5D9BA2D0">
                <wp:simplePos x="0" y="0"/>
                <wp:positionH relativeFrom="column">
                  <wp:posOffset>438785</wp:posOffset>
                </wp:positionH>
                <wp:positionV relativeFrom="paragraph">
                  <wp:posOffset>3983355</wp:posOffset>
                </wp:positionV>
                <wp:extent cx="3680460" cy="789305"/>
                <wp:effectExtent l="13970" t="12700" r="10795" b="26670"/>
                <wp:wrapNone/>
                <wp:docPr id="1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0460" cy="78930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Дальнейшее обследование на наличие инсулинорезистентности, болезней системы кровообращения и сахарного диабета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9" style="position:absolute;left:0;text-align:left;margin-left:34.55pt;margin-top:313.65pt;width:289.8pt;height:62.1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" fillcolor="#95b3d7 [1940]" strokecolor="#95b3d7 [1940]" strokeweight="1pt">
                <v:fill color2="#dbe5f1 [660]" angle="135" focus="50%" type="gradient"/>
                <v:shadow on="t" color="#243f60 [1604]"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Дальнейшее обследование на наличие инсулинорезистентности, болезней системы кровообращения и сахарного диабета</w:t>
                      </w:r>
                    </w:p>
                  </w:txbxContent>
                </v:textbox>
              </v:rect>
            </w:pict>
          </mc:Fallback>
        </mc:AlternateContent>
      </w:r>
      <w:r>
        <w:rPr>
          <w:noProof/>
        </w:rPr>
        <mc:AlternateContent>
          <mc:Choice Requires="wps">
            <w:drawing>
              <wp:anchor distT="0" distB="0" distL="114300" distR="114300" simplePos="0" relativeHeight="251617792" behindDoc="0" locked="0" layoutInCell="1" allowOverlap="1" wp14:anchorId="36C1F62E" wp14:editId="4A0E1CC6">
                <wp:simplePos x="0" y="0"/>
                <wp:positionH relativeFrom="column">
                  <wp:posOffset>438785</wp:posOffset>
                </wp:positionH>
                <wp:positionV relativeFrom="paragraph">
                  <wp:posOffset>5078730</wp:posOffset>
                </wp:positionV>
                <wp:extent cx="1653540" cy="1511935"/>
                <wp:effectExtent l="13970" t="12700" r="8890" b="27940"/>
                <wp:wrapNone/>
                <wp:docPr id="11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3540" cy="1511935"/>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Наличие инсулинорезистентности, болезней системы кровообращения и сахарного диабета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30" style="position:absolute;left:0;text-align:left;margin-left:34.55pt;margin-top:399.9pt;width:130.2pt;height:119.0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" fillcolor="#d99594 [1941]" strokecolor="#d99594 [1941]" strokeweight="1pt">
                <v:fill color2="#f2dbdb [661]" angle="135" focus="50%" type="gradient"/>
                <v:shadow on="t" color="#622423 [1605]"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Наличие инсулинорезистентности, болезней системы кровообращения и сахарного диабета</w:t>
                      </w:r>
                    </w:p>
                  </w:txbxContent>
                </v:textbox>
              </v:rect>
            </w:pict>
          </mc:Fallback>
        </mc:AlternateContent>
      </w:r>
      <w:r>
        <w:rPr>
          <w:noProof/>
        </w:rPr>
        <mc:AlternateContent>
          <mc:Choice Requires="wps">
            <w:drawing>
              <wp:anchor distT="0" distB="0" distL="114300" distR="114300" simplePos="0" relativeHeight="251622912" behindDoc="0" locked="0" layoutInCell="1" allowOverlap="1" wp14:anchorId="01B10C05" wp14:editId="0026CFAC">
                <wp:simplePos x="0" y="0"/>
                <wp:positionH relativeFrom="column">
                  <wp:posOffset>1235075</wp:posOffset>
                </wp:positionH>
                <wp:positionV relativeFrom="paragraph">
                  <wp:posOffset>1237615</wp:posOffset>
                </wp:positionV>
                <wp:extent cx="635" cy="431800"/>
                <wp:effectExtent l="57785" t="10160" r="55880" b="15240"/>
                <wp:wrapNone/>
                <wp:docPr id="108"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31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1" o:spid="_x0000_s1026" type="#_x0000_t32" style="position:absolute;margin-left:97.25pt;margin-top:97.45pt;width:.05pt;height:34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">
                <v:stroke endarrow="block"/>
                <o:lock v:ext="edit" shapetype="f"/>
              </v:shape>
            </w:pict>
          </mc:Fallback>
        </mc:AlternateContent>
      </w:r>
      <w:r>
        <w:rPr>
          <w:noProof/>
        </w:rPr>
        <mc:AlternateContent>
          <mc:Choice Requires="wps">
            <w:drawing>
              <wp:anchor distT="0" distB="0" distL="114293" distR="114293" simplePos="0" relativeHeight="251633152" behindDoc="0" locked="0" layoutInCell="1" allowOverlap="1" wp14:anchorId="0EB738E5" wp14:editId="260E6B81">
                <wp:simplePos x="0" y="0"/>
                <wp:positionH relativeFrom="column">
                  <wp:posOffset>5151755</wp:posOffset>
                </wp:positionH>
                <wp:positionV relativeFrom="paragraph">
                  <wp:posOffset>3632835</wp:posOffset>
                </wp:positionV>
                <wp:extent cx="0" cy="515620"/>
                <wp:effectExtent l="59690" t="5080" r="54610" b="22225"/>
                <wp:wrapNone/>
                <wp:docPr id="103"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15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 o:spid="_x0000_s1026" type="#_x0000_t32" style="position:absolute;margin-left:405.65pt;margin-top:286.05pt;width:0;height:40.6pt;z-index:251633152;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">
                <v:stroke endarrow="block"/>
                <o:lock v:ext="edit" shapetype="f"/>
              </v:shape>
            </w:pict>
          </mc:Fallback>
        </mc:AlternateContent>
      </w:r>
      <w:r>
        <w:rPr>
          <w:noProof/>
        </w:rPr>
        <mc:AlternateContent>
          <mc:Choice Requires="wps">
            <w:drawing>
              <wp:anchor distT="0" distB="0" distL="114293" distR="114293" simplePos="0" relativeHeight="251635200" behindDoc="0" locked="0" layoutInCell="1" allowOverlap="1" wp14:anchorId="123F0431" wp14:editId="1690747D">
                <wp:simplePos x="0" y="0"/>
                <wp:positionH relativeFrom="column">
                  <wp:posOffset>1530350</wp:posOffset>
                </wp:positionH>
                <wp:positionV relativeFrom="paragraph">
                  <wp:posOffset>2955925</wp:posOffset>
                </wp:positionV>
                <wp:extent cx="0" cy="287655"/>
                <wp:effectExtent l="57785" t="13970" r="56515" b="22225"/>
                <wp:wrapNone/>
                <wp:docPr id="101"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876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 o:spid="_x0000_s1026" type="#_x0000_t32" style="position:absolute;margin-left:120.5pt;margin-top:232.75pt;width:0;height:22.65pt;z-index:251635200;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">
                <v:stroke endarrow="block"/>
                <o:lock v:ext="edit" shapetype="f"/>
              </v:shape>
            </w:pict>
          </mc:Fallback>
        </mc:AlternateContent>
      </w:r>
      <w:r>
        <w:rPr>
          <w:noProof/>
        </w:rPr>
        <mc:AlternateContent>
          <mc:Choice Requires="wps">
            <w:drawing>
              <wp:anchor distT="0" distB="0" distL="114300" distR="114300" simplePos="0" relativeHeight="251637248" behindDoc="0" locked="0" layoutInCell="1" allowOverlap="1" wp14:anchorId="3ED1AB17" wp14:editId="0C9D565E">
                <wp:simplePos x="0" y="0"/>
                <wp:positionH relativeFrom="column">
                  <wp:posOffset>2266315</wp:posOffset>
                </wp:positionH>
                <wp:positionV relativeFrom="paragraph">
                  <wp:posOffset>5078730</wp:posOffset>
                </wp:positionV>
                <wp:extent cx="1700530" cy="1511935"/>
                <wp:effectExtent l="12700" t="12700" r="10795" b="27940"/>
                <wp:wrapNone/>
                <wp:docPr id="100"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0530" cy="151193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41189E" w:rsidRDefault="0041189E" w:rsidP="00635AEF">
                            <w:r>
                              <w:rPr>
                                <w:rFonts w:ascii="Times New Roman" w:hAnsi="Times New Roman" w:cs="Times New Roman"/>
                                <w:sz w:val="28"/>
                                <w:szCs w:val="28"/>
                              </w:rPr>
                              <w:t>Отсутствие инсулинорезистентности, болезней системы кровообращения и сахарного диабета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31" style="position:absolute;left:0;text-align:left;margin-left:178.45pt;margin-top:399.9pt;width:133.9pt;height:119.0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" fillcolor="#c2d69b [1942]" strokecolor="#c2d69b [1942]" strokeweight="1pt">
                <v:fill color2="#eaf1dd [662]" angle="135" focus="50%" type="gradient"/>
                <v:shadow on="t" color="#4e6128 [1606]" opacity=".5" offset="1pt"/>
                <v:path arrowok="t"/>
                <v:textbox>
                  <w:txbxContent>
                    <w:p w:rsidR="0041189E" w:rsidRDefault="0041189E" w:rsidP="00635AEF">
                      <w:r>
                        <w:rPr>
                          <w:rFonts w:ascii="Times New Roman" w:hAnsi="Times New Roman" w:cs="Times New Roman"/>
                          <w:sz w:val="28"/>
                          <w:szCs w:val="28"/>
                        </w:rPr>
                        <w:t>Отсутствие инсулинорезистентности, болезней системы кровообращения и сахарного диабета</w:t>
                      </w:r>
                    </w:p>
                  </w:txbxContent>
                </v:textbox>
              </v:rect>
            </w:pict>
          </mc:Fallback>
        </mc:AlternateContent>
      </w:r>
      <w:r>
        <w:rPr>
          <w:noProof/>
        </w:rPr>
        <mc:AlternateContent>
          <mc:Choice Requires="wps">
            <w:drawing>
              <wp:anchor distT="0" distB="0" distL="114300" distR="114300" simplePos="0" relativeHeight="251638272" behindDoc="0" locked="0" layoutInCell="1" allowOverlap="1" wp14:anchorId="0B0712CB" wp14:editId="2968A387">
                <wp:simplePos x="0" y="0"/>
                <wp:positionH relativeFrom="column">
                  <wp:posOffset>2995930</wp:posOffset>
                </wp:positionH>
                <wp:positionV relativeFrom="paragraph">
                  <wp:posOffset>4766945</wp:posOffset>
                </wp:positionV>
                <wp:extent cx="635" cy="313690"/>
                <wp:effectExtent l="56515" t="5715" r="57150" b="23495"/>
                <wp:wrapNone/>
                <wp:docPr id="99"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635" cy="3136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9D5614" id="AutoShape 33" o:spid="_x0000_s1026" type="#_x0000_t32" style="position:absolute;margin-left:235.9pt;margin-top:375.35pt;width:.05pt;height:24.7pt;flip:x;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">
                <v:stroke endarrow="block"/>
                <o:lock v:ext="edit" shapetype="f"/>
              </v:shape>
            </w:pict>
          </mc:Fallback>
        </mc:AlternateContent>
      </w:r>
    </w:p>
    <w:p w:rsidR="00635AEF" w:rsidRDefault="001638C2"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19840" behindDoc="0" locked="0" layoutInCell="1" allowOverlap="1" wp14:anchorId="54AD12A6" wp14:editId="0EB15408">
                <wp:simplePos x="0" y="0"/>
                <wp:positionH relativeFrom="column">
                  <wp:posOffset>1351915</wp:posOffset>
                </wp:positionH>
                <wp:positionV relativeFrom="paragraph">
                  <wp:posOffset>154305</wp:posOffset>
                </wp:positionV>
                <wp:extent cx="563880" cy="444500"/>
                <wp:effectExtent l="38100" t="0" r="26670" b="50800"/>
                <wp:wrapNone/>
                <wp:docPr id="111"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63880" cy="444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 o:spid="_x0000_s1026" type="#_x0000_t32" style="position:absolute;margin-left:106.45pt;margin-top:12.15pt;width:44.4pt;height:35pt;flip:x;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">
                <v:stroke endarrow="block"/>
                <o:lock v:ext="edit" shapetype="f"/>
              </v:shape>
            </w:pict>
          </mc:Fallback>
        </mc:AlternateContent>
      </w:r>
      <w:r w:rsidR="00ED0D78">
        <w:rPr>
          <w:noProof/>
        </w:rPr>
        <mc:AlternateContent>
          <mc:Choice Requires="wps">
            <w:drawing>
              <wp:anchor distT="0" distB="0" distL="114300" distR="114300" simplePos="0" relativeHeight="251621888" behindDoc="0" locked="0" layoutInCell="1" allowOverlap="1" wp14:anchorId="43F175B2" wp14:editId="213D0FBF">
                <wp:simplePos x="0" y="0"/>
                <wp:positionH relativeFrom="column">
                  <wp:posOffset>4325153</wp:posOffset>
                </wp:positionH>
                <wp:positionV relativeFrom="paragraph">
                  <wp:posOffset>143031</wp:posOffset>
                </wp:positionV>
                <wp:extent cx="621665" cy="452755"/>
                <wp:effectExtent l="0" t="0" r="83185" b="61595"/>
                <wp:wrapNone/>
                <wp:docPr id="109"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21665" cy="452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 o:spid="_x0000_s1026" type="#_x0000_t32" style="position:absolute;margin-left:340.55pt;margin-top:11.25pt;width:48.95pt;height:35.6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">
                <v:stroke endarrow="block"/>
                <o:lock v:ext="edit" shapetype="f"/>
              </v:shape>
            </w:pict>
          </mc:Fallback>
        </mc:AlternateContent>
      </w:r>
      <w:r w:rsidR="00ED0D78">
        <w:rPr>
          <w:noProof/>
        </w:rPr>
        <mc:AlternateContent>
          <mc:Choice Requires="wps">
            <w:drawing>
              <wp:anchor distT="0" distB="0" distL="114300" distR="114300" simplePos="0" relativeHeight="251620864" behindDoc="0" locked="0" layoutInCell="1" allowOverlap="1" wp14:anchorId="3E91E34F" wp14:editId="7DCA2E21">
                <wp:simplePos x="0" y="0"/>
                <wp:positionH relativeFrom="column">
                  <wp:posOffset>3051810</wp:posOffset>
                </wp:positionH>
                <wp:positionV relativeFrom="paragraph">
                  <wp:posOffset>154940</wp:posOffset>
                </wp:positionV>
                <wp:extent cx="635" cy="452755"/>
                <wp:effectExtent l="76200" t="0" r="75565" b="61595"/>
                <wp:wrapNone/>
                <wp:docPr id="110"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52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 o:spid="_x0000_s1026" type="#_x0000_t32" style="position:absolute;margin-left:240.3pt;margin-top:12.2pt;width:.05pt;height:35.6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">
                <v:stroke endarrow="block"/>
                <o:lock v:ext="edit" shapetype="f"/>
              </v:shape>
            </w:pict>
          </mc:Fallback>
        </mc:AlternateContent>
      </w:r>
    </w:p>
    <w:p w:rsidR="00635AEF" w:rsidRDefault="00ED0D78"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10624" behindDoc="0" locked="0" layoutInCell="1" allowOverlap="1" wp14:anchorId="50589F6C" wp14:editId="72E8E0C0">
                <wp:simplePos x="0" y="0"/>
                <wp:positionH relativeFrom="column">
                  <wp:posOffset>4666615</wp:posOffset>
                </wp:positionH>
                <wp:positionV relativeFrom="paragraph">
                  <wp:posOffset>278130</wp:posOffset>
                </wp:positionV>
                <wp:extent cx="583565" cy="332105"/>
                <wp:effectExtent l="0" t="0" r="45085" b="48895"/>
                <wp:wrapNone/>
                <wp:docPr id="12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3565" cy="33210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rPr>
                                <w:rFonts w:ascii="Times New Roman" w:hAnsi="Times New Roman" w:cs="Times New Roman"/>
                                <w:b/>
                                <w:sz w:val="28"/>
                                <w:szCs w:val="28"/>
                                <w:lang w:val="en-US"/>
                              </w:rPr>
                            </w:pPr>
                            <w:r>
                              <w:rPr>
                                <w:rFonts w:ascii="Times New Roman" w:hAnsi="Times New Roman" w:cs="Times New Roman"/>
                                <w:b/>
                                <w:sz w:val="28"/>
                                <w:szCs w:val="28"/>
                                <w:lang w:val="en-US"/>
                              </w:rPr>
                              <w:t>GG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32" style="position:absolute;left:0;text-align:left;margin-left:367.45pt;margin-top:21.9pt;width:45.95pt;height:26.1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" fillcolor="#95b3d7 [1940]" strokecolor="#95b3d7 [1940]" strokeweight="1pt">
                <v:fill color2="#dbe5f1 [660]" angle="135" focus="50%" type="gradient"/>
                <v:shadow on="t" color="#243f60 [1604]" opacity=".5" offset="1pt"/>
                <v:path arrowok="t"/>
                <v:textbox>
                  <w:txbxContent>
                    <w:p w:rsidR="0041189E" w:rsidRDefault="0041189E" w:rsidP="00635AEF">
                      <w:pPr>
                        <w:rPr>
                          <w:rFonts w:ascii="Times New Roman" w:hAnsi="Times New Roman" w:cs="Times New Roman"/>
                          <w:b/>
                          <w:sz w:val="28"/>
                          <w:szCs w:val="28"/>
                          <w:lang w:val="en-US"/>
                        </w:rPr>
                      </w:pPr>
                      <w:r>
                        <w:rPr>
                          <w:rFonts w:ascii="Times New Roman" w:hAnsi="Times New Roman" w:cs="Times New Roman"/>
                          <w:b/>
                          <w:sz w:val="28"/>
                          <w:szCs w:val="28"/>
                          <w:lang w:val="en-US"/>
                        </w:rPr>
                        <w:t>GG</w:t>
                      </w:r>
                    </w:p>
                  </w:txbxContent>
                </v:textbox>
              </v:rect>
            </w:pict>
          </mc:Fallback>
        </mc:AlternateContent>
      </w:r>
      <w:r>
        <w:rPr>
          <w:noProof/>
        </w:rPr>
        <mc:AlternateContent>
          <mc:Choice Requires="wps">
            <w:drawing>
              <wp:anchor distT="0" distB="0" distL="114300" distR="114300" simplePos="0" relativeHeight="251609600" behindDoc="0" locked="0" layoutInCell="1" allowOverlap="1" wp14:anchorId="6B0322E1" wp14:editId="725DF8C3">
                <wp:simplePos x="0" y="0"/>
                <wp:positionH relativeFrom="column">
                  <wp:posOffset>2789555</wp:posOffset>
                </wp:positionH>
                <wp:positionV relativeFrom="paragraph">
                  <wp:posOffset>295910</wp:posOffset>
                </wp:positionV>
                <wp:extent cx="496570" cy="332105"/>
                <wp:effectExtent l="0" t="0" r="36830" b="48895"/>
                <wp:wrapNone/>
                <wp:docPr id="12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6570" cy="33210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rPr>
                                <w:rFonts w:ascii="Times New Roman" w:hAnsi="Times New Roman" w:cs="Times New Roman"/>
                                <w:sz w:val="28"/>
                                <w:szCs w:val="28"/>
                                <w:lang w:val="en-US"/>
                              </w:rPr>
                            </w:pPr>
                            <w:r>
                              <w:rPr>
                                <w:rFonts w:ascii="Times New Roman" w:hAnsi="Times New Roman" w:cs="Times New Roman"/>
                                <w:b/>
                                <w:sz w:val="28"/>
                                <w:szCs w:val="28"/>
                                <w:lang w:val="en-US"/>
                              </w:rPr>
                              <w:t>CG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33" style="position:absolute;left:0;text-align:left;margin-left:219.65pt;margin-top:23.3pt;width:39.1pt;height:26.1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" fillcolor="#95b3d7 [1940]" strokecolor="#95b3d7 [1940]" strokeweight="1pt">
                <v:fill color2="#dbe5f1 [660]" angle="135" focus="50%" type="gradient"/>
                <v:shadow on="t" color="#243f60 [1604]" opacity=".5" offset="1pt"/>
                <v:path arrowok="t"/>
                <v:textbox>
                  <w:txbxContent>
                    <w:p w:rsidR="0041189E" w:rsidRDefault="0041189E" w:rsidP="00635AEF">
                      <w:pPr>
                        <w:rPr>
                          <w:rFonts w:ascii="Times New Roman" w:hAnsi="Times New Roman" w:cs="Times New Roman"/>
                          <w:sz w:val="28"/>
                          <w:szCs w:val="28"/>
                          <w:lang w:val="en-US"/>
                        </w:rPr>
                      </w:pPr>
                      <w:r>
                        <w:rPr>
                          <w:rFonts w:ascii="Times New Roman" w:hAnsi="Times New Roman" w:cs="Times New Roman"/>
                          <w:b/>
                          <w:sz w:val="28"/>
                          <w:szCs w:val="28"/>
                          <w:lang w:val="en-US"/>
                        </w:rPr>
                        <w:t>CG</w:t>
                      </w:r>
                    </w:p>
                  </w:txbxContent>
                </v:textbox>
              </v:rect>
            </w:pict>
          </mc:Fallback>
        </mc:AlternateContent>
      </w:r>
      <w:r w:rsidR="00DC0D82">
        <w:rPr>
          <w:noProof/>
        </w:rPr>
        <mc:AlternateContent>
          <mc:Choice Requires="wps">
            <w:drawing>
              <wp:anchor distT="0" distB="0" distL="114300" distR="114300" simplePos="0" relativeHeight="251625984" behindDoc="0" locked="0" layoutInCell="1" allowOverlap="1" wp14:anchorId="1A1D47C1" wp14:editId="705674C7">
                <wp:simplePos x="0" y="0"/>
                <wp:positionH relativeFrom="column">
                  <wp:posOffset>1059180</wp:posOffset>
                </wp:positionH>
                <wp:positionV relativeFrom="paragraph">
                  <wp:posOffset>295910</wp:posOffset>
                </wp:positionV>
                <wp:extent cx="549910" cy="332105"/>
                <wp:effectExtent l="15240" t="15240" r="15875" b="24130"/>
                <wp:wrapNone/>
                <wp:docPr id="9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9910" cy="33210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rPr>
                                <w:rFonts w:ascii="Times New Roman" w:hAnsi="Times New Roman" w:cs="Times New Roman"/>
                                <w:b/>
                                <w:sz w:val="24"/>
                                <w:szCs w:val="24"/>
                              </w:rPr>
                            </w:pPr>
                            <w:r>
                              <w:rPr>
                                <w:rFonts w:ascii="Times New Roman" w:hAnsi="Times New Roman" w:cs="Times New Roman"/>
                                <w:b/>
                                <w:sz w:val="28"/>
                                <w:szCs w:val="28"/>
                              </w:rPr>
                              <w:t>СС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34" style="position:absolute;left:0;text-align:left;margin-left:83.4pt;margin-top:23.3pt;width:43.3pt;height:26.1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" fillcolor="#95b3d7 [1940]" strokecolor="#95b3d7 [1940]" strokeweight="1pt">
                <v:fill color2="#dbe5f1 [660]" angle="135" focus="50%" type="gradient"/>
                <v:shadow on="t" color="#243f60 [1604]" opacity=".5" offset="1pt"/>
                <v:path arrowok="t"/>
                <v:textbox>
                  <w:txbxContent>
                    <w:p w:rsidR="0041189E" w:rsidRDefault="0041189E" w:rsidP="00635AEF">
                      <w:pPr>
                        <w:rPr>
                          <w:rFonts w:ascii="Times New Roman" w:hAnsi="Times New Roman" w:cs="Times New Roman"/>
                          <w:b/>
                          <w:sz w:val="24"/>
                          <w:szCs w:val="24"/>
                        </w:rPr>
                      </w:pPr>
                      <w:r>
                        <w:rPr>
                          <w:rFonts w:ascii="Times New Roman" w:hAnsi="Times New Roman" w:cs="Times New Roman"/>
                          <w:b/>
                          <w:sz w:val="28"/>
                          <w:szCs w:val="28"/>
                        </w:rPr>
                        <w:t>СС</w:t>
                      </w:r>
                    </w:p>
                  </w:txbxContent>
                </v:textbox>
              </v:rect>
            </w:pict>
          </mc:Fallback>
        </mc:AlternateContent>
      </w:r>
    </w:p>
    <w:p w:rsidR="00635AEF" w:rsidRDefault="00ED0D78"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24960" behindDoc="0" locked="0" layoutInCell="1" allowOverlap="1" wp14:anchorId="3FCAE2F0" wp14:editId="6570F9B6">
                <wp:simplePos x="0" y="0"/>
                <wp:positionH relativeFrom="column">
                  <wp:posOffset>4948555</wp:posOffset>
                </wp:positionH>
                <wp:positionV relativeFrom="paragraph">
                  <wp:posOffset>304165</wp:posOffset>
                </wp:positionV>
                <wp:extent cx="635" cy="431800"/>
                <wp:effectExtent l="76200" t="0" r="75565" b="63500"/>
                <wp:wrapNone/>
                <wp:docPr id="106"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31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 o:spid="_x0000_s1026" type="#_x0000_t32" style="position:absolute;margin-left:389.65pt;margin-top:23.95pt;width:.05pt;height:34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">
                <v:stroke endarrow="block"/>
                <o:lock v:ext="edit" shapetype="f"/>
              </v:shape>
            </w:pict>
          </mc:Fallback>
        </mc:AlternateContent>
      </w:r>
    </w:p>
    <w:p w:rsidR="00635AEF" w:rsidRDefault="00ED0D78"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23936" behindDoc="0" locked="0" layoutInCell="1" allowOverlap="1" wp14:anchorId="3A28A3DE" wp14:editId="442352F1">
                <wp:simplePos x="0" y="0"/>
                <wp:positionH relativeFrom="column">
                  <wp:posOffset>3045460</wp:posOffset>
                </wp:positionH>
                <wp:positionV relativeFrom="paragraph">
                  <wp:posOffset>18415</wp:posOffset>
                </wp:positionV>
                <wp:extent cx="635" cy="431800"/>
                <wp:effectExtent l="76200" t="0" r="75565" b="63500"/>
                <wp:wrapNone/>
                <wp:docPr id="107"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31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margin-left:239.8pt;margin-top:1.45pt;width:.05pt;height:34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">
                <v:stroke endarrow="block"/>
                <o:lock v:ext="edit" shapetype="f"/>
              </v:shape>
            </w:pict>
          </mc:Fallback>
        </mc:AlternateContent>
      </w:r>
    </w:p>
    <w:p w:rsidR="00635AEF" w:rsidRDefault="006F3878"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12672" behindDoc="0" locked="0" layoutInCell="1" allowOverlap="1" wp14:anchorId="1A31B27B" wp14:editId="7F98E4BB">
                <wp:simplePos x="0" y="0"/>
                <wp:positionH relativeFrom="column">
                  <wp:posOffset>4331970</wp:posOffset>
                </wp:positionH>
                <wp:positionV relativeFrom="paragraph">
                  <wp:posOffset>162560</wp:posOffset>
                </wp:positionV>
                <wp:extent cx="1717040" cy="609600"/>
                <wp:effectExtent l="0" t="0" r="35560" b="57150"/>
                <wp:wrapNone/>
                <wp:docPr id="11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7040" cy="60960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41189E" w:rsidRDefault="0041189E" w:rsidP="00635AEF">
                            <w:pPr>
                              <w:jc w:val="center"/>
                              <w:rPr>
                                <w:rFonts w:ascii="Times New Roman" w:hAnsi="Times New Roman" w:cs="Times New Roman"/>
                                <w:sz w:val="28"/>
                                <w:szCs w:val="24"/>
                              </w:rPr>
                            </w:pPr>
                            <w:r>
                              <w:rPr>
                                <w:rFonts w:ascii="Times New Roman" w:hAnsi="Times New Roman" w:cs="Times New Roman"/>
                                <w:sz w:val="28"/>
                                <w:szCs w:val="24"/>
                              </w:rPr>
                              <w:t>Пониженный риск гиперинсулинемии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35" style="position:absolute;left:0;text-align:left;margin-left:341.1pt;margin-top:12.8pt;width:135.2pt;height:48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" fillcolor="#c2d69b [1942]" strokecolor="#c2d69b [1942]" strokeweight="1pt">
                <v:fill color2="#eaf1dd [662]" angle="135" focus="50%" type="gradient"/>
                <v:shadow on="t" color="#4e6128 [1606]" opacity=".5" offset="1pt"/>
                <v:path arrowok="t"/>
                <v:textbox>
                  <w:txbxContent>
                    <w:p w:rsidR="0041189E" w:rsidRDefault="0041189E" w:rsidP="00635AEF">
                      <w:pPr>
                        <w:jc w:val="center"/>
                        <w:rPr>
                          <w:rFonts w:ascii="Times New Roman" w:hAnsi="Times New Roman" w:cs="Times New Roman"/>
                          <w:sz w:val="28"/>
                          <w:szCs w:val="24"/>
                        </w:rPr>
                      </w:pPr>
                      <w:r>
                        <w:rPr>
                          <w:rFonts w:ascii="Times New Roman" w:hAnsi="Times New Roman" w:cs="Times New Roman"/>
                          <w:sz w:val="28"/>
                          <w:szCs w:val="24"/>
                        </w:rPr>
                        <w:t>Пониженный риск гиперинсулинемии</w:t>
                      </w:r>
                    </w:p>
                  </w:txbxContent>
                </v:textbox>
              </v:rect>
            </w:pict>
          </mc:Fallback>
        </mc:AlternateContent>
      </w:r>
      <w:r w:rsidR="00ED0D78">
        <w:rPr>
          <w:noProof/>
        </w:rPr>
        <mc:AlternateContent>
          <mc:Choice Requires="wps">
            <w:drawing>
              <wp:anchor distT="0" distB="0" distL="114300" distR="114300" simplePos="0" relativeHeight="251613696" behindDoc="0" locked="0" layoutInCell="1" allowOverlap="1" wp14:anchorId="278BE826" wp14:editId="3D55CA5A">
                <wp:simplePos x="0" y="0"/>
                <wp:positionH relativeFrom="column">
                  <wp:posOffset>2284059</wp:posOffset>
                </wp:positionH>
                <wp:positionV relativeFrom="paragraph">
                  <wp:posOffset>163375</wp:posOffset>
                </wp:positionV>
                <wp:extent cx="1828800" cy="609600"/>
                <wp:effectExtent l="0" t="0" r="38100" b="57150"/>
                <wp:wrapNone/>
                <wp:docPr id="11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609600"/>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41189E" w:rsidRDefault="0041189E" w:rsidP="00635AEF">
                            <w:pPr>
                              <w:jc w:val="center"/>
                              <w:rPr>
                                <w:rFonts w:ascii="Times New Roman" w:hAnsi="Times New Roman" w:cs="Times New Roman"/>
                                <w:sz w:val="28"/>
                                <w:szCs w:val="24"/>
                              </w:rPr>
                            </w:pPr>
                            <w:r>
                              <w:rPr>
                                <w:rFonts w:ascii="Times New Roman" w:hAnsi="Times New Roman" w:cs="Times New Roman"/>
                                <w:sz w:val="28"/>
                                <w:szCs w:val="24"/>
                              </w:rPr>
                              <w:t>Повышенный риск гиперинсулинемии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36" style="position:absolute;left:0;text-align:left;margin-left:179.85pt;margin-top:12.85pt;width:2in;height:48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" fillcolor="#d99594 [1941]" strokecolor="#d99594 [1941]" strokeweight="1pt">
                <v:fill color2="#f2dbdb [661]" angle="135" focus="50%" type="gradient"/>
                <v:shadow on="t" color="#622423 [1605]" opacity=".5" offset="1pt"/>
                <v:path arrowok="t"/>
                <v:textbox>
                  <w:txbxContent>
                    <w:p w:rsidR="0041189E" w:rsidRDefault="0041189E" w:rsidP="00635AEF">
                      <w:pPr>
                        <w:jc w:val="center"/>
                        <w:rPr>
                          <w:rFonts w:ascii="Times New Roman" w:hAnsi="Times New Roman" w:cs="Times New Roman"/>
                          <w:sz w:val="28"/>
                          <w:szCs w:val="24"/>
                        </w:rPr>
                      </w:pPr>
                      <w:r>
                        <w:rPr>
                          <w:rFonts w:ascii="Times New Roman" w:hAnsi="Times New Roman" w:cs="Times New Roman"/>
                          <w:sz w:val="28"/>
                          <w:szCs w:val="24"/>
                        </w:rPr>
                        <w:t>Повышенный риск гиперинсулинемии</w:t>
                      </w:r>
                    </w:p>
                  </w:txbxContent>
                </v:textbox>
              </v:rect>
            </w:pict>
          </mc:Fallback>
        </mc:AlternateContent>
      </w:r>
      <w:r w:rsidR="00ED0D78">
        <w:rPr>
          <w:noProof/>
        </w:rPr>
        <mc:AlternateContent>
          <mc:Choice Requires="wps">
            <w:drawing>
              <wp:anchor distT="0" distB="0" distL="114300" distR="114300" simplePos="0" relativeHeight="251614720" behindDoc="0" locked="0" layoutInCell="1" allowOverlap="1" wp14:anchorId="1F40C2A7" wp14:editId="12783FFC">
                <wp:simplePos x="0" y="0"/>
                <wp:positionH relativeFrom="column">
                  <wp:posOffset>383324</wp:posOffset>
                </wp:positionH>
                <wp:positionV relativeFrom="paragraph">
                  <wp:posOffset>136681</wp:posOffset>
                </wp:positionV>
                <wp:extent cx="1711960" cy="609600"/>
                <wp:effectExtent l="0" t="0" r="40640" b="57150"/>
                <wp:wrapNone/>
                <wp:docPr id="11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1960" cy="609600"/>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41189E" w:rsidRDefault="0041189E" w:rsidP="00635AEF">
                            <w:pPr>
                              <w:jc w:val="center"/>
                              <w:rPr>
                                <w:rFonts w:ascii="Times New Roman" w:hAnsi="Times New Roman" w:cs="Times New Roman"/>
                                <w:sz w:val="28"/>
                                <w:szCs w:val="24"/>
                              </w:rPr>
                            </w:pPr>
                            <w:r>
                              <w:rPr>
                                <w:rFonts w:ascii="Times New Roman" w:hAnsi="Times New Roman" w:cs="Times New Roman"/>
                                <w:sz w:val="28"/>
                                <w:szCs w:val="24"/>
                              </w:rPr>
                              <w:t>Повышенный риск гиперинсулинемии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37" style="position:absolute;left:0;text-align:left;margin-left:30.2pt;margin-top:10.75pt;width:134.8pt;height:48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" fillcolor="#d99594 [1941]" strokecolor="#d99594 [1941]" strokeweight="1pt">
                <v:fill color2="#f2dbdb [661]" angle="135" focus="50%" type="gradient"/>
                <v:shadow on="t" color="#622423 [1605]" opacity=".5" offset="1pt"/>
                <v:path arrowok="t"/>
                <v:textbox>
                  <w:txbxContent>
                    <w:p w:rsidR="0041189E" w:rsidRDefault="0041189E" w:rsidP="00635AEF">
                      <w:pPr>
                        <w:jc w:val="center"/>
                        <w:rPr>
                          <w:rFonts w:ascii="Times New Roman" w:hAnsi="Times New Roman" w:cs="Times New Roman"/>
                          <w:sz w:val="28"/>
                          <w:szCs w:val="24"/>
                        </w:rPr>
                      </w:pPr>
                      <w:r>
                        <w:rPr>
                          <w:rFonts w:ascii="Times New Roman" w:hAnsi="Times New Roman" w:cs="Times New Roman"/>
                          <w:sz w:val="28"/>
                          <w:szCs w:val="24"/>
                        </w:rPr>
                        <w:t>Повышенный риск гиперинсулинемии</w:t>
                      </w:r>
                    </w:p>
                  </w:txbxContent>
                </v:textbox>
              </v:rect>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C037CC"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sidRPr="00C037CC">
        <w:rPr>
          <w:noProof/>
        </w:rPr>
        <mc:AlternateContent>
          <mc:Choice Requires="wps">
            <w:drawing>
              <wp:anchor distT="0" distB="0" distL="114300" distR="114300" simplePos="0" relativeHeight="251660288" behindDoc="0" locked="0" layoutInCell="1" allowOverlap="1" wp14:anchorId="2A3B6CAE" wp14:editId="44C529A6">
                <wp:simplePos x="0" y="0"/>
                <wp:positionH relativeFrom="column">
                  <wp:posOffset>1279585</wp:posOffset>
                </wp:positionH>
                <wp:positionV relativeFrom="paragraph">
                  <wp:posOffset>160260</wp:posOffset>
                </wp:positionV>
                <wp:extent cx="3918" cy="248920"/>
                <wp:effectExtent l="76200" t="0" r="72390" b="55880"/>
                <wp:wrapNone/>
                <wp:docPr id="3" name="Прямая со стрелкой 3"/>
                <wp:cNvGraphicFramePr/>
                <a:graphic xmlns:a="http://schemas.openxmlformats.org/drawingml/2006/main">
                  <a:graphicData uri="http://schemas.microsoft.com/office/word/2010/wordprocessingShape">
                    <wps:wsp>
                      <wps:cNvCnPr/>
                      <wps:spPr>
                        <a:xfrm flipH="1">
                          <a:off x="0" y="0"/>
                          <a:ext cx="3918" cy="2489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Прямая со стрелкой 3" o:spid="_x0000_s1026" type="#_x0000_t32" style="position:absolute;margin-left:100.75pt;margin-top:12.6pt;width:.3pt;height:19.6pt;flip:x;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" strokecolor="black [3213]">
                <v:stroke endarrow="block"/>
              </v:shape>
            </w:pict>
          </mc:Fallback>
        </mc:AlternateContent>
      </w:r>
      <w:r w:rsidR="00DC0D82">
        <w:rPr>
          <w:noProof/>
        </w:rPr>
        <mc:AlternateContent>
          <mc:Choice Requires="wps">
            <w:drawing>
              <wp:anchor distT="0" distB="0" distL="114300" distR="114300" simplePos="0" relativeHeight="251658240" behindDoc="0" locked="0" layoutInCell="1" allowOverlap="1" wp14:anchorId="5ADBA85C" wp14:editId="37D6B035">
                <wp:simplePos x="0" y="0"/>
                <wp:positionH relativeFrom="column">
                  <wp:posOffset>3044825</wp:posOffset>
                </wp:positionH>
                <wp:positionV relativeFrom="paragraph">
                  <wp:posOffset>130175</wp:posOffset>
                </wp:positionV>
                <wp:extent cx="0" cy="278765"/>
                <wp:effectExtent l="57785" t="11430" r="56515" b="14605"/>
                <wp:wrapNone/>
                <wp:docPr id="96" name="AutoShape 7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78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B4EC92" id="AutoShape 768" o:spid="_x0000_s1026" type="#_x0000_t32" style="position:absolute;margin-left:239.75pt;margin-top:10.25pt;width:0;height:21.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">
                <v:stroke endarrow="block"/>
                <o:lock v:ext="edit" shapetype="f"/>
              </v:shape>
            </w:pict>
          </mc:Fallback>
        </mc:AlternateContent>
      </w:r>
    </w:p>
    <w:p w:rsidR="00635AEF" w:rsidRDefault="00DC0D82"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8"/>
        <w:jc w:val="both"/>
        <w:rPr>
          <w:rFonts w:ascii="Times New Roman" w:hAnsi="Times New Roman" w:cs="Times New Roman"/>
          <w:b/>
          <w:bCs/>
          <w:sz w:val="28"/>
          <w:szCs w:val="28"/>
        </w:rPr>
      </w:pPr>
      <w:r>
        <w:rPr>
          <w:noProof/>
        </w:rPr>
        <mc:AlternateContent>
          <mc:Choice Requires="wps">
            <w:drawing>
              <wp:anchor distT="0" distB="0" distL="114300" distR="114300" simplePos="0" relativeHeight="251628032" behindDoc="0" locked="0" layoutInCell="1" allowOverlap="1" wp14:anchorId="4232B27A" wp14:editId="2DF5C844">
                <wp:simplePos x="0" y="0"/>
                <wp:positionH relativeFrom="column">
                  <wp:posOffset>438785</wp:posOffset>
                </wp:positionH>
                <wp:positionV relativeFrom="paragraph">
                  <wp:posOffset>102870</wp:posOffset>
                </wp:positionV>
                <wp:extent cx="3528060" cy="400050"/>
                <wp:effectExtent l="13970" t="13970" r="10795" b="24130"/>
                <wp:wrapNone/>
                <wp:docPr id="94"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28060" cy="40005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spacing w:after="0" w:line="360" w:lineRule="auto"/>
                              <w:rPr>
                                <w:rFonts w:ascii="Times New Roman" w:hAnsi="Times New Roman" w:cs="Times New Roman"/>
                                <w:b/>
                                <w:bCs/>
                                <w:sz w:val="28"/>
                                <w:szCs w:val="28"/>
                              </w:rPr>
                            </w:pPr>
                            <w:r>
                              <w:rPr>
                                <w:rFonts w:ascii="Times New Roman" w:hAnsi="Times New Roman" w:cs="Times New Roman"/>
                                <w:b/>
                                <w:bCs/>
                                <w:sz w:val="28"/>
                                <w:szCs w:val="28"/>
                              </w:rPr>
                              <w:t>Определение уровня инсулина в крови</w:t>
                            </w:r>
                          </w:p>
                          <w:p w:rsidR="0041189E" w:rsidRDefault="0041189E" w:rsidP="00635A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38" style="position:absolute;left:0;text-align:left;margin-left:34.55pt;margin-top:8.1pt;width:277.8pt;height:31.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" fillcolor="#95b3d7 [1940]" strokecolor="#95b3d7 [1940]" strokeweight="1pt">
                <v:fill color2="#dbe5f1 [660]" angle="135" focus="50%" type="gradient"/>
                <v:shadow on="t" color="#243f60 [1604]" opacity=".5" offset="1pt"/>
                <v:path arrowok="t"/>
                <v:textbox>
                  <w:txbxContent>
                    <w:p w:rsidR="0041189E" w:rsidRDefault="0041189E" w:rsidP="00635AEF">
                      <w:pPr>
                        <w:spacing w:after="0" w:line="360" w:lineRule="auto"/>
                        <w:rPr>
                          <w:rFonts w:ascii="Times New Roman" w:hAnsi="Times New Roman" w:cs="Times New Roman"/>
                          <w:b/>
                          <w:bCs/>
                          <w:sz w:val="28"/>
                          <w:szCs w:val="28"/>
                        </w:rPr>
                      </w:pPr>
                      <w:r>
                        <w:rPr>
                          <w:rFonts w:ascii="Times New Roman" w:hAnsi="Times New Roman" w:cs="Times New Roman"/>
                          <w:b/>
                          <w:bCs/>
                          <w:sz w:val="28"/>
                          <w:szCs w:val="28"/>
                        </w:rPr>
                        <w:t>Определение уровня инсулина в крови</w:t>
                      </w:r>
                    </w:p>
                    <w:p w:rsidR="0041189E" w:rsidRDefault="0041189E" w:rsidP="00635AEF"/>
                  </w:txbxContent>
                </v:textbox>
              </v:rect>
            </w:pict>
          </mc:Fallback>
        </mc:AlternateContent>
      </w:r>
    </w:p>
    <w:p w:rsidR="00635AEF" w:rsidRDefault="00DC0D82"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8"/>
        <w:jc w:val="both"/>
        <w:rPr>
          <w:rFonts w:ascii="Times New Roman" w:hAnsi="Times New Roman" w:cs="Times New Roman"/>
          <w:b/>
          <w:bCs/>
          <w:sz w:val="28"/>
          <w:szCs w:val="28"/>
        </w:rPr>
      </w:pPr>
      <w:r>
        <w:rPr>
          <w:noProof/>
        </w:rPr>
        <mc:AlternateContent>
          <mc:Choice Requires="wps">
            <w:drawing>
              <wp:anchor distT="0" distB="0" distL="114300" distR="114300" simplePos="0" relativeHeight="251636224" behindDoc="0" locked="0" layoutInCell="1" allowOverlap="1" wp14:anchorId="4910994B" wp14:editId="1CD59BC1">
                <wp:simplePos x="0" y="0"/>
                <wp:positionH relativeFrom="column">
                  <wp:posOffset>3710305</wp:posOffset>
                </wp:positionH>
                <wp:positionV relativeFrom="paragraph">
                  <wp:posOffset>245110</wp:posOffset>
                </wp:positionV>
                <wp:extent cx="408940" cy="238760"/>
                <wp:effectExtent l="8890" t="5715" r="39370" b="50800"/>
                <wp:wrapNone/>
                <wp:docPr id="93"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08940" cy="2387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10798A" id="AutoShape 31" o:spid="_x0000_s1026" type="#_x0000_t32" style="position:absolute;margin-left:292.15pt;margin-top:19.3pt;width:32.2pt;height:18.8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">
                <v:stroke endarrow="block"/>
                <o:lock v:ext="edit" shapetype="f"/>
              </v:shape>
            </w:pict>
          </mc:Fallback>
        </mc:AlternateContent>
      </w:r>
    </w:p>
    <w:p w:rsidR="00635AEF" w:rsidRDefault="00DC0D82"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8"/>
        <w:jc w:val="both"/>
        <w:rPr>
          <w:rFonts w:ascii="Times New Roman" w:hAnsi="Times New Roman" w:cs="Times New Roman"/>
          <w:b/>
          <w:bCs/>
          <w:sz w:val="28"/>
          <w:szCs w:val="28"/>
        </w:rPr>
      </w:pPr>
      <w:r>
        <w:rPr>
          <w:noProof/>
        </w:rPr>
        <mc:AlternateContent>
          <mc:Choice Requires="wps">
            <w:drawing>
              <wp:anchor distT="0" distB="0" distL="114300" distR="114300" simplePos="0" relativeHeight="251629056" behindDoc="0" locked="0" layoutInCell="1" allowOverlap="1" wp14:anchorId="49C4F5DB" wp14:editId="2418BBFC">
                <wp:simplePos x="0" y="0"/>
                <wp:positionH relativeFrom="column">
                  <wp:posOffset>495300</wp:posOffset>
                </wp:positionH>
                <wp:positionV relativeFrom="paragraph">
                  <wp:posOffset>184785</wp:posOffset>
                </wp:positionV>
                <wp:extent cx="2103120" cy="325120"/>
                <wp:effectExtent l="13335" t="13970" r="17145" b="22860"/>
                <wp:wrapNone/>
                <wp:docPr id="9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3120" cy="325120"/>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Инсулин &gt;24,9 ммоль/л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39" style="position:absolute;left:0;text-align:left;margin-left:39pt;margin-top:14.55pt;width:165.6pt;height:25.6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" fillcolor="#d99594 [1941]" strokecolor="#d99594 [1941]" strokeweight="1pt">
                <v:fill color2="#f2dbdb [661]" angle="135" focus="50%" type="gradient"/>
                <v:shadow on="t" color="#622423 [1605]"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Инсулин &gt;24,9 ммоль/л</w:t>
                      </w:r>
                    </w:p>
                  </w:txbxContent>
                </v:textbox>
              </v:rect>
            </w:pict>
          </mc:Fallback>
        </mc:AlternateContent>
      </w:r>
      <w:r>
        <w:rPr>
          <w:noProof/>
        </w:rPr>
        <mc:AlternateContent>
          <mc:Choice Requires="wps">
            <w:drawing>
              <wp:anchor distT="0" distB="0" distL="114300" distR="114300" simplePos="0" relativeHeight="251630080" behindDoc="0" locked="0" layoutInCell="1" allowOverlap="1" wp14:anchorId="63F07BD3" wp14:editId="1BCB4038">
                <wp:simplePos x="0" y="0"/>
                <wp:positionH relativeFrom="column">
                  <wp:posOffset>3441065</wp:posOffset>
                </wp:positionH>
                <wp:positionV relativeFrom="paragraph">
                  <wp:posOffset>192405</wp:posOffset>
                </wp:positionV>
                <wp:extent cx="2077085" cy="317500"/>
                <wp:effectExtent l="6350" t="12065" r="12065" b="22860"/>
                <wp:wrapNone/>
                <wp:docPr id="9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77085" cy="31750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Инсулин ≤24,9 ммоль/л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40" style="position:absolute;left:0;text-align:left;margin-left:270.95pt;margin-top:15.15pt;width:163.55pt;height:2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" fillcolor="#c2d69b [1942]" strokecolor="#c2d69b [1942]" strokeweight="1pt">
                <v:fill color2="#eaf1dd [662]" angle="135" focus="50%" type="gradient"/>
                <v:shadow on="t" color="#4e6128 [1606]"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Инсулин ≤24,9 ммоль/л</w:t>
                      </w:r>
                    </w:p>
                  </w:txbxContent>
                </v:textbox>
              </v:rect>
            </w:pict>
          </mc:Fallback>
        </mc:AlternateContent>
      </w:r>
    </w:p>
    <w:p w:rsidR="00635AEF" w:rsidRDefault="0082608C"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31104" behindDoc="0" locked="0" layoutInCell="1" allowOverlap="1" wp14:anchorId="5F6B73C4" wp14:editId="384514B9">
                <wp:simplePos x="0" y="0"/>
                <wp:positionH relativeFrom="column">
                  <wp:posOffset>1530985</wp:posOffset>
                </wp:positionH>
                <wp:positionV relativeFrom="paragraph">
                  <wp:posOffset>210820</wp:posOffset>
                </wp:positionV>
                <wp:extent cx="635" cy="401320"/>
                <wp:effectExtent l="76200" t="0" r="75565" b="55880"/>
                <wp:wrapNone/>
                <wp:docPr id="105"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01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 o:spid="_x0000_s1026" type="#_x0000_t32" style="position:absolute;margin-left:120.55pt;margin-top:16.6pt;width:.05pt;height:31.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">
                <v:stroke endarrow="block"/>
                <o:lock v:ext="edit" shapetype="f"/>
              </v:shape>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ED0D78"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293" distR="114293" simplePos="0" relativeHeight="251632128" behindDoc="0" locked="0" layoutInCell="1" allowOverlap="1" wp14:anchorId="4D38D3F9" wp14:editId="1828DE56">
                <wp:simplePos x="0" y="0"/>
                <wp:positionH relativeFrom="column">
                  <wp:posOffset>1285875</wp:posOffset>
                </wp:positionH>
                <wp:positionV relativeFrom="paragraph">
                  <wp:posOffset>170815</wp:posOffset>
                </wp:positionV>
                <wp:extent cx="0" cy="313690"/>
                <wp:effectExtent l="76200" t="0" r="76200" b="48260"/>
                <wp:wrapNone/>
                <wp:docPr id="104"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136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 o:spid="_x0000_s1026" type="#_x0000_t32" style="position:absolute;margin-left:101.25pt;margin-top:13.45pt;width:0;height:24.7pt;z-index:251632128;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">
                <v:stroke endarrow="block"/>
                <o:lock v:ext="edit" shapetype="f"/>
              </v:shape>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82608C"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706880" behindDoc="0" locked="0" layoutInCell="1" allowOverlap="1" wp14:anchorId="7AECB0C1" wp14:editId="6545DABD">
                <wp:simplePos x="0" y="0"/>
                <wp:positionH relativeFrom="column">
                  <wp:posOffset>3966210</wp:posOffset>
                </wp:positionH>
                <wp:positionV relativeFrom="paragraph">
                  <wp:posOffset>56515</wp:posOffset>
                </wp:positionV>
                <wp:extent cx="565785" cy="0"/>
                <wp:effectExtent l="0" t="76200" r="24765" b="95250"/>
                <wp:wrapNone/>
                <wp:docPr id="98"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657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0" o:spid="_x0000_s1026" type="#_x0000_t32" style="position:absolute;margin-left:312.3pt;margin-top:4.45pt;width:44.55pt;height:0;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">
                <v:stroke endarrow="block"/>
                <o:lock v:ext="edit" shapetype="f"/>
              </v:shape>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ED0D78"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34176" behindDoc="0" locked="0" layoutInCell="1" allowOverlap="1" wp14:anchorId="6938FEBA" wp14:editId="4A910315">
                <wp:simplePos x="0" y="0"/>
                <wp:positionH relativeFrom="column">
                  <wp:posOffset>1268730</wp:posOffset>
                </wp:positionH>
                <wp:positionV relativeFrom="paragraph">
                  <wp:posOffset>151765</wp:posOffset>
                </wp:positionV>
                <wp:extent cx="635" cy="364490"/>
                <wp:effectExtent l="76200" t="0" r="75565" b="54610"/>
                <wp:wrapNone/>
                <wp:docPr id="102"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64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 o:spid="_x0000_s1026" type="#_x0000_t32" style="position:absolute;margin-left:99.9pt;margin-top:11.95pt;width:.05pt;height:28.7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">
                <v:stroke endarrow="block"/>
                <o:lock v:ext="edit" shapetype="f"/>
              </v:shape>
            </w:pict>
          </mc:Fallback>
        </mc:AlternateContent>
      </w:r>
    </w:p>
    <w:p w:rsidR="00635AEF" w:rsidRDefault="00ED0D78"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18816" behindDoc="0" locked="0" layoutInCell="1" allowOverlap="1" wp14:anchorId="38300A7B" wp14:editId="260EDFF6">
                <wp:simplePos x="0" y="0"/>
                <wp:positionH relativeFrom="column">
                  <wp:posOffset>434975</wp:posOffset>
                </wp:positionH>
                <wp:positionV relativeFrom="paragraph">
                  <wp:posOffset>198755</wp:posOffset>
                </wp:positionV>
                <wp:extent cx="3647440" cy="316230"/>
                <wp:effectExtent l="0" t="0" r="29210" b="64770"/>
                <wp:wrapNone/>
                <wp:docPr id="11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7440" cy="31623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Д учет, стандартное лечение согласно РЦРЗ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41" style="position:absolute;left:0;text-align:left;margin-left:34.25pt;margin-top:15.65pt;width:287.2pt;height:24.9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" fillcolor="#95b3d7 [1940]" strokecolor="#95b3d7 [1940]" strokeweight="1pt">
                <v:fill color2="#dbe5f1 [660]" angle="135" focus="50%" type="gradient"/>
                <v:shadow on="t" color="#243f60 [1604]"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Д учет, стандартное лечение согласно РЦРЗ</w:t>
                      </w:r>
                    </w:p>
                  </w:txbxContent>
                </v:textbox>
              </v:rect>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Pr="00D849E4"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Рисунок 3 </w:t>
      </w:r>
      <w:r w:rsidR="00B648CF">
        <w:rPr>
          <w:rFonts w:ascii="Times New Roman" w:hAnsi="Times New Roman" w:cs="Times New Roman"/>
          <w:bCs/>
          <w:sz w:val="28"/>
          <w:szCs w:val="28"/>
          <w:lang w:val="kk-KZ"/>
        </w:rPr>
        <w:t xml:space="preserve">- </w:t>
      </w:r>
      <w:r>
        <w:rPr>
          <w:rFonts w:ascii="Times New Roman" w:hAnsi="Times New Roman" w:cs="Times New Roman"/>
          <w:bCs/>
          <w:sz w:val="28"/>
          <w:szCs w:val="28"/>
        </w:rPr>
        <w:t xml:space="preserve">Алгоритм диагностики гиперинсулинемии на основе </w:t>
      </w:r>
      <w:r w:rsidR="00524137">
        <w:rPr>
          <w:rFonts w:ascii="Times New Roman" w:hAnsi="Times New Roman" w:cs="Times New Roman"/>
          <w:bCs/>
          <w:sz w:val="28"/>
          <w:szCs w:val="28"/>
        </w:rPr>
        <w:t>гено</w:t>
      </w:r>
      <w:r w:rsidR="00D849E4">
        <w:rPr>
          <w:rFonts w:ascii="Times New Roman" w:hAnsi="Times New Roman" w:cs="Times New Roman"/>
          <w:bCs/>
          <w:sz w:val="28"/>
          <w:szCs w:val="28"/>
        </w:rPr>
        <w:t>т</w:t>
      </w:r>
      <w:r>
        <w:rPr>
          <w:rFonts w:ascii="Times New Roman" w:hAnsi="Times New Roman" w:cs="Times New Roman"/>
          <w:bCs/>
          <w:sz w:val="28"/>
          <w:szCs w:val="28"/>
        </w:rPr>
        <w:t>и</w:t>
      </w:r>
      <w:r w:rsidR="00D849E4">
        <w:rPr>
          <w:rFonts w:ascii="Times New Roman" w:hAnsi="Times New Roman" w:cs="Times New Roman"/>
          <w:bCs/>
          <w:sz w:val="28"/>
          <w:szCs w:val="28"/>
        </w:rPr>
        <w:t>пирования гена</w:t>
      </w:r>
      <w:r w:rsidR="00D849E4" w:rsidRPr="00D849E4">
        <w:rPr>
          <w:rFonts w:ascii="Times New Roman" w:hAnsi="Times New Roman" w:cs="Times New Roman"/>
          <w:bCs/>
          <w:sz w:val="28"/>
          <w:szCs w:val="28"/>
        </w:rPr>
        <w:t xml:space="preserve"> </w:t>
      </w:r>
      <w:r w:rsidR="00D849E4">
        <w:rPr>
          <w:rFonts w:ascii="Times New Roman" w:hAnsi="Times New Roman" w:cs="Times New Roman"/>
          <w:bCs/>
          <w:sz w:val="28"/>
          <w:szCs w:val="28"/>
          <w:lang w:val="en-US"/>
        </w:rPr>
        <w:t>LPL</w:t>
      </w:r>
    </w:p>
    <w:p w:rsidR="00DD5D7E" w:rsidRPr="00E2451D"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hAnsi="Times New Roman" w:cs="Times New Roman"/>
          <w:b/>
          <w:bCs/>
          <w:sz w:val="28"/>
          <w:szCs w:val="28"/>
        </w:rPr>
      </w:pPr>
      <w:r>
        <w:rPr>
          <w:rFonts w:ascii="Times New Roman" w:hAnsi="Times New Roman" w:cs="Times New Roman"/>
          <w:b/>
          <w:bCs/>
          <w:sz w:val="28"/>
          <w:szCs w:val="28"/>
        </w:rPr>
        <w:lastRenderedPageBreak/>
        <w:t xml:space="preserve">Алгоритм диагностики гипергликемии на основе </w:t>
      </w:r>
    </w:p>
    <w:p w:rsidR="00635AEF" w:rsidRPr="00DD5D7E" w:rsidRDefault="00524137"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hAnsi="Times New Roman" w:cs="Times New Roman"/>
          <w:b/>
          <w:bCs/>
          <w:sz w:val="28"/>
          <w:szCs w:val="28"/>
        </w:rPr>
      </w:pPr>
      <w:r>
        <w:rPr>
          <w:rFonts w:ascii="Times New Roman" w:hAnsi="Times New Roman" w:cs="Times New Roman"/>
          <w:b/>
          <w:bCs/>
          <w:sz w:val="28"/>
          <w:szCs w:val="28"/>
        </w:rPr>
        <w:t>гено</w:t>
      </w:r>
      <w:r w:rsidR="00635AEF">
        <w:rPr>
          <w:rFonts w:ascii="Times New Roman" w:hAnsi="Times New Roman" w:cs="Times New Roman"/>
          <w:b/>
          <w:bCs/>
          <w:sz w:val="28"/>
          <w:szCs w:val="28"/>
        </w:rPr>
        <w:t>ти</w:t>
      </w:r>
      <w:r w:rsidR="00DD5D7E">
        <w:rPr>
          <w:rFonts w:ascii="Times New Roman" w:hAnsi="Times New Roman" w:cs="Times New Roman"/>
          <w:b/>
          <w:bCs/>
          <w:sz w:val="28"/>
          <w:szCs w:val="28"/>
        </w:rPr>
        <w:t xml:space="preserve">пирования гена </w:t>
      </w:r>
      <w:r w:rsidR="00DD5D7E">
        <w:rPr>
          <w:rFonts w:ascii="Times New Roman" w:hAnsi="Times New Roman" w:cs="Times New Roman"/>
          <w:b/>
          <w:bCs/>
          <w:sz w:val="28"/>
          <w:szCs w:val="28"/>
          <w:lang w:val="en-US"/>
        </w:rPr>
        <w:t>LPL</w:t>
      </w:r>
    </w:p>
    <w:p w:rsidR="00635AEF" w:rsidRDefault="00DC0D82"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center"/>
        <w:rPr>
          <w:rFonts w:ascii="Times New Roman" w:hAnsi="Times New Roman" w:cs="Times New Roman"/>
          <w:b/>
          <w:bCs/>
          <w:sz w:val="28"/>
          <w:szCs w:val="28"/>
        </w:rPr>
      </w:pPr>
      <w:r>
        <w:rPr>
          <w:noProof/>
        </w:rPr>
        <mc:AlternateContent>
          <mc:Choice Requires="wps">
            <w:drawing>
              <wp:anchor distT="0" distB="0" distL="114300" distR="114300" simplePos="0" relativeHeight="251639296" behindDoc="0" locked="0" layoutInCell="1" allowOverlap="1" wp14:anchorId="23B29A97" wp14:editId="15E14B81">
                <wp:simplePos x="0" y="0"/>
                <wp:positionH relativeFrom="column">
                  <wp:posOffset>1195070</wp:posOffset>
                </wp:positionH>
                <wp:positionV relativeFrom="paragraph">
                  <wp:posOffset>96520</wp:posOffset>
                </wp:positionV>
                <wp:extent cx="3570605" cy="337820"/>
                <wp:effectExtent l="8255" t="6350" r="12065" b="27305"/>
                <wp:wrapNone/>
                <wp:docPr id="90"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70605" cy="33782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jc w:val="center"/>
                              <w:rPr>
                                <w:rFonts w:ascii="Times New Roman" w:hAnsi="Times New Roman" w:cs="Times New Roman"/>
                                <w:sz w:val="28"/>
                              </w:rPr>
                            </w:pPr>
                            <w:r>
                              <w:rPr>
                                <w:rFonts w:ascii="Times New Roman" w:hAnsi="Times New Roman" w:cs="Times New Roman"/>
                                <w:sz w:val="28"/>
                              </w:rPr>
                              <w:t>Здоровые лица казахской популяции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042" style="position:absolute;left:0;text-align:left;margin-left:94.1pt;margin-top:7.6pt;width:281.15pt;height:26.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" fillcolor="#95b3d7 [1940]" strokecolor="#95b3d7 [1940]" strokeweight="1pt">
                <v:fill color2="#dbe5f1 [660]" angle="135" focus="50%" type="gradient"/>
                <v:shadow on="t" color="#243f60 [1604]" opacity=".5" offset="1pt"/>
                <v:path arrowok="t"/>
                <v:textbox>
                  <w:txbxContent>
                    <w:p w:rsidR="0041189E" w:rsidRDefault="0041189E" w:rsidP="00635AEF">
                      <w:pPr>
                        <w:jc w:val="center"/>
                        <w:rPr>
                          <w:rFonts w:ascii="Times New Roman" w:hAnsi="Times New Roman" w:cs="Times New Roman"/>
                          <w:sz w:val="28"/>
                        </w:rPr>
                      </w:pPr>
                      <w:r>
                        <w:rPr>
                          <w:rFonts w:ascii="Times New Roman" w:hAnsi="Times New Roman" w:cs="Times New Roman"/>
                          <w:sz w:val="28"/>
                        </w:rPr>
                        <w:t>Здоровые лица казахской популяции</w:t>
                      </w:r>
                    </w:p>
                  </w:txbxContent>
                </v:textbox>
              </v:rect>
            </w:pict>
          </mc:Fallback>
        </mc:AlternateContent>
      </w:r>
      <w:r>
        <w:rPr>
          <w:noProof/>
        </w:rPr>
        <mc:AlternateContent>
          <mc:Choice Requires="wps">
            <w:drawing>
              <wp:anchor distT="0" distB="0" distL="114293" distR="114293" simplePos="0" relativeHeight="251654656" behindDoc="0" locked="0" layoutInCell="1" allowOverlap="1" wp14:anchorId="7F1A53A0" wp14:editId="30071112">
                <wp:simplePos x="0" y="0"/>
                <wp:positionH relativeFrom="column">
                  <wp:posOffset>2995930</wp:posOffset>
                </wp:positionH>
                <wp:positionV relativeFrom="paragraph">
                  <wp:posOffset>441960</wp:posOffset>
                </wp:positionV>
                <wp:extent cx="0" cy="576580"/>
                <wp:effectExtent l="56515" t="8890" r="57785" b="14605"/>
                <wp:wrapNone/>
                <wp:docPr id="89"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76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E1BB8E" id="AutoShape 49" o:spid="_x0000_s1026" type="#_x0000_t32" style="position:absolute;margin-left:235.9pt;margin-top:34.8pt;width:0;height:45.4pt;z-index:251654656;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">
                <v:stroke endarrow="block"/>
                <o:lock v:ext="edit" shapetype="f"/>
              </v:shape>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center"/>
        <w:rPr>
          <w:rFonts w:ascii="Times New Roman" w:hAnsi="Times New Roman" w:cs="Times New Roman"/>
          <w:b/>
          <w:bCs/>
          <w:sz w:val="28"/>
          <w:szCs w:val="28"/>
        </w:rPr>
      </w:pPr>
      <w:r>
        <w:rPr>
          <w:rFonts w:ascii="Times New Roman" w:hAnsi="Times New Roman" w:cs="Times New Roman"/>
          <w:b/>
          <w:bCs/>
          <w:sz w:val="28"/>
          <w:szCs w:val="28"/>
        </w:rPr>
        <w:t>Молекулярно – генетическое исследование</w:t>
      </w:r>
    </w:p>
    <w:p w:rsidR="00635AEF" w:rsidRDefault="00DC0D82"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41344" behindDoc="0" locked="0" layoutInCell="1" allowOverlap="1" wp14:anchorId="1A26A141" wp14:editId="5704F98D">
                <wp:simplePos x="0" y="0"/>
                <wp:positionH relativeFrom="column">
                  <wp:posOffset>3044825</wp:posOffset>
                </wp:positionH>
                <wp:positionV relativeFrom="paragraph">
                  <wp:posOffset>909320</wp:posOffset>
                </wp:positionV>
                <wp:extent cx="496570" cy="332105"/>
                <wp:effectExtent l="10160" t="15240" r="17145" b="24130"/>
                <wp:wrapNone/>
                <wp:docPr id="88"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6570" cy="33210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rPr>
                                <w:rFonts w:ascii="Times New Roman" w:hAnsi="Times New Roman" w:cs="Times New Roman"/>
                                <w:sz w:val="28"/>
                                <w:szCs w:val="28"/>
                                <w:lang w:val="en-US"/>
                              </w:rPr>
                            </w:pPr>
                            <w:r>
                              <w:rPr>
                                <w:rFonts w:ascii="Times New Roman" w:hAnsi="Times New Roman" w:cs="Times New Roman"/>
                                <w:b/>
                                <w:sz w:val="28"/>
                                <w:szCs w:val="28"/>
                                <w:lang w:val="en-US"/>
                              </w:rPr>
                              <w:t>CG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 o:spid="_x0000_s1043" style="position:absolute;left:0;text-align:left;margin-left:239.75pt;margin-top:71.6pt;width:39.1pt;height:26.1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" fillcolor="#95b3d7 [1940]" strokecolor="#95b3d7 [1940]" strokeweight="1pt">
                <v:fill color2="#dbe5f1 [660]" angle="135" focus="50%" type="gradient"/>
                <v:shadow on="t" color="#243f60 [1604]" opacity=".5" offset="1pt"/>
                <v:path arrowok="t"/>
                <v:textbox>
                  <w:txbxContent>
                    <w:p w:rsidR="0041189E" w:rsidRDefault="0041189E" w:rsidP="00635AEF">
                      <w:pPr>
                        <w:rPr>
                          <w:rFonts w:ascii="Times New Roman" w:hAnsi="Times New Roman" w:cs="Times New Roman"/>
                          <w:sz w:val="28"/>
                          <w:szCs w:val="28"/>
                          <w:lang w:val="en-US"/>
                        </w:rPr>
                      </w:pPr>
                      <w:r>
                        <w:rPr>
                          <w:rFonts w:ascii="Times New Roman" w:hAnsi="Times New Roman" w:cs="Times New Roman"/>
                          <w:b/>
                          <w:sz w:val="28"/>
                          <w:szCs w:val="28"/>
                          <w:lang w:val="en-US"/>
                        </w:rPr>
                        <w:t>CG</w:t>
                      </w:r>
                    </w:p>
                  </w:txbxContent>
                </v:textbox>
              </v:rect>
            </w:pict>
          </mc:Fallback>
        </mc:AlternateContent>
      </w:r>
      <w:r>
        <w:rPr>
          <w:noProof/>
        </w:rPr>
        <mc:AlternateContent>
          <mc:Choice Requires="wps">
            <w:drawing>
              <wp:anchor distT="0" distB="0" distL="114300" distR="114300" simplePos="0" relativeHeight="251643392" behindDoc="0" locked="0" layoutInCell="1" allowOverlap="1" wp14:anchorId="782AA9D8" wp14:editId="17C2B67D">
                <wp:simplePos x="0" y="0"/>
                <wp:positionH relativeFrom="column">
                  <wp:posOffset>1059180</wp:posOffset>
                </wp:positionH>
                <wp:positionV relativeFrom="paragraph">
                  <wp:posOffset>90805</wp:posOffset>
                </wp:positionV>
                <wp:extent cx="4182745" cy="360045"/>
                <wp:effectExtent l="15240" t="6350" r="12065" b="24130"/>
                <wp:wrapNone/>
                <wp:docPr id="86"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82745" cy="36004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jc w:val="center"/>
                              <w:rPr>
                                <w:rFonts w:ascii="Times New Roman" w:hAnsi="Times New Roman" w:cs="Times New Roman"/>
                                <w:sz w:val="28"/>
                                <w:szCs w:val="28"/>
                              </w:rPr>
                            </w:pPr>
                            <w:r>
                              <w:rPr>
                                <w:rFonts w:ascii="Times New Roman" w:hAnsi="Times New Roman" w:cs="Times New Roman"/>
                                <w:sz w:val="28"/>
                                <w:szCs w:val="28"/>
                              </w:rPr>
                              <w:t xml:space="preserve">Генотипирование </w:t>
                            </w:r>
                            <w:r>
                              <w:rPr>
                                <w:rFonts w:ascii="Times New Roman" w:hAnsi="Times New Roman" w:cs="Times New Roman"/>
                                <w:i/>
                                <w:sz w:val="28"/>
                                <w:szCs w:val="28"/>
                                <w:lang w:val="kk-KZ"/>
                              </w:rPr>
                              <w:t>LPL</w:t>
                            </w:r>
                            <w:r>
                              <w:rPr>
                                <w:rFonts w:ascii="Times New Roman" w:hAnsi="Times New Roman" w:cs="Times New Roman"/>
                                <w:sz w:val="28"/>
                                <w:szCs w:val="28"/>
                                <w:lang w:val="kk-KZ"/>
                              </w:rPr>
                              <w:t xml:space="preserve"> Ser447Ter (rs328)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44" style="position:absolute;left:0;text-align:left;margin-left:83.4pt;margin-top:7.15pt;width:329.35pt;height:28.3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" fillcolor="#95b3d7 [1940]" strokecolor="#95b3d7 [1940]" strokeweight="1pt">
                <v:fill color2="#dbe5f1 [660]" angle="135" focus="50%" type="gradient"/>
                <v:shadow on="t" color="#243f60 [1604]" opacity=".5" offset="1pt"/>
                <v:path arrowok="t"/>
                <v:textbox>
                  <w:txbxContent>
                    <w:p w:rsidR="0041189E" w:rsidRDefault="0041189E" w:rsidP="00635AEF">
                      <w:pPr>
                        <w:jc w:val="center"/>
                        <w:rPr>
                          <w:rFonts w:ascii="Times New Roman" w:hAnsi="Times New Roman" w:cs="Times New Roman"/>
                          <w:sz w:val="28"/>
                          <w:szCs w:val="28"/>
                        </w:rPr>
                      </w:pPr>
                      <w:r>
                        <w:rPr>
                          <w:rFonts w:ascii="Times New Roman" w:hAnsi="Times New Roman" w:cs="Times New Roman"/>
                          <w:sz w:val="28"/>
                          <w:szCs w:val="28"/>
                        </w:rPr>
                        <w:t xml:space="preserve">Генотипирование </w:t>
                      </w:r>
                      <w:r>
                        <w:rPr>
                          <w:rFonts w:ascii="Times New Roman" w:hAnsi="Times New Roman" w:cs="Times New Roman"/>
                          <w:i/>
                          <w:sz w:val="28"/>
                          <w:szCs w:val="28"/>
                          <w:lang w:val="kk-KZ"/>
                        </w:rPr>
                        <w:t>LPL</w:t>
                      </w:r>
                      <w:r>
                        <w:rPr>
                          <w:rFonts w:ascii="Times New Roman" w:hAnsi="Times New Roman" w:cs="Times New Roman"/>
                          <w:sz w:val="28"/>
                          <w:szCs w:val="28"/>
                          <w:lang w:val="kk-KZ"/>
                        </w:rPr>
                        <w:t xml:space="preserve"> Ser447Ter (rs328)</w:t>
                      </w:r>
                    </w:p>
                  </w:txbxContent>
                </v:textbox>
              </v:rect>
            </w:pict>
          </mc:Fallback>
        </mc:AlternateContent>
      </w:r>
      <w:r>
        <w:rPr>
          <w:noProof/>
        </w:rPr>
        <mc:AlternateContent>
          <mc:Choice Requires="wps">
            <w:drawing>
              <wp:anchor distT="0" distB="0" distL="114300" distR="114300" simplePos="0" relativeHeight="251647488" behindDoc="0" locked="0" layoutInCell="1" allowOverlap="1" wp14:anchorId="0E3935B5" wp14:editId="43CE1521">
                <wp:simplePos x="0" y="0"/>
                <wp:positionH relativeFrom="column">
                  <wp:posOffset>4532630</wp:posOffset>
                </wp:positionH>
                <wp:positionV relativeFrom="paragraph">
                  <wp:posOffset>4315460</wp:posOffset>
                </wp:positionV>
                <wp:extent cx="1527175" cy="1716405"/>
                <wp:effectExtent l="12065" t="11430" r="13335" b="24765"/>
                <wp:wrapNone/>
                <wp:docPr id="8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7175" cy="171640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Рекомендации по контролю уровня глюкозы 2-4 раза в год, соблюдение здорового образа жизни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45" style="position:absolute;left:0;text-align:left;margin-left:356.9pt;margin-top:339.8pt;width:120.25pt;height:135.1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" fillcolor="#c2d69b [1942]" strokecolor="#c2d69b [1942]" strokeweight="1pt">
                <v:fill color2="#eaf1dd [662]" angle="135" focus="50%" type="gradient"/>
                <v:shadow on="t" color="#4e6128 [1606]"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Рекомендации по контролю уровня глюкозы 2-4 раза в год, соблюдение здорового образа жизни</w:t>
                      </w:r>
                    </w:p>
                  </w:txbxContent>
                </v:textbox>
              </v:rect>
            </w:pict>
          </mc:Fallback>
        </mc:AlternateContent>
      </w:r>
      <w:r>
        <w:rPr>
          <w:noProof/>
        </w:rPr>
        <mc:AlternateContent>
          <mc:Choice Requires="wps">
            <w:drawing>
              <wp:anchor distT="0" distB="0" distL="114300" distR="114300" simplePos="0" relativeHeight="251649536" behindDoc="0" locked="0" layoutInCell="1" allowOverlap="1" wp14:anchorId="540D6B8D" wp14:editId="21E3F4E3">
                <wp:simplePos x="0" y="0"/>
                <wp:positionH relativeFrom="column">
                  <wp:posOffset>1787525</wp:posOffset>
                </wp:positionH>
                <wp:positionV relativeFrom="paragraph">
                  <wp:posOffset>3606800</wp:posOffset>
                </wp:positionV>
                <wp:extent cx="1994535" cy="325120"/>
                <wp:effectExtent l="10160" t="7620" r="14605" b="29210"/>
                <wp:wrapNone/>
                <wp:docPr id="81"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94535" cy="325120"/>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Глюкоза &gt;5,59 ммоль/л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 o:spid="_x0000_s1046" style="position:absolute;left:0;text-align:left;margin-left:140.75pt;margin-top:284pt;width:157.05pt;height:2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" fillcolor="#d99594 [1941]" strokecolor="#d99594 [1941]" strokeweight="1pt">
                <v:fill color2="#f2dbdb [661]" angle="135" focus="50%" type="gradient"/>
                <v:shadow on="t" color="#622423 [1605]"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Глюкоза &gt;5,59 ммоль/л</w:t>
                      </w:r>
                    </w:p>
                  </w:txbxContent>
                </v:textbox>
              </v:rect>
            </w:pict>
          </mc:Fallback>
        </mc:AlternateContent>
      </w:r>
      <w:r>
        <w:rPr>
          <w:noProof/>
        </w:rPr>
        <mc:AlternateContent>
          <mc:Choice Requires="wps">
            <w:drawing>
              <wp:anchor distT="0" distB="0" distL="114300" distR="114300" simplePos="0" relativeHeight="251652608" behindDoc="0" locked="0" layoutInCell="1" allowOverlap="1" wp14:anchorId="41367B30" wp14:editId="6220A84B">
                <wp:simplePos x="0" y="0"/>
                <wp:positionH relativeFrom="column">
                  <wp:posOffset>408305</wp:posOffset>
                </wp:positionH>
                <wp:positionV relativeFrom="paragraph">
                  <wp:posOffset>5345430</wp:posOffset>
                </wp:positionV>
                <wp:extent cx="1653540" cy="1045845"/>
                <wp:effectExtent l="12065" t="12700" r="10795" b="27305"/>
                <wp:wrapNone/>
                <wp:docPr id="79"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3540" cy="1045845"/>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Наличие болезней системы кровообращения и сахарного диабета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 o:spid="_x0000_s1047" style="position:absolute;left:0;text-align:left;margin-left:32.15pt;margin-top:420.9pt;width:130.2pt;height:82.3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" fillcolor="#d99594 [1941]" strokecolor="#d99594 [1941]" strokeweight="1pt">
                <v:fill color2="#f2dbdb [661]" angle="135" focus="50%" type="gradient"/>
                <v:shadow on="t" color="#622423 [1605]"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Наличие болезней системы кровообращения и сахарного диабета</w:t>
                      </w:r>
                    </w:p>
                  </w:txbxContent>
                </v:textbox>
              </v:rect>
            </w:pict>
          </mc:Fallback>
        </mc:AlternateContent>
      </w:r>
      <w:r>
        <w:rPr>
          <w:noProof/>
        </w:rPr>
        <mc:AlternateContent>
          <mc:Choice Requires="wps">
            <w:drawing>
              <wp:anchor distT="0" distB="0" distL="114300" distR="114300" simplePos="0" relativeHeight="251655680" behindDoc="0" locked="0" layoutInCell="1" allowOverlap="1" wp14:anchorId="19E52681" wp14:editId="0702F3DD">
                <wp:simplePos x="0" y="0"/>
                <wp:positionH relativeFrom="column">
                  <wp:posOffset>1351915</wp:posOffset>
                </wp:positionH>
                <wp:positionV relativeFrom="paragraph">
                  <wp:posOffset>448945</wp:posOffset>
                </wp:positionV>
                <wp:extent cx="563880" cy="462280"/>
                <wp:effectExtent l="50800" t="12065" r="13970" b="49530"/>
                <wp:wrapNone/>
                <wp:docPr id="77"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63880" cy="4622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0" o:spid="_x0000_s1026" type="#_x0000_t32" style="position:absolute;margin-left:106.45pt;margin-top:35.35pt;width:44.4pt;height:36.4pt;flip:x;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">
                <v:stroke endarrow="block"/>
                <o:lock v:ext="edit" shapetype="f"/>
              </v:shape>
            </w:pict>
          </mc:Fallback>
        </mc:AlternateContent>
      </w:r>
      <w:r>
        <w:rPr>
          <w:noProof/>
        </w:rPr>
        <mc:AlternateContent>
          <mc:Choice Requires="wps">
            <w:drawing>
              <wp:anchor distT="0" distB="0" distL="114300" distR="114300" simplePos="0" relativeHeight="251656704" behindDoc="0" locked="0" layoutInCell="1" allowOverlap="1" wp14:anchorId="17522653" wp14:editId="45950B1B">
                <wp:simplePos x="0" y="0"/>
                <wp:positionH relativeFrom="column">
                  <wp:posOffset>3345180</wp:posOffset>
                </wp:positionH>
                <wp:positionV relativeFrom="paragraph">
                  <wp:posOffset>448945</wp:posOffset>
                </wp:positionV>
                <wp:extent cx="635" cy="452755"/>
                <wp:effectExtent l="53340" t="12065" r="60325" b="20955"/>
                <wp:wrapNone/>
                <wp:docPr id="76"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52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BE0D44" id="AutoShape 51" o:spid="_x0000_s1026" type="#_x0000_t32" style="position:absolute;margin-left:263.4pt;margin-top:35.35pt;width:.05pt;height:35.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">
                <v:stroke endarrow="block"/>
                <o:lock v:ext="edit" shapetype="f"/>
              </v:shape>
            </w:pict>
          </mc:Fallback>
        </mc:AlternateContent>
      </w:r>
      <w:r>
        <w:rPr>
          <w:noProof/>
        </w:rPr>
        <mc:AlternateContent>
          <mc:Choice Requires="wps">
            <w:drawing>
              <wp:anchor distT="0" distB="0" distL="114300" distR="114300" simplePos="0" relativeHeight="251657728" behindDoc="0" locked="0" layoutInCell="1" allowOverlap="1" wp14:anchorId="01D7D332" wp14:editId="4FCDC41C">
                <wp:simplePos x="0" y="0"/>
                <wp:positionH relativeFrom="column">
                  <wp:posOffset>4620260</wp:posOffset>
                </wp:positionH>
                <wp:positionV relativeFrom="paragraph">
                  <wp:posOffset>448945</wp:posOffset>
                </wp:positionV>
                <wp:extent cx="621665" cy="452755"/>
                <wp:effectExtent l="13970" t="12065" r="40640" b="49530"/>
                <wp:wrapNone/>
                <wp:docPr id="75"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21665" cy="452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4B8BBB" id="AutoShape 52" o:spid="_x0000_s1026" type="#_x0000_t32" style="position:absolute;margin-left:363.8pt;margin-top:35.35pt;width:48.95pt;height:35.6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">
                <v:stroke endarrow="block"/>
                <o:lock v:ext="edit" shapetype="f"/>
              </v:shape>
            </w:pict>
          </mc:Fallback>
        </mc:AlternateContent>
      </w:r>
      <w:r>
        <w:rPr>
          <w:noProof/>
        </w:rPr>
        <mc:AlternateContent>
          <mc:Choice Requires="wps">
            <w:drawing>
              <wp:anchor distT="0" distB="0" distL="114300" distR="114300" simplePos="0" relativeHeight="251660800" behindDoc="0" locked="0" layoutInCell="1" allowOverlap="1" wp14:anchorId="23E940B1" wp14:editId="46637A9A">
                <wp:simplePos x="0" y="0"/>
                <wp:positionH relativeFrom="column">
                  <wp:posOffset>5241925</wp:posOffset>
                </wp:positionH>
                <wp:positionV relativeFrom="paragraph">
                  <wp:posOffset>1237615</wp:posOffset>
                </wp:positionV>
                <wp:extent cx="635" cy="431800"/>
                <wp:effectExtent l="54610" t="10160" r="59055" b="15240"/>
                <wp:wrapNone/>
                <wp:docPr id="72"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31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5" o:spid="_x0000_s1026" type="#_x0000_t32" style="position:absolute;margin-left:412.75pt;margin-top:97.45pt;width:.05pt;height:3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">
                <v:stroke endarrow="block"/>
                <o:lock v:ext="edit" shapetype="f"/>
              </v:shape>
            </w:pict>
          </mc:Fallback>
        </mc:AlternateContent>
      </w:r>
      <w:r>
        <w:rPr>
          <w:noProof/>
        </w:rPr>
        <mc:AlternateContent>
          <mc:Choice Requires="wps">
            <w:drawing>
              <wp:anchor distT="0" distB="0" distL="114293" distR="114293" simplePos="0" relativeHeight="251661824" behindDoc="0" locked="0" layoutInCell="1" allowOverlap="1" wp14:anchorId="7163378A" wp14:editId="0656A1EC">
                <wp:simplePos x="0" y="0"/>
                <wp:positionH relativeFrom="column">
                  <wp:posOffset>5244465</wp:posOffset>
                </wp:positionH>
                <wp:positionV relativeFrom="paragraph">
                  <wp:posOffset>2442210</wp:posOffset>
                </wp:positionV>
                <wp:extent cx="0" cy="549910"/>
                <wp:effectExtent l="57150" t="5080" r="57150" b="16510"/>
                <wp:wrapNone/>
                <wp:docPr id="71"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49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A8253A" id="AutoShape 56" o:spid="_x0000_s1026" type="#_x0000_t32" style="position:absolute;margin-left:412.95pt;margin-top:192.3pt;width:0;height:43.3pt;z-index:251661824;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">
                <v:stroke endarrow="block"/>
                <o:lock v:ext="edit" shapetype="f"/>
              </v:shape>
            </w:pict>
          </mc:Fallback>
        </mc:AlternateContent>
      </w:r>
      <w:r>
        <w:rPr>
          <w:noProof/>
        </w:rPr>
        <mc:AlternateContent>
          <mc:Choice Requires="wps">
            <w:drawing>
              <wp:anchor distT="0" distB="0" distL="114293" distR="114293" simplePos="0" relativeHeight="251662848" behindDoc="0" locked="0" layoutInCell="1" allowOverlap="1" wp14:anchorId="448E86B8" wp14:editId="2AD30C39">
                <wp:simplePos x="0" y="0"/>
                <wp:positionH relativeFrom="column">
                  <wp:posOffset>3346450</wp:posOffset>
                </wp:positionH>
                <wp:positionV relativeFrom="paragraph">
                  <wp:posOffset>2442210</wp:posOffset>
                </wp:positionV>
                <wp:extent cx="0" cy="549910"/>
                <wp:effectExtent l="54610" t="5080" r="59690" b="16510"/>
                <wp:wrapNone/>
                <wp:docPr id="70"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49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8E9D1D" id="AutoShape 57" o:spid="_x0000_s1026" type="#_x0000_t32" style="position:absolute;margin-left:263.5pt;margin-top:192.3pt;width:0;height:43.3pt;z-index:251662848;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">
                <v:stroke endarrow="block"/>
                <o:lock v:ext="edit" shapetype="f"/>
              </v:shape>
            </w:pict>
          </mc:Fallback>
        </mc:AlternateContent>
      </w:r>
      <w:r>
        <w:rPr>
          <w:noProof/>
        </w:rPr>
        <mc:AlternateContent>
          <mc:Choice Requires="wps">
            <w:drawing>
              <wp:anchor distT="0" distB="0" distL="114300" distR="114300" simplePos="0" relativeHeight="251665920" behindDoc="0" locked="0" layoutInCell="1" allowOverlap="1" wp14:anchorId="7D88B634" wp14:editId="00C2DE62">
                <wp:simplePos x="0" y="0"/>
                <wp:positionH relativeFrom="column">
                  <wp:posOffset>5243195</wp:posOffset>
                </wp:positionH>
                <wp:positionV relativeFrom="paragraph">
                  <wp:posOffset>3978910</wp:posOffset>
                </wp:positionV>
                <wp:extent cx="635" cy="340360"/>
                <wp:effectExtent l="55880" t="8255" r="57785" b="22860"/>
                <wp:wrapNone/>
                <wp:docPr id="67" name="Auto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40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0" o:spid="_x0000_s1026" type="#_x0000_t32" style="position:absolute;margin-left:412.85pt;margin-top:313.3pt;width:.05pt;height:26.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">
                <v:stroke endarrow="block"/>
                <o:lock v:ext="edit" shapetype="f"/>
              </v:shape>
            </w:pict>
          </mc:Fallback>
        </mc:AlternateContent>
      </w:r>
      <w:r>
        <w:rPr>
          <w:noProof/>
        </w:rPr>
        <mc:AlternateContent>
          <mc:Choice Requires="wps">
            <w:drawing>
              <wp:anchor distT="0" distB="0" distL="114300" distR="114300" simplePos="0" relativeHeight="251670016" behindDoc="0" locked="0" layoutInCell="1" allowOverlap="1" wp14:anchorId="4EDA01E2" wp14:editId="1C87225B">
                <wp:simplePos x="0" y="0"/>
                <wp:positionH relativeFrom="column">
                  <wp:posOffset>2266315</wp:posOffset>
                </wp:positionH>
                <wp:positionV relativeFrom="paragraph">
                  <wp:posOffset>5345430</wp:posOffset>
                </wp:positionV>
                <wp:extent cx="1700530" cy="1045845"/>
                <wp:effectExtent l="12700" t="12700" r="10795" b="27305"/>
                <wp:wrapNone/>
                <wp:docPr id="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0530" cy="104584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41189E" w:rsidRDefault="0041189E" w:rsidP="00635AEF">
                            <w:r>
                              <w:rPr>
                                <w:rFonts w:ascii="Times New Roman" w:hAnsi="Times New Roman" w:cs="Times New Roman"/>
                                <w:sz w:val="28"/>
                                <w:szCs w:val="28"/>
                              </w:rPr>
                              <w:t>Отсутствие болезней системы кровообращения и сахарного диабета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 o:spid="_x0000_s1048" style="position:absolute;left:0;text-align:left;margin-left:178.45pt;margin-top:420.9pt;width:133.9pt;height:82.3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" fillcolor="#c2d69b [1942]" strokecolor="#c2d69b [1942]" strokeweight="1pt">
                <v:fill color2="#eaf1dd [662]" angle="135" focus="50%" type="gradient"/>
                <v:shadow on="t" color="#4e6128 [1606]" opacity=".5" offset="1pt"/>
                <v:path arrowok="t"/>
                <v:textbox>
                  <w:txbxContent>
                    <w:p w:rsidR="0041189E" w:rsidRDefault="0041189E" w:rsidP="00635AEF">
                      <w:r>
                        <w:rPr>
                          <w:rFonts w:ascii="Times New Roman" w:hAnsi="Times New Roman" w:cs="Times New Roman"/>
                          <w:sz w:val="28"/>
                          <w:szCs w:val="28"/>
                        </w:rPr>
                        <w:t>Отсутствие болезней системы кровообращения и сахарного диабета</w:t>
                      </w:r>
                    </w:p>
                  </w:txbxContent>
                </v:textbox>
              </v:rect>
            </w:pict>
          </mc:Fallback>
        </mc:AlternateContent>
      </w:r>
      <w:r>
        <w:rPr>
          <w:noProof/>
        </w:rPr>
        <mc:AlternateContent>
          <mc:Choice Requires="wps">
            <w:drawing>
              <wp:anchor distT="0" distB="0" distL="114300" distR="114300" simplePos="0" relativeHeight="251672064" behindDoc="0" locked="0" layoutInCell="1" allowOverlap="1" wp14:anchorId="073DC78B" wp14:editId="681CC1BC">
                <wp:simplePos x="0" y="0"/>
                <wp:positionH relativeFrom="column">
                  <wp:posOffset>3966845</wp:posOffset>
                </wp:positionH>
                <wp:positionV relativeFrom="paragraph">
                  <wp:posOffset>5861050</wp:posOffset>
                </wp:positionV>
                <wp:extent cx="565785" cy="635"/>
                <wp:effectExtent l="8255" t="52070" r="16510" b="61595"/>
                <wp:wrapNone/>
                <wp:docPr id="62"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6578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6" o:spid="_x0000_s1026" type="#_x0000_t32" style="position:absolute;margin-left:312.35pt;margin-top:461.5pt;width:44.55pt;height:.0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">
                <v:stroke endarrow="block"/>
                <o:lock v:ext="edit" shapetype="f"/>
              </v:shape>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82608C"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42368" behindDoc="0" locked="0" layoutInCell="1" allowOverlap="1" wp14:anchorId="324149E0" wp14:editId="0DBBE487">
                <wp:simplePos x="0" y="0"/>
                <wp:positionH relativeFrom="column">
                  <wp:posOffset>4992370</wp:posOffset>
                </wp:positionH>
                <wp:positionV relativeFrom="paragraph">
                  <wp:posOffset>295910</wp:posOffset>
                </wp:positionV>
                <wp:extent cx="517525" cy="327660"/>
                <wp:effectExtent l="0" t="0" r="34925" b="53340"/>
                <wp:wrapNone/>
                <wp:docPr id="8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7525" cy="32766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rPr>
                                <w:rFonts w:ascii="Times New Roman" w:hAnsi="Times New Roman" w:cs="Times New Roman"/>
                                <w:b/>
                                <w:sz w:val="28"/>
                                <w:szCs w:val="28"/>
                                <w:lang w:val="en-US"/>
                              </w:rPr>
                            </w:pPr>
                            <w:r>
                              <w:rPr>
                                <w:rFonts w:ascii="Times New Roman" w:hAnsi="Times New Roman" w:cs="Times New Roman"/>
                                <w:b/>
                                <w:sz w:val="28"/>
                                <w:szCs w:val="28"/>
                                <w:lang w:val="en-US"/>
                              </w:rPr>
                              <w:t>GG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49" style="position:absolute;left:0;text-align:left;margin-left:393.1pt;margin-top:23.3pt;width:40.75pt;height:25.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" fillcolor="#95b3d7 [1940]" strokecolor="#95b3d7 [1940]" strokeweight="1pt">
                <v:fill color2="#dbe5f1 [660]" angle="135" focus="50%" type="gradient"/>
                <v:shadow on="t" color="#243f60 [1604]" opacity=".5" offset="1pt"/>
                <v:path arrowok="t"/>
                <v:textbox>
                  <w:txbxContent>
                    <w:p w:rsidR="0041189E" w:rsidRDefault="0041189E" w:rsidP="00635AEF">
                      <w:pPr>
                        <w:rPr>
                          <w:rFonts w:ascii="Times New Roman" w:hAnsi="Times New Roman" w:cs="Times New Roman"/>
                          <w:b/>
                          <w:sz w:val="28"/>
                          <w:szCs w:val="28"/>
                          <w:lang w:val="en-US"/>
                        </w:rPr>
                      </w:pPr>
                      <w:r>
                        <w:rPr>
                          <w:rFonts w:ascii="Times New Roman" w:hAnsi="Times New Roman" w:cs="Times New Roman"/>
                          <w:b/>
                          <w:sz w:val="28"/>
                          <w:szCs w:val="28"/>
                          <w:lang w:val="en-US"/>
                        </w:rPr>
                        <w:t>GG</w:t>
                      </w:r>
                    </w:p>
                  </w:txbxContent>
                </v:textbox>
              </v:rect>
            </w:pict>
          </mc:Fallback>
        </mc:AlternateContent>
      </w:r>
      <w:r w:rsidR="00DC0D82">
        <w:rPr>
          <w:noProof/>
        </w:rPr>
        <mc:AlternateContent>
          <mc:Choice Requires="wps">
            <w:drawing>
              <wp:anchor distT="0" distB="0" distL="114300" distR="114300" simplePos="0" relativeHeight="251640320" behindDoc="0" locked="0" layoutInCell="1" allowOverlap="1" wp14:anchorId="7C3AD3D3" wp14:editId="77DD3C1C">
                <wp:simplePos x="0" y="0"/>
                <wp:positionH relativeFrom="column">
                  <wp:posOffset>1059216</wp:posOffset>
                </wp:positionH>
                <wp:positionV relativeFrom="paragraph">
                  <wp:posOffset>296306</wp:posOffset>
                </wp:positionV>
                <wp:extent cx="508958" cy="327804"/>
                <wp:effectExtent l="0" t="0" r="43815" b="53340"/>
                <wp:wrapNone/>
                <wp:docPr id="61"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958" cy="327804"/>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rPr>
                                <w:rFonts w:ascii="Times New Roman" w:hAnsi="Times New Roman" w:cs="Times New Roman"/>
                                <w:b/>
                                <w:sz w:val="24"/>
                                <w:szCs w:val="24"/>
                              </w:rPr>
                            </w:pPr>
                            <w:r>
                              <w:rPr>
                                <w:rFonts w:ascii="Times New Roman" w:hAnsi="Times New Roman" w:cs="Times New Roman"/>
                                <w:b/>
                                <w:sz w:val="28"/>
                                <w:szCs w:val="28"/>
                              </w:rPr>
                              <w:t>СС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50" style="position:absolute;left:0;text-align:left;margin-left:83.4pt;margin-top:23.35pt;width:40.1pt;height:25.8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" fillcolor="#95b3d7 [1940]" strokecolor="#95b3d7 [1940]" strokeweight="1pt">
                <v:fill color2="#dbe5f1 [660]" angle="135" focus="50%" type="gradient"/>
                <v:shadow on="t" color="#243f60 [1604]" opacity=".5" offset="1pt"/>
                <v:path arrowok="t"/>
                <v:textbox>
                  <w:txbxContent>
                    <w:p w:rsidR="0041189E" w:rsidRDefault="0041189E" w:rsidP="00635AEF">
                      <w:pPr>
                        <w:rPr>
                          <w:rFonts w:ascii="Times New Roman" w:hAnsi="Times New Roman" w:cs="Times New Roman"/>
                          <w:b/>
                          <w:sz w:val="24"/>
                          <w:szCs w:val="24"/>
                        </w:rPr>
                      </w:pPr>
                      <w:r>
                        <w:rPr>
                          <w:rFonts w:ascii="Times New Roman" w:hAnsi="Times New Roman" w:cs="Times New Roman"/>
                          <w:b/>
                          <w:sz w:val="28"/>
                          <w:szCs w:val="28"/>
                        </w:rPr>
                        <w:t>СС</w:t>
                      </w:r>
                    </w:p>
                  </w:txbxContent>
                </v:textbox>
              </v:rect>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82608C"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58752" behindDoc="0" locked="0" layoutInCell="1" allowOverlap="1" wp14:anchorId="7D58051D" wp14:editId="34C92EFC">
                <wp:simplePos x="0" y="0"/>
                <wp:positionH relativeFrom="column">
                  <wp:posOffset>1304398</wp:posOffset>
                </wp:positionH>
                <wp:positionV relativeFrom="paragraph">
                  <wp:posOffset>18906</wp:posOffset>
                </wp:positionV>
                <wp:extent cx="635" cy="431800"/>
                <wp:effectExtent l="76200" t="0" r="75565" b="63500"/>
                <wp:wrapNone/>
                <wp:docPr id="74"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31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3" o:spid="_x0000_s1026" type="#_x0000_t32" style="position:absolute;margin-left:102.7pt;margin-top:1.5pt;width:.05pt;height:3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">
                <v:stroke endarrow="block"/>
                <o:lock v:ext="edit" shapetype="f"/>
              </v:shape>
            </w:pict>
          </mc:Fallback>
        </mc:AlternateContent>
      </w:r>
      <w:r>
        <w:rPr>
          <w:noProof/>
        </w:rPr>
        <mc:AlternateContent>
          <mc:Choice Requires="wps">
            <w:drawing>
              <wp:anchor distT="0" distB="0" distL="114300" distR="114300" simplePos="0" relativeHeight="251659776" behindDoc="0" locked="0" layoutInCell="1" allowOverlap="1" wp14:anchorId="251C405B" wp14:editId="47DDAF7C">
                <wp:simplePos x="0" y="0"/>
                <wp:positionH relativeFrom="column">
                  <wp:posOffset>3347085</wp:posOffset>
                </wp:positionH>
                <wp:positionV relativeFrom="paragraph">
                  <wp:posOffset>10160</wp:posOffset>
                </wp:positionV>
                <wp:extent cx="635" cy="431800"/>
                <wp:effectExtent l="76200" t="0" r="75565" b="63500"/>
                <wp:wrapNone/>
                <wp:docPr id="73"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31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 o:spid="_x0000_s1026" type="#_x0000_t32" style="position:absolute;margin-left:263.55pt;margin-top:.8pt;width:.05pt;height:3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">
                <v:stroke endarrow="block"/>
                <o:lock v:ext="edit" shapetype="f"/>
              </v:shape>
            </w:pict>
          </mc:Fallback>
        </mc:AlternateContent>
      </w:r>
    </w:p>
    <w:p w:rsidR="00635AEF" w:rsidRDefault="0082608C"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45440" behindDoc="0" locked="0" layoutInCell="1" allowOverlap="1" wp14:anchorId="2AD86A9C" wp14:editId="4B7E9E3D">
                <wp:simplePos x="0" y="0"/>
                <wp:positionH relativeFrom="column">
                  <wp:posOffset>2611971</wp:posOffset>
                </wp:positionH>
                <wp:positionV relativeFrom="paragraph">
                  <wp:posOffset>135315</wp:posOffset>
                </wp:positionV>
                <wp:extent cx="1440180" cy="779780"/>
                <wp:effectExtent l="0" t="0" r="45720" b="58420"/>
                <wp:wrapNone/>
                <wp:docPr id="84"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0180" cy="779780"/>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41189E" w:rsidRDefault="0041189E" w:rsidP="00635AEF">
                            <w:pPr>
                              <w:jc w:val="center"/>
                            </w:pPr>
                            <w:r>
                              <w:rPr>
                                <w:rFonts w:ascii="Times New Roman" w:hAnsi="Times New Roman" w:cs="Times New Roman"/>
                                <w:sz w:val="28"/>
                                <w:szCs w:val="24"/>
                              </w:rPr>
                              <w:t>Повышенный риск гипергликемии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51" style="position:absolute;left:0;text-align:left;margin-left:205.65pt;margin-top:10.65pt;width:113.4pt;height:61.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" fillcolor="#d99594 [1941]" strokecolor="#d99594 [1941]" strokeweight="1pt">
                <v:fill color2="#f2dbdb [661]" angle="135" focus="50%" type="gradient"/>
                <v:shadow on="t" color="#622423 [1605]" opacity=".5" offset="1pt"/>
                <v:path arrowok="t"/>
                <v:textbox>
                  <w:txbxContent>
                    <w:p w:rsidR="0041189E" w:rsidRDefault="0041189E" w:rsidP="00635AEF">
                      <w:pPr>
                        <w:jc w:val="center"/>
                      </w:pPr>
                      <w:r>
                        <w:rPr>
                          <w:rFonts w:ascii="Times New Roman" w:hAnsi="Times New Roman" w:cs="Times New Roman"/>
                          <w:sz w:val="28"/>
                          <w:szCs w:val="24"/>
                        </w:rPr>
                        <w:t>Повышенный риск гипергликемии</w:t>
                      </w:r>
                    </w:p>
                  </w:txbxContent>
                </v:textbox>
              </v:rect>
            </w:pict>
          </mc:Fallback>
        </mc:AlternateContent>
      </w:r>
      <w:r>
        <w:rPr>
          <w:noProof/>
        </w:rPr>
        <mc:AlternateContent>
          <mc:Choice Requires="wps">
            <w:drawing>
              <wp:anchor distT="0" distB="0" distL="114300" distR="114300" simplePos="0" relativeHeight="251644416" behindDoc="0" locked="0" layoutInCell="1" allowOverlap="1" wp14:anchorId="53897382" wp14:editId="5B212AE6">
                <wp:simplePos x="0" y="0"/>
                <wp:positionH relativeFrom="column">
                  <wp:posOffset>4526915</wp:posOffset>
                </wp:positionH>
                <wp:positionV relativeFrom="paragraph">
                  <wp:posOffset>135255</wp:posOffset>
                </wp:positionV>
                <wp:extent cx="1446530" cy="775970"/>
                <wp:effectExtent l="0" t="0" r="39370" b="62230"/>
                <wp:wrapNone/>
                <wp:docPr id="85"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6530" cy="775970"/>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41189E" w:rsidRDefault="0041189E" w:rsidP="00635AEF">
                            <w:pPr>
                              <w:jc w:val="center"/>
                              <w:rPr>
                                <w:rFonts w:ascii="Times New Roman" w:hAnsi="Times New Roman" w:cs="Times New Roman"/>
                                <w:sz w:val="28"/>
                                <w:szCs w:val="24"/>
                              </w:rPr>
                            </w:pPr>
                            <w:r>
                              <w:rPr>
                                <w:rFonts w:ascii="Times New Roman" w:hAnsi="Times New Roman" w:cs="Times New Roman"/>
                                <w:sz w:val="28"/>
                                <w:szCs w:val="24"/>
                              </w:rPr>
                              <w:t>Повышенный риск гипергликемии</w:t>
                            </w:r>
                          </w:p>
                          <w:p w:rsidR="0041189E" w:rsidRDefault="0041189E" w:rsidP="00635AEF">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52" style="position:absolute;left:0;text-align:left;margin-left:356.45pt;margin-top:10.65pt;width:113.9pt;height:61.1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" fillcolor="#d99594 [1941]" strokecolor="#d99594 [1941]" strokeweight="1pt">
                <v:fill color2="#f2dbdb [661]" angle="135" focus="50%" type="gradient"/>
                <v:shadow on="t" color="#622423 [1605]" opacity=".5" offset="1pt"/>
                <v:path arrowok="t"/>
                <v:textbox>
                  <w:txbxContent>
                    <w:p w:rsidR="0041189E" w:rsidRDefault="0041189E" w:rsidP="00635AEF">
                      <w:pPr>
                        <w:jc w:val="center"/>
                        <w:rPr>
                          <w:rFonts w:ascii="Times New Roman" w:hAnsi="Times New Roman" w:cs="Times New Roman"/>
                          <w:sz w:val="28"/>
                          <w:szCs w:val="24"/>
                        </w:rPr>
                      </w:pPr>
                      <w:r>
                        <w:rPr>
                          <w:rFonts w:ascii="Times New Roman" w:hAnsi="Times New Roman" w:cs="Times New Roman"/>
                          <w:sz w:val="28"/>
                          <w:szCs w:val="24"/>
                        </w:rPr>
                        <w:t>Повышенный риск гипергликемии</w:t>
                      </w:r>
                    </w:p>
                    <w:p w:rsidR="0041189E" w:rsidRDefault="0041189E" w:rsidP="00635AEF">
                      <w:pPr>
                        <w:rPr>
                          <w:szCs w:val="24"/>
                        </w:rPr>
                      </w:pPr>
                    </w:p>
                  </w:txbxContent>
                </v:textbox>
              </v:rect>
            </w:pict>
          </mc:Fallback>
        </mc:AlternateContent>
      </w:r>
      <w:r>
        <w:rPr>
          <w:noProof/>
        </w:rPr>
        <mc:AlternateContent>
          <mc:Choice Requires="wps">
            <w:drawing>
              <wp:anchor distT="0" distB="0" distL="114300" distR="114300" simplePos="0" relativeHeight="251646464" behindDoc="0" locked="0" layoutInCell="1" allowOverlap="1" wp14:anchorId="146B99BC" wp14:editId="7EF58C85">
                <wp:simplePos x="0" y="0"/>
                <wp:positionH relativeFrom="column">
                  <wp:posOffset>558800</wp:posOffset>
                </wp:positionH>
                <wp:positionV relativeFrom="paragraph">
                  <wp:posOffset>135255</wp:posOffset>
                </wp:positionV>
                <wp:extent cx="1497965" cy="779780"/>
                <wp:effectExtent l="0" t="0" r="45085" b="58420"/>
                <wp:wrapNone/>
                <wp:docPr id="83"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7965" cy="77978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41189E" w:rsidRDefault="0041189E" w:rsidP="00635AEF">
                            <w:pPr>
                              <w:jc w:val="center"/>
                              <w:rPr>
                                <w:rFonts w:ascii="Times New Roman" w:hAnsi="Times New Roman" w:cs="Times New Roman"/>
                                <w:sz w:val="28"/>
                                <w:szCs w:val="24"/>
                              </w:rPr>
                            </w:pPr>
                            <w:r>
                              <w:rPr>
                                <w:rFonts w:ascii="Times New Roman" w:hAnsi="Times New Roman" w:cs="Times New Roman"/>
                                <w:sz w:val="28"/>
                                <w:szCs w:val="24"/>
                              </w:rPr>
                              <w:t>Пониженный риск гипергликемии</w:t>
                            </w:r>
                          </w:p>
                          <w:p w:rsidR="0041189E" w:rsidRDefault="0041189E" w:rsidP="00635A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53" style="position:absolute;left:0;text-align:left;margin-left:44pt;margin-top:10.65pt;width:117.95pt;height:61.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" fillcolor="#c2d69b [1942]" strokecolor="#c2d69b [1942]" strokeweight="1pt">
                <v:fill color2="#eaf1dd [662]" angle="135" focus="50%" type="gradient"/>
                <v:shadow on="t" color="#4e6128 [1606]" opacity=".5" offset="1pt"/>
                <v:path arrowok="t"/>
                <v:textbox>
                  <w:txbxContent>
                    <w:p w:rsidR="0041189E" w:rsidRDefault="0041189E" w:rsidP="00635AEF">
                      <w:pPr>
                        <w:jc w:val="center"/>
                        <w:rPr>
                          <w:rFonts w:ascii="Times New Roman" w:hAnsi="Times New Roman" w:cs="Times New Roman"/>
                          <w:sz w:val="28"/>
                          <w:szCs w:val="24"/>
                        </w:rPr>
                      </w:pPr>
                      <w:r>
                        <w:rPr>
                          <w:rFonts w:ascii="Times New Roman" w:hAnsi="Times New Roman" w:cs="Times New Roman"/>
                          <w:sz w:val="28"/>
                          <w:szCs w:val="24"/>
                        </w:rPr>
                        <w:t>Пониженный риск гипергликемии</w:t>
                      </w:r>
                    </w:p>
                    <w:p w:rsidR="0041189E" w:rsidRDefault="0041189E" w:rsidP="00635AEF"/>
                  </w:txbxContent>
                </v:textbox>
              </v:rect>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8"/>
        <w:jc w:val="both"/>
        <w:rPr>
          <w:rFonts w:ascii="Times New Roman" w:hAnsi="Times New Roman" w:cs="Times New Roman"/>
          <w:b/>
          <w:bCs/>
          <w:sz w:val="28"/>
          <w:szCs w:val="28"/>
        </w:rPr>
      </w:pPr>
    </w:p>
    <w:p w:rsidR="00635AEF" w:rsidRDefault="00DC0D82"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8"/>
        <w:jc w:val="both"/>
        <w:rPr>
          <w:rFonts w:ascii="Times New Roman" w:hAnsi="Times New Roman" w:cs="Times New Roman"/>
          <w:b/>
          <w:bCs/>
          <w:sz w:val="28"/>
          <w:szCs w:val="28"/>
        </w:rPr>
      </w:pPr>
      <w:r>
        <w:rPr>
          <w:noProof/>
        </w:rPr>
        <mc:AlternateContent>
          <mc:Choice Requires="wps">
            <w:drawing>
              <wp:anchor distT="0" distB="0" distL="114300" distR="114300" simplePos="0" relativeHeight="251648512" behindDoc="0" locked="0" layoutInCell="1" allowOverlap="1" wp14:anchorId="46600DBB" wp14:editId="6DFBA236">
                <wp:simplePos x="0" y="0"/>
                <wp:positionH relativeFrom="column">
                  <wp:posOffset>2615565</wp:posOffset>
                </wp:positionH>
                <wp:positionV relativeFrom="paragraph">
                  <wp:posOffset>227965</wp:posOffset>
                </wp:positionV>
                <wp:extent cx="3453765" cy="301625"/>
                <wp:effectExtent l="9525" t="7620" r="13335" b="24130"/>
                <wp:wrapNone/>
                <wp:docPr id="60"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53765" cy="30162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spacing w:after="0" w:line="360" w:lineRule="auto"/>
                              <w:rPr>
                                <w:rFonts w:ascii="Times New Roman" w:hAnsi="Times New Roman" w:cs="Times New Roman"/>
                                <w:b/>
                                <w:bCs/>
                                <w:sz w:val="28"/>
                                <w:szCs w:val="28"/>
                              </w:rPr>
                            </w:pPr>
                            <w:r>
                              <w:rPr>
                                <w:rFonts w:ascii="Times New Roman" w:hAnsi="Times New Roman" w:cs="Times New Roman"/>
                                <w:b/>
                                <w:bCs/>
                                <w:sz w:val="28"/>
                                <w:szCs w:val="28"/>
                              </w:rPr>
                              <w:t>Определение уровня глюкозы в крови</w:t>
                            </w:r>
                          </w:p>
                          <w:p w:rsidR="0041189E" w:rsidRDefault="0041189E" w:rsidP="00635A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54" style="position:absolute;left:0;text-align:left;margin-left:205.95pt;margin-top:17.95pt;width:271.95pt;height:23.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" fillcolor="#95b3d7 [1940]" strokecolor="#95b3d7 [1940]" strokeweight="1pt">
                <v:fill color2="#dbe5f1 [660]" angle="135" focus="50%" type="gradient"/>
                <v:shadow on="t" color="#243f60 [1604]" opacity=".5" offset="1pt"/>
                <v:path arrowok="t"/>
                <v:textbox>
                  <w:txbxContent>
                    <w:p w:rsidR="0041189E" w:rsidRDefault="0041189E" w:rsidP="00635AEF">
                      <w:pPr>
                        <w:spacing w:after="0" w:line="360" w:lineRule="auto"/>
                        <w:rPr>
                          <w:rFonts w:ascii="Times New Roman" w:hAnsi="Times New Roman" w:cs="Times New Roman"/>
                          <w:b/>
                          <w:bCs/>
                          <w:sz w:val="28"/>
                          <w:szCs w:val="28"/>
                        </w:rPr>
                      </w:pPr>
                      <w:r>
                        <w:rPr>
                          <w:rFonts w:ascii="Times New Roman" w:hAnsi="Times New Roman" w:cs="Times New Roman"/>
                          <w:b/>
                          <w:bCs/>
                          <w:sz w:val="28"/>
                          <w:szCs w:val="28"/>
                        </w:rPr>
                        <w:t>Определение уровня глюкозы в крови</w:t>
                      </w:r>
                    </w:p>
                    <w:p w:rsidR="0041189E" w:rsidRDefault="0041189E" w:rsidP="00635AEF"/>
                  </w:txbxContent>
                </v:textbox>
              </v:rect>
            </w:pict>
          </mc:Fallback>
        </mc:AlternateContent>
      </w:r>
    </w:p>
    <w:p w:rsidR="00635AEF" w:rsidRDefault="006F3878"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8"/>
        <w:jc w:val="both"/>
        <w:rPr>
          <w:rFonts w:ascii="Times New Roman" w:hAnsi="Times New Roman" w:cs="Times New Roman"/>
          <w:b/>
          <w:bCs/>
          <w:sz w:val="28"/>
          <w:szCs w:val="28"/>
        </w:rPr>
      </w:pPr>
      <w:r>
        <w:rPr>
          <w:noProof/>
        </w:rPr>
        <mc:AlternateContent>
          <mc:Choice Requires="wps">
            <w:drawing>
              <wp:anchor distT="0" distB="0" distL="114293" distR="114293" simplePos="0" relativeHeight="251668992" behindDoc="0" locked="0" layoutInCell="1" allowOverlap="1" wp14:anchorId="451270F6" wp14:editId="6F84730B">
                <wp:simplePos x="0" y="0"/>
                <wp:positionH relativeFrom="column">
                  <wp:posOffset>5242560</wp:posOffset>
                </wp:positionH>
                <wp:positionV relativeFrom="paragraph">
                  <wp:posOffset>247015</wp:posOffset>
                </wp:positionV>
                <wp:extent cx="0" cy="302260"/>
                <wp:effectExtent l="76200" t="0" r="57150" b="59690"/>
                <wp:wrapNone/>
                <wp:docPr id="65"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022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3" o:spid="_x0000_s1026" type="#_x0000_t32" style="position:absolute;margin-left:412.8pt;margin-top:19.45pt;width:0;height:23.8pt;z-index:251668992;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">
                <v:stroke endarrow="block"/>
                <o:lock v:ext="edit" shapetype="f"/>
              </v:shape>
            </w:pict>
          </mc:Fallback>
        </mc:AlternateContent>
      </w:r>
      <w:r w:rsidR="00DC0D82">
        <w:rPr>
          <w:noProof/>
        </w:rPr>
        <mc:AlternateContent>
          <mc:Choice Requires="wps">
            <w:drawing>
              <wp:anchor distT="0" distB="0" distL="114293" distR="114293" simplePos="0" relativeHeight="251667968" behindDoc="0" locked="0" layoutInCell="1" allowOverlap="1" wp14:anchorId="00F176A2" wp14:editId="4A60D15C">
                <wp:simplePos x="0" y="0"/>
                <wp:positionH relativeFrom="column">
                  <wp:posOffset>2947406</wp:posOffset>
                </wp:positionH>
                <wp:positionV relativeFrom="paragraph">
                  <wp:posOffset>252730</wp:posOffset>
                </wp:positionV>
                <wp:extent cx="0" cy="287655"/>
                <wp:effectExtent l="76200" t="0" r="57150" b="55245"/>
                <wp:wrapNone/>
                <wp:docPr id="59"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876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2" o:spid="_x0000_s1026" type="#_x0000_t32" style="position:absolute;margin-left:232.1pt;margin-top:19.9pt;width:0;height:22.65pt;z-index:251667968;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">
                <v:stroke endarrow="block"/>
                <o:lock v:ext="edit" shapetype="f"/>
              </v:shape>
            </w:pict>
          </mc:Fallback>
        </mc:AlternateContent>
      </w:r>
    </w:p>
    <w:p w:rsidR="00635AEF" w:rsidRDefault="00DC0D82"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50560" behindDoc="0" locked="0" layoutInCell="1" allowOverlap="1" wp14:anchorId="7F4C8C36" wp14:editId="36ABFE76">
                <wp:simplePos x="0" y="0"/>
                <wp:positionH relativeFrom="column">
                  <wp:posOffset>4050030</wp:posOffset>
                </wp:positionH>
                <wp:positionV relativeFrom="paragraph">
                  <wp:posOffset>226060</wp:posOffset>
                </wp:positionV>
                <wp:extent cx="2009775" cy="330835"/>
                <wp:effectExtent l="15240" t="9525" r="13335" b="21590"/>
                <wp:wrapNone/>
                <wp:docPr id="58"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9775" cy="33083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Глюкозы ≤5,59 ммоль/л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 o:spid="_x0000_s1055" style="position:absolute;left:0;text-align:left;margin-left:318.9pt;margin-top:17.8pt;width:158.25pt;height:26.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" fillcolor="#c2d69b [1942]" strokecolor="#c2d69b [1942]" strokeweight="1pt">
                <v:fill color2="#eaf1dd [662]" angle="135" focus="50%" type="gradient"/>
                <v:shadow on="t" color="#4e6128 [1606]"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Глюкозы ≤5,59 ммоль/л</w:t>
                      </w:r>
                    </w:p>
                  </w:txbxContent>
                </v:textbox>
              </v:rect>
            </w:pict>
          </mc:Fallback>
        </mc:AlternateContent>
      </w:r>
    </w:p>
    <w:p w:rsidR="00635AEF" w:rsidRDefault="007B1C93"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63872" behindDoc="0" locked="0" layoutInCell="1" allowOverlap="1" wp14:anchorId="7F4DBEAB" wp14:editId="6498A319">
                <wp:simplePos x="0" y="0"/>
                <wp:positionH relativeFrom="column">
                  <wp:posOffset>2939415</wp:posOffset>
                </wp:positionH>
                <wp:positionV relativeFrom="paragraph">
                  <wp:posOffset>255905</wp:posOffset>
                </wp:positionV>
                <wp:extent cx="635" cy="340360"/>
                <wp:effectExtent l="76200" t="0" r="75565" b="59690"/>
                <wp:wrapNone/>
                <wp:docPr id="69"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40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8" o:spid="_x0000_s1026" type="#_x0000_t32" style="position:absolute;margin-left:231.45pt;margin-top:20.15pt;width:.05pt;height:26.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">
                <v:stroke endarrow="block"/>
                <o:lock v:ext="edit" shapetype="f"/>
              </v:shape>
            </w:pict>
          </mc:Fallback>
        </mc:AlternateContent>
      </w:r>
    </w:p>
    <w:p w:rsidR="00635AEF" w:rsidRDefault="007B1C93"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51584" behindDoc="0" locked="0" layoutInCell="1" allowOverlap="1" wp14:anchorId="4EB5F562" wp14:editId="3593A1BF">
                <wp:simplePos x="0" y="0"/>
                <wp:positionH relativeFrom="column">
                  <wp:posOffset>398780</wp:posOffset>
                </wp:positionH>
                <wp:positionV relativeFrom="paragraph">
                  <wp:posOffset>281940</wp:posOffset>
                </wp:positionV>
                <wp:extent cx="3102610" cy="817245"/>
                <wp:effectExtent l="0" t="0" r="40640" b="59055"/>
                <wp:wrapNone/>
                <wp:docPr id="80"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02610" cy="81724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Дальнейшее обследование на наличие болезней системы кровообращения и сахарного диабета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 o:spid="_x0000_s1056" style="position:absolute;left:0;text-align:left;margin-left:31.4pt;margin-top:22.2pt;width:244.3pt;height:64.3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" fillcolor="#95b3d7 [1940]" strokecolor="#95b3d7 [1940]" strokeweight="1pt">
                <v:fill color2="#dbe5f1 [660]" angle="135" focus="50%" type="gradient"/>
                <v:shadow on="t" color="#243f60 [1604]"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Дальнейшее обследование на наличие болезней системы кровообращения и сахарного диабета</w:t>
                      </w:r>
                    </w:p>
                  </w:txbxContent>
                </v:textbox>
              </v:rect>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7B1C93"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293" distR="114293" simplePos="0" relativeHeight="251671040" behindDoc="0" locked="0" layoutInCell="1" allowOverlap="1" wp14:anchorId="2CC366E3" wp14:editId="5F4EDC1E">
                <wp:simplePos x="0" y="0"/>
                <wp:positionH relativeFrom="column">
                  <wp:posOffset>2969895</wp:posOffset>
                </wp:positionH>
                <wp:positionV relativeFrom="paragraph">
                  <wp:posOffset>173355</wp:posOffset>
                </wp:positionV>
                <wp:extent cx="0" cy="267335"/>
                <wp:effectExtent l="76200" t="0" r="57150" b="56515"/>
                <wp:wrapNone/>
                <wp:docPr id="63"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673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5" o:spid="_x0000_s1026" type="#_x0000_t32" style="position:absolute;margin-left:233.85pt;margin-top:13.65pt;width:0;height:21.05pt;z-index:251671040;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">
                <v:stroke endarrow="block"/>
                <o:lock v:ext="edit" shapetype="f"/>
              </v:shape>
            </w:pict>
          </mc:Fallback>
        </mc:AlternateContent>
      </w:r>
      <w:r w:rsidR="001638C2">
        <w:rPr>
          <w:noProof/>
        </w:rPr>
        <mc:AlternateContent>
          <mc:Choice Requires="wps">
            <w:drawing>
              <wp:anchor distT="0" distB="0" distL="114293" distR="114293" simplePos="0" relativeHeight="251664896" behindDoc="0" locked="0" layoutInCell="1" allowOverlap="1" wp14:anchorId="11AD78A4" wp14:editId="46F9DF0E">
                <wp:simplePos x="0" y="0"/>
                <wp:positionH relativeFrom="column">
                  <wp:posOffset>1240155</wp:posOffset>
                </wp:positionH>
                <wp:positionV relativeFrom="paragraph">
                  <wp:posOffset>220980</wp:posOffset>
                </wp:positionV>
                <wp:extent cx="0" cy="219075"/>
                <wp:effectExtent l="76200" t="0" r="76200" b="47625"/>
                <wp:wrapNone/>
                <wp:docPr id="68"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 o:spid="_x0000_s1026" type="#_x0000_t32" style="position:absolute;margin-left:97.65pt;margin-top:17.4pt;width:0;height:17.25pt;z-index:251664896;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">
                <v:stroke endarrow="block"/>
                <o:lock v:ext="edit" shapetype="f"/>
              </v:shape>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7B1C93"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293" distR="114293" simplePos="0" relativeHeight="251666944" behindDoc="0" locked="0" layoutInCell="1" allowOverlap="1" wp14:anchorId="7AEEEDC1" wp14:editId="3B2404DE">
                <wp:simplePos x="0" y="0"/>
                <wp:positionH relativeFrom="column">
                  <wp:posOffset>1214755</wp:posOffset>
                </wp:positionH>
                <wp:positionV relativeFrom="paragraph">
                  <wp:posOffset>254000</wp:posOffset>
                </wp:positionV>
                <wp:extent cx="0" cy="408305"/>
                <wp:effectExtent l="76200" t="0" r="57150" b="48895"/>
                <wp:wrapNone/>
                <wp:docPr id="66"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083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1" o:spid="_x0000_s1026" type="#_x0000_t32" style="position:absolute;margin-left:95.65pt;margin-top:20pt;width:0;height:32.15pt;z-index:251666944;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">
                <v:stroke endarrow="block"/>
                <o:lock v:ext="edit" shapetype="f"/>
              </v:shape>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7B1C93"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53632" behindDoc="0" locked="0" layoutInCell="1" allowOverlap="1" wp14:anchorId="3A96EC59" wp14:editId="4AF5E3B4">
                <wp:simplePos x="0" y="0"/>
                <wp:positionH relativeFrom="column">
                  <wp:posOffset>404495</wp:posOffset>
                </wp:positionH>
                <wp:positionV relativeFrom="paragraph">
                  <wp:posOffset>62865</wp:posOffset>
                </wp:positionV>
                <wp:extent cx="3647440" cy="316230"/>
                <wp:effectExtent l="0" t="0" r="29210" b="64770"/>
                <wp:wrapNone/>
                <wp:docPr id="7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7440" cy="31623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Д учет, стандартное лечение согласно РЦРЗ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 o:spid="_x0000_s1057" style="position:absolute;left:0;text-align:left;margin-left:31.85pt;margin-top:4.95pt;width:287.2pt;height:24.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" fillcolor="#95b3d7 [1940]" strokecolor="#95b3d7 [1940]" strokeweight="1pt">
                <v:fill color2="#dbe5f1 [660]" angle="135" focus="50%" type="gradient"/>
                <v:shadow on="t" color="#243f60 [1604]"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Д учет, стандартное лечение согласно РЦРЗ</w:t>
                      </w:r>
                    </w:p>
                  </w:txbxContent>
                </v:textbox>
              </v:rect>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Pr="00DD5D7E"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Рисунок 4</w:t>
      </w:r>
      <w:r w:rsidR="00B648CF">
        <w:rPr>
          <w:rFonts w:ascii="Times New Roman" w:hAnsi="Times New Roman" w:cs="Times New Roman"/>
          <w:bCs/>
          <w:sz w:val="28"/>
          <w:szCs w:val="28"/>
          <w:lang w:val="kk-KZ"/>
        </w:rPr>
        <w:t xml:space="preserve"> -</w:t>
      </w:r>
      <w:r>
        <w:rPr>
          <w:rFonts w:ascii="Times New Roman" w:hAnsi="Times New Roman" w:cs="Times New Roman"/>
          <w:bCs/>
          <w:sz w:val="28"/>
          <w:szCs w:val="28"/>
        </w:rPr>
        <w:t xml:space="preserve"> Алгоритм диагностики гипергликемии на основе ген</w:t>
      </w:r>
      <w:r w:rsidR="00524137">
        <w:rPr>
          <w:rFonts w:ascii="Times New Roman" w:hAnsi="Times New Roman" w:cs="Times New Roman"/>
          <w:bCs/>
          <w:sz w:val="28"/>
          <w:szCs w:val="28"/>
        </w:rPr>
        <w:t>о</w:t>
      </w:r>
      <w:r>
        <w:rPr>
          <w:rFonts w:ascii="Times New Roman" w:hAnsi="Times New Roman" w:cs="Times New Roman"/>
          <w:bCs/>
          <w:sz w:val="28"/>
          <w:szCs w:val="28"/>
        </w:rPr>
        <w:t>ти</w:t>
      </w:r>
      <w:r w:rsidR="00DD5D7E">
        <w:rPr>
          <w:rFonts w:ascii="Times New Roman" w:hAnsi="Times New Roman" w:cs="Times New Roman"/>
          <w:bCs/>
          <w:sz w:val="28"/>
          <w:szCs w:val="28"/>
        </w:rPr>
        <w:t>пирования гена</w:t>
      </w:r>
      <w:r w:rsidR="00DD5D7E" w:rsidRPr="00DD5D7E">
        <w:rPr>
          <w:rFonts w:ascii="Times New Roman" w:hAnsi="Times New Roman" w:cs="Times New Roman"/>
          <w:bCs/>
          <w:sz w:val="28"/>
          <w:szCs w:val="28"/>
        </w:rPr>
        <w:t xml:space="preserve"> </w:t>
      </w:r>
      <w:r w:rsidR="00DD5D7E">
        <w:rPr>
          <w:rFonts w:ascii="Times New Roman" w:hAnsi="Times New Roman" w:cs="Times New Roman"/>
          <w:bCs/>
          <w:sz w:val="28"/>
          <w:szCs w:val="28"/>
          <w:lang w:val="en-US"/>
        </w:rPr>
        <w:t>LPL</w:t>
      </w:r>
    </w:p>
    <w:p w:rsidR="00635AEF" w:rsidRPr="00DD5D7E"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hAnsi="Times New Roman" w:cs="Times New Roman"/>
          <w:b/>
          <w:bCs/>
          <w:sz w:val="28"/>
          <w:szCs w:val="28"/>
        </w:rPr>
      </w:pPr>
      <w:r>
        <w:rPr>
          <w:rFonts w:ascii="Times New Roman" w:hAnsi="Times New Roman" w:cs="Times New Roman"/>
          <w:b/>
          <w:bCs/>
          <w:sz w:val="28"/>
          <w:szCs w:val="28"/>
        </w:rPr>
        <w:lastRenderedPageBreak/>
        <w:t>Алгоритм диагностики гип</w:t>
      </w:r>
      <w:r w:rsidR="00524137">
        <w:rPr>
          <w:rFonts w:ascii="Times New Roman" w:hAnsi="Times New Roman" w:cs="Times New Roman"/>
          <w:b/>
          <w:bCs/>
          <w:sz w:val="28"/>
          <w:szCs w:val="28"/>
        </w:rPr>
        <w:t>ертриглицеридемии на основе гено</w:t>
      </w:r>
      <w:r>
        <w:rPr>
          <w:rFonts w:ascii="Times New Roman" w:hAnsi="Times New Roman" w:cs="Times New Roman"/>
          <w:b/>
          <w:bCs/>
          <w:sz w:val="28"/>
          <w:szCs w:val="28"/>
        </w:rPr>
        <w:t>ти</w:t>
      </w:r>
      <w:r w:rsidR="004C6F83">
        <w:rPr>
          <w:rFonts w:ascii="Times New Roman" w:hAnsi="Times New Roman" w:cs="Times New Roman"/>
          <w:b/>
          <w:bCs/>
          <w:sz w:val="28"/>
          <w:szCs w:val="28"/>
        </w:rPr>
        <w:t>пирования гена</w:t>
      </w:r>
      <w:r w:rsidR="00DD5D7E" w:rsidRPr="00DD5D7E">
        <w:rPr>
          <w:rFonts w:ascii="Times New Roman" w:hAnsi="Times New Roman" w:cs="Times New Roman"/>
          <w:b/>
          <w:bCs/>
          <w:sz w:val="28"/>
          <w:szCs w:val="28"/>
        </w:rPr>
        <w:t xml:space="preserve"> </w:t>
      </w:r>
      <w:r w:rsidR="00DD5D7E">
        <w:rPr>
          <w:rFonts w:ascii="Times New Roman" w:hAnsi="Times New Roman" w:cs="Times New Roman"/>
          <w:b/>
          <w:bCs/>
          <w:sz w:val="28"/>
          <w:szCs w:val="28"/>
          <w:lang w:val="en-US"/>
        </w:rPr>
        <w:t>ADBR</w:t>
      </w:r>
      <w:r w:rsidR="00DD5D7E" w:rsidRPr="00DD5D7E">
        <w:rPr>
          <w:rFonts w:ascii="Times New Roman" w:hAnsi="Times New Roman" w:cs="Times New Roman"/>
          <w:b/>
          <w:bCs/>
          <w:sz w:val="28"/>
          <w:szCs w:val="28"/>
        </w:rPr>
        <w:t>2</w:t>
      </w:r>
    </w:p>
    <w:p w:rsidR="00635AEF" w:rsidRDefault="00DC0D82"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center"/>
        <w:rPr>
          <w:rFonts w:ascii="Times New Roman" w:hAnsi="Times New Roman" w:cs="Times New Roman"/>
          <w:b/>
          <w:bCs/>
          <w:sz w:val="28"/>
          <w:szCs w:val="28"/>
        </w:rPr>
      </w:pPr>
      <w:r>
        <w:rPr>
          <w:noProof/>
        </w:rPr>
        <mc:AlternateContent>
          <mc:Choice Requires="wps">
            <w:drawing>
              <wp:anchor distT="0" distB="0" distL="114300" distR="114300" simplePos="0" relativeHeight="251673088" behindDoc="0" locked="0" layoutInCell="1" allowOverlap="1" wp14:anchorId="066887A0" wp14:editId="7327ADF5">
                <wp:simplePos x="0" y="0"/>
                <wp:positionH relativeFrom="margin">
                  <wp:align>center</wp:align>
                </wp:positionH>
                <wp:positionV relativeFrom="paragraph">
                  <wp:posOffset>96520</wp:posOffset>
                </wp:positionV>
                <wp:extent cx="3570605" cy="337820"/>
                <wp:effectExtent l="0" t="0" r="29845" b="62230"/>
                <wp:wrapNone/>
                <wp:docPr id="5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70605" cy="33782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jc w:val="center"/>
                              <w:rPr>
                                <w:rFonts w:ascii="Times New Roman" w:hAnsi="Times New Roman" w:cs="Times New Roman"/>
                                <w:sz w:val="28"/>
                              </w:rPr>
                            </w:pPr>
                            <w:r>
                              <w:rPr>
                                <w:rFonts w:ascii="Times New Roman" w:hAnsi="Times New Roman" w:cs="Times New Roman"/>
                                <w:sz w:val="28"/>
                              </w:rPr>
                              <w:t>Здоровые лица казахской популяции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7" o:spid="_x0000_s1058" style="position:absolute;left:0;text-align:left;margin-left:0;margin-top:7.6pt;width:281.15pt;height:26.6pt;z-index:251673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" fillcolor="#95b3d7 [1940]" strokecolor="#95b3d7 [1940]" strokeweight="1pt">
                <v:fill color2="#dbe5f1 [660]" angle="135" focus="50%" type="gradient"/>
                <v:shadow on="t" color="#243f60 [1604]" opacity=".5" offset="1pt"/>
                <v:path arrowok="t"/>
                <v:textbox>
                  <w:txbxContent>
                    <w:p w:rsidR="0041189E" w:rsidRDefault="0041189E" w:rsidP="00635AEF">
                      <w:pPr>
                        <w:jc w:val="center"/>
                        <w:rPr>
                          <w:rFonts w:ascii="Times New Roman" w:hAnsi="Times New Roman" w:cs="Times New Roman"/>
                          <w:sz w:val="28"/>
                        </w:rPr>
                      </w:pPr>
                      <w:r>
                        <w:rPr>
                          <w:rFonts w:ascii="Times New Roman" w:hAnsi="Times New Roman" w:cs="Times New Roman"/>
                          <w:sz w:val="28"/>
                        </w:rPr>
                        <w:t>Здоровые лица казахской популяции</w:t>
                      </w:r>
                    </w:p>
                  </w:txbxContent>
                </v:textbox>
                <w10:wrap anchorx="margin"/>
              </v:rect>
            </w:pict>
          </mc:Fallback>
        </mc:AlternateContent>
      </w:r>
      <w:r>
        <w:rPr>
          <w:noProof/>
        </w:rPr>
        <mc:AlternateContent>
          <mc:Choice Requires="wps">
            <w:drawing>
              <wp:anchor distT="0" distB="0" distL="114293" distR="114293" simplePos="0" relativeHeight="251688448" behindDoc="0" locked="0" layoutInCell="1" allowOverlap="1" wp14:anchorId="54498FFB" wp14:editId="25257351">
                <wp:simplePos x="0" y="0"/>
                <wp:positionH relativeFrom="column">
                  <wp:posOffset>2995930</wp:posOffset>
                </wp:positionH>
                <wp:positionV relativeFrom="paragraph">
                  <wp:posOffset>441960</wp:posOffset>
                </wp:positionV>
                <wp:extent cx="0" cy="576580"/>
                <wp:effectExtent l="56515" t="8890" r="57785" b="14605"/>
                <wp:wrapNone/>
                <wp:docPr id="56"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76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0553E2" id="AutoShape 82" o:spid="_x0000_s1026" type="#_x0000_t32" style="position:absolute;margin-left:235.9pt;margin-top:34.8pt;width:0;height:45.4pt;z-index:251688448;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">
                <v:stroke endarrow="block"/>
                <o:lock v:ext="edit" shapetype="f"/>
              </v:shape>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center"/>
        <w:rPr>
          <w:rFonts w:ascii="Times New Roman" w:hAnsi="Times New Roman" w:cs="Times New Roman"/>
          <w:b/>
          <w:bCs/>
          <w:sz w:val="28"/>
          <w:szCs w:val="28"/>
        </w:rPr>
      </w:pPr>
      <w:r>
        <w:rPr>
          <w:rFonts w:ascii="Times New Roman" w:hAnsi="Times New Roman" w:cs="Times New Roman"/>
          <w:b/>
          <w:bCs/>
          <w:sz w:val="28"/>
          <w:szCs w:val="28"/>
        </w:rPr>
        <w:t>Молекулярно – генетическое исследование</w:t>
      </w:r>
    </w:p>
    <w:p w:rsidR="00635AEF" w:rsidRDefault="00DC0D82"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77184" behindDoc="0" locked="0" layoutInCell="1" allowOverlap="1" wp14:anchorId="28C5A9D1" wp14:editId="42108407">
                <wp:simplePos x="0" y="0"/>
                <wp:positionH relativeFrom="margin">
                  <wp:align>center</wp:align>
                </wp:positionH>
                <wp:positionV relativeFrom="paragraph">
                  <wp:posOffset>90805</wp:posOffset>
                </wp:positionV>
                <wp:extent cx="4182745" cy="360045"/>
                <wp:effectExtent l="0" t="0" r="46355" b="59055"/>
                <wp:wrapNone/>
                <wp:docPr id="47"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82745" cy="36004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jc w:val="center"/>
                              <w:rPr>
                                <w:rFonts w:ascii="Times New Roman" w:hAnsi="Times New Roman" w:cs="Times New Roman"/>
                                <w:sz w:val="28"/>
                                <w:szCs w:val="28"/>
                              </w:rPr>
                            </w:pPr>
                            <w:r>
                              <w:rPr>
                                <w:rFonts w:ascii="Times New Roman" w:hAnsi="Times New Roman" w:cs="Times New Roman"/>
                                <w:sz w:val="28"/>
                                <w:szCs w:val="28"/>
                              </w:rPr>
                              <w:t xml:space="preserve">Генотипирование </w:t>
                            </w:r>
                            <w:r>
                              <w:rPr>
                                <w:rFonts w:ascii="Times New Roman" w:hAnsi="Times New Roman" w:cs="Times New Roman"/>
                                <w:i/>
                                <w:sz w:val="28"/>
                                <w:szCs w:val="28"/>
                              </w:rPr>
                              <w:t xml:space="preserve">ADBR2 </w:t>
                            </w:r>
                            <w:r>
                              <w:rPr>
                                <w:rFonts w:ascii="Times New Roman" w:hAnsi="Times New Roman" w:cs="Times New Roman"/>
                                <w:sz w:val="28"/>
                                <w:szCs w:val="28"/>
                              </w:rPr>
                              <w:t>Gln27Glu (rs1042714)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059" style="position:absolute;left:0;text-align:left;margin-left:0;margin-top:7.15pt;width:329.35pt;height:28.35pt;z-index:251677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" fillcolor="#95b3d7 [1940]" strokecolor="#95b3d7 [1940]" strokeweight="1pt">
                <v:fill color2="#dbe5f1 [660]" angle="135" focus="50%" type="gradient"/>
                <v:shadow on="t" color="#243f60 [1604]" opacity=".5" offset="1pt"/>
                <v:path arrowok="t"/>
                <v:textbox>
                  <w:txbxContent>
                    <w:p w:rsidR="0041189E" w:rsidRDefault="0041189E" w:rsidP="00635AEF">
                      <w:pPr>
                        <w:jc w:val="center"/>
                        <w:rPr>
                          <w:rFonts w:ascii="Times New Roman" w:hAnsi="Times New Roman" w:cs="Times New Roman"/>
                          <w:sz w:val="28"/>
                          <w:szCs w:val="28"/>
                        </w:rPr>
                      </w:pPr>
                      <w:r>
                        <w:rPr>
                          <w:rFonts w:ascii="Times New Roman" w:hAnsi="Times New Roman" w:cs="Times New Roman"/>
                          <w:sz w:val="28"/>
                          <w:szCs w:val="28"/>
                        </w:rPr>
                        <w:t xml:space="preserve">Генотипирование </w:t>
                      </w:r>
                      <w:r>
                        <w:rPr>
                          <w:rFonts w:ascii="Times New Roman" w:hAnsi="Times New Roman" w:cs="Times New Roman"/>
                          <w:i/>
                          <w:sz w:val="28"/>
                          <w:szCs w:val="28"/>
                        </w:rPr>
                        <w:t xml:space="preserve">ADBR2 </w:t>
                      </w:r>
                      <w:r>
                        <w:rPr>
                          <w:rFonts w:ascii="Times New Roman" w:hAnsi="Times New Roman" w:cs="Times New Roman"/>
                          <w:sz w:val="28"/>
                          <w:szCs w:val="28"/>
                        </w:rPr>
                        <w:t>Gln27Glu (rs1042714)</w:t>
                      </w:r>
                    </w:p>
                  </w:txbxContent>
                </v:textbox>
                <w10:wrap anchorx="margin"/>
              </v:rect>
            </w:pict>
          </mc:Fallback>
        </mc:AlternateContent>
      </w:r>
      <w:r>
        <w:rPr>
          <w:noProof/>
        </w:rPr>
        <mc:AlternateContent>
          <mc:Choice Requires="wps">
            <w:drawing>
              <wp:anchor distT="0" distB="0" distL="114300" distR="114300" simplePos="0" relativeHeight="251686400" behindDoc="0" locked="0" layoutInCell="1" allowOverlap="1" wp14:anchorId="0EA5D6DD" wp14:editId="0B30995B">
                <wp:simplePos x="0" y="0"/>
                <wp:positionH relativeFrom="column">
                  <wp:posOffset>408305</wp:posOffset>
                </wp:positionH>
                <wp:positionV relativeFrom="paragraph">
                  <wp:posOffset>5577840</wp:posOffset>
                </wp:positionV>
                <wp:extent cx="1653540" cy="811530"/>
                <wp:effectExtent l="12065" t="6985" r="10795" b="29210"/>
                <wp:wrapNone/>
                <wp:docPr id="3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3540" cy="811530"/>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Наличие болезней системы кровообращения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60" style="position:absolute;left:0;text-align:left;margin-left:32.15pt;margin-top:439.2pt;width:130.2pt;height:63.9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" fillcolor="#d99594 [1941]" strokecolor="#d99594 [1941]" strokeweight="1pt">
                <v:fill color2="#f2dbdb [661]" angle="135" focus="50%" type="gradient"/>
                <v:shadow on="t" color="#622423 [1605]"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Наличие болезней системы кровообращения</w:t>
                      </w:r>
                    </w:p>
                  </w:txbxContent>
                </v:textbox>
              </v:rect>
            </w:pict>
          </mc:Fallback>
        </mc:AlternateContent>
      </w:r>
      <w:r>
        <w:rPr>
          <w:noProof/>
        </w:rPr>
        <mc:AlternateContent>
          <mc:Choice Requires="wps">
            <w:drawing>
              <wp:anchor distT="0" distB="0" distL="114300" distR="114300" simplePos="0" relativeHeight="251689472" behindDoc="0" locked="0" layoutInCell="1" allowOverlap="1" wp14:anchorId="6277ECF5" wp14:editId="2DCA55FC">
                <wp:simplePos x="0" y="0"/>
                <wp:positionH relativeFrom="column">
                  <wp:posOffset>1351915</wp:posOffset>
                </wp:positionH>
                <wp:positionV relativeFrom="paragraph">
                  <wp:posOffset>448945</wp:posOffset>
                </wp:positionV>
                <wp:extent cx="563880" cy="462280"/>
                <wp:effectExtent l="50800" t="12065" r="13970" b="49530"/>
                <wp:wrapNone/>
                <wp:docPr id="28"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63880" cy="4622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3" o:spid="_x0000_s1026" type="#_x0000_t32" style="position:absolute;margin-left:106.45pt;margin-top:35.35pt;width:44.4pt;height:36.4pt;flip:x;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">
                <v:stroke endarrow="block"/>
                <o:lock v:ext="edit" shapetype="f"/>
              </v:shape>
            </w:pict>
          </mc:Fallback>
        </mc:AlternateContent>
      </w:r>
      <w:r>
        <w:rPr>
          <w:noProof/>
        </w:rPr>
        <mc:AlternateContent>
          <mc:Choice Requires="wps">
            <w:drawing>
              <wp:anchor distT="0" distB="0" distL="114300" distR="114300" simplePos="0" relativeHeight="251692544" behindDoc="0" locked="0" layoutInCell="1" allowOverlap="1" wp14:anchorId="46517C5D" wp14:editId="3F1CD121">
                <wp:simplePos x="0" y="0"/>
                <wp:positionH relativeFrom="column">
                  <wp:posOffset>1235075</wp:posOffset>
                </wp:positionH>
                <wp:positionV relativeFrom="paragraph">
                  <wp:posOffset>1237615</wp:posOffset>
                </wp:positionV>
                <wp:extent cx="635" cy="431800"/>
                <wp:effectExtent l="57785" t="10160" r="55880" b="15240"/>
                <wp:wrapNone/>
                <wp:docPr id="25"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31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6" o:spid="_x0000_s1026" type="#_x0000_t32" style="position:absolute;margin-left:97.25pt;margin-top:97.45pt;width:.05pt;height:34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">
                <v:stroke endarrow="block"/>
                <o:lock v:ext="edit" shapetype="f"/>
              </v:shape>
            </w:pict>
          </mc:Fallback>
        </mc:AlternateContent>
      </w:r>
      <w:r>
        <w:rPr>
          <w:noProof/>
        </w:rPr>
        <mc:AlternateContent>
          <mc:Choice Requires="wps">
            <w:drawing>
              <wp:anchor distT="0" distB="0" distL="114293" distR="114293" simplePos="0" relativeHeight="251698688" behindDoc="0" locked="0" layoutInCell="1" allowOverlap="1" wp14:anchorId="43989923" wp14:editId="5037B8F1">
                <wp:simplePos x="0" y="0"/>
                <wp:positionH relativeFrom="column">
                  <wp:posOffset>1235710</wp:posOffset>
                </wp:positionH>
                <wp:positionV relativeFrom="paragraph">
                  <wp:posOffset>5076190</wp:posOffset>
                </wp:positionV>
                <wp:extent cx="0" cy="505460"/>
                <wp:effectExtent l="58420" t="10160" r="55880" b="17780"/>
                <wp:wrapNone/>
                <wp:docPr id="19"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054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2" o:spid="_x0000_s1026" type="#_x0000_t32" style="position:absolute;margin-left:97.3pt;margin-top:399.7pt;width:0;height:39.8pt;z-index:251698688;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">
                <v:stroke endarrow="block"/>
                <o:lock v:ext="edit" shapetype="f"/>
              </v:shape>
            </w:pict>
          </mc:Fallback>
        </mc:AlternateContent>
      </w:r>
      <w:r>
        <w:rPr>
          <w:noProof/>
        </w:rPr>
        <mc:AlternateContent>
          <mc:Choice Requires="wps">
            <w:drawing>
              <wp:anchor distT="0" distB="0" distL="114293" distR="114293" simplePos="0" relativeHeight="251701760" behindDoc="0" locked="0" layoutInCell="1" allowOverlap="1" wp14:anchorId="04BEDE9B" wp14:editId="296E86C0">
                <wp:simplePos x="0" y="0"/>
                <wp:positionH relativeFrom="column">
                  <wp:posOffset>1915795</wp:posOffset>
                </wp:positionH>
                <wp:positionV relativeFrom="paragraph">
                  <wp:posOffset>3606800</wp:posOffset>
                </wp:positionV>
                <wp:extent cx="0" cy="287655"/>
                <wp:effectExtent l="52705" t="7620" r="61595" b="19050"/>
                <wp:wrapNone/>
                <wp:docPr id="16" name="AutoShap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876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5" o:spid="_x0000_s1026" type="#_x0000_t32" style="position:absolute;margin-left:150.85pt;margin-top:284pt;width:0;height:22.65pt;z-index:251701760;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">
                <v:stroke endarrow="block"/>
                <o:lock v:ext="edit" shapetype="f"/>
              </v:shape>
            </w:pict>
          </mc:Fallback>
        </mc:AlternateContent>
      </w:r>
      <w:r>
        <w:rPr>
          <w:noProof/>
        </w:rPr>
        <mc:AlternateContent>
          <mc:Choice Requires="wps">
            <w:drawing>
              <wp:anchor distT="0" distB="0" distL="114300" distR="114300" simplePos="0" relativeHeight="251703808" behindDoc="0" locked="0" layoutInCell="1" allowOverlap="1" wp14:anchorId="10342E33" wp14:editId="3CDD01B7">
                <wp:simplePos x="0" y="0"/>
                <wp:positionH relativeFrom="column">
                  <wp:posOffset>2266315</wp:posOffset>
                </wp:positionH>
                <wp:positionV relativeFrom="paragraph">
                  <wp:posOffset>5577840</wp:posOffset>
                </wp:positionV>
                <wp:extent cx="1700530" cy="811530"/>
                <wp:effectExtent l="12700" t="6985" r="10795" b="29210"/>
                <wp:wrapNone/>
                <wp:docPr id="14"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0530" cy="81153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41189E" w:rsidRDefault="0041189E" w:rsidP="00635AEF">
                            <w:r>
                              <w:rPr>
                                <w:rFonts w:ascii="Times New Roman" w:hAnsi="Times New Roman" w:cs="Times New Roman"/>
                                <w:sz w:val="28"/>
                                <w:szCs w:val="28"/>
                              </w:rPr>
                              <w:t>Отсутствие болезней системы кровообращения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 o:spid="_x0000_s1061" style="position:absolute;left:0;text-align:left;margin-left:178.45pt;margin-top:439.2pt;width:133.9pt;height:63.9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" fillcolor="#c2d69b [1942]" strokecolor="#c2d69b [1942]" strokeweight="1pt">
                <v:fill color2="#eaf1dd [662]" angle="135" focus="50%" type="gradient"/>
                <v:shadow on="t" color="#4e6128 [1606]" opacity=".5" offset="1pt"/>
                <v:path arrowok="t"/>
                <v:textbox>
                  <w:txbxContent>
                    <w:p w:rsidR="0041189E" w:rsidRDefault="0041189E" w:rsidP="00635AEF">
                      <w:r>
                        <w:rPr>
                          <w:rFonts w:ascii="Times New Roman" w:hAnsi="Times New Roman" w:cs="Times New Roman"/>
                          <w:sz w:val="28"/>
                          <w:szCs w:val="28"/>
                        </w:rPr>
                        <w:t>Отсутствие болезней системы кровообращения</w:t>
                      </w:r>
                    </w:p>
                  </w:txbxContent>
                </v:textbox>
              </v:rect>
            </w:pict>
          </mc:Fallback>
        </mc:AlternateContent>
      </w:r>
      <w:r>
        <w:rPr>
          <w:noProof/>
        </w:rPr>
        <mc:AlternateContent>
          <mc:Choice Requires="wps">
            <w:drawing>
              <wp:anchor distT="0" distB="0" distL="114293" distR="114293" simplePos="0" relativeHeight="251704832" behindDoc="0" locked="0" layoutInCell="1" allowOverlap="1" wp14:anchorId="0597A340" wp14:editId="255E7298">
                <wp:simplePos x="0" y="0"/>
                <wp:positionH relativeFrom="column">
                  <wp:posOffset>2995930</wp:posOffset>
                </wp:positionH>
                <wp:positionV relativeFrom="paragraph">
                  <wp:posOffset>5080000</wp:posOffset>
                </wp:positionV>
                <wp:extent cx="0" cy="501650"/>
                <wp:effectExtent l="56515" t="13970" r="57785" b="17780"/>
                <wp:wrapNone/>
                <wp:docPr id="13"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01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56FFDE" id="AutoShape 98" o:spid="_x0000_s1026" type="#_x0000_t32" style="position:absolute;margin-left:235.9pt;margin-top:400pt;width:0;height:39.5pt;z-index:251704832;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">
                <v:stroke endarrow="block"/>
                <o:lock v:ext="edit" shapetype="f"/>
              </v:shape>
            </w:pict>
          </mc:Fallback>
        </mc:AlternateContent>
      </w:r>
      <w:r>
        <w:rPr>
          <w:noProof/>
        </w:rPr>
        <mc:AlternateContent>
          <mc:Choice Requires="wps">
            <w:drawing>
              <wp:anchor distT="0" distB="0" distL="114300" distR="114300" simplePos="0" relativeHeight="251705856" behindDoc="0" locked="0" layoutInCell="1" allowOverlap="1" wp14:anchorId="335EE85E" wp14:editId="5B052BFF">
                <wp:simplePos x="0" y="0"/>
                <wp:positionH relativeFrom="column">
                  <wp:posOffset>3966845</wp:posOffset>
                </wp:positionH>
                <wp:positionV relativeFrom="paragraph">
                  <wp:posOffset>5861050</wp:posOffset>
                </wp:positionV>
                <wp:extent cx="565785" cy="635"/>
                <wp:effectExtent l="8255" t="52070" r="16510" b="61595"/>
                <wp:wrapNone/>
                <wp:docPr id="12"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6578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7B3AA2" id="AutoShape 99" o:spid="_x0000_s1026" type="#_x0000_t32" style="position:absolute;margin-left:312.35pt;margin-top:461.5pt;width:44.55pt;height:.0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">
                <v:stroke endarrow="block"/>
                <o:lock v:ext="edit" shapetype="f"/>
              </v:shape>
            </w:pict>
          </mc:Fallback>
        </mc:AlternateContent>
      </w:r>
    </w:p>
    <w:p w:rsidR="00635AEF" w:rsidRDefault="00ED0D78"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91520" behindDoc="0" locked="0" layoutInCell="1" allowOverlap="1" wp14:anchorId="7075CB46" wp14:editId="72041D02">
                <wp:simplePos x="0" y="0"/>
                <wp:positionH relativeFrom="column">
                  <wp:posOffset>4399280</wp:posOffset>
                </wp:positionH>
                <wp:positionV relativeFrom="paragraph">
                  <wp:posOffset>159385</wp:posOffset>
                </wp:positionV>
                <wp:extent cx="621665" cy="452755"/>
                <wp:effectExtent l="0" t="0" r="83185" b="61595"/>
                <wp:wrapNone/>
                <wp:docPr id="26"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21665" cy="452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5" o:spid="_x0000_s1026" type="#_x0000_t32" style="position:absolute;margin-left:346.4pt;margin-top:12.55pt;width:48.95pt;height:35.6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">
                <v:stroke endarrow="block"/>
                <o:lock v:ext="edit" shapetype="f"/>
              </v:shape>
            </w:pict>
          </mc:Fallback>
        </mc:AlternateContent>
      </w:r>
      <w:r>
        <w:rPr>
          <w:noProof/>
        </w:rPr>
        <mc:AlternateContent>
          <mc:Choice Requires="wps">
            <w:drawing>
              <wp:anchor distT="0" distB="0" distL="114300" distR="114300" simplePos="0" relativeHeight="251690496" behindDoc="0" locked="0" layoutInCell="1" allowOverlap="1" wp14:anchorId="22D9DB2D" wp14:editId="1ABA1428">
                <wp:simplePos x="0" y="0"/>
                <wp:positionH relativeFrom="column">
                  <wp:posOffset>3051810</wp:posOffset>
                </wp:positionH>
                <wp:positionV relativeFrom="paragraph">
                  <wp:posOffset>154940</wp:posOffset>
                </wp:positionV>
                <wp:extent cx="635" cy="452755"/>
                <wp:effectExtent l="76200" t="0" r="75565" b="61595"/>
                <wp:wrapNone/>
                <wp:docPr id="27"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52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4" o:spid="_x0000_s1026" type="#_x0000_t32" style="position:absolute;margin-left:240.3pt;margin-top:12.2pt;width:.05pt;height:35.6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">
                <v:stroke endarrow="block"/>
                <o:lock v:ext="edit" shapetype="f"/>
              </v:shape>
            </w:pict>
          </mc:Fallback>
        </mc:AlternateContent>
      </w:r>
    </w:p>
    <w:p w:rsidR="00635AEF" w:rsidRDefault="00ED0D78"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76160" behindDoc="0" locked="0" layoutInCell="1" allowOverlap="1" wp14:anchorId="6FA40EF5" wp14:editId="03DEB156">
                <wp:simplePos x="0" y="0"/>
                <wp:positionH relativeFrom="column">
                  <wp:posOffset>4748530</wp:posOffset>
                </wp:positionH>
                <wp:positionV relativeFrom="paragraph">
                  <wp:posOffset>299720</wp:posOffset>
                </wp:positionV>
                <wp:extent cx="583565" cy="332105"/>
                <wp:effectExtent l="0" t="0" r="45085" b="48895"/>
                <wp:wrapNone/>
                <wp:docPr id="54"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3565" cy="33210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rPr>
                                <w:rFonts w:ascii="Times New Roman" w:hAnsi="Times New Roman" w:cs="Times New Roman"/>
                                <w:b/>
                                <w:sz w:val="28"/>
                                <w:szCs w:val="28"/>
                                <w:lang w:val="en-US"/>
                              </w:rPr>
                            </w:pPr>
                            <w:r>
                              <w:rPr>
                                <w:rFonts w:ascii="Times New Roman" w:hAnsi="Times New Roman" w:cs="Times New Roman"/>
                                <w:b/>
                                <w:sz w:val="28"/>
                                <w:szCs w:val="28"/>
                                <w:lang w:val="en-US"/>
                              </w:rPr>
                              <w:t>GG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 o:spid="_x0000_s1062" style="position:absolute;left:0;text-align:left;margin-left:373.9pt;margin-top:23.6pt;width:45.95pt;height:26.1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" fillcolor="#95b3d7 [1940]" strokecolor="#95b3d7 [1940]" strokeweight="1pt">
                <v:fill color2="#dbe5f1 [660]" angle="135" focus="50%" type="gradient"/>
                <v:shadow on="t" color="#243f60 [1604]" opacity=".5" offset="1pt"/>
                <v:path arrowok="t"/>
                <v:textbox>
                  <w:txbxContent>
                    <w:p w:rsidR="0041189E" w:rsidRDefault="0041189E" w:rsidP="00635AEF">
                      <w:pPr>
                        <w:rPr>
                          <w:rFonts w:ascii="Times New Roman" w:hAnsi="Times New Roman" w:cs="Times New Roman"/>
                          <w:b/>
                          <w:sz w:val="28"/>
                          <w:szCs w:val="28"/>
                          <w:lang w:val="en-US"/>
                        </w:rPr>
                      </w:pPr>
                      <w:r>
                        <w:rPr>
                          <w:rFonts w:ascii="Times New Roman" w:hAnsi="Times New Roman" w:cs="Times New Roman"/>
                          <w:b/>
                          <w:sz w:val="28"/>
                          <w:szCs w:val="28"/>
                          <w:lang w:val="en-US"/>
                        </w:rPr>
                        <w:t>GG</w:t>
                      </w:r>
                    </w:p>
                  </w:txbxContent>
                </v:textbox>
              </v:rect>
            </w:pict>
          </mc:Fallback>
        </mc:AlternateContent>
      </w:r>
      <w:r>
        <w:rPr>
          <w:noProof/>
        </w:rPr>
        <mc:AlternateContent>
          <mc:Choice Requires="wps">
            <w:drawing>
              <wp:anchor distT="0" distB="0" distL="114300" distR="114300" simplePos="0" relativeHeight="251675136" behindDoc="0" locked="0" layoutInCell="1" allowOverlap="1" wp14:anchorId="1145EC1D" wp14:editId="427FCD08">
                <wp:simplePos x="0" y="0"/>
                <wp:positionH relativeFrom="column">
                  <wp:posOffset>2815590</wp:posOffset>
                </wp:positionH>
                <wp:positionV relativeFrom="paragraph">
                  <wp:posOffset>282575</wp:posOffset>
                </wp:positionV>
                <wp:extent cx="496570" cy="332105"/>
                <wp:effectExtent l="0" t="0" r="36830" b="48895"/>
                <wp:wrapNone/>
                <wp:docPr id="5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6570" cy="33210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rPr>
                                <w:rFonts w:ascii="Times New Roman" w:hAnsi="Times New Roman" w:cs="Times New Roman"/>
                                <w:sz w:val="28"/>
                                <w:szCs w:val="28"/>
                                <w:lang w:val="en-US"/>
                              </w:rPr>
                            </w:pPr>
                            <w:r>
                              <w:rPr>
                                <w:rFonts w:ascii="Times New Roman" w:hAnsi="Times New Roman" w:cs="Times New Roman"/>
                                <w:b/>
                                <w:sz w:val="28"/>
                                <w:szCs w:val="28"/>
                                <w:lang w:val="en-US"/>
                              </w:rPr>
                              <w:t>CG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63" style="position:absolute;left:0;text-align:left;margin-left:221.7pt;margin-top:22.25pt;width:39.1pt;height:26.1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" fillcolor="#95b3d7 [1940]" strokecolor="#95b3d7 [1940]" strokeweight="1pt">
                <v:fill color2="#dbe5f1 [660]" angle="135" focus="50%" type="gradient"/>
                <v:shadow on="t" color="#243f60 [1604]" opacity=".5" offset="1pt"/>
                <v:path arrowok="t"/>
                <v:textbox>
                  <w:txbxContent>
                    <w:p w:rsidR="0041189E" w:rsidRDefault="0041189E" w:rsidP="00635AEF">
                      <w:pPr>
                        <w:rPr>
                          <w:rFonts w:ascii="Times New Roman" w:hAnsi="Times New Roman" w:cs="Times New Roman"/>
                          <w:sz w:val="28"/>
                          <w:szCs w:val="28"/>
                          <w:lang w:val="en-US"/>
                        </w:rPr>
                      </w:pPr>
                      <w:r>
                        <w:rPr>
                          <w:rFonts w:ascii="Times New Roman" w:hAnsi="Times New Roman" w:cs="Times New Roman"/>
                          <w:b/>
                          <w:sz w:val="28"/>
                          <w:szCs w:val="28"/>
                          <w:lang w:val="en-US"/>
                        </w:rPr>
                        <w:t>CG</w:t>
                      </w:r>
                    </w:p>
                  </w:txbxContent>
                </v:textbox>
              </v:rect>
            </w:pict>
          </mc:Fallback>
        </mc:AlternateContent>
      </w:r>
      <w:r w:rsidR="00DC0D82">
        <w:rPr>
          <w:noProof/>
        </w:rPr>
        <mc:AlternateContent>
          <mc:Choice Requires="wps">
            <w:drawing>
              <wp:anchor distT="0" distB="0" distL="114300" distR="114300" simplePos="0" relativeHeight="251674112" behindDoc="0" locked="0" layoutInCell="1" allowOverlap="1" wp14:anchorId="3BE98419" wp14:editId="087D84E8">
                <wp:simplePos x="0" y="0"/>
                <wp:positionH relativeFrom="column">
                  <wp:posOffset>852146</wp:posOffset>
                </wp:positionH>
                <wp:positionV relativeFrom="paragraph">
                  <wp:posOffset>295910</wp:posOffset>
                </wp:positionV>
                <wp:extent cx="604520" cy="332105"/>
                <wp:effectExtent l="0" t="0" r="43180" b="48895"/>
                <wp:wrapNone/>
                <wp:docPr id="10"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4520" cy="33210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rPr>
                                <w:rFonts w:ascii="Times New Roman" w:hAnsi="Times New Roman" w:cs="Times New Roman"/>
                                <w:b/>
                                <w:sz w:val="24"/>
                                <w:szCs w:val="24"/>
                              </w:rPr>
                            </w:pPr>
                            <w:r>
                              <w:rPr>
                                <w:rFonts w:ascii="Times New Roman" w:hAnsi="Times New Roman" w:cs="Times New Roman"/>
                                <w:b/>
                                <w:sz w:val="28"/>
                                <w:szCs w:val="28"/>
                              </w:rPr>
                              <w:t>СС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 o:spid="_x0000_s1064" style="position:absolute;left:0;text-align:left;margin-left:67.1pt;margin-top:23.3pt;width:47.6pt;height:26.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" fillcolor="#95b3d7 [1940]" strokecolor="#95b3d7 [1940]" strokeweight="1pt">
                <v:fill color2="#dbe5f1 [660]" angle="135" focus="50%" type="gradient"/>
                <v:shadow on="t" color="#243f60 [1604]" opacity=".5" offset="1pt"/>
                <v:path arrowok="t"/>
                <v:textbox>
                  <w:txbxContent>
                    <w:p w:rsidR="0041189E" w:rsidRDefault="0041189E" w:rsidP="00635AEF">
                      <w:pPr>
                        <w:rPr>
                          <w:rFonts w:ascii="Times New Roman" w:hAnsi="Times New Roman" w:cs="Times New Roman"/>
                          <w:b/>
                          <w:sz w:val="24"/>
                          <w:szCs w:val="24"/>
                        </w:rPr>
                      </w:pPr>
                      <w:r>
                        <w:rPr>
                          <w:rFonts w:ascii="Times New Roman" w:hAnsi="Times New Roman" w:cs="Times New Roman"/>
                          <w:b/>
                          <w:sz w:val="28"/>
                          <w:szCs w:val="28"/>
                        </w:rPr>
                        <w:t>СС</w:t>
                      </w:r>
                    </w:p>
                  </w:txbxContent>
                </v:textbox>
              </v:rect>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ED0D78"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94592" behindDoc="0" locked="0" layoutInCell="1" allowOverlap="1" wp14:anchorId="5260793E" wp14:editId="5A182BDE">
                <wp:simplePos x="0" y="0"/>
                <wp:positionH relativeFrom="column">
                  <wp:posOffset>5033645</wp:posOffset>
                </wp:positionH>
                <wp:positionV relativeFrom="paragraph">
                  <wp:posOffset>14605</wp:posOffset>
                </wp:positionV>
                <wp:extent cx="635" cy="431800"/>
                <wp:effectExtent l="76200" t="0" r="75565" b="63500"/>
                <wp:wrapNone/>
                <wp:docPr id="23"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31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8" o:spid="_x0000_s1026" type="#_x0000_t32" style="position:absolute;margin-left:396.35pt;margin-top:1.15pt;width:.05pt;height:34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">
                <v:stroke endarrow="block"/>
                <o:lock v:ext="edit" shapetype="f"/>
              </v:shape>
            </w:pict>
          </mc:Fallback>
        </mc:AlternateContent>
      </w:r>
      <w:r>
        <w:rPr>
          <w:noProof/>
        </w:rPr>
        <mc:AlternateContent>
          <mc:Choice Requires="wps">
            <w:drawing>
              <wp:anchor distT="0" distB="0" distL="114300" distR="114300" simplePos="0" relativeHeight="251693568" behindDoc="0" locked="0" layoutInCell="1" allowOverlap="1" wp14:anchorId="6C57D683" wp14:editId="00CD4AE4">
                <wp:simplePos x="0" y="0"/>
                <wp:positionH relativeFrom="column">
                  <wp:posOffset>3054985</wp:posOffset>
                </wp:positionH>
                <wp:positionV relativeFrom="paragraph">
                  <wp:posOffset>14605</wp:posOffset>
                </wp:positionV>
                <wp:extent cx="635" cy="431800"/>
                <wp:effectExtent l="76200" t="0" r="75565" b="63500"/>
                <wp:wrapNone/>
                <wp:docPr id="24"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431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7" o:spid="_x0000_s1026" type="#_x0000_t32" style="position:absolute;margin-left:240.55pt;margin-top:1.15pt;width:.05pt;height:34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">
                <v:stroke endarrow="block"/>
                <o:lock v:ext="edit" shapetype="f"/>
              </v:shape>
            </w:pict>
          </mc:Fallback>
        </mc:AlternateContent>
      </w:r>
    </w:p>
    <w:p w:rsidR="00635AEF" w:rsidRDefault="006F3878"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79232" behindDoc="0" locked="0" layoutInCell="1" allowOverlap="1" wp14:anchorId="5EBEC480" wp14:editId="57853AC4">
                <wp:simplePos x="0" y="0"/>
                <wp:positionH relativeFrom="column">
                  <wp:posOffset>2483485</wp:posOffset>
                </wp:positionH>
                <wp:positionV relativeFrom="paragraph">
                  <wp:posOffset>142240</wp:posOffset>
                </wp:positionV>
                <wp:extent cx="1351280" cy="1069975"/>
                <wp:effectExtent l="0" t="0" r="39370" b="53975"/>
                <wp:wrapNone/>
                <wp:docPr id="41"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1280" cy="1069975"/>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41189E" w:rsidRDefault="0041189E" w:rsidP="00635AEF">
                            <w:pPr>
                              <w:jc w:val="center"/>
                              <w:rPr>
                                <w:rFonts w:ascii="Times New Roman" w:hAnsi="Times New Roman" w:cs="Times New Roman"/>
                                <w:sz w:val="28"/>
                                <w:szCs w:val="24"/>
                              </w:rPr>
                            </w:pPr>
                            <w:r>
                              <w:rPr>
                                <w:rFonts w:ascii="Times New Roman" w:hAnsi="Times New Roman" w:cs="Times New Roman"/>
                                <w:sz w:val="28"/>
                                <w:szCs w:val="24"/>
                              </w:rPr>
                              <w:t>Повышенный риск гипертриглицеридемии</w:t>
                            </w:r>
                          </w:p>
                          <w:p w:rsidR="0041189E" w:rsidRDefault="0041189E" w:rsidP="00635A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65" style="position:absolute;left:0;text-align:left;margin-left:195.55pt;margin-top:11.2pt;width:106.4pt;height:84.2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" fillcolor="#d99594 [1941]" strokecolor="#d99594 [1941]" strokeweight="1pt">
                <v:fill color2="#f2dbdb [661]" angle="135" focus="50%" type="gradient"/>
                <v:shadow on="t" color="#622423 [1605]" opacity=".5" offset="1pt"/>
                <v:path arrowok="t"/>
                <v:textbox>
                  <w:txbxContent>
                    <w:p w:rsidR="0041189E" w:rsidRDefault="0041189E" w:rsidP="00635AEF">
                      <w:pPr>
                        <w:jc w:val="center"/>
                        <w:rPr>
                          <w:rFonts w:ascii="Times New Roman" w:hAnsi="Times New Roman" w:cs="Times New Roman"/>
                          <w:sz w:val="28"/>
                          <w:szCs w:val="24"/>
                        </w:rPr>
                      </w:pPr>
                      <w:r>
                        <w:rPr>
                          <w:rFonts w:ascii="Times New Roman" w:hAnsi="Times New Roman" w:cs="Times New Roman"/>
                          <w:sz w:val="28"/>
                          <w:szCs w:val="24"/>
                        </w:rPr>
                        <w:t>Повышенный риск гипертриглицеридемии</w:t>
                      </w:r>
                    </w:p>
                    <w:p w:rsidR="0041189E" w:rsidRDefault="0041189E" w:rsidP="00635AEF"/>
                  </w:txbxContent>
                </v:textbox>
              </v:rect>
            </w:pict>
          </mc:Fallback>
        </mc:AlternateContent>
      </w:r>
      <w:r w:rsidR="00ED0D78">
        <w:rPr>
          <w:noProof/>
        </w:rPr>
        <mc:AlternateContent>
          <mc:Choice Requires="wps">
            <w:drawing>
              <wp:anchor distT="0" distB="0" distL="114300" distR="114300" simplePos="0" relativeHeight="251678208" behindDoc="0" locked="0" layoutInCell="1" allowOverlap="1" wp14:anchorId="2D2C5575" wp14:editId="18D744B2">
                <wp:simplePos x="0" y="0"/>
                <wp:positionH relativeFrom="column">
                  <wp:posOffset>4350385</wp:posOffset>
                </wp:positionH>
                <wp:positionV relativeFrom="paragraph">
                  <wp:posOffset>133985</wp:posOffset>
                </wp:positionV>
                <wp:extent cx="1351915" cy="1069975"/>
                <wp:effectExtent l="0" t="0" r="38735" b="53975"/>
                <wp:wrapNone/>
                <wp:docPr id="4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1915" cy="106997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41189E" w:rsidRDefault="0041189E" w:rsidP="00635AEF">
                            <w:pPr>
                              <w:jc w:val="center"/>
                              <w:rPr>
                                <w:rFonts w:ascii="Times New Roman" w:hAnsi="Times New Roman" w:cs="Times New Roman"/>
                                <w:sz w:val="28"/>
                                <w:szCs w:val="24"/>
                              </w:rPr>
                            </w:pPr>
                            <w:r>
                              <w:rPr>
                                <w:rFonts w:ascii="Times New Roman" w:hAnsi="Times New Roman" w:cs="Times New Roman"/>
                                <w:sz w:val="28"/>
                                <w:szCs w:val="24"/>
                              </w:rPr>
                              <w:t>Пониженный риск гипертриглицеридемии</w:t>
                            </w:r>
                          </w:p>
                          <w:p w:rsidR="0041189E" w:rsidRDefault="0041189E" w:rsidP="00635A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 o:spid="_x0000_s1066" style="position:absolute;left:0;text-align:left;margin-left:342.55pt;margin-top:10.55pt;width:106.45pt;height:84.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" fillcolor="#c2d69b [1942]" strokecolor="#c2d69b [1942]" strokeweight="1pt">
                <v:fill color2="#eaf1dd [662]" angle="135" focus="50%" type="gradient"/>
                <v:shadow on="t" color="#4e6128 [1606]" opacity=".5" offset="1pt"/>
                <v:path arrowok="t"/>
                <v:textbox>
                  <w:txbxContent>
                    <w:p w:rsidR="0041189E" w:rsidRDefault="0041189E" w:rsidP="00635AEF">
                      <w:pPr>
                        <w:jc w:val="center"/>
                        <w:rPr>
                          <w:rFonts w:ascii="Times New Roman" w:hAnsi="Times New Roman" w:cs="Times New Roman"/>
                          <w:sz w:val="28"/>
                          <w:szCs w:val="24"/>
                        </w:rPr>
                      </w:pPr>
                      <w:r>
                        <w:rPr>
                          <w:rFonts w:ascii="Times New Roman" w:hAnsi="Times New Roman" w:cs="Times New Roman"/>
                          <w:sz w:val="28"/>
                          <w:szCs w:val="24"/>
                        </w:rPr>
                        <w:t>Пониженный риск гипертриглицеридемии</w:t>
                      </w:r>
                    </w:p>
                    <w:p w:rsidR="0041189E" w:rsidRDefault="0041189E" w:rsidP="00635AEF"/>
                  </w:txbxContent>
                </v:textbox>
              </v:rect>
            </w:pict>
          </mc:Fallback>
        </mc:AlternateContent>
      </w:r>
      <w:r w:rsidR="00ED0D78">
        <w:rPr>
          <w:noProof/>
        </w:rPr>
        <mc:AlternateContent>
          <mc:Choice Requires="wps">
            <w:drawing>
              <wp:anchor distT="0" distB="0" distL="114300" distR="114300" simplePos="0" relativeHeight="251680256" behindDoc="0" locked="0" layoutInCell="1" allowOverlap="1" wp14:anchorId="15731651" wp14:editId="7B2BD6FF">
                <wp:simplePos x="0" y="0"/>
                <wp:positionH relativeFrom="column">
                  <wp:posOffset>398780</wp:posOffset>
                </wp:positionH>
                <wp:positionV relativeFrom="paragraph">
                  <wp:posOffset>133985</wp:posOffset>
                </wp:positionV>
                <wp:extent cx="1361440" cy="1069975"/>
                <wp:effectExtent l="0" t="0" r="29210" b="53975"/>
                <wp:wrapNone/>
                <wp:docPr id="40"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1440" cy="1069975"/>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41189E" w:rsidRDefault="0041189E" w:rsidP="00635AEF">
                            <w:pPr>
                              <w:jc w:val="center"/>
                              <w:rPr>
                                <w:rFonts w:ascii="Times New Roman" w:hAnsi="Times New Roman" w:cs="Times New Roman"/>
                                <w:sz w:val="28"/>
                                <w:szCs w:val="24"/>
                              </w:rPr>
                            </w:pPr>
                            <w:r>
                              <w:rPr>
                                <w:rFonts w:ascii="Times New Roman" w:hAnsi="Times New Roman" w:cs="Times New Roman"/>
                                <w:sz w:val="28"/>
                                <w:szCs w:val="24"/>
                              </w:rPr>
                              <w:t>Повышенный риск гипертриглицеридемии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 o:spid="_x0000_s1067" style="position:absolute;left:0;text-align:left;margin-left:31.4pt;margin-top:10.55pt;width:107.2pt;height:84.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" fillcolor="#d99594 [1941]" strokecolor="#d99594 [1941]" strokeweight="1pt">
                <v:fill color2="#f2dbdb [661]" angle="135" focus="50%" type="gradient"/>
                <v:shadow on="t" color="#622423 [1605]" opacity=".5" offset="1pt"/>
                <v:path arrowok="t"/>
                <v:textbox>
                  <w:txbxContent>
                    <w:p w:rsidR="0041189E" w:rsidRDefault="0041189E" w:rsidP="00635AEF">
                      <w:pPr>
                        <w:jc w:val="center"/>
                        <w:rPr>
                          <w:rFonts w:ascii="Times New Roman" w:hAnsi="Times New Roman" w:cs="Times New Roman"/>
                          <w:sz w:val="28"/>
                          <w:szCs w:val="24"/>
                        </w:rPr>
                      </w:pPr>
                      <w:r>
                        <w:rPr>
                          <w:rFonts w:ascii="Times New Roman" w:hAnsi="Times New Roman" w:cs="Times New Roman"/>
                          <w:sz w:val="28"/>
                          <w:szCs w:val="24"/>
                        </w:rPr>
                        <w:t>Повышенный риск гипертриглицеридемии</w:t>
                      </w:r>
                    </w:p>
                  </w:txbxContent>
                </v:textbox>
              </v:rect>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F3878"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8"/>
        <w:jc w:val="both"/>
        <w:rPr>
          <w:rFonts w:ascii="Times New Roman" w:hAnsi="Times New Roman" w:cs="Times New Roman"/>
          <w:b/>
          <w:bCs/>
          <w:sz w:val="28"/>
          <w:szCs w:val="28"/>
        </w:rPr>
      </w:pPr>
      <w:r>
        <w:rPr>
          <w:noProof/>
        </w:rPr>
        <mc:AlternateContent>
          <mc:Choice Requires="wps">
            <w:drawing>
              <wp:anchor distT="0" distB="0" distL="114293" distR="114293" simplePos="0" relativeHeight="251696640" behindDoc="0" locked="0" layoutInCell="1" allowOverlap="1" wp14:anchorId="5BE3EFF8" wp14:editId="5279D655">
                <wp:simplePos x="0" y="0"/>
                <wp:positionH relativeFrom="column">
                  <wp:posOffset>3093085</wp:posOffset>
                </wp:positionH>
                <wp:positionV relativeFrom="paragraph">
                  <wp:posOffset>280670</wp:posOffset>
                </wp:positionV>
                <wp:extent cx="0" cy="549910"/>
                <wp:effectExtent l="76200" t="0" r="57150" b="59690"/>
                <wp:wrapNone/>
                <wp:docPr id="21"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49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 o:spid="_x0000_s1026" type="#_x0000_t32" style="position:absolute;margin-left:243.55pt;margin-top:22.1pt;width:0;height:43.3pt;z-index:251696640;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">
                <v:stroke endarrow="block"/>
                <o:lock v:ext="edit" shapetype="f"/>
              </v:shape>
            </w:pict>
          </mc:Fallback>
        </mc:AlternateContent>
      </w:r>
      <w:r w:rsidR="00ED0D78">
        <w:rPr>
          <w:noProof/>
        </w:rPr>
        <mc:AlternateContent>
          <mc:Choice Requires="wps">
            <w:drawing>
              <wp:anchor distT="0" distB="0" distL="114293" distR="114293" simplePos="0" relativeHeight="251695616" behindDoc="0" locked="0" layoutInCell="1" allowOverlap="1" wp14:anchorId="27206188" wp14:editId="204A7267">
                <wp:simplePos x="0" y="0"/>
                <wp:positionH relativeFrom="column">
                  <wp:posOffset>974725</wp:posOffset>
                </wp:positionH>
                <wp:positionV relativeFrom="paragraph">
                  <wp:posOffset>295910</wp:posOffset>
                </wp:positionV>
                <wp:extent cx="0" cy="549910"/>
                <wp:effectExtent l="76200" t="0" r="57150" b="59690"/>
                <wp:wrapNone/>
                <wp:docPr id="22" name="AutoShap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49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 o:spid="_x0000_s1026" type="#_x0000_t32" style="position:absolute;margin-left:76.75pt;margin-top:23.3pt;width:0;height:43.3pt;z-index:251695616;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">
                <v:stroke endarrow="block"/>
                <o:lock v:ext="edit" shapetype="f"/>
              </v:shape>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8"/>
        <w:jc w:val="both"/>
        <w:rPr>
          <w:rFonts w:ascii="Times New Roman" w:hAnsi="Times New Roman" w:cs="Times New Roman"/>
          <w:b/>
          <w:bCs/>
          <w:sz w:val="28"/>
          <w:szCs w:val="28"/>
        </w:rPr>
      </w:pPr>
    </w:p>
    <w:p w:rsidR="00635AEF" w:rsidRDefault="00ED0D78"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8"/>
        <w:jc w:val="both"/>
        <w:rPr>
          <w:rFonts w:ascii="Times New Roman" w:hAnsi="Times New Roman" w:cs="Times New Roman"/>
          <w:b/>
          <w:bCs/>
          <w:sz w:val="28"/>
          <w:szCs w:val="28"/>
        </w:rPr>
      </w:pPr>
      <w:r>
        <w:rPr>
          <w:noProof/>
        </w:rPr>
        <mc:AlternateContent>
          <mc:Choice Requires="wps">
            <w:drawing>
              <wp:anchor distT="0" distB="0" distL="114300" distR="114300" simplePos="0" relativeHeight="251682304" behindDoc="0" locked="0" layoutInCell="1" allowOverlap="1" wp14:anchorId="6313A4A5" wp14:editId="03A035DF">
                <wp:simplePos x="0" y="0"/>
                <wp:positionH relativeFrom="column">
                  <wp:posOffset>403476</wp:posOffset>
                </wp:positionH>
                <wp:positionV relativeFrom="paragraph">
                  <wp:posOffset>239167</wp:posOffset>
                </wp:positionV>
                <wp:extent cx="3842385" cy="301625"/>
                <wp:effectExtent l="0" t="0" r="43815" b="60325"/>
                <wp:wrapNone/>
                <wp:docPr id="3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42385" cy="30162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spacing w:after="0" w:line="360" w:lineRule="auto"/>
                              <w:rPr>
                                <w:rFonts w:ascii="Times New Roman" w:hAnsi="Times New Roman" w:cs="Times New Roman"/>
                                <w:b/>
                                <w:bCs/>
                                <w:sz w:val="28"/>
                                <w:szCs w:val="28"/>
                              </w:rPr>
                            </w:pPr>
                            <w:r>
                              <w:rPr>
                                <w:rFonts w:ascii="Times New Roman" w:hAnsi="Times New Roman" w:cs="Times New Roman"/>
                                <w:b/>
                                <w:bCs/>
                                <w:sz w:val="28"/>
                                <w:szCs w:val="28"/>
                              </w:rPr>
                              <w:t>Определение уровня триглицеридов в крови</w:t>
                            </w:r>
                          </w:p>
                          <w:p w:rsidR="0041189E" w:rsidRDefault="0041189E" w:rsidP="00635A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68" style="position:absolute;left:0;text-align:left;margin-left:31.75pt;margin-top:18.85pt;width:302.55pt;height:23.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" fillcolor="#95b3d7 [1940]" strokecolor="#95b3d7 [1940]" strokeweight="1pt">
                <v:fill color2="#dbe5f1 [660]" angle="135" focus="50%" type="gradient"/>
                <v:shadow on="t" color="#243f60 [1604]" opacity=".5" offset="1pt"/>
                <v:path arrowok="t"/>
                <v:textbox>
                  <w:txbxContent>
                    <w:p w:rsidR="0041189E" w:rsidRDefault="0041189E" w:rsidP="00635AEF">
                      <w:pPr>
                        <w:spacing w:after="0" w:line="360" w:lineRule="auto"/>
                        <w:rPr>
                          <w:rFonts w:ascii="Times New Roman" w:hAnsi="Times New Roman" w:cs="Times New Roman"/>
                          <w:b/>
                          <w:bCs/>
                          <w:sz w:val="28"/>
                          <w:szCs w:val="28"/>
                        </w:rPr>
                      </w:pPr>
                      <w:r>
                        <w:rPr>
                          <w:rFonts w:ascii="Times New Roman" w:hAnsi="Times New Roman" w:cs="Times New Roman"/>
                          <w:b/>
                          <w:bCs/>
                          <w:sz w:val="28"/>
                          <w:szCs w:val="28"/>
                        </w:rPr>
                        <w:t>Определение уровня триглицеридов в крови</w:t>
                      </w:r>
                    </w:p>
                    <w:p w:rsidR="0041189E" w:rsidRDefault="0041189E" w:rsidP="00635AEF"/>
                  </w:txbxContent>
                </v:textbox>
              </v:rect>
            </w:pict>
          </mc:Fallback>
        </mc:AlternateContent>
      </w:r>
    </w:p>
    <w:p w:rsidR="00635AEF" w:rsidRDefault="001638C2"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702784" behindDoc="0" locked="0" layoutInCell="1" allowOverlap="1" wp14:anchorId="343F5D04" wp14:editId="7DE03459">
                <wp:simplePos x="0" y="0"/>
                <wp:positionH relativeFrom="column">
                  <wp:posOffset>3836035</wp:posOffset>
                </wp:positionH>
                <wp:positionV relativeFrom="paragraph">
                  <wp:posOffset>279400</wp:posOffset>
                </wp:positionV>
                <wp:extent cx="408940" cy="238760"/>
                <wp:effectExtent l="0" t="0" r="67310" b="66040"/>
                <wp:wrapNone/>
                <wp:docPr id="15"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08940" cy="2387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6" o:spid="_x0000_s1026" type="#_x0000_t32" style="position:absolute;margin-left:302.05pt;margin-top:22pt;width:32.2pt;height:18.8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">
                <v:stroke endarrow="block"/>
                <o:lock v:ext="edit" shapetype="f"/>
              </v:shape>
            </w:pict>
          </mc:Fallback>
        </mc:AlternateContent>
      </w:r>
    </w:p>
    <w:p w:rsidR="00635AEF" w:rsidRDefault="00027D70"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83328" behindDoc="0" locked="0" layoutInCell="1" allowOverlap="1" wp14:anchorId="1D4528A1" wp14:editId="01346A5B">
                <wp:simplePos x="0" y="0"/>
                <wp:positionH relativeFrom="column">
                  <wp:posOffset>443230</wp:posOffset>
                </wp:positionH>
                <wp:positionV relativeFrom="paragraph">
                  <wp:posOffset>215265</wp:posOffset>
                </wp:positionV>
                <wp:extent cx="2499995" cy="325120"/>
                <wp:effectExtent l="0" t="0" r="33655" b="55880"/>
                <wp:wrapNone/>
                <wp:docPr id="38"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99995" cy="325120"/>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Триглицериды &gt;1,7 ммоль/л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 o:spid="_x0000_s1069" style="position:absolute;left:0;text-align:left;margin-left:34.9pt;margin-top:16.95pt;width:196.85pt;height:25.6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" fillcolor="#d99594 [1941]" strokecolor="#d99594 [1941]" strokeweight="1pt">
                <v:fill color2="#f2dbdb [661]" angle="135" focus="50%" type="gradient"/>
                <v:shadow on="t" color="#622423 [1605]"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Триглицериды &gt;1,7 ммоль/л</w:t>
                      </w:r>
                    </w:p>
                  </w:txbxContent>
                </v:textbox>
              </v:rect>
            </w:pict>
          </mc:Fallback>
        </mc:AlternateContent>
      </w:r>
      <w:r>
        <w:rPr>
          <w:noProof/>
        </w:rPr>
        <mc:AlternateContent>
          <mc:Choice Requires="wps">
            <w:drawing>
              <wp:anchor distT="0" distB="0" distL="114300" distR="114300" simplePos="0" relativeHeight="251684352" behindDoc="0" locked="0" layoutInCell="1" allowOverlap="1" wp14:anchorId="52E0CB92" wp14:editId="14EE87D2">
                <wp:simplePos x="0" y="0"/>
                <wp:positionH relativeFrom="column">
                  <wp:posOffset>3564890</wp:posOffset>
                </wp:positionH>
                <wp:positionV relativeFrom="paragraph">
                  <wp:posOffset>218440</wp:posOffset>
                </wp:positionV>
                <wp:extent cx="2491740" cy="374015"/>
                <wp:effectExtent l="0" t="0" r="41910" b="64135"/>
                <wp:wrapNone/>
                <wp:docPr id="34"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91740" cy="374015"/>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Триглицериды ≤1,7 ммоль/л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8" o:spid="_x0000_s1070" style="position:absolute;left:0;text-align:left;margin-left:280.7pt;margin-top:17.2pt;width:196.2pt;height:29.4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" fillcolor="#c2d69b [1942]" strokecolor="#c2d69b [1942]" strokeweight="1pt">
                <v:fill color2="#eaf1dd [662]" angle="135" focus="50%" type="gradient"/>
                <v:shadow on="t" color="#4e6128 [1606]"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Триглицериды ≤1,7 ммоль/л</w:t>
                      </w:r>
                    </w:p>
                  </w:txbxContent>
                </v:textbox>
              </v:rect>
            </w:pict>
          </mc:Fallback>
        </mc:AlternateContent>
      </w:r>
    </w:p>
    <w:p w:rsidR="00635AEF" w:rsidRDefault="006F3878"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97664" behindDoc="0" locked="0" layoutInCell="1" allowOverlap="1" wp14:anchorId="6F9C3FDF" wp14:editId="584B2EBE">
                <wp:simplePos x="0" y="0"/>
                <wp:positionH relativeFrom="column">
                  <wp:posOffset>1918335</wp:posOffset>
                </wp:positionH>
                <wp:positionV relativeFrom="paragraph">
                  <wp:posOffset>229235</wp:posOffset>
                </wp:positionV>
                <wp:extent cx="635" cy="340360"/>
                <wp:effectExtent l="76200" t="0" r="75565" b="59690"/>
                <wp:wrapNone/>
                <wp:docPr id="20"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340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1" o:spid="_x0000_s1026" type="#_x0000_t32" style="position:absolute;margin-left:151.05pt;margin-top:18.05pt;width:.05pt;height:26.8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">
                <v:stroke endarrow="block"/>
                <o:lock v:ext="edit" shapetype="f"/>
              </v:shape>
            </w:pict>
          </mc:Fallback>
        </mc:AlternateContent>
      </w:r>
      <w:r w:rsidR="001638C2">
        <w:rPr>
          <w:noProof/>
        </w:rPr>
        <mc:AlternateContent>
          <mc:Choice Requires="wps">
            <w:drawing>
              <wp:anchor distT="0" distB="0" distL="114300" distR="114300" simplePos="0" relativeHeight="251699712" behindDoc="0" locked="0" layoutInCell="1" allowOverlap="1" wp14:anchorId="3841E2AD" wp14:editId="52A1D8F8">
                <wp:simplePos x="0" y="0"/>
                <wp:positionH relativeFrom="column">
                  <wp:posOffset>5242560</wp:posOffset>
                </wp:positionH>
                <wp:positionV relativeFrom="paragraph">
                  <wp:posOffset>281940</wp:posOffset>
                </wp:positionV>
                <wp:extent cx="635" cy="285115"/>
                <wp:effectExtent l="76200" t="0" r="75565" b="57785"/>
                <wp:wrapNone/>
                <wp:docPr id="18"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5" cy="2851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3" o:spid="_x0000_s1026" type="#_x0000_t32" style="position:absolute;margin-left:412.8pt;margin-top:22.2pt;width:.05pt;height:22.4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">
                <v:stroke endarrow="block"/>
                <o:lock v:ext="edit" shapetype="f"/>
              </v:shape>
            </w:pict>
          </mc:Fallback>
        </mc:AlternateContent>
      </w:r>
    </w:p>
    <w:p w:rsidR="00635AEF" w:rsidRDefault="00027D70"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85376" behindDoc="0" locked="0" layoutInCell="1" allowOverlap="1" wp14:anchorId="260D7EEF" wp14:editId="6ECB4C52">
                <wp:simplePos x="0" y="0"/>
                <wp:positionH relativeFrom="column">
                  <wp:posOffset>407130</wp:posOffset>
                </wp:positionH>
                <wp:positionV relativeFrom="paragraph">
                  <wp:posOffset>240473</wp:posOffset>
                </wp:positionV>
                <wp:extent cx="3325495" cy="529590"/>
                <wp:effectExtent l="0" t="0" r="46355" b="60960"/>
                <wp:wrapNone/>
                <wp:docPr id="8"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25495" cy="52959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Дальнейшее обследование на наличие болезней системы кровообращения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9" o:spid="_x0000_s1071" style="position:absolute;left:0;text-align:left;margin-left:32.05pt;margin-top:18.95pt;width:261.85pt;height:41.7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" fillcolor="#95b3d7 [1940]" strokecolor="#95b3d7 [1940]" strokeweight="1pt">
                <v:fill color2="#dbe5f1 [660]" angle="135" focus="50%" type="gradient"/>
                <v:shadow on="t" color="#243f60 [1604]"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Дальнейшее обследование на наличие болезней системы кровообращения</w:t>
                      </w:r>
                    </w:p>
                  </w:txbxContent>
                </v:textbox>
              </v:rect>
            </w:pict>
          </mc:Fallback>
        </mc:AlternateContent>
      </w:r>
      <w:r w:rsidR="00DC0D82">
        <w:rPr>
          <w:noProof/>
        </w:rPr>
        <mc:AlternateContent>
          <mc:Choice Requires="wps">
            <w:drawing>
              <wp:anchor distT="0" distB="0" distL="114300" distR="114300" simplePos="0" relativeHeight="251681280" behindDoc="0" locked="0" layoutInCell="1" allowOverlap="1" wp14:anchorId="083BDA28" wp14:editId="7B2CE773">
                <wp:simplePos x="0" y="0"/>
                <wp:positionH relativeFrom="column">
                  <wp:posOffset>4532630</wp:posOffset>
                </wp:positionH>
                <wp:positionV relativeFrom="paragraph">
                  <wp:posOffset>260985</wp:posOffset>
                </wp:positionV>
                <wp:extent cx="1527175" cy="1722120"/>
                <wp:effectExtent l="12065" t="12065" r="13335" b="27940"/>
                <wp:wrapNone/>
                <wp:docPr id="9"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7175" cy="1722120"/>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Рекомендации по контролю уровня триглицеридов 2-4 раза в год, соблюдение здорового образа жизни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 o:spid="_x0000_s1072" style="position:absolute;left:0;text-align:left;margin-left:356.9pt;margin-top:20.55pt;width:120.25pt;height:135.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" fillcolor="#c2d69b [1942]" strokecolor="#c2d69b [1942]" strokeweight="1pt">
                <v:fill color2="#eaf1dd [662]" angle="135" focus="50%" type="gradient"/>
                <v:shadow on="t" color="#4e6128 [1606]"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Рекомендации по контролю уровня триглицеридов 2-4 раза в год, соблюдение здорового образа жизни</w:t>
                      </w:r>
                    </w:p>
                  </w:txbxContent>
                </v:textbox>
              </v:rect>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1638C2"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293" distR="114293" simplePos="0" relativeHeight="251700736" behindDoc="0" locked="0" layoutInCell="1" allowOverlap="1" wp14:anchorId="60E09E1C" wp14:editId="241E789B">
                <wp:simplePos x="0" y="0"/>
                <wp:positionH relativeFrom="column">
                  <wp:posOffset>1239999</wp:posOffset>
                </wp:positionH>
                <wp:positionV relativeFrom="paragraph">
                  <wp:posOffset>262650</wp:posOffset>
                </wp:positionV>
                <wp:extent cx="1007" cy="398780"/>
                <wp:effectExtent l="76200" t="0" r="75565" b="58420"/>
                <wp:wrapNone/>
                <wp:docPr id="17"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007" cy="3987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4" o:spid="_x0000_s1026" type="#_x0000_t32" style="position:absolute;margin-left:97.65pt;margin-top:20.7pt;width:.1pt;height:31.4pt;flip:x;z-index:251700736;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">
                <v:stroke endarrow="block"/>
                <o:lock v:ext="edit" shapetype="f"/>
              </v:shape>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Default="00ED0D78"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r>
        <w:rPr>
          <w:noProof/>
        </w:rPr>
        <mc:AlternateContent>
          <mc:Choice Requires="wps">
            <w:drawing>
              <wp:anchor distT="0" distB="0" distL="114300" distR="114300" simplePos="0" relativeHeight="251687424" behindDoc="0" locked="0" layoutInCell="1" allowOverlap="1" wp14:anchorId="3550C181" wp14:editId="761C476E">
                <wp:simplePos x="0" y="0"/>
                <wp:positionH relativeFrom="column">
                  <wp:posOffset>402590</wp:posOffset>
                </wp:positionH>
                <wp:positionV relativeFrom="paragraph">
                  <wp:posOffset>45720</wp:posOffset>
                </wp:positionV>
                <wp:extent cx="3647440" cy="316230"/>
                <wp:effectExtent l="0" t="0" r="29210" b="64770"/>
                <wp:wrapNone/>
                <wp:docPr id="29"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47440" cy="31623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Д учет, стандартное лечение согласно РЦРЗ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1" o:spid="_x0000_s1073" style="position:absolute;left:0;text-align:left;margin-left:31.7pt;margin-top:3.6pt;width:287.2pt;height:24.9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" fillcolor="#95b3d7 [1940]" strokecolor="#95b3d7 [1940]" strokeweight="1pt">
                <v:fill color2="#dbe5f1 [660]" angle="135" focus="50%" type="gradient"/>
                <v:shadow on="t" color="#243f60 [1604]" opacity=".5" offset="1pt"/>
                <v:path arrowok="t"/>
                <v:textbox>
                  <w:txbxContent>
                    <w:p w:rsidR="0041189E" w:rsidRDefault="0041189E" w:rsidP="00635AEF">
                      <w:pPr>
                        <w:rPr>
                          <w:rFonts w:ascii="Times New Roman" w:hAnsi="Times New Roman" w:cs="Times New Roman"/>
                          <w:sz w:val="28"/>
                          <w:szCs w:val="28"/>
                        </w:rPr>
                      </w:pPr>
                      <w:r>
                        <w:rPr>
                          <w:rFonts w:ascii="Times New Roman" w:hAnsi="Times New Roman" w:cs="Times New Roman"/>
                          <w:sz w:val="28"/>
                          <w:szCs w:val="28"/>
                        </w:rPr>
                        <w:t>Д учет, стандартное лечение согласно РЦРЗ</w:t>
                      </w:r>
                    </w:p>
                  </w:txbxContent>
                </v:textbox>
              </v:rect>
            </w:pict>
          </mc:Fallback>
        </mc:AlternateContent>
      </w:r>
    </w:p>
    <w:p w:rsidR="00635AEF"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cs="Times New Roman"/>
          <w:bCs/>
          <w:sz w:val="28"/>
          <w:szCs w:val="28"/>
        </w:rPr>
      </w:pPr>
    </w:p>
    <w:p w:rsidR="00635AEF" w:rsidRPr="00DD5D7E" w:rsidRDefault="00635AEF" w:rsidP="00635A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
        <w:rPr>
          <w:rFonts w:ascii="Times New Roman" w:hAnsi="Times New Roman" w:cs="Times New Roman"/>
          <w:bCs/>
          <w:sz w:val="28"/>
          <w:szCs w:val="28"/>
        </w:rPr>
        <w:t>Рисунок 5</w:t>
      </w:r>
      <w:r w:rsidR="00B648CF">
        <w:rPr>
          <w:rFonts w:ascii="Times New Roman" w:hAnsi="Times New Roman" w:cs="Times New Roman"/>
          <w:bCs/>
          <w:sz w:val="28"/>
          <w:szCs w:val="28"/>
          <w:lang w:val="kk-KZ"/>
        </w:rPr>
        <w:t xml:space="preserve"> -</w:t>
      </w:r>
      <w:r>
        <w:rPr>
          <w:rFonts w:ascii="Times New Roman" w:hAnsi="Times New Roman" w:cs="Times New Roman"/>
          <w:bCs/>
          <w:sz w:val="28"/>
          <w:szCs w:val="28"/>
        </w:rPr>
        <w:t xml:space="preserve"> Алгоритм диагностики гипертриглицеридемии на основе </w:t>
      </w:r>
      <w:r w:rsidR="004C6F83">
        <w:rPr>
          <w:rFonts w:ascii="Times New Roman" w:hAnsi="Times New Roman" w:cs="Times New Roman"/>
          <w:bCs/>
          <w:sz w:val="28"/>
          <w:szCs w:val="28"/>
        </w:rPr>
        <w:t>г</w:t>
      </w:r>
      <w:r>
        <w:rPr>
          <w:rFonts w:ascii="Times New Roman" w:hAnsi="Times New Roman" w:cs="Times New Roman"/>
          <w:bCs/>
          <w:sz w:val="28"/>
          <w:szCs w:val="28"/>
        </w:rPr>
        <w:t>ен</w:t>
      </w:r>
      <w:r w:rsidR="00524137">
        <w:rPr>
          <w:rFonts w:ascii="Times New Roman" w:hAnsi="Times New Roman" w:cs="Times New Roman"/>
          <w:bCs/>
          <w:sz w:val="28"/>
          <w:szCs w:val="28"/>
        </w:rPr>
        <w:t>о</w:t>
      </w:r>
      <w:r>
        <w:rPr>
          <w:rFonts w:ascii="Times New Roman" w:hAnsi="Times New Roman" w:cs="Times New Roman"/>
          <w:bCs/>
          <w:sz w:val="28"/>
          <w:szCs w:val="28"/>
        </w:rPr>
        <w:t>ти</w:t>
      </w:r>
      <w:r w:rsidR="004C6F83">
        <w:rPr>
          <w:rFonts w:ascii="Times New Roman" w:hAnsi="Times New Roman" w:cs="Times New Roman"/>
          <w:bCs/>
          <w:sz w:val="28"/>
          <w:szCs w:val="28"/>
        </w:rPr>
        <w:t xml:space="preserve">пирования гена </w:t>
      </w:r>
      <w:r w:rsidR="00DD5D7E">
        <w:rPr>
          <w:rFonts w:ascii="Times New Roman" w:hAnsi="Times New Roman" w:cs="Times New Roman"/>
          <w:bCs/>
          <w:sz w:val="28"/>
          <w:szCs w:val="28"/>
          <w:lang w:val="en-US"/>
        </w:rPr>
        <w:t>ADBR</w:t>
      </w:r>
      <w:r w:rsidR="00DD5D7E" w:rsidRPr="00DD5D7E">
        <w:rPr>
          <w:rFonts w:ascii="Times New Roman" w:hAnsi="Times New Roman" w:cs="Times New Roman"/>
          <w:bCs/>
          <w:sz w:val="28"/>
          <w:szCs w:val="28"/>
        </w:rPr>
        <w:t>2</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
          <w:sz w:val="28"/>
          <w:szCs w:val="28"/>
        </w:rPr>
        <w:sectPr w:rsidR="00AB12B3">
          <w:pgSz w:w="11906" w:h="16838"/>
          <w:pgMar w:top="1134" w:right="850" w:bottom="1134" w:left="1701" w:header="708" w:footer="708" w:gutter="0"/>
          <w:cols w:space="720"/>
        </w:sectPr>
      </w:pP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center"/>
        <w:rPr>
          <w:rFonts w:ascii="Times New Roman" w:hAnsi="Times New Roman"/>
          <w:b/>
          <w:sz w:val="28"/>
          <w:szCs w:val="28"/>
        </w:rPr>
      </w:pPr>
      <w:r>
        <w:rPr>
          <w:rFonts w:ascii="Times New Roman" w:hAnsi="Times New Roman"/>
          <w:b/>
          <w:sz w:val="28"/>
          <w:szCs w:val="28"/>
        </w:rPr>
        <w:lastRenderedPageBreak/>
        <w:t>ЗАКЛЮЧЕНИЕ</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r>
        <w:rPr>
          <w:rFonts w:ascii="Times New Roman" w:hAnsi="Times New Roman"/>
          <w:sz w:val="28"/>
          <w:szCs w:val="28"/>
        </w:rPr>
        <w:t>Настоящее исследование посвящено изучению ассоциации полиморфизмов</w:t>
      </w:r>
      <w:r w:rsidR="009C2663">
        <w:rPr>
          <w:rFonts w:ascii="Times New Roman" w:hAnsi="Times New Roman"/>
          <w:sz w:val="28"/>
          <w:szCs w:val="28"/>
        </w:rPr>
        <w:t xml:space="preserve"> таргетных</w:t>
      </w:r>
      <w:r>
        <w:rPr>
          <w:rFonts w:ascii="Times New Roman" w:hAnsi="Times New Roman"/>
          <w:sz w:val="28"/>
          <w:szCs w:val="28"/>
        </w:rPr>
        <w:t xml:space="preserve"> генов с дислипидемией и ИР в </w:t>
      </w:r>
      <w:r w:rsidR="00C84F5B">
        <w:rPr>
          <w:rFonts w:ascii="Times New Roman" w:hAnsi="Times New Roman"/>
          <w:sz w:val="28"/>
          <w:szCs w:val="28"/>
        </w:rPr>
        <w:t>исследуемой выборке</w:t>
      </w:r>
      <w:r>
        <w:rPr>
          <w:rFonts w:ascii="Times New Roman" w:hAnsi="Times New Roman"/>
          <w:sz w:val="28"/>
          <w:szCs w:val="28"/>
        </w:rPr>
        <w:t>. Изучение молекулярно – генетических основ развития различных заболеваний и состояний является приоритетными направлени</w:t>
      </w:r>
      <w:r w:rsidR="009C2663">
        <w:rPr>
          <w:rFonts w:ascii="Times New Roman" w:hAnsi="Times New Roman"/>
          <w:sz w:val="28"/>
          <w:szCs w:val="28"/>
        </w:rPr>
        <w:t>е</w:t>
      </w:r>
      <w:r>
        <w:rPr>
          <w:rFonts w:ascii="Times New Roman" w:hAnsi="Times New Roman"/>
          <w:sz w:val="28"/>
          <w:szCs w:val="28"/>
        </w:rPr>
        <w:t>м практической медицины. Широкое распространение БСК и метаболических нарушений в мире подтолкнул</w:t>
      </w:r>
      <w:r w:rsidR="009C2663">
        <w:rPr>
          <w:rFonts w:ascii="Times New Roman" w:hAnsi="Times New Roman"/>
          <w:sz w:val="28"/>
          <w:szCs w:val="28"/>
        </w:rPr>
        <w:t>о</w:t>
      </w:r>
      <w:r>
        <w:rPr>
          <w:rFonts w:ascii="Times New Roman" w:hAnsi="Times New Roman"/>
          <w:sz w:val="28"/>
          <w:szCs w:val="28"/>
        </w:rPr>
        <w:t xml:space="preserve"> многих ученых на изучение генетических детерминант, которые могут способствовать развитию этих заболевании и их осложнений. В патогенезе многих БС</w:t>
      </w:r>
      <w:r w:rsidR="009B75B6">
        <w:rPr>
          <w:rFonts w:ascii="Times New Roman" w:hAnsi="Times New Roman"/>
          <w:sz w:val="28"/>
          <w:szCs w:val="28"/>
        </w:rPr>
        <w:t>К, ожирении и СД лежит нарушение</w:t>
      </w:r>
      <w:r>
        <w:rPr>
          <w:rFonts w:ascii="Times New Roman" w:hAnsi="Times New Roman"/>
          <w:sz w:val="28"/>
          <w:szCs w:val="28"/>
        </w:rPr>
        <w:t xml:space="preserve"> </w:t>
      </w:r>
      <w:r w:rsidR="009C2663">
        <w:rPr>
          <w:rFonts w:ascii="Times New Roman" w:hAnsi="Times New Roman"/>
          <w:sz w:val="28"/>
          <w:szCs w:val="28"/>
        </w:rPr>
        <w:t>липидного и углеводного обменов</w:t>
      </w:r>
      <w:r>
        <w:rPr>
          <w:rFonts w:ascii="Times New Roman" w:hAnsi="Times New Roman"/>
          <w:sz w:val="28"/>
          <w:szCs w:val="28"/>
        </w:rPr>
        <w:t xml:space="preserve">. В </w:t>
      </w:r>
      <w:r w:rsidR="009C2663">
        <w:rPr>
          <w:rFonts w:ascii="Times New Roman" w:hAnsi="Times New Roman"/>
          <w:sz w:val="28"/>
          <w:szCs w:val="28"/>
        </w:rPr>
        <w:t>Казахстане,</w:t>
      </w:r>
      <w:r>
        <w:rPr>
          <w:rFonts w:ascii="Times New Roman" w:hAnsi="Times New Roman"/>
          <w:sz w:val="28"/>
          <w:szCs w:val="28"/>
        </w:rPr>
        <w:t xml:space="preserve"> </w:t>
      </w:r>
      <w:r w:rsidR="009C2663">
        <w:rPr>
          <w:rFonts w:ascii="Times New Roman" w:hAnsi="Times New Roman"/>
          <w:sz w:val="28"/>
          <w:szCs w:val="28"/>
        </w:rPr>
        <w:t xml:space="preserve">как </w:t>
      </w:r>
      <w:r>
        <w:rPr>
          <w:rFonts w:ascii="Times New Roman" w:hAnsi="Times New Roman"/>
          <w:sz w:val="28"/>
          <w:szCs w:val="28"/>
        </w:rPr>
        <w:t xml:space="preserve">и в </w:t>
      </w:r>
      <w:r w:rsidR="009C2663">
        <w:rPr>
          <w:rFonts w:ascii="Times New Roman" w:hAnsi="Times New Roman"/>
          <w:sz w:val="28"/>
          <w:szCs w:val="28"/>
        </w:rPr>
        <w:t>мире,</w:t>
      </w:r>
      <w:r>
        <w:rPr>
          <w:rFonts w:ascii="Times New Roman" w:hAnsi="Times New Roman"/>
          <w:sz w:val="28"/>
          <w:szCs w:val="28"/>
        </w:rPr>
        <w:t xml:space="preserve"> сохраняется </w:t>
      </w:r>
      <w:r w:rsidR="009C2663">
        <w:rPr>
          <w:rFonts w:ascii="Times New Roman" w:hAnsi="Times New Roman"/>
          <w:sz w:val="28"/>
          <w:szCs w:val="28"/>
        </w:rPr>
        <w:t xml:space="preserve">тенденция к </w:t>
      </w:r>
      <w:r>
        <w:rPr>
          <w:rFonts w:ascii="Times New Roman" w:hAnsi="Times New Roman"/>
          <w:sz w:val="28"/>
          <w:szCs w:val="28"/>
        </w:rPr>
        <w:t>рост</w:t>
      </w:r>
      <w:r w:rsidR="009C2663">
        <w:rPr>
          <w:rFonts w:ascii="Times New Roman" w:hAnsi="Times New Roman"/>
          <w:sz w:val="28"/>
          <w:szCs w:val="28"/>
        </w:rPr>
        <w:t>у</w:t>
      </w:r>
      <w:r>
        <w:rPr>
          <w:rFonts w:ascii="Times New Roman" w:hAnsi="Times New Roman"/>
          <w:sz w:val="28"/>
          <w:szCs w:val="28"/>
        </w:rPr>
        <w:t xml:space="preserve"> заболеваемости и смертности от БСК. Факторы риска ССЗ, такие как, ожирение и СД в последние годы тоже сохраняют свою тенденцию к распространению. Поэтому своевременная профилактика БСК, ожирения и СД остается актуальной задачей здравоохранения всего мира. </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rPr>
      </w:pPr>
      <w:r>
        <w:rPr>
          <w:rFonts w:ascii="Times New Roman" w:hAnsi="Times New Roman"/>
          <w:sz w:val="28"/>
          <w:szCs w:val="28"/>
        </w:rPr>
        <w:t xml:space="preserve">Один ген </w:t>
      </w:r>
      <w:r w:rsidR="009C2663">
        <w:rPr>
          <w:rFonts w:ascii="Times New Roman" w:hAnsi="Times New Roman"/>
          <w:sz w:val="28"/>
          <w:szCs w:val="28"/>
        </w:rPr>
        <w:t xml:space="preserve">ассоциирован </w:t>
      </w:r>
      <w:r>
        <w:rPr>
          <w:rFonts w:ascii="Times New Roman" w:hAnsi="Times New Roman"/>
          <w:sz w:val="28"/>
          <w:szCs w:val="28"/>
        </w:rPr>
        <w:t xml:space="preserve">не </w:t>
      </w:r>
      <w:r w:rsidR="009C2663">
        <w:rPr>
          <w:rFonts w:ascii="Times New Roman" w:hAnsi="Times New Roman"/>
          <w:sz w:val="28"/>
          <w:szCs w:val="28"/>
        </w:rPr>
        <w:t>с</w:t>
      </w:r>
      <w:r>
        <w:rPr>
          <w:rFonts w:ascii="Times New Roman" w:hAnsi="Times New Roman"/>
          <w:sz w:val="28"/>
          <w:szCs w:val="28"/>
        </w:rPr>
        <w:t xml:space="preserve"> од</w:t>
      </w:r>
      <w:r w:rsidR="00D014DE">
        <w:rPr>
          <w:rFonts w:ascii="Times New Roman" w:hAnsi="Times New Roman"/>
          <w:sz w:val="28"/>
          <w:szCs w:val="28"/>
        </w:rPr>
        <w:t>н</w:t>
      </w:r>
      <w:r w:rsidR="009C2663">
        <w:rPr>
          <w:rFonts w:ascii="Times New Roman" w:hAnsi="Times New Roman"/>
          <w:sz w:val="28"/>
          <w:szCs w:val="28"/>
        </w:rPr>
        <w:t xml:space="preserve">им </w:t>
      </w:r>
      <w:r>
        <w:rPr>
          <w:rFonts w:ascii="Times New Roman" w:hAnsi="Times New Roman"/>
          <w:sz w:val="28"/>
          <w:szCs w:val="28"/>
        </w:rPr>
        <w:t>фенотипическ</w:t>
      </w:r>
      <w:r w:rsidR="009C2663">
        <w:rPr>
          <w:rFonts w:ascii="Times New Roman" w:hAnsi="Times New Roman"/>
          <w:sz w:val="28"/>
          <w:szCs w:val="28"/>
        </w:rPr>
        <w:t>им</w:t>
      </w:r>
      <w:r>
        <w:rPr>
          <w:rFonts w:ascii="Times New Roman" w:hAnsi="Times New Roman"/>
          <w:sz w:val="28"/>
          <w:szCs w:val="28"/>
        </w:rPr>
        <w:t xml:space="preserve"> проявление</w:t>
      </w:r>
      <w:r w:rsidR="009C2663">
        <w:rPr>
          <w:rFonts w:ascii="Times New Roman" w:hAnsi="Times New Roman"/>
          <w:sz w:val="28"/>
          <w:szCs w:val="28"/>
        </w:rPr>
        <w:t>м</w:t>
      </w:r>
      <w:r>
        <w:rPr>
          <w:rFonts w:ascii="Times New Roman" w:hAnsi="Times New Roman"/>
          <w:sz w:val="28"/>
          <w:szCs w:val="28"/>
        </w:rPr>
        <w:t xml:space="preserve">, а </w:t>
      </w:r>
      <w:r w:rsidR="009C2663">
        <w:rPr>
          <w:rFonts w:ascii="Times New Roman" w:hAnsi="Times New Roman"/>
          <w:sz w:val="28"/>
          <w:szCs w:val="28"/>
        </w:rPr>
        <w:t xml:space="preserve">зачастую </w:t>
      </w:r>
      <w:r>
        <w:rPr>
          <w:rFonts w:ascii="Times New Roman" w:hAnsi="Times New Roman"/>
          <w:sz w:val="28"/>
          <w:szCs w:val="28"/>
        </w:rPr>
        <w:t>сразу на нескольк</w:t>
      </w:r>
      <w:r w:rsidR="009C2663">
        <w:rPr>
          <w:rFonts w:ascii="Times New Roman" w:hAnsi="Times New Roman"/>
          <w:sz w:val="28"/>
          <w:szCs w:val="28"/>
        </w:rPr>
        <w:t>ими</w:t>
      </w:r>
      <w:r>
        <w:rPr>
          <w:rFonts w:ascii="Times New Roman" w:hAnsi="Times New Roman"/>
          <w:sz w:val="28"/>
          <w:szCs w:val="28"/>
        </w:rPr>
        <w:t>. Между генами есть еще ген</w:t>
      </w:r>
      <w:r w:rsidR="00902CA5">
        <w:rPr>
          <w:rFonts w:ascii="Times New Roman" w:hAnsi="Times New Roman"/>
          <w:sz w:val="28"/>
          <w:szCs w:val="28"/>
        </w:rPr>
        <w:t xml:space="preserve"> </w:t>
      </w:r>
      <w:r w:rsidR="00C16F07">
        <w:rPr>
          <w:rFonts w:ascii="Times New Roman" w:hAnsi="Times New Roman"/>
          <w:sz w:val="28"/>
          <w:szCs w:val="28"/>
        </w:rPr>
        <w:t>–</w:t>
      </w:r>
      <w:r>
        <w:rPr>
          <w:rFonts w:ascii="Times New Roman" w:hAnsi="Times New Roman"/>
          <w:sz w:val="28"/>
          <w:szCs w:val="28"/>
        </w:rPr>
        <w:t xml:space="preserve"> ген в</w:t>
      </w:r>
      <w:r w:rsidR="000A4926">
        <w:rPr>
          <w:rFonts w:ascii="Times New Roman" w:hAnsi="Times New Roman"/>
          <w:sz w:val="28"/>
          <w:szCs w:val="28"/>
        </w:rPr>
        <w:t>заимодействия, которые могут усил</w:t>
      </w:r>
      <w:r>
        <w:rPr>
          <w:rFonts w:ascii="Times New Roman" w:hAnsi="Times New Roman"/>
          <w:sz w:val="28"/>
          <w:szCs w:val="28"/>
        </w:rPr>
        <w:t>ить или наоборот снизит</w:t>
      </w:r>
      <w:r w:rsidR="00D014DE">
        <w:rPr>
          <w:rFonts w:ascii="Times New Roman" w:hAnsi="Times New Roman"/>
          <w:sz w:val="28"/>
          <w:szCs w:val="28"/>
        </w:rPr>
        <w:t>ь</w:t>
      </w:r>
      <w:r>
        <w:rPr>
          <w:rFonts w:ascii="Times New Roman" w:hAnsi="Times New Roman"/>
          <w:sz w:val="28"/>
          <w:szCs w:val="28"/>
        </w:rPr>
        <w:t xml:space="preserve"> фено</w:t>
      </w:r>
      <w:r w:rsidR="000A4926">
        <w:rPr>
          <w:rFonts w:ascii="Times New Roman" w:hAnsi="Times New Roman"/>
          <w:sz w:val="28"/>
          <w:szCs w:val="28"/>
        </w:rPr>
        <w:t>типические проявления. Существую</w:t>
      </w:r>
      <w:r>
        <w:rPr>
          <w:rFonts w:ascii="Times New Roman" w:hAnsi="Times New Roman"/>
          <w:sz w:val="28"/>
          <w:szCs w:val="28"/>
        </w:rPr>
        <w:t>т раз</w:t>
      </w:r>
      <w:r w:rsidR="009B75B6">
        <w:rPr>
          <w:rFonts w:ascii="Times New Roman" w:hAnsi="Times New Roman"/>
          <w:sz w:val="28"/>
          <w:szCs w:val="28"/>
        </w:rPr>
        <w:t>личные</w:t>
      </w:r>
      <w:r>
        <w:rPr>
          <w:rFonts w:ascii="Times New Roman" w:hAnsi="Times New Roman"/>
          <w:sz w:val="28"/>
          <w:szCs w:val="28"/>
        </w:rPr>
        <w:t xml:space="preserve"> баз</w:t>
      </w:r>
      <w:r w:rsidR="009B75B6">
        <w:rPr>
          <w:rFonts w:ascii="Times New Roman" w:hAnsi="Times New Roman"/>
          <w:sz w:val="28"/>
          <w:szCs w:val="28"/>
        </w:rPr>
        <w:t>ы</w:t>
      </w:r>
      <w:r>
        <w:rPr>
          <w:rFonts w:ascii="Times New Roman" w:hAnsi="Times New Roman"/>
          <w:sz w:val="28"/>
          <w:szCs w:val="28"/>
        </w:rPr>
        <w:t xml:space="preserve"> данны</w:t>
      </w:r>
      <w:r w:rsidR="009B75B6">
        <w:rPr>
          <w:rFonts w:ascii="Times New Roman" w:hAnsi="Times New Roman"/>
          <w:sz w:val="28"/>
          <w:szCs w:val="28"/>
        </w:rPr>
        <w:t>х</w:t>
      </w:r>
      <w:r>
        <w:rPr>
          <w:rFonts w:ascii="Times New Roman" w:hAnsi="Times New Roman"/>
          <w:sz w:val="28"/>
          <w:szCs w:val="28"/>
        </w:rPr>
        <w:t xml:space="preserve"> исследований </w:t>
      </w:r>
      <w:r w:rsidR="009B75B6">
        <w:rPr>
          <w:rFonts w:ascii="Times New Roman" w:hAnsi="Times New Roman"/>
          <w:sz w:val="28"/>
          <w:szCs w:val="28"/>
        </w:rPr>
        <w:t>ассоциации</w:t>
      </w:r>
      <w:r>
        <w:rPr>
          <w:rFonts w:ascii="Times New Roman" w:hAnsi="Times New Roman"/>
          <w:sz w:val="28"/>
          <w:szCs w:val="28"/>
        </w:rPr>
        <w:t xml:space="preserve"> ген</w:t>
      </w:r>
      <w:r w:rsidR="009B75B6">
        <w:rPr>
          <w:rFonts w:ascii="Times New Roman" w:hAnsi="Times New Roman"/>
          <w:sz w:val="28"/>
          <w:szCs w:val="28"/>
        </w:rPr>
        <w:t xml:space="preserve">ов с риском </w:t>
      </w:r>
      <w:r>
        <w:rPr>
          <w:rFonts w:ascii="Times New Roman" w:hAnsi="Times New Roman"/>
          <w:sz w:val="28"/>
          <w:szCs w:val="28"/>
        </w:rPr>
        <w:t>развити</w:t>
      </w:r>
      <w:r w:rsidR="009B75B6">
        <w:rPr>
          <w:rFonts w:ascii="Times New Roman" w:hAnsi="Times New Roman"/>
          <w:sz w:val="28"/>
          <w:szCs w:val="28"/>
        </w:rPr>
        <w:t>я определенных заболеваний. Одна</w:t>
      </w:r>
      <w:r>
        <w:rPr>
          <w:rFonts w:ascii="Times New Roman" w:hAnsi="Times New Roman"/>
          <w:sz w:val="28"/>
          <w:szCs w:val="28"/>
        </w:rPr>
        <w:t xml:space="preserve"> из них, база </w:t>
      </w:r>
      <w:r>
        <w:rPr>
          <w:rFonts w:ascii="Times New Roman" w:hAnsi="Times New Roman" w:cs="Times New Roman"/>
          <w:sz w:val="28"/>
          <w:szCs w:val="28"/>
        </w:rPr>
        <w:t>GWA</w:t>
      </w:r>
      <w:r w:rsidR="0012447A">
        <w:rPr>
          <w:rFonts w:ascii="Times New Roman" w:hAnsi="Times New Roman" w:cs="Times New Roman"/>
          <w:sz w:val="28"/>
          <w:szCs w:val="28"/>
          <w:lang w:val="en-US"/>
        </w:rPr>
        <w:t>S</w:t>
      </w:r>
      <w:r w:rsidR="00EF5323">
        <w:rPr>
          <w:rFonts w:ascii="Times New Roman" w:hAnsi="Times New Roman" w:cs="Times New Roman"/>
          <w:sz w:val="28"/>
          <w:szCs w:val="28"/>
        </w:rPr>
        <w:t xml:space="preserve"> исследований</w:t>
      </w:r>
      <w:r>
        <w:rPr>
          <w:rFonts w:ascii="Times New Roman" w:hAnsi="Times New Roman" w:cs="Times New Roman"/>
          <w:sz w:val="28"/>
          <w:szCs w:val="28"/>
        </w:rPr>
        <w:t xml:space="preserve">, </w:t>
      </w:r>
      <w:r w:rsidR="00EF5323">
        <w:rPr>
          <w:rFonts w:ascii="Times New Roman" w:hAnsi="Times New Roman" w:cs="Times New Roman"/>
          <w:sz w:val="28"/>
          <w:szCs w:val="28"/>
        </w:rPr>
        <w:t>в которых данные</w:t>
      </w:r>
      <w:r>
        <w:rPr>
          <w:rFonts w:ascii="Times New Roman" w:hAnsi="Times New Roman"/>
          <w:sz w:val="28"/>
          <w:szCs w:val="28"/>
        </w:rPr>
        <w:t xml:space="preserve"> исследований по </w:t>
      </w:r>
      <w:r>
        <w:rPr>
          <w:rFonts w:ascii="Times New Roman" w:hAnsi="Times New Roman" w:cs="Times New Roman"/>
          <w:sz w:val="28"/>
          <w:szCs w:val="28"/>
        </w:rPr>
        <w:t xml:space="preserve">оценке риска ССЗ и </w:t>
      </w:r>
      <w:r>
        <w:rPr>
          <w:rFonts w:ascii="Times New Roman" w:hAnsi="Times New Roman"/>
          <w:sz w:val="28"/>
          <w:szCs w:val="28"/>
        </w:rPr>
        <w:t>по изучению эффекта взаимодействия гена и окружающей среды</w:t>
      </w:r>
      <w:r w:rsidR="00EF5323">
        <w:rPr>
          <w:rFonts w:ascii="Times New Roman" w:hAnsi="Times New Roman"/>
          <w:sz w:val="28"/>
          <w:szCs w:val="28"/>
        </w:rPr>
        <w:t xml:space="preserve"> в разных популяциях</w:t>
      </w:r>
      <w:r>
        <w:rPr>
          <w:rFonts w:ascii="Times New Roman" w:hAnsi="Times New Roman"/>
          <w:sz w:val="28"/>
          <w:szCs w:val="28"/>
        </w:rPr>
        <w:t xml:space="preserve">. Но учитывая отличия частот аллелей и генотипов в разных популяциях и влияние </w:t>
      </w:r>
      <w:r w:rsidR="000A4926">
        <w:rPr>
          <w:rFonts w:ascii="Times New Roman" w:hAnsi="Times New Roman"/>
          <w:sz w:val="28"/>
          <w:szCs w:val="28"/>
        </w:rPr>
        <w:t xml:space="preserve">факторов </w:t>
      </w:r>
      <w:r>
        <w:rPr>
          <w:rFonts w:ascii="Times New Roman" w:hAnsi="Times New Roman"/>
          <w:sz w:val="28"/>
          <w:szCs w:val="28"/>
        </w:rPr>
        <w:t>окружающей среды на эти популяции исследовани</w:t>
      </w:r>
      <w:r w:rsidR="009B75B6">
        <w:rPr>
          <w:rFonts w:ascii="Times New Roman" w:hAnsi="Times New Roman"/>
          <w:sz w:val="28"/>
          <w:szCs w:val="28"/>
        </w:rPr>
        <w:t>е</w:t>
      </w:r>
      <w:r>
        <w:rPr>
          <w:rFonts w:ascii="Times New Roman" w:hAnsi="Times New Roman"/>
          <w:sz w:val="28"/>
          <w:szCs w:val="28"/>
        </w:rPr>
        <w:t xml:space="preserve">, проведенное </w:t>
      </w:r>
      <w:r w:rsidR="005361C6">
        <w:rPr>
          <w:rFonts w:ascii="Times New Roman" w:hAnsi="Times New Roman"/>
          <w:sz w:val="28"/>
          <w:szCs w:val="28"/>
        </w:rPr>
        <w:t>на одной популяции,</w:t>
      </w:r>
      <w:r>
        <w:rPr>
          <w:rFonts w:ascii="Times New Roman" w:hAnsi="Times New Roman"/>
          <w:sz w:val="28"/>
          <w:szCs w:val="28"/>
        </w:rPr>
        <w:t xml:space="preserve"> не может полностью </w:t>
      </w:r>
      <w:r w:rsidR="000A4926">
        <w:rPr>
          <w:rFonts w:ascii="Times New Roman" w:hAnsi="Times New Roman"/>
          <w:sz w:val="28"/>
          <w:szCs w:val="28"/>
        </w:rPr>
        <w:t xml:space="preserve">быть </w:t>
      </w:r>
      <w:r>
        <w:rPr>
          <w:rFonts w:ascii="Times New Roman" w:hAnsi="Times New Roman"/>
          <w:sz w:val="28"/>
          <w:szCs w:val="28"/>
        </w:rPr>
        <w:t>примен</w:t>
      </w:r>
      <w:r w:rsidR="000A4926">
        <w:rPr>
          <w:rFonts w:ascii="Times New Roman" w:hAnsi="Times New Roman"/>
          <w:sz w:val="28"/>
          <w:szCs w:val="28"/>
        </w:rPr>
        <w:t>ено</w:t>
      </w:r>
      <w:r w:rsidR="005361C6">
        <w:rPr>
          <w:rFonts w:ascii="Times New Roman" w:hAnsi="Times New Roman"/>
          <w:sz w:val="28"/>
          <w:szCs w:val="28"/>
        </w:rPr>
        <w:t xml:space="preserve"> </w:t>
      </w:r>
      <w:r w:rsidR="009B75B6">
        <w:rPr>
          <w:rFonts w:ascii="Times New Roman" w:hAnsi="Times New Roman"/>
          <w:sz w:val="28"/>
          <w:szCs w:val="28"/>
        </w:rPr>
        <w:t>к другим</w:t>
      </w:r>
      <w:r>
        <w:rPr>
          <w:rFonts w:ascii="Times New Roman" w:hAnsi="Times New Roman"/>
          <w:sz w:val="28"/>
          <w:szCs w:val="28"/>
        </w:rPr>
        <w:t xml:space="preserve"> популяци</w:t>
      </w:r>
      <w:r w:rsidR="009B75B6">
        <w:rPr>
          <w:rFonts w:ascii="Times New Roman" w:hAnsi="Times New Roman"/>
          <w:sz w:val="28"/>
          <w:szCs w:val="28"/>
        </w:rPr>
        <w:t>ям</w:t>
      </w:r>
      <w:r>
        <w:rPr>
          <w:rFonts w:ascii="Times New Roman" w:hAnsi="Times New Roman"/>
          <w:sz w:val="28"/>
          <w:szCs w:val="28"/>
        </w:rPr>
        <w:t>. Поэтому изучени</w:t>
      </w:r>
      <w:r w:rsidR="00D014DE">
        <w:rPr>
          <w:rFonts w:ascii="Times New Roman" w:hAnsi="Times New Roman"/>
          <w:sz w:val="28"/>
          <w:szCs w:val="28"/>
        </w:rPr>
        <w:t>я</w:t>
      </w:r>
      <w:r w:rsidR="00902CA5">
        <w:rPr>
          <w:rFonts w:ascii="Times New Roman" w:hAnsi="Times New Roman"/>
          <w:sz w:val="28"/>
          <w:szCs w:val="28"/>
        </w:rPr>
        <w:t xml:space="preserve"> </w:t>
      </w:r>
      <w:r>
        <w:rPr>
          <w:rFonts w:ascii="Times New Roman" w:hAnsi="Times New Roman"/>
          <w:sz w:val="28"/>
          <w:szCs w:val="28"/>
        </w:rPr>
        <w:t>молекулярно – генетически</w:t>
      </w:r>
      <w:r w:rsidR="00D014DE">
        <w:rPr>
          <w:rFonts w:ascii="Times New Roman" w:hAnsi="Times New Roman"/>
          <w:sz w:val="28"/>
          <w:szCs w:val="28"/>
        </w:rPr>
        <w:t>х основ</w:t>
      </w:r>
      <w:r>
        <w:rPr>
          <w:rFonts w:ascii="Times New Roman" w:hAnsi="Times New Roman"/>
          <w:sz w:val="28"/>
          <w:szCs w:val="28"/>
        </w:rPr>
        <w:t xml:space="preserve"> риска развития дислипидемии и ИР в казахс</w:t>
      </w:r>
      <w:r w:rsidR="000A4926">
        <w:rPr>
          <w:rFonts w:ascii="Times New Roman" w:hAnsi="Times New Roman"/>
          <w:sz w:val="28"/>
          <w:szCs w:val="28"/>
        </w:rPr>
        <w:t>кой популяции является актуальным направлением</w:t>
      </w:r>
      <w:r>
        <w:rPr>
          <w:rFonts w:ascii="Times New Roman" w:hAnsi="Times New Roman"/>
          <w:sz w:val="28"/>
          <w:szCs w:val="28"/>
        </w:rPr>
        <w:t>.</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Целью нашего исследования является </w:t>
      </w:r>
      <w:r w:rsidR="004D7F74">
        <w:rPr>
          <w:rFonts w:ascii="Times New Roman" w:hAnsi="Times New Roman" w:cs="Times New Roman"/>
          <w:sz w:val="28"/>
          <w:szCs w:val="28"/>
          <w:lang w:val="kk-KZ"/>
        </w:rPr>
        <w:t>у</w:t>
      </w:r>
      <w:r>
        <w:rPr>
          <w:rFonts w:ascii="Times New Roman" w:hAnsi="Times New Roman" w:cs="Times New Roman"/>
          <w:sz w:val="28"/>
          <w:szCs w:val="28"/>
        </w:rPr>
        <w:t xml:space="preserve">совершенствование ранней диагностики и прогнозирования риска развития дислипидемии и инсулинорезистентности в казахской популяции путем определения полиморфизмов генов </w:t>
      </w:r>
      <w:r>
        <w:rPr>
          <w:rFonts w:ascii="Times New Roman" w:hAnsi="Times New Roman"/>
          <w:i/>
          <w:sz w:val="28"/>
          <w:szCs w:val="28"/>
        </w:rPr>
        <w:t xml:space="preserve">LPL </w:t>
      </w:r>
      <w:r>
        <w:rPr>
          <w:rFonts w:ascii="Times New Roman" w:hAnsi="Times New Roman"/>
          <w:sz w:val="28"/>
          <w:szCs w:val="28"/>
        </w:rPr>
        <w:t>Ser447Ter (rs328),</w:t>
      </w:r>
      <w:r>
        <w:rPr>
          <w:rFonts w:ascii="Times New Roman" w:hAnsi="Times New Roman"/>
          <w:i/>
          <w:sz w:val="28"/>
          <w:szCs w:val="28"/>
        </w:rPr>
        <w:t xml:space="preserve"> ADRB2 </w:t>
      </w:r>
      <w:r>
        <w:rPr>
          <w:rFonts w:ascii="Times New Roman" w:hAnsi="Times New Roman"/>
          <w:sz w:val="28"/>
          <w:szCs w:val="28"/>
        </w:rPr>
        <w:t>Gln27Glu (rs1042714),</w:t>
      </w:r>
      <w:r>
        <w:rPr>
          <w:rFonts w:ascii="Times New Roman" w:hAnsi="Times New Roman"/>
          <w:i/>
          <w:sz w:val="28"/>
          <w:szCs w:val="28"/>
        </w:rPr>
        <w:t xml:space="preserve"> AGT </w:t>
      </w:r>
      <w:r>
        <w:rPr>
          <w:rFonts w:ascii="Times New Roman" w:hAnsi="Times New Roman"/>
          <w:sz w:val="28"/>
          <w:szCs w:val="28"/>
        </w:rPr>
        <w:t>Thr174Met (rs4762),</w:t>
      </w:r>
      <w:r>
        <w:rPr>
          <w:rFonts w:ascii="Times New Roman" w:hAnsi="Times New Roman"/>
          <w:i/>
          <w:sz w:val="28"/>
          <w:szCs w:val="28"/>
        </w:rPr>
        <w:t xml:space="preserve"> AGTR1 </w:t>
      </w:r>
      <w:r>
        <w:rPr>
          <w:rFonts w:ascii="Times New Roman" w:hAnsi="Times New Roman"/>
          <w:sz w:val="28"/>
          <w:szCs w:val="28"/>
        </w:rPr>
        <w:t xml:space="preserve">A1166C (rs5186) </w:t>
      </w:r>
      <w:r>
        <w:rPr>
          <w:rFonts w:ascii="Times New Roman" w:hAnsi="Times New Roman" w:cs="Times New Roman"/>
          <w:sz w:val="28"/>
          <w:szCs w:val="28"/>
        </w:rPr>
        <w:t>и разработкой профилактических мероприятий.</w:t>
      </w:r>
    </w:p>
    <w:p w:rsidR="00AB12B3" w:rsidRDefault="000A4926"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Для достижения </w:t>
      </w:r>
      <w:r w:rsidR="00AB12B3">
        <w:rPr>
          <w:rFonts w:ascii="Times New Roman" w:hAnsi="Times New Roman" w:cs="Times New Roman"/>
          <w:sz w:val="28"/>
          <w:szCs w:val="28"/>
        </w:rPr>
        <w:t>постав</w:t>
      </w:r>
      <w:r>
        <w:rPr>
          <w:rFonts w:ascii="Times New Roman" w:hAnsi="Times New Roman" w:cs="Times New Roman"/>
          <w:sz w:val="28"/>
          <w:szCs w:val="28"/>
        </w:rPr>
        <w:t>ленной цели были определены</w:t>
      </w:r>
      <w:r w:rsidR="00AB12B3">
        <w:rPr>
          <w:rFonts w:ascii="Times New Roman" w:hAnsi="Times New Roman" w:cs="Times New Roman"/>
          <w:sz w:val="28"/>
          <w:szCs w:val="28"/>
        </w:rPr>
        <w:t xml:space="preserve"> следующие задачи: </w:t>
      </w:r>
    </w:p>
    <w:p w:rsidR="00AB12B3" w:rsidRDefault="00AB12B3" w:rsidP="00D50B45">
      <w:pPr>
        <w:pStyle w:val="af4"/>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both"/>
        <w:rPr>
          <w:rFonts w:ascii="Times New Roman" w:hAnsi="Times New Roman" w:cs="Times New Roman"/>
          <w:sz w:val="28"/>
          <w:szCs w:val="28"/>
        </w:rPr>
      </w:pPr>
      <w:r>
        <w:rPr>
          <w:rFonts w:ascii="Times New Roman" w:hAnsi="Times New Roman" w:cs="Times New Roman"/>
          <w:sz w:val="28"/>
          <w:szCs w:val="28"/>
        </w:rPr>
        <w:t xml:space="preserve">Изучить распространенность полиморфных вариантов генов </w:t>
      </w:r>
      <w:r>
        <w:rPr>
          <w:rFonts w:ascii="Times New Roman" w:hAnsi="Times New Roman"/>
          <w:i/>
          <w:sz w:val="28"/>
          <w:szCs w:val="28"/>
        </w:rPr>
        <w:t xml:space="preserve">LPL </w:t>
      </w:r>
      <w:r>
        <w:rPr>
          <w:rFonts w:ascii="Times New Roman" w:hAnsi="Times New Roman"/>
          <w:sz w:val="28"/>
          <w:szCs w:val="28"/>
        </w:rPr>
        <w:t>Ser447Ter (rs328),</w:t>
      </w:r>
      <w:r>
        <w:rPr>
          <w:rFonts w:ascii="Times New Roman" w:hAnsi="Times New Roman"/>
          <w:i/>
          <w:sz w:val="28"/>
          <w:szCs w:val="28"/>
        </w:rPr>
        <w:t xml:space="preserve"> ADRB2 </w:t>
      </w:r>
      <w:r>
        <w:rPr>
          <w:rFonts w:ascii="Times New Roman" w:hAnsi="Times New Roman"/>
          <w:sz w:val="28"/>
          <w:szCs w:val="28"/>
        </w:rPr>
        <w:t>Gln27Glu (rs1042714),</w:t>
      </w:r>
      <w:r>
        <w:rPr>
          <w:rFonts w:ascii="Times New Roman" w:hAnsi="Times New Roman"/>
          <w:i/>
          <w:sz w:val="28"/>
          <w:szCs w:val="28"/>
        </w:rPr>
        <w:t xml:space="preserve"> AGT </w:t>
      </w:r>
      <w:r>
        <w:rPr>
          <w:rFonts w:ascii="Times New Roman" w:hAnsi="Times New Roman"/>
          <w:sz w:val="28"/>
          <w:szCs w:val="28"/>
        </w:rPr>
        <w:t>Thr174Met (rs4762),</w:t>
      </w:r>
      <w:r>
        <w:rPr>
          <w:rFonts w:ascii="Times New Roman" w:hAnsi="Times New Roman"/>
          <w:i/>
          <w:sz w:val="28"/>
          <w:szCs w:val="28"/>
        </w:rPr>
        <w:t xml:space="preserve"> AGTR1 </w:t>
      </w:r>
      <w:r>
        <w:rPr>
          <w:rFonts w:ascii="Times New Roman" w:hAnsi="Times New Roman"/>
          <w:sz w:val="28"/>
          <w:szCs w:val="28"/>
        </w:rPr>
        <w:t>A1166C (rs5186)</w:t>
      </w:r>
      <w:r>
        <w:rPr>
          <w:rFonts w:ascii="Times New Roman" w:hAnsi="Times New Roman" w:cs="Times New Roman"/>
          <w:sz w:val="28"/>
          <w:szCs w:val="28"/>
        </w:rPr>
        <w:t xml:space="preserve"> у пациентов с дислипидемии и инсулинорезистентности казахской популяции.</w:t>
      </w:r>
    </w:p>
    <w:p w:rsidR="00AB12B3" w:rsidRDefault="00AB12B3" w:rsidP="00D50B45">
      <w:pPr>
        <w:pStyle w:val="af4"/>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both"/>
        <w:rPr>
          <w:rFonts w:ascii="Times New Roman" w:hAnsi="Times New Roman" w:cs="Times New Roman"/>
          <w:sz w:val="28"/>
          <w:szCs w:val="28"/>
        </w:rPr>
      </w:pPr>
      <w:r>
        <w:rPr>
          <w:rFonts w:ascii="Times New Roman" w:hAnsi="Times New Roman" w:cs="Times New Roman"/>
          <w:sz w:val="28"/>
          <w:szCs w:val="28"/>
        </w:rPr>
        <w:t xml:space="preserve">Оценить взаимосвязи полиморфизмов </w:t>
      </w:r>
      <w:r w:rsidR="00F820CF">
        <w:rPr>
          <w:rFonts w:ascii="Times New Roman" w:hAnsi="Times New Roman" w:cs="Times New Roman"/>
          <w:sz w:val="28"/>
          <w:szCs w:val="28"/>
        </w:rPr>
        <w:t>генов,</w:t>
      </w:r>
      <w:r>
        <w:rPr>
          <w:rFonts w:ascii="Times New Roman" w:hAnsi="Times New Roman" w:cs="Times New Roman"/>
          <w:sz w:val="28"/>
          <w:szCs w:val="28"/>
        </w:rPr>
        <w:t xml:space="preserve"> ассоциированных с нарушениями липидного обмена у пациентов с дислипидемией и инсулинорезистентностью.</w:t>
      </w:r>
    </w:p>
    <w:p w:rsidR="00AB12B3" w:rsidRPr="0059778D" w:rsidRDefault="00AB12B3" w:rsidP="00D50B45">
      <w:pPr>
        <w:pStyle w:val="af4"/>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both"/>
        <w:rPr>
          <w:rFonts w:ascii="Times New Roman" w:hAnsi="Times New Roman" w:cs="Times New Roman"/>
          <w:strike/>
          <w:sz w:val="28"/>
          <w:szCs w:val="28"/>
        </w:rPr>
      </w:pPr>
      <w:r>
        <w:rPr>
          <w:rFonts w:ascii="Times New Roman" w:hAnsi="Times New Roman" w:cs="Times New Roman"/>
          <w:sz w:val="28"/>
          <w:szCs w:val="28"/>
        </w:rPr>
        <w:t>Разработ</w:t>
      </w:r>
      <w:r w:rsidR="004D7F74">
        <w:rPr>
          <w:rFonts w:ascii="Times New Roman" w:hAnsi="Times New Roman" w:cs="Times New Roman"/>
          <w:sz w:val="28"/>
          <w:szCs w:val="28"/>
          <w:lang w:val="kk-KZ"/>
        </w:rPr>
        <w:t>ать</w:t>
      </w:r>
      <w:r w:rsidR="004D7F74">
        <w:rPr>
          <w:rFonts w:ascii="Times New Roman" w:hAnsi="Times New Roman" w:cs="Times New Roman"/>
          <w:sz w:val="28"/>
          <w:szCs w:val="28"/>
        </w:rPr>
        <w:t xml:space="preserve"> алгоритм</w:t>
      </w:r>
      <w:r>
        <w:rPr>
          <w:rFonts w:ascii="Times New Roman" w:hAnsi="Times New Roman" w:cs="Times New Roman"/>
          <w:sz w:val="28"/>
          <w:szCs w:val="28"/>
        </w:rPr>
        <w:t xml:space="preserve"> ранней диагностики и прогнозирования развития дислипидемии и инсулинорезистентности</w:t>
      </w:r>
      <w:r w:rsidR="0059778D">
        <w:rPr>
          <w:rFonts w:ascii="Times New Roman" w:hAnsi="Times New Roman" w:cs="Times New Roman"/>
          <w:sz w:val="28"/>
          <w:szCs w:val="28"/>
        </w:rPr>
        <w:t>.</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sz w:val="28"/>
          <w:szCs w:val="28"/>
        </w:rPr>
        <w:lastRenderedPageBreak/>
        <w:t xml:space="preserve">Для достижения цели и поставленных задач мы провели ассоциативный генетический анализ полиморфизмов генов </w:t>
      </w:r>
      <w:r>
        <w:rPr>
          <w:rFonts w:ascii="Times New Roman" w:hAnsi="Times New Roman"/>
          <w:i/>
          <w:sz w:val="28"/>
          <w:szCs w:val="28"/>
        </w:rPr>
        <w:t xml:space="preserve">LPL </w:t>
      </w:r>
      <w:r>
        <w:rPr>
          <w:rFonts w:ascii="Times New Roman" w:hAnsi="Times New Roman"/>
          <w:sz w:val="28"/>
          <w:szCs w:val="28"/>
        </w:rPr>
        <w:t>Ser447Ter (rs328),</w:t>
      </w:r>
      <w:r>
        <w:rPr>
          <w:rFonts w:ascii="Times New Roman" w:hAnsi="Times New Roman"/>
          <w:i/>
          <w:sz w:val="28"/>
          <w:szCs w:val="28"/>
        </w:rPr>
        <w:t xml:space="preserve"> ADRB2 </w:t>
      </w:r>
      <w:r>
        <w:rPr>
          <w:rFonts w:ascii="Times New Roman" w:hAnsi="Times New Roman"/>
          <w:sz w:val="28"/>
          <w:szCs w:val="28"/>
        </w:rPr>
        <w:t>Gln27Glu (rs1042714),</w:t>
      </w:r>
      <w:r>
        <w:rPr>
          <w:rFonts w:ascii="Times New Roman" w:hAnsi="Times New Roman"/>
          <w:i/>
          <w:sz w:val="28"/>
          <w:szCs w:val="28"/>
        </w:rPr>
        <w:t xml:space="preserve"> AGT </w:t>
      </w:r>
      <w:r>
        <w:rPr>
          <w:rFonts w:ascii="Times New Roman" w:hAnsi="Times New Roman"/>
          <w:sz w:val="28"/>
          <w:szCs w:val="28"/>
        </w:rPr>
        <w:t>Thr174Met (rs4762),</w:t>
      </w:r>
      <w:r>
        <w:rPr>
          <w:rFonts w:ascii="Times New Roman" w:hAnsi="Times New Roman"/>
          <w:i/>
          <w:sz w:val="28"/>
          <w:szCs w:val="28"/>
        </w:rPr>
        <w:t xml:space="preserve"> AGTR1 </w:t>
      </w:r>
      <w:r>
        <w:rPr>
          <w:rFonts w:ascii="Times New Roman" w:hAnsi="Times New Roman"/>
          <w:sz w:val="28"/>
          <w:szCs w:val="28"/>
        </w:rPr>
        <w:t>A1166C (rs5186). Объектами исследования были</w:t>
      </w:r>
      <w:r>
        <w:rPr>
          <w:rFonts w:ascii="Times New Roman" w:hAnsi="Times New Roman" w:cs="Times New Roman"/>
          <w:sz w:val="28"/>
          <w:szCs w:val="28"/>
        </w:rPr>
        <w:t xml:space="preserve"> 580 лиц казахской национальности (281 мужчин и 299 женщин), в возрасте от 18 до 65 лет</w:t>
      </w:r>
      <w:r w:rsidRPr="00A729AF">
        <w:rPr>
          <w:rFonts w:ascii="Century" w:hAnsi="Century" w:cs="Times New Roman"/>
          <w:sz w:val="28"/>
          <w:szCs w:val="28"/>
        </w:rPr>
        <w:t xml:space="preserve">, </w:t>
      </w:r>
      <w:r>
        <w:rPr>
          <w:rFonts w:ascii="Times New Roman" w:hAnsi="Times New Roman" w:cs="Times New Roman"/>
          <w:sz w:val="28"/>
          <w:szCs w:val="28"/>
        </w:rPr>
        <w:t>проживающие в городе Семей</w:t>
      </w:r>
      <w:r w:rsidRPr="00A729AF">
        <w:rPr>
          <w:rFonts w:ascii="Century" w:hAnsi="Century" w:cs="Times New Roman"/>
          <w:sz w:val="28"/>
          <w:szCs w:val="28"/>
        </w:rPr>
        <w:t xml:space="preserve">. </w:t>
      </w:r>
      <w:r>
        <w:rPr>
          <w:rFonts w:ascii="Times New Roman" w:hAnsi="Times New Roman" w:cs="Times New Roman"/>
          <w:sz w:val="28"/>
          <w:szCs w:val="28"/>
        </w:rPr>
        <w:t>Средний возраст составил для мужчин –</w:t>
      </w:r>
      <w:r w:rsidR="00F20E4E">
        <w:rPr>
          <w:rFonts w:ascii="Times New Roman" w:hAnsi="Times New Roman" w:cs="Times New Roman"/>
          <w:sz w:val="28"/>
          <w:szCs w:val="28"/>
        </w:rPr>
        <w:t xml:space="preserve"> </w:t>
      </w:r>
      <w:r>
        <w:rPr>
          <w:rFonts w:ascii="Times New Roman" w:hAnsi="Times New Roman" w:cs="Times New Roman"/>
          <w:sz w:val="28"/>
          <w:szCs w:val="28"/>
        </w:rPr>
        <w:t>47</w:t>
      </w:r>
      <w:r w:rsidR="00F20E4E">
        <w:rPr>
          <w:rFonts w:ascii="Times New Roman" w:hAnsi="Times New Roman" w:cs="Times New Roman"/>
          <w:sz w:val="28"/>
          <w:szCs w:val="28"/>
        </w:rPr>
        <w:t>±18</w:t>
      </w:r>
      <w:r>
        <w:rPr>
          <w:rFonts w:ascii="Times New Roman" w:hAnsi="Times New Roman" w:cs="Times New Roman"/>
          <w:sz w:val="28"/>
          <w:szCs w:val="28"/>
        </w:rPr>
        <w:t xml:space="preserve"> лет, для женщин – 45</w:t>
      </w:r>
      <w:r w:rsidR="00F20E4E">
        <w:rPr>
          <w:rFonts w:ascii="Times New Roman" w:hAnsi="Times New Roman" w:cs="Times New Roman"/>
          <w:sz w:val="28"/>
          <w:szCs w:val="28"/>
        </w:rPr>
        <w:t>±16</w:t>
      </w:r>
      <w:r w:rsidR="005361C6">
        <w:rPr>
          <w:rFonts w:ascii="Times New Roman" w:hAnsi="Times New Roman" w:cs="Times New Roman"/>
          <w:sz w:val="28"/>
          <w:szCs w:val="28"/>
        </w:rPr>
        <w:t xml:space="preserve"> </w:t>
      </w:r>
      <w:r>
        <w:rPr>
          <w:rFonts w:ascii="Times New Roman" w:hAnsi="Times New Roman" w:cs="Times New Roman"/>
          <w:sz w:val="28"/>
          <w:szCs w:val="28"/>
        </w:rPr>
        <w:t xml:space="preserve">лет, соответственно. </w:t>
      </w:r>
    </w:p>
    <w:p w:rsidR="00AB12B3" w:rsidRDefault="000A4926"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М</w:t>
      </w:r>
      <w:r w:rsidR="00AB12B3">
        <w:rPr>
          <w:rFonts w:ascii="Times New Roman" w:hAnsi="Times New Roman" w:cs="Times New Roman"/>
          <w:sz w:val="28"/>
          <w:szCs w:val="28"/>
        </w:rPr>
        <w:t>ы</w:t>
      </w:r>
      <w:r>
        <w:rPr>
          <w:rFonts w:ascii="Times New Roman" w:hAnsi="Times New Roman" w:cs="Times New Roman"/>
          <w:sz w:val="28"/>
          <w:szCs w:val="28"/>
        </w:rPr>
        <w:t xml:space="preserve"> </w:t>
      </w:r>
      <w:r w:rsidR="00AB12B3">
        <w:rPr>
          <w:rFonts w:ascii="Times New Roman" w:hAnsi="Times New Roman" w:cs="Times New Roman"/>
          <w:sz w:val="28"/>
          <w:szCs w:val="28"/>
        </w:rPr>
        <w:t>изучали распространенность полиморфизмов генов</w:t>
      </w:r>
      <w:r w:rsidR="005361C6">
        <w:rPr>
          <w:rFonts w:ascii="Times New Roman" w:hAnsi="Times New Roman" w:cs="Times New Roman"/>
          <w:sz w:val="28"/>
          <w:szCs w:val="28"/>
        </w:rPr>
        <w:t xml:space="preserve"> </w:t>
      </w:r>
      <w:r w:rsidR="00AB12B3">
        <w:rPr>
          <w:rFonts w:ascii="Times New Roman" w:hAnsi="Times New Roman"/>
          <w:i/>
          <w:sz w:val="28"/>
          <w:szCs w:val="28"/>
        </w:rPr>
        <w:t xml:space="preserve">LPL </w:t>
      </w:r>
      <w:r w:rsidR="00AB12B3">
        <w:rPr>
          <w:rFonts w:ascii="Times New Roman" w:hAnsi="Times New Roman"/>
          <w:sz w:val="28"/>
          <w:szCs w:val="28"/>
        </w:rPr>
        <w:t>Ser447Ter (rs328),</w:t>
      </w:r>
      <w:r w:rsidR="00AB12B3">
        <w:rPr>
          <w:rFonts w:ascii="Times New Roman" w:hAnsi="Times New Roman"/>
          <w:i/>
          <w:sz w:val="28"/>
          <w:szCs w:val="28"/>
        </w:rPr>
        <w:t xml:space="preserve"> ADRB2 </w:t>
      </w:r>
      <w:r w:rsidR="00AB12B3">
        <w:rPr>
          <w:rFonts w:ascii="Times New Roman" w:hAnsi="Times New Roman"/>
          <w:sz w:val="28"/>
          <w:szCs w:val="28"/>
        </w:rPr>
        <w:t>Gln27Glu (rs1042714),</w:t>
      </w:r>
      <w:r w:rsidR="00AB12B3">
        <w:rPr>
          <w:rFonts w:ascii="Times New Roman" w:hAnsi="Times New Roman"/>
          <w:i/>
          <w:sz w:val="28"/>
          <w:szCs w:val="28"/>
        </w:rPr>
        <w:t xml:space="preserve"> AGT </w:t>
      </w:r>
      <w:r w:rsidR="00AB12B3">
        <w:rPr>
          <w:rFonts w:ascii="Times New Roman" w:hAnsi="Times New Roman"/>
          <w:sz w:val="28"/>
          <w:szCs w:val="28"/>
        </w:rPr>
        <w:t>Thr174Met (rs4762),</w:t>
      </w:r>
      <w:r w:rsidR="00AB12B3">
        <w:rPr>
          <w:rFonts w:ascii="Times New Roman" w:hAnsi="Times New Roman"/>
          <w:i/>
          <w:sz w:val="28"/>
          <w:szCs w:val="28"/>
        </w:rPr>
        <w:t xml:space="preserve"> AGTR1 </w:t>
      </w:r>
      <w:r w:rsidR="00AB12B3">
        <w:rPr>
          <w:rFonts w:ascii="Times New Roman" w:hAnsi="Times New Roman"/>
          <w:sz w:val="28"/>
          <w:szCs w:val="28"/>
        </w:rPr>
        <w:t xml:space="preserve">A1166C (rs5186) в </w:t>
      </w:r>
      <w:r>
        <w:rPr>
          <w:rFonts w:ascii="Times New Roman" w:hAnsi="Times New Roman"/>
          <w:sz w:val="28"/>
          <w:szCs w:val="28"/>
        </w:rPr>
        <w:t>нашей выборке</w:t>
      </w:r>
      <w:r w:rsidR="00AB12B3">
        <w:rPr>
          <w:rFonts w:ascii="Times New Roman" w:hAnsi="Times New Roman"/>
          <w:sz w:val="28"/>
          <w:szCs w:val="28"/>
        </w:rPr>
        <w:t xml:space="preserve">. </w:t>
      </w:r>
      <w:r w:rsidR="00AB12B3">
        <w:rPr>
          <w:rFonts w:ascii="Times New Roman" w:hAnsi="Times New Roman" w:cs="Times New Roman"/>
          <w:sz w:val="28"/>
          <w:szCs w:val="28"/>
        </w:rPr>
        <w:t xml:space="preserve">В </w:t>
      </w:r>
      <w:r w:rsidR="00F20E4E">
        <w:rPr>
          <w:rFonts w:ascii="Times New Roman" w:hAnsi="Times New Roman" w:cs="Times New Roman"/>
          <w:sz w:val="28"/>
          <w:szCs w:val="28"/>
        </w:rPr>
        <w:t>исследуемой нами выборке</w:t>
      </w:r>
      <w:r w:rsidR="00AB12B3">
        <w:rPr>
          <w:rFonts w:ascii="Times New Roman" w:hAnsi="Times New Roman" w:cs="Times New Roman"/>
          <w:sz w:val="28"/>
          <w:szCs w:val="28"/>
        </w:rPr>
        <w:t xml:space="preserve"> аллель С (</w:t>
      </w:r>
      <w:r w:rsidR="00AB12B3">
        <w:rPr>
          <w:rFonts w:ascii="Times New Roman" w:hAnsi="Times New Roman"/>
          <w:sz w:val="28"/>
          <w:szCs w:val="28"/>
        </w:rPr>
        <w:t xml:space="preserve">0,86) </w:t>
      </w:r>
      <w:r w:rsidR="00AB12B3">
        <w:rPr>
          <w:rFonts w:ascii="Times New Roman" w:hAnsi="Times New Roman" w:cs="Times New Roman"/>
          <w:sz w:val="28"/>
          <w:szCs w:val="28"/>
        </w:rPr>
        <w:t xml:space="preserve">полиморфизма Ser447Ter (rs328) гена </w:t>
      </w:r>
      <w:r w:rsidR="00AB12B3">
        <w:rPr>
          <w:rFonts w:ascii="Times New Roman" w:hAnsi="Times New Roman" w:cs="Times New Roman"/>
          <w:i/>
          <w:sz w:val="28"/>
          <w:szCs w:val="28"/>
        </w:rPr>
        <w:t>LPL</w:t>
      </w:r>
      <w:r w:rsidR="00AB12B3">
        <w:rPr>
          <w:rFonts w:ascii="Times New Roman" w:hAnsi="Times New Roman" w:cs="Times New Roman"/>
          <w:sz w:val="28"/>
          <w:szCs w:val="28"/>
        </w:rPr>
        <w:t xml:space="preserve"> встречается чаще аллеля G (</w:t>
      </w:r>
      <w:r w:rsidR="00AB12B3">
        <w:rPr>
          <w:rFonts w:ascii="Times New Roman" w:hAnsi="Times New Roman"/>
          <w:sz w:val="28"/>
          <w:szCs w:val="28"/>
        </w:rPr>
        <w:t>0,14)</w:t>
      </w:r>
      <w:r w:rsidR="00AB12B3">
        <w:rPr>
          <w:rFonts w:ascii="Times New Roman" w:hAnsi="Times New Roman" w:cs="Times New Roman"/>
          <w:sz w:val="28"/>
          <w:szCs w:val="28"/>
        </w:rPr>
        <w:t xml:space="preserve">. </w:t>
      </w:r>
      <w:r w:rsidR="0059778D">
        <w:rPr>
          <w:rFonts w:ascii="Times New Roman" w:hAnsi="Times New Roman" w:cs="Times New Roman"/>
          <w:sz w:val="28"/>
          <w:szCs w:val="28"/>
        </w:rPr>
        <w:t>Распространенность</w:t>
      </w:r>
      <w:r w:rsidR="00AB12B3">
        <w:rPr>
          <w:rFonts w:ascii="Times New Roman" w:hAnsi="Times New Roman" w:cs="Times New Roman"/>
          <w:sz w:val="28"/>
          <w:szCs w:val="28"/>
        </w:rPr>
        <w:t xml:space="preserve"> аллелей полиморфизма Ser447Ter (rs328) гена </w:t>
      </w:r>
      <w:r w:rsidR="00AB12B3">
        <w:rPr>
          <w:rFonts w:ascii="Times New Roman" w:hAnsi="Times New Roman" w:cs="Times New Roman"/>
          <w:i/>
          <w:sz w:val="28"/>
          <w:szCs w:val="28"/>
        </w:rPr>
        <w:t>LPL</w:t>
      </w:r>
      <w:r w:rsidR="00AB12B3">
        <w:rPr>
          <w:rFonts w:ascii="Times New Roman" w:hAnsi="Times New Roman" w:cs="Times New Roman"/>
          <w:sz w:val="28"/>
          <w:szCs w:val="28"/>
        </w:rPr>
        <w:t xml:space="preserve"> в </w:t>
      </w:r>
      <w:r w:rsidR="00AC4168">
        <w:rPr>
          <w:rFonts w:ascii="Times New Roman" w:hAnsi="Times New Roman" w:cs="Times New Roman"/>
          <w:sz w:val="28"/>
          <w:szCs w:val="28"/>
        </w:rPr>
        <w:t xml:space="preserve">данной выборке </w:t>
      </w:r>
      <w:r w:rsidR="00AB12B3">
        <w:rPr>
          <w:rFonts w:ascii="Times New Roman" w:hAnsi="Times New Roman" w:cs="Times New Roman"/>
          <w:sz w:val="28"/>
          <w:szCs w:val="28"/>
        </w:rPr>
        <w:t>была со</w:t>
      </w:r>
      <w:r w:rsidR="00D014DE">
        <w:rPr>
          <w:rFonts w:ascii="Times New Roman" w:hAnsi="Times New Roman" w:cs="Times New Roman"/>
          <w:sz w:val="28"/>
          <w:szCs w:val="28"/>
        </w:rPr>
        <w:t>поставима</w:t>
      </w:r>
      <w:r w:rsidR="00AB12B3">
        <w:rPr>
          <w:rFonts w:ascii="Times New Roman" w:hAnsi="Times New Roman" w:cs="Times New Roman"/>
          <w:sz w:val="28"/>
          <w:szCs w:val="28"/>
        </w:rPr>
        <w:t xml:space="preserve"> с частотой </w:t>
      </w:r>
      <w:r w:rsidR="0059778D">
        <w:rPr>
          <w:rFonts w:ascii="Times New Roman" w:hAnsi="Times New Roman" w:cs="Times New Roman"/>
          <w:sz w:val="28"/>
          <w:szCs w:val="28"/>
        </w:rPr>
        <w:t xml:space="preserve">в </w:t>
      </w:r>
      <w:r w:rsidR="00AB12B3">
        <w:rPr>
          <w:rFonts w:ascii="Times New Roman" w:hAnsi="Times New Roman" w:cs="Times New Roman"/>
          <w:sz w:val="28"/>
          <w:szCs w:val="28"/>
        </w:rPr>
        <w:t>восточно-азиатской и европейской популяци</w:t>
      </w:r>
      <w:r w:rsidR="0059778D">
        <w:rPr>
          <w:rFonts w:ascii="Times New Roman" w:hAnsi="Times New Roman" w:cs="Times New Roman"/>
          <w:sz w:val="28"/>
          <w:szCs w:val="28"/>
        </w:rPr>
        <w:t>ях</w:t>
      </w:r>
      <w:r w:rsidR="00AB12B3">
        <w:rPr>
          <w:rFonts w:ascii="Times New Roman" w:hAnsi="Times New Roman" w:cs="Times New Roman"/>
          <w:sz w:val="28"/>
          <w:szCs w:val="28"/>
        </w:rPr>
        <w:t>, что объясняется их географическим расположением. Распространенность аллелей С (0,7) и G (0,3) полиморфизма Gln27Glu (rs1042714)</w:t>
      </w:r>
      <w:r w:rsidR="005361C6">
        <w:rPr>
          <w:rFonts w:ascii="Times New Roman" w:hAnsi="Times New Roman" w:cs="Times New Roman"/>
          <w:sz w:val="28"/>
          <w:szCs w:val="28"/>
        </w:rPr>
        <w:t xml:space="preserve"> </w:t>
      </w:r>
      <w:r w:rsidR="00AB12B3">
        <w:rPr>
          <w:rFonts w:ascii="Times New Roman" w:hAnsi="Times New Roman" w:cs="Times New Roman"/>
          <w:sz w:val="28"/>
          <w:szCs w:val="28"/>
        </w:rPr>
        <w:t>гена</w:t>
      </w:r>
      <w:r w:rsidR="00AB12B3">
        <w:rPr>
          <w:rFonts w:ascii="Times New Roman" w:hAnsi="Times New Roman" w:cs="Times New Roman"/>
          <w:i/>
          <w:sz w:val="28"/>
          <w:szCs w:val="28"/>
        </w:rPr>
        <w:t xml:space="preserve"> ADRB2</w:t>
      </w:r>
      <w:r w:rsidR="00AB12B3">
        <w:rPr>
          <w:rFonts w:ascii="Times New Roman" w:hAnsi="Times New Roman" w:cs="Times New Roman"/>
          <w:sz w:val="28"/>
          <w:szCs w:val="28"/>
        </w:rPr>
        <w:t xml:space="preserve"> в </w:t>
      </w:r>
      <w:r w:rsidR="00123CFA">
        <w:rPr>
          <w:rFonts w:ascii="Times New Roman" w:hAnsi="Times New Roman" w:cs="Times New Roman"/>
          <w:sz w:val="28"/>
          <w:szCs w:val="28"/>
        </w:rPr>
        <w:t xml:space="preserve">исследуемой выборке </w:t>
      </w:r>
      <w:r w:rsidR="00AB12B3">
        <w:rPr>
          <w:rFonts w:ascii="Times New Roman" w:hAnsi="Times New Roman" w:cs="Times New Roman"/>
          <w:sz w:val="28"/>
          <w:szCs w:val="28"/>
        </w:rPr>
        <w:t xml:space="preserve">является промежуточной между европейской (среднее для аллеля С 0,59 (0,535 </w:t>
      </w:r>
      <w:r w:rsidR="00C16F07">
        <w:rPr>
          <w:rFonts w:ascii="Times New Roman" w:hAnsi="Times New Roman" w:cs="Times New Roman"/>
          <w:sz w:val="28"/>
          <w:szCs w:val="28"/>
        </w:rPr>
        <w:t>–</w:t>
      </w:r>
      <w:r w:rsidR="00AB12B3">
        <w:rPr>
          <w:rFonts w:ascii="Times New Roman" w:hAnsi="Times New Roman" w:cs="Times New Roman"/>
          <w:sz w:val="28"/>
          <w:szCs w:val="28"/>
        </w:rPr>
        <w:t xml:space="preserve"> 0,631) и для аллеля G 0,41 (0,369-0,465)) и западно-азиатской (среднее для аллеля С 0,927 (0,893-0,952) и для аллеля G 0,073 (0,048-0,107)) популяциях. В</w:t>
      </w:r>
      <w:r w:rsidR="000763D9">
        <w:rPr>
          <w:rFonts w:ascii="Times New Roman" w:hAnsi="Times New Roman" w:cs="Times New Roman"/>
          <w:sz w:val="28"/>
          <w:szCs w:val="28"/>
        </w:rPr>
        <w:t xml:space="preserve"> данной </w:t>
      </w:r>
      <w:r w:rsidR="00516357">
        <w:rPr>
          <w:rFonts w:ascii="Times New Roman" w:hAnsi="Times New Roman" w:cs="Times New Roman"/>
          <w:sz w:val="28"/>
          <w:szCs w:val="28"/>
        </w:rPr>
        <w:t>выборке</w:t>
      </w:r>
      <w:r w:rsidR="00AB12B3">
        <w:rPr>
          <w:rFonts w:ascii="Times New Roman" w:hAnsi="Times New Roman" w:cs="Times New Roman"/>
          <w:sz w:val="28"/>
          <w:szCs w:val="28"/>
        </w:rPr>
        <w:t xml:space="preserve"> </w:t>
      </w:r>
      <w:r w:rsidR="00F20E4E">
        <w:rPr>
          <w:rFonts w:ascii="Times New Roman" w:hAnsi="Times New Roman" w:cs="Times New Roman"/>
          <w:sz w:val="28"/>
          <w:szCs w:val="28"/>
        </w:rPr>
        <w:t>исследования</w:t>
      </w:r>
      <w:r w:rsidR="00AB12B3">
        <w:rPr>
          <w:rFonts w:ascii="Times New Roman" w:hAnsi="Times New Roman" w:cs="Times New Roman"/>
          <w:sz w:val="28"/>
          <w:szCs w:val="28"/>
        </w:rPr>
        <w:t xml:space="preserve"> аллель А полиморфизма Thr174Met (rs4762) гена </w:t>
      </w:r>
      <w:r w:rsidR="00AB12B3">
        <w:rPr>
          <w:rFonts w:ascii="Times New Roman" w:hAnsi="Times New Roman" w:cs="Times New Roman"/>
          <w:i/>
          <w:sz w:val="28"/>
          <w:szCs w:val="28"/>
        </w:rPr>
        <w:t>AGT</w:t>
      </w:r>
      <w:r w:rsidR="00AB12B3">
        <w:rPr>
          <w:rFonts w:ascii="Times New Roman" w:hAnsi="Times New Roman" w:cs="Times New Roman"/>
          <w:sz w:val="28"/>
          <w:szCs w:val="28"/>
        </w:rPr>
        <w:t xml:space="preserve"> встречается реже (0,1), чем в европейской (0,112) и западно-азиатской популяциях (0,130), но результаты сопоставимы с частотой</w:t>
      </w:r>
      <w:r w:rsidR="0059778D">
        <w:rPr>
          <w:rFonts w:ascii="Times New Roman" w:hAnsi="Times New Roman" w:cs="Times New Roman"/>
          <w:sz w:val="28"/>
          <w:szCs w:val="28"/>
        </w:rPr>
        <w:t xml:space="preserve"> распространенности</w:t>
      </w:r>
      <w:r w:rsidR="00AB12B3">
        <w:rPr>
          <w:rFonts w:ascii="Times New Roman" w:hAnsi="Times New Roman" w:cs="Times New Roman"/>
          <w:sz w:val="28"/>
          <w:szCs w:val="28"/>
        </w:rPr>
        <w:t xml:space="preserve"> в восточно-азиатской популяци</w:t>
      </w:r>
      <w:r w:rsidR="0059778D">
        <w:rPr>
          <w:rFonts w:ascii="Times New Roman" w:hAnsi="Times New Roman" w:cs="Times New Roman"/>
          <w:sz w:val="28"/>
          <w:szCs w:val="28"/>
        </w:rPr>
        <w:t>и</w:t>
      </w:r>
      <w:r w:rsidR="00AB12B3">
        <w:rPr>
          <w:rFonts w:ascii="Times New Roman" w:hAnsi="Times New Roman" w:cs="Times New Roman"/>
          <w:sz w:val="28"/>
          <w:szCs w:val="28"/>
        </w:rPr>
        <w:t xml:space="preserve"> (0,107). В </w:t>
      </w:r>
      <w:r w:rsidR="00A14708">
        <w:rPr>
          <w:rFonts w:ascii="Times New Roman" w:hAnsi="Times New Roman" w:cs="Times New Roman"/>
          <w:sz w:val="28"/>
          <w:szCs w:val="28"/>
        </w:rPr>
        <w:t xml:space="preserve">исследуемой </w:t>
      </w:r>
      <w:r w:rsidR="00F20E4E">
        <w:rPr>
          <w:rFonts w:ascii="Times New Roman" w:hAnsi="Times New Roman" w:cs="Times New Roman"/>
          <w:sz w:val="28"/>
          <w:szCs w:val="28"/>
        </w:rPr>
        <w:t xml:space="preserve">нами </w:t>
      </w:r>
      <w:r w:rsidR="00A14708">
        <w:rPr>
          <w:rFonts w:ascii="Times New Roman" w:hAnsi="Times New Roman" w:cs="Times New Roman"/>
          <w:sz w:val="28"/>
          <w:szCs w:val="28"/>
        </w:rPr>
        <w:t xml:space="preserve">выборке </w:t>
      </w:r>
      <w:r w:rsidR="00AB12B3">
        <w:rPr>
          <w:rFonts w:ascii="Times New Roman" w:hAnsi="Times New Roman" w:cs="Times New Roman"/>
          <w:sz w:val="28"/>
          <w:szCs w:val="28"/>
        </w:rPr>
        <w:t xml:space="preserve">аллель G встречается с частотой 0,9, в европейской популяции в среднем </w:t>
      </w:r>
      <w:r w:rsidR="00C16F07">
        <w:rPr>
          <w:rFonts w:ascii="Times New Roman" w:hAnsi="Times New Roman" w:cs="Times New Roman"/>
          <w:sz w:val="28"/>
          <w:szCs w:val="28"/>
        </w:rPr>
        <w:t>–</w:t>
      </w:r>
      <w:r w:rsidR="00AB12B3">
        <w:rPr>
          <w:rFonts w:ascii="Times New Roman" w:hAnsi="Times New Roman" w:cs="Times New Roman"/>
          <w:sz w:val="28"/>
          <w:szCs w:val="28"/>
        </w:rPr>
        <w:t xml:space="preserve"> 0,87 (0,798-0,899), в восточно-азиатской популяции в среднем </w:t>
      </w:r>
      <w:r w:rsidR="00C16F07">
        <w:rPr>
          <w:rFonts w:ascii="Times New Roman" w:hAnsi="Times New Roman" w:cs="Times New Roman"/>
          <w:sz w:val="28"/>
          <w:szCs w:val="28"/>
        </w:rPr>
        <w:t>–</w:t>
      </w:r>
      <w:r w:rsidR="00AB12B3">
        <w:rPr>
          <w:rFonts w:ascii="Times New Roman" w:hAnsi="Times New Roman" w:cs="Times New Roman"/>
          <w:sz w:val="28"/>
          <w:szCs w:val="28"/>
        </w:rPr>
        <w:t xml:space="preserve"> 0,893 (0,876-0,918). Частота встречаемости аллеля С полиморфизма A1166C (rs5186) гена </w:t>
      </w:r>
      <w:r w:rsidR="00AB12B3">
        <w:rPr>
          <w:rFonts w:ascii="Times New Roman" w:hAnsi="Times New Roman" w:cs="Times New Roman"/>
          <w:i/>
          <w:sz w:val="28"/>
          <w:szCs w:val="28"/>
        </w:rPr>
        <w:t xml:space="preserve">AGTR1 </w:t>
      </w:r>
      <w:r w:rsidR="00AB12B3">
        <w:rPr>
          <w:rFonts w:ascii="Times New Roman" w:hAnsi="Times New Roman" w:cs="Times New Roman"/>
          <w:sz w:val="28"/>
          <w:szCs w:val="28"/>
        </w:rPr>
        <w:t xml:space="preserve">в восточно-азиатской популяции составила 0,06 (0,038 </w:t>
      </w:r>
      <w:r w:rsidR="00C16F07">
        <w:rPr>
          <w:rFonts w:ascii="Times New Roman" w:hAnsi="Times New Roman" w:cs="Times New Roman"/>
          <w:sz w:val="28"/>
          <w:szCs w:val="28"/>
        </w:rPr>
        <w:t>–</w:t>
      </w:r>
      <w:r w:rsidR="00AB12B3">
        <w:rPr>
          <w:rFonts w:ascii="Times New Roman" w:hAnsi="Times New Roman" w:cs="Times New Roman"/>
          <w:sz w:val="28"/>
          <w:szCs w:val="28"/>
        </w:rPr>
        <w:t xml:space="preserve"> 0,09), в европейской </w:t>
      </w:r>
      <w:r w:rsidR="00C16F07">
        <w:rPr>
          <w:rFonts w:ascii="Times New Roman" w:hAnsi="Times New Roman" w:cs="Times New Roman"/>
          <w:sz w:val="28"/>
          <w:szCs w:val="28"/>
        </w:rPr>
        <w:t>–</w:t>
      </w:r>
      <w:r w:rsidR="00AB12B3">
        <w:rPr>
          <w:rFonts w:ascii="Times New Roman" w:hAnsi="Times New Roman" w:cs="Times New Roman"/>
          <w:sz w:val="28"/>
          <w:szCs w:val="28"/>
        </w:rPr>
        <w:t xml:space="preserve"> 0,27 (0,207 </w:t>
      </w:r>
      <w:r w:rsidR="00C16F07">
        <w:rPr>
          <w:rFonts w:ascii="Times New Roman" w:hAnsi="Times New Roman" w:cs="Times New Roman"/>
          <w:sz w:val="28"/>
          <w:szCs w:val="28"/>
        </w:rPr>
        <w:t>–</w:t>
      </w:r>
      <w:r w:rsidR="00AB12B3">
        <w:rPr>
          <w:rFonts w:ascii="Times New Roman" w:hAnsi="Times New Roman" w:cs="Times New Roman"/>
          <w:sz w:val="28"/>
          <w:szCs w:val="28"/>
        </w:rPr>
        <w:t xml:space="preserve"> 0,313) и </w:t>
      </w:r>
      <w:r w:rsidR="00A22DD8">
        <w:rPr>
          <w:rFonts w:ascii="Times New Roman" w:hAnsi="Times New Roman" w:cs="Times New Roman"/>
          <w:sz w:val="28"/>
          <w:szCs w:val="28"/>
        </w:rPr>
        <w:t>наша иссле</w:t>
      </w:r>
      <w:r w:rsidR="00516357">
        <w:rPr>
          <w:rFonts w:ascii="Times New Roman" w:hAnsi="Times New Roman" w:cs="Times New Roman"/>
          <w:sz w:val="28"/>
          <w:szCs w:val="28"/>
        </w:rPr>
        <w:t>д</w:t>
      </w:r>
      <w:r w:rsidR="00A22DD8">
        <w:rPr>
          <w:rFonts w:ascii="Times New Roman" w:hAnsi="Times New Roman" w:cs="Times New Roman"/>
          <w:sz w:val="28"/>
          <w:szCs w:val="28"/>
        </w:rPr>
        <w:t>уемая выборка</w:t>
      </w:r>
      <w:r w:rsidR="00AB12B3">
        <w:rPr>
          <w:rFonts w:ascii="Times New Roman" w:hAnsi="Times New Roman" w:cs="Times New Roman"/>
          <w:sz w:val="28"/>
          <w:szCs w:val="28"/>
        </w:rPr>
        <w:t xml:space="preserve"> имела между ними промежуточный вариант (0,11). Частота встречаемости редких аллелей и генотипов полиморфизмов генов </w:t>
      </w:r>
      <w:r w:rsidR="00AB12B3">
        <w:rPr>
          <w:rFonts w:ascii="Times New Roman" w:hAnsi="Times New Roman" w:cs="Times New Roman"/>
          <w:i/>
          <w:sz w:val="28"/>
          <w:szCs w:val="28"/>
        </w:rPr>
        <w:t xml:space="preserve">LPL </w:t>
      </w:r>
      <w:r w:rsidR="00AB12B3">
        <w:rPr>
          <w:rFonts w:ascii="Times New Roman" w:hAnsi="Times New Roman" w:cs="Times New Roman"/>
          <w:sz w:val="28"/>
          <w:szCs w:val="28"/>
        </w:rPr>
        <w:t xml:space="preserve">(Ser447Ter) (rs328), </w:t>
      </w:r>
      <w:r w:rsidR="00AB12B3">
        <w:rPr>
          <w:rFonts w:ascii="Times New Roman" w:hAnsi="Times New Roman" w:cs="Times New Roman"/>
          <w:i/>
          <w:sz w:val="28"/>
          <w:szCs w:val="28"/>
        </w:rPr>
        <w:t xml:space="preserve">ADRB2 </w:t>
      </w:r>
      <w:r w:rsidR="00AB12B3">
        <w:rPr>
          <w:rFonts w:ascii="Times New Roman" w:hAnsi="Times New Roman" w:cs="Times New Roman"/>
          <w:sz w:val="28"/>
          <w:szCs w:val="28"/>
        </w:rPr>
        <w:t>Gln27Glu (rs1042714),</w:t>
      </w:r>
      <w:r w:rsidR="00AB12B3">
        <w:rPr>
          <w:rFonts w:ascii="Times New Roman" w:hAnsi="Times New Roman" w:cs="Times New Roman"/>
          <w:i/>
          <w:sz w:val="28"/>
          <w:szCs w:val="28"/>
        </w:rPr>
        <w:t xml:space="preserve"> AGT </w:t>
      </w:r>
      <w:r w:rsidR="00AB12B3">
        <w:rPr>
          <w:rFonts w:ascii="Times New Roman" w:hAnsi="Times New Roman" w:cs="Times New Roman"/>
          <w:sz w:val="28"/>
          <w:szCs w:val="28"/>
        </w:rPr>
        <w:t>Thr174Met (rs4762) и</w:t>
      </w:r>
      <w:r w:rsidR="00AB12B3">
        <w:rPr>
          <w:rFonts w:ascii="Times New Roman" w:hAnsi="Times New Roman" w:cs="Times New Roman"/>
          <w:i/>
          <w:sz w:val="28"/>
          <w:szCs w:val="28"/>
        </w:rPr>
        <w:t xml:space="preserve"> AGTR1 </w:t>
      </w:r>
      <w:r w:rsidR="00AB12B3">
        <w:rPr>
          <w:rFonts w:ascii="Times New Roman" w:hAnsi="Times New Roman" w:cs="Times New Roman"/>
          <w:sz w:val="28"/>
          <w:szCs w:val="28"/>
        </w:rPr>
        <w:t>A1166C (rs5186) в</w:t>
      </w:r>
      <w:r w:rsidR="004D1AED">
        <w:rPr>
          <w:rFonts w:ascii="Times New Roman" w:hAnsi="Times New Roman" w:cs="Times New Roman"/>
          <w:sz w:val="28"/>
          <w:szCs w:val="28"/>
        </w:rPr>
        <w:t xml:space="preserve"> </w:t>
      </w:r>
      <w:r w:rsidR="00516357">
        <w:rPr>
          <w:rFonts w:ascii="Times New Roman" w:hAnsi="Times New Roman" w:cs="Times New Roman"/>
          <w:sz w:val="28"/>
          <w:szCs w:val="28"/>
        </w:rPr>
        <w:t>данн</w:t>
      </w:r>
      <w:r w:rsidR="004D1AED">
        <w:rPr>
          <w:rFonts w:ascii="Times New Roman" w:hAnsi="Times New Roman" w:cs="Times New Roman"/>
          <w:sz w:val="28"/>
          <w:szCs w:val="28"/>
        </w:rPr>
        <w:t>ой выборке</w:t>
      </w:r>
      <w:r w:rsidR="00AB12B3">
        <w:rPr>
          <w:rFonts w:ascii="Times New Roman" w:hAnsi="Times New Roman" w:cs="Times New Roman"/>
          <w:sz w:val="28"/>
          <w:szCs w:val="28"/>
        </w:rPr>
        <w:t xml:space="preserve"> отличается от восточно-азиатской и европейской популяций и имеет промежуточное положение.</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sz w:val="28"/>
          <w:szCs w:val="28"/>
        </w:rPr>
        <w:t xml:space="preserve">Для определения ассоциативной связи между полиморфизмами генов и факторов риска, биохимическими показателями нами </w:t>
      </w:r>
      <w:r>
        <w:rPr>
          <w:rFonts w:ascii="Times New Roman" w:hAnsi="Times New Roman" w:cs="Times New Roman"/>
          <w:sz w:val="28"/>
          <w:szCs w:val="28"/>
        </w:rPr>
        <w:t>был рассчитан χ</w:t>
      </w:r>
      <w:r>
        <w:rPr>
          <w:rFonts w:ascii="Times New Roman" w:hAnsi="Times New Roman" w:cs="Times New Roman"/>
          <w:sz w:val="28"/>
          <w:szCs w:val="28"/>
          <w:vertAlign w:val="superscript"/>
        </w:rPr>
        <w:t>2</w:t>
      </w:r>
      <w:r>
        <w:rPr>
          <w:rFonts w:ascii="Times New Roman" w:hAnsi="Times New Roman" w:cs="Times New Roman"/>
          <w:sz w:val="28"/>
          <w:szCs w:val="28"/>
        </w:rPr>
        <w:t xml:space="preserve"> (</w:t>
      </w:r>
      <w:r w:rsidR="00516357">
        <w:rPr>
          <w:rFonts w:ascii="Times New Roman" w:hAnsi="Times New Roman" w:cs="Times New Roman"/>
          <w:sz w:val="28"/>
          <w:szCs w:val="28"/>
        </w:rPr>
        <w:t>Х</w:t>
      </w:r>
      <w:r>
        <w:rPr>
          <w:rFonts w:ascii="Times New Roman" w:hAnsi="Times New Roman" w:cs="Times New Roman"/>
          <w:sz w:val="28"/>
          <w:szCs w:val="28"/>
        </w:rPr>
        <w:t xml:space="preserve">и-квадрат) Пирсона. Критический уровень статистической значимости отклонении от равновесия Харди – Вайнберга был &gt;0,05. Применялся расчет коэффициента корреляции Spearman для оценки силы и направления связи между непрерывными количественными переменными биохимических показателей. </w:t>
      </w:r>
      <w:r w:rsidR="00AE4F01">
        <w:rPr>
          <w:rFonts w:ascii="Times New Roman" w:hAnsi="Times New Roman" w:cs="Times New Roman"/>
          <w:sz w:val="28"/>
          <w:szCs w:val="28"/>
        </w:rPr>
        <w:t>Для выявления распределения факторов риска и исходов б</w:t>
      </w:r>
      <w:r>
        <w:rPr>
          <w:rFonts w:ascii="Times New Roman" w:hAnsi="Times New Roman" w:cs="Times New Roman"/>
          <w:sz w:val="28"/>
          <w:szCs w:val="28"/>
        </w:rPr>
        <w:t>ыла использована перекрестная табуляция</w:t>
      </w:r>
      <w:r w:rsidR="00AE4F01">
        <w:rPr>
          <w:rFonts w:ascii="Times New Roman" w:hAnsi="Times New Roman" w:cs="Times New Roman"/>
          <w:sz w:val="28"/>
          <w:szCs w:val="28"/>
        </w:rPr>
        <w:t>, также</w:t>
      </w:r>
      <w:r>
        <w:rPr>
          <w:rFonts w:ascii="Times New Roman" w:hAnsi="Times New Roman" w:cs="Times New Roman"/>
          <w:sz w:val="28"/>
          <w:szCs w:val="28"/>
        </w:rPr>
        <w:t xml:space="preserve"> проведен расчет отношения шансов (ОШ) с 95% доверительным интервалом (ДИ) и коэффициента «р». Для изучения разницы фенотипических переменных и генотипов применялась логистическая регрессия в ко-доминантных, доминантных, </w:t>
      </w:r>
      <w:r>
        <w:rPr>
          <w:rFonts w:ascii="Times New Roman" w:hAnsi="Times New Roman" w:cs="Times New Roman"/>
          <w:sz w:val="28"/>
          <w:szCs w:val="28"/>
        </w:rPr>
        <w:lastRenderedPageBreak/>
        <w:t>рецессивных моделях. Различия считались статистическими значимыми при значении р</w:t>
      </w:r>
      <w:r w:rsidR="00B81F64">
        <w:rPr>
          <w:rFonts w:ascii="Times New Roman" w:hAnsi="Times New Roman" w:cs="Times New Roman"/>
          <w:sz w:val="28"/>
          <w:szCs w:val="28"/>
        </w:rPr>
        <w:t xml:space="preserve"> </w:t>
      </w:r>
      <w:r>
        <w:rPr>
          <w:rFonts w:ascii="Times New Roman" w:hAnsi="Times New Roman" w:cs="Times New Roman"/>
          <w:sz w:val="28"/>
          <w:szCs w:val="28"/>
        </w:rPr>
        <w:t>&lt;0,05.</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Вначале мы сравнили уровни биохимических показателей в группах</w:t>
      </w:r>
      <w:r w:rsidR="000A4926">
        <w:rPr>
          <w:rFonts w:ascii="Times New Roman" w:hAnsi="Times New Roman" w:cs="Times New Roman"/>
          <w:sz w:val="28"/>
          <w:szCs w:val="28"/>
        </w:rPr>
        <w:t xml:space="preserve"> исследования</w:t>
      </w:r>
      <w:r>
        <w:rPr>
          <w:rFonts w:ascii="Times New Roman" w:hAnsi="Times New Roman" w:cs="Times New Roman"/>
          <w:sz w:val="28"/>
          <w:szCs w:val="28"/>
        </w:rPr>
        <w:t>. Для этого мы использовали целевые значения показателей липидного обмена согл</w:t>
      </w:r>
      <w:r w:rsidR="00F05058">
        <w:rPr>
          <w:rFonts w:ascii="Times New Roman" w:hAnsi="Times New Roman" w:cs="Times New Roman"/>
          <w:sz w:val="28"/>
          <w:szCs w:val="28"/>
        </w:rPr>
        <w:t>асно Рекомендациям ЕSH/ESC, 2018</w:t>
      </w:r>
      <w:r>
        <w:rPr>
          <w:rFonts w:ascii="Times New Roman" w:hAnsi="Times New Roman" w:cs="Times New Roman"/>
          <w:sz w:val="28"/>
          <w:szCs w:val="28"/>
        </w:rPr>
        <w:t xml:space="preserve">. Для оценки ИР мы применяли индекс ИР – HOMA-IR, который рассчитывался по формуле инсулин натощак (МЕ/мл) х глюкоза натощак (ммоль/л)/22,5. </w:t>
      </w:r>
      <w:r w:rsidR="00C16F07">
        <w:rPr>
          <w:rFonts w:ascii="Times New Roman" w:hAnsi="Times New Roman" w:cs="Times New Roman"/>
          <w:sz w:val="28"/>
          <w:szCs w:val="28"/>
        </w:rPr>
        <w:t>И</w:t>
      </w:r>
      <w:r>
        <w:rPr>
          <w:rFonts w:ascii="Times New Roman" w:hAnsi="Times New Roman" w:cs="Times New Roman"/>
          <w:sz w:val="28"/>
          <w:szCs w:val="28"/>
        </w:rPr>
        <w:t xml:space="preserve"> показатель индекса </w:t>
      </w:r>
      <w:r w:rsidR="00A05F36">
        <w:rPr>
          <w:rFonts w:ascii="Times New Roman" w:hAnsi="Times New Roman" w:cs="Times New Roman"/>
          <w:sz w:val="28"/>
          <w:szCs w:val="28"/>
        </w:rPr>
        <w:t>ИР рав</w:t>
      </w:r>
      <w:r w:rsidR="00A05F36">
        <w:rPr>
          <w:rFonts w:ascii="Times New Roman" w:hAnsi="Times New Roman" w:cs="Times New Roman"/>
          <w:sz w:val="28"/>
          <w:szCs w:val="28"/>
          <w:lang w:val="kk-KZ"/>
        </w:rPr>
        <w:t>ен</w:t>
      </w:r>
      <w:r>
        <w:rPr>
          <w:rFonts w:ascii="Times New Roman" w:hAnsi="Times New Roman" w:cs="Times New Roman"/>
          <w:sz w:val="28"/>
          <w:szCs w:val="28"/>
        </w:rPr>
        <w:t xml:space="preserve"> 2,7 и выше считался ИР. Гиперинсулинемией мы считали повышение уровня инсулина &gt;24,9 мкМЕ/мл.</w:t>
      </w:r>
    </w:p>
    <w:p w:rsidR="00AB12B3" w:rsidRDefault="0059778D" w:rsidP="00EF39D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У</w:t>
      </w:r>
      <w:r w:rsidR="009E32B4">
        <w:rPr>
          <w:rFonts w:ascii="Times New Roman" w:hAnsi="Times New Roman" w:cs="Times New Roman"/>
          <w:sz w:val="28"/>
          <w:szCs w:val="28"/>
        </w:rPr>
        <w:t xml:space="preserve">становлено, что </w:t>
      </w:r>
      <w:r w:rsidR="00EF5323">
        <w:rPr>
          <w:rFonts w:ascii="Times New Roman" w:hAnsi="Times New Roman" w:cs="Times New Roman"/>
          <w:sz w:val="28"/>
          <w:szCs w:val="28"/>
        </w:rPr>
        <w:t>у участников от</w:t>
      </w:r>
      <w:r w:rsidR="009E32B4">
        <w:rPr>
          <w:rFonts w:ascii="Times New Roman" w:hAnsi="Times New Roman" w:cs="Times New Roman"/>
          <w:sz w:val="28"/>
          <w:szCs w:val="28"/>
        </w:rPr>
        <w:t xml:space="preserve"> 46 лет и старше</w:t>
      </w:r>
      <w:r w:rsidR="00AB12B3">
        <w:rPr>
          <w:rFonts w:ascii="Times New Roman" w:hAnsi="Times New Roman" w:cs="Times New Roman"/>
          <w:sz w:val="28"/>
          <w:szCs w:val="28"/>
        </w:rPr>
        <w:t xml:space="preserve"> гипераполипопротеинемия В встречается до 2,0 раз чаще по сравнению с молодым возрастом. У </w:t>
      </w:r>
      <w:r w:rsidR="009E32B4">
        <w:rPr>
          <w:rFonts w:ascii="Times New Roman" w:hAnsi="Times New Roman" w:cs="Times New Roman"/>
          <w:sz w:val="28"/>
          <w:szCs w:val="28"/>
        </w:rPr>
        <w:t>участнико</w:t>
      </w:r>
      <w:r w:rsidR="00AB12B3">
        <w:rPr>
          <w:rFonts w:ascii="Times New Roman" w:hAnsi="Times New Roman" w:cs="Times New Roman"/>
          <w:sz w:val="28"/>
          <w:szCs w:val="28"/>
        </w:rPr>
        <w:t>в с абдоминальным ожирением гипертриглицеридемия встречал</w:t>
      </w:r>
      <w:r>
        <w:rPr>
          <w:rFonts w:ascii="Times New Roman" w:hAnsi="Times New Roman" w:cs="Times New Roman"/>
          <w:sz w:val="28"/>
          <w:szCs w:val="28"/>
        </w:rPr>
        <w:t>а</w:t>
      </w:r>
      <w:r w:rsidR="00AB12B3">
        <w:rPr>
          <w:rFonts w:ascii="Times New Roman" w:hAnsi="Times New Roman" w:cs="Times New Roman"/>
          <w:sz w:val="28"/>
          <w:szCs w:val="28"/>
        </w:rPr>
        <w:t xml:space="preserve">сь на 1,58 </w:t>
      </w:r>
      <w:r w:rsidR="009E32B4">
        <w:rPr>
          <w:rFonts w:ascii="Times New Roman" w:hAnsi="Times New Roman" w:cs="Times New Roman"/>
          <w:sz w:val="28"/>
          <w:szCs w:val="28"/>
        </w:rPr>
        <w:t xml:space="preserve">раз чаще </w:t>
      </w:r>
      <w:r w:rsidR="00AB12B3">
        <w:rPr>
          <w:rFonts w:ascii="Times New Roman" w:hAnsi="Times New Roman" w:cs="Times New Roman"/>
          <w:sz w:val="28"/>
          <w:szCs w:val="28"/>
        </w:rPr>
        <w:t xml:space="preserve">(95% ДИ 1,06-2,35) по сравнению с </w:t>
      </w:r>
      <w:r w:rsidR="009E32B4">
        <w:rPr>
          <w:rFonts w:ascii="Times New Roman" w:hAnsi="Times New Roman" w:cs="Times New Roman"/>
          <w:sz w:val="28"/>
          <w:szCs w:val="28"/>
        </w:rPr>
        <w:t>участник</w:t>
      </w:r>
      <w:r w:rsidR="00AB12B3">
        <w:rPr>
          <w:rFonts w:ascii="Times New Roman" w:hAnsi="Times New Roman" w:cs="Times New Roman"/>
          <w:sz w:val="28"/>
          <w:szCs w:val="28"/>
        </w:rPr>
        <w:t>ами без абдоминального ожирения. Мы обнаружили, что ИР встречал</w:t>
      </w:r>
      <w:r>
        <w:rPr>
          <w:rFonts w:ascii="Times New Roman" w:hAnsi="Times New Roman" w:cs="Times New Roman"/>
          <w:sz w:val="28"/>
          <w:szCs w:val="28"/>
        </w:rPr>
        <w:t>а</w:t>
      </w:r>
      <w:r w:rsidR="00AB12B3">
        <w:rPr>
          <w:rFonts w:ascii="Times New Roman" w:hAnsi="Times New Roman" w:cs="Times New Roman"/>
          <w:sz w:val="28"/>
          <w:szCs w:val="28"/>
        </w:rPr>
        <w:t xml:space="preserve">сь </w:t>
      </w:r>
      <w:r>
        <w:rPr>
          <w:rFonts w:ascii="Times New Roman" w:hAnsi="Times New Roman" w:cs="Times New Roman"/>
          <w:sz w:val="28"/>
          <w:szCs w:val="28"/>
        </w:rPr>
        <w:t xml:space="preserve">реже </w:t>
      </w:r>
      <w:r w:rsidR="00AB12B3">
        <w:rPr>
          <w:rFonts w:ascii="Times New Roman" w:hAnsi="Times New Roman" w:cs="Times New Roman"/>
          <w:sz w:val="28"/>
          <w:szCs w:val="28"/>
        </w:rPr>
        <w:t xml:space="preserve">у мужчин-казахов по сравнению с женщинами </w:t>
      </w:r>
      <w:r w:rsidR="00C16F07">
        <w:rPr>
          <w:rFonts w:ascii="Times New Roman" w:hAnsi="Times New Roman" w:cs="Times New Roman"/>
          <w:sz w:val="28"/>
          <w:szCs w:val="28"/>
        </w:rPr>
        <w:t>–</w:t>
      </w:r>
      <w:r w:rsidR="00AB12B3">
        <w:rPr>
          <w:rFonts w:ascii="Times New Roman" w:hAnsi="Times New Roman" w:cs="Times New Roman"/>
          <w:sz w:val="28"/>
          <w:szCs w:val="28"/>
        </w:rPr>
        <w:t xml:space="preserve"> казашками </w:t>
      </w:r>
      <w:r w:rsidR="008D7C28">
        <w:rPr>
          <w:rFonts w:ascii="Times New Roman" w:hAnsi="Times New Roman" w:cs="Times New Roman"/>
          <w:sz w:val="28"/>
          <w:szCs w:val="28"/>
        </w:rPr>
        <w:t xml:space="preserve">исследуемой выборки </w:t>
      </w:r>
      <w:r w:rsidR="00AB12B3">
        <w:rPr>
          <w:rFonts w:ascii="Times New Roman" w:hAnsi="Times New Roman" w:cs="Times New Roman"/>
          <w:sz w:val="28"/>
          <w:szCs w:val="28"/>
        </w:rPr>
        <w:t>(ОШ=0,7 95% ДИ 0,49-1,0 р=0,05). Наличие гиперинсулинемии и ИР при г</w:t>
      </w:r>
      <w:r w:rsidR="009E32B4">
        <w:rPr>
          <w:rFonts w:ascii="Times New Roman" w:hAnsi="Times New Roman" w:cs="Times New Roman"/>
          <w:sz w:val="28"/>
          <w:szCs w:val="28"/>
        </w:rPr>
        <w:t>ипертриглицеридемии выявлялись в</w:t>
      </w:r>
      <w:r w:rsidR="00AB12B3">
        <w:rPr>
          <w:rFonts w:ascii="Times New Roman" w:hAnsi="Times New Roman" w:cs="Times New Roman"/>
          <w:sz w:val="28"/>
          <w:szCs w:val="28"/>
        </w:rPr>
        <w:t xml:space="preserve"> 3,33 (95% ДИ 2,19-5,35) и 2,59 </w:t>
      </w:r>
      <w:r w:rsidR="009E32B4">
        <w:rPr>
          <w:rFonts w:ascii="Times New Roman" w:hAnsi="Times New Roman" w:cs="Times New Roman"/>
          <w:sz w:val="28"/>
          <w:szCs w:val="28"/>
        </w:rPr>
        <w:t xml:space="preserve">раз чаще </w:t>
      </w:r>
      <w:r w:rsidR="00AB12B3">
        <w:rPr>
          <w:rFonts w:ascii="Times New Roman" w:hAnsi="Times New Roman" w:cs="Times New Roman"/>
          <w:sz w:val="28"/>
          <w:szCs w:val="28"/>
        </w:rPr>
        <w:t xml:space="preserve">(95% ДИ 1,73-3,88) по сравнению с нормальным уровнем ТГ, соответственно. </w:t>
      </w:r>
      <w:r>
        <w:rPr>
          <w:rFonts w:ascii="Times New Roman" w:hAnsi="Times New Roman" w:cs="Times New Roman"/>
          <w:sz w:val="28"/>
          <w:szCs w:val="28"/>
        </w:rPr>
        <w:t>П</w:t>
      </w:r>
      <w:r w:rsidR="00AB12B3">
        <w:rPr>
          <w:rFonts w:ascii="Times New Roman" w:hAnsi="Times New Roman" w:cs="Times New Roman"/>
          <w:sz w:val="28"/>
          <w:szCs w:val="28"/>
        </w:rPr>
        <w:t>ри</w:t>
      </w:r>
      <w:r w:rsidR="007A52BD">
        <w:rPr>
          <w:rFonts w:ascii="Times New Roman" w:hAnsi="Times New Roman" w:cs="Times New Roman"/>
          <w:sz w:val="28"/>
          <w:szCs w:val="28"/>
        </w:rPr>
        <w:t xml:space="preserve"> </w:t>
      </w:r>
      <w:r w:rsidR="00AB12B3">
        <w:rPr>
          <w:rFonts w:ascii="Times New Roman" w:hAnsi="Times New Roman" w:cs="Times New Roman"/>
          <w:sz w:val="28"/>
          <w:szCs w:val="28"/>
        </w:rPr>
        <w:t>гипераполипопротеинемии В ИР встречал</w:t>
      </w:r>
      <w:r>
        <w:rPr>
          <w:rFonts w:ascii="Times New Roman" w:hAnsi="Times New Roman" w:cs="Times New Roman"/>
          <w:sz w:val="28"/>
          <w:szCs w:val="28"/>
        </w:rPr>
        <w:t>а</w:t>
      </w:r>
      <w:r w:rsidR="00AB12B3">
        <w:rPr>
          <w:rFonts w:ascii="Times New Roman" w:hAnsi="Times New Roman" w:cs="Times New Roman"/>
          <w:sz w:val="28"/>
          <w:szCs w:val="28"/>
        </w:rPr>
        <w:t xml:space="preserve">сь </w:t>
      </w:r>
      <w:r w:rsidR="009E32B4">
        <w:rPr>
          <w:rFonts w:ascii="Times New Roman" w:hAnsi="Times New Roman" w:cs="Times New Roman"/>
          <w:sz w:val="28"/>
          <w:szCs w:val="28"/>
        </w:rPr>
        <w:t>в</w:t>
      </w:r>
      <w:r w:rsidR="00AB12B3">
        <w:rPr>
          <w:rFonts w:ascii="Times New Roman" w:hAnsi="Times New Roman" w:cs="Times New Roman"/>
          <w:sz w:val="28"/>
          <w:szCs w:val="28"/>
        </w:rPr>
        <w:t xml:space="preserve"> 1,74 </w:t>
      </w:r>
      <w:r w:rsidR="009E32B4">
        <w:rPr>
          <w:rFonts w:ascii="Times New Roman" w:hAnsi="Times New Roman" w:cs="Times New Roman"/>
          <w:sz w:val="28"/>
          <w:szCs w:val="28"/>
        </w:rPr>
        <w:t xml:space="preserve">раз чаще </w:t>
      </w:r>
      <w:r w:rsidR="00AB12B3">
        <w:rPr>
          <w:rFonts w:ascii="Times New Roman" w:hAnsi="Times New Roman" w:cs="Times New Roman"/>
          <w:sz w:val="28"/>
          <w:szCs w:val="28"/>
        </w:rPr>
        <w:t>(95% ДИ 1,2-2,54). Гипертриглицеридемия сопровождал</w:t>
      </w:r>
      <w:r>
        <w:rPr>
          <w:rFonts w:ascii="Times New Roman" w:hAnsi="Times New Roman" w:cs="Times New Roman"/>
          <w:sz w:val="28"/>
          <w:szCs w:val="28"/>
        </w:rPr>
        <w:t>а</w:t>
      </w:r>
      <w:r w:rsidR="009E32B4">
        <w:rPr>
          <w:rFonts w:ascii="Times New Roman" w:hAnsi="Times New Roman" w:cs="Times New Roman"/>
          <w:sz w:val="28"/>
          <w:szCs w:val="28"/>
        </w:rPr>
        <w:t>сь</w:t>
      </w:r>
      <w:r w:rsidR="00AB12B3">
        <w:rPr>
          <w:rFonts w:ascii="Times New Roman" w:hAnsi="Times New Roman" w:cs="Times New Roman"/>
          <w:sz w:val="28"/>
          <w:szCs w:val="28"/>
        </w:rPr>
        <w:t xml:space="preserve"> гипераполипопротеинемией В </w:t>
      </w:r>
      <w:r w:rsidR="009E32B4">
        <w:rPr>
          <w:rFonts w:ascii="Times New Roman" w:hAnsi="Times New Roman" w:cs="Times New Roman"/>
          <w:sz w:val="28"/>
          <w:szCs w:val="28"/>
        </w:rPr>
        <w:t>в</w:t>
      </w:r>
      <w:r w:rsidR="00AB12B3">
        <w:rPr>
          <w:rFonts w:ascii="Times New Roman" w:hAnsi="Times New Roman" w:cs="Times New Roman"/>
          <w:sz w:val="28"/>
          <w:szCs w:val="28"/>
        </w:rPr>
        <w:t xml:space="preserve"> 5,93 </w:t>
      </w:r>
      <w:r w:rsidR="009E32B4">
        <w:rPr>
          <w:rFonts w:ascii="Times New Roman" w:hAnsi="Times New Roman" w:cs="Times New Roman"/>
          <w:sz w:val="28"/>
          <w:szCs w:val="28"/>
        </w:rPr>
        <w:t xml:space="preserve">раза </w:t>
      </w:r>
      <w:r w:rsidR="00AB12B3">
        <w:rPr>
          <w:rFonts w:ascii="Times New Roman" w:hAnsi="Times New Roman" w:cs="Times New Roman"/>
          <w:sz w:val="28"/>
          <w:szCs w:val="28"/>
        </w:rPr>
        <w:t>(95% ДИ 3,47-10,14), а высок</w:t>
      </w:r>
      <w:r>
        <w:rPr>
          <w:rFonts w:ascii="Times New Roman" w:hAnsi="Times New Roman" w:cs="Times New Roman"/>
          <w:sz w:val="28"/>
          <w:szCs w:val="28"/>
        </w:rPr>
        <w:t>ий уров</w:t>
      </w:r>
      <w:r w:rsidR="00A96C1E">
        <w:rPr>
          <w:rFonts w:ascii="Times New Roman" w:hAnsi="Times New Roman" w:cs="Times New Roman"/>
          <w:sz w:val="28"/>
          <w:szCs w:val="28"/>
          <w:lang w:val="kk-KZ"/>
        </w:rPr>
        <w:t>е</w:t>
      </w:r>
      <w:r>
        <w:rPr>
          <w:rFonts w:ascii="Times New Roman" w:hAnsi="Times New Roman" w:cs="Times New Roman"/>
          <w:sz w:val="28"/>
          <w:szCs w:val="28"/>
        </w:rPr>
        <w:t>нь</w:t>
      </w:r>
      <w:r w:rsidR="007046A1">
        <w:rPr>
          <w:rFonts w:ascii="Times New Roman" w:hAnsi="Times New Roman" w:cs="Times New Roman"/>
          <w:sz w:val="28"/>
          <w:szCs w:val="28"/>
        </w:rPr>
        <w:t xml:space="preserve"> </w:t>
      </w:r>
      <w:r w:rsidR="00AB12B3">
        <w:rPr>
          <w:rFonts w:ascii="Times New Roman" w:hAnsi="Times New Roman" w:cs="Times New Roman"/>
          <w:sz w:val="28"/>
          <w:szCs w:val="28"/>
        </w:rPr>
        <w:t xml:space="preserve">апоВ/апоА1 – в 3,43 </w:t>
      </w:r>
      <w:r w:rsidR="009E32B4">
        <w:rPr>
          <w:rFonts w:ascii="Times New Roman" w:hAnsi="Times New Roman" w:cs="Times New Roman"/>
          <w:sz w:val="28"/>
          <w:szCs w:val="28"/>
        </w:rPr>
        <w:t>раз</w:t>
      </w:r>
      <w:r w:rsidR="00EF5323">
        <w:rPr>
          <w:rFonts w:ascii="Times New Roman" w:hAnsi="Times New Roman" w:cs="Times New Roman"/>
          <w:sz w:val="28"/>
          <w:szCs w:val="28"/>
        </w:rPr>
        <w:t>а</w:t>
      </w:r>
      <w:r w:rsidR="009E32B4">
        <w:rPr>
          <w:rFonts w:ascii="Times New Roman" w:hAnsi="Times New Roman" w:cs="Times New Roman"/>
          <w:sz w:val="28"/>
          <w:szCs w:val="28"/>
        </w:rPr>
        <w:t xml:space="preserve"> чаще </w:t>
      </w:r>
      <w:r w:rsidR="00AB12B3">
        <w:rPr>
          <w:rFonts w:ascii="Times New Roman" w:hAnsi="Times New Roman" w:cs="Times New Roman"/>
          <w:sz w:val="28"/>
          <w:szCs w:val="28"/>
        </w:rPr>
        <w:t>(95% ДИ 2,19-5,35). Мы выявили, что при ИР чаще встречались высоки</w:t>
      </w:r>
      <w:r w:rsidR="009E32B4">
        <w:rPr>
          <w:rFonts w:ascii="Times New Roman" w:hAnsi="Times New Roman" w:cs="Times New Roman"/>
          <w:sz w:val="28"/>
          <w:szCs w:val="28"/>
        </w:rPr>
        <w:t>й</w:t>
      </w:r>
      <w:r w:rsidR="00AB12B3">
        <w:rPr>
          <w:rFonts w:ascii="Times New Roman" w:hAnsi="Times New Roman" w:cs="Times New Roman"/>
          <w:sz w:val="28"/>
          <w:szCs w:val="28"/>
        </w:rPr>
        <w:t xml:space="preserve"> уров</w:t>
      </w:r>
      <w:r w:rsidR="009E32B4">
        <w:rPr>
          <w:rFonts w:ascii="Times New Roman" w:hAnsi="Times New Roman" w:cs="Times New Roman"/>
          <w:sz w:val="28"/>
          <w:szCs w:val="28"/>
        </w:rPr>
        <w:t>е</w:t>
      </w:r>
      <w:r w:rsidR="00AB12B3">
        <w:rPr>
          <w:rFonts w:ascii="Times New Roman" w:hAnsi="Times New Roman" w:cs="Times New Roman"/>
          <w:sz w:val="28"/>
          <w:szCs w:val="28"/>
        </w:rPr>
        <w:t>н</w:t>
      </w:r>
      <w:r w:rsidR="009E32B4">
        <w:rPr>
          <w:rFonts w:ascii="Times New Roman" w:hAnsi="Times New Roman" w:cs="Times New Roman"/>
          <w:sz w:val="28"/>
          <w:szCs w:val="28"/>
        </w:rPr>
        <w:t>ь</w:t>
      </w:r>
      <w:r w:rsidR="00AB12B3">
        <w:rPr>
          <w:rFonts w:ascii="Times New Roman" w:hAnsi="Times New Roman" w:cs="Times New Roman"/>
          <w:sz w:val="28"/>
          <w:szCs w:val="28"/>
        </w:rPr>
        <w:t xml:space="preserve"> апоВ/апоА1.</w:t>
      </w:r>
      <w:r>
        <w:rPr>
          <w:rFonts w:ascii="Times New Roman" w:hAnsi="Times New Roman" w:cs="Times New Roman"/>
          <w:sz w:val="28"/>
          <w:szCs w:val="28"/>
        </w:rPr>
        <w:t xml:space="preserve"> </w:t>
      </w:r>
      <w:r w:rsidR="00EF39D9">
        <w:rPr>
          <w:rFonts w:ascii="Times New Roman" w:hAnsi="Times New Roman" w:cs="Times New Roman"/>
          <w:sz w:val="28"/>
          <w:szCs w:val="28"/>
          <w:lang w:val="kk-KZ"/>
        </w:rPr>
        <w:t xml:space="preserve">Шанс развития риска ИР повышался на 1,49 раз </w:t>
      </w:r>
      <w:r w:rsidR="00EF39D9">
        <w:rPr>
          <w:rFonts w:ascii="Times New Roman" w:hAnsi="Times New Roman"/>
          <w:sz w:val="28"/>
          <w:szCs w:val="28"/>
          <w:lang w:val="kk-KZ"/>
        </w:rPr>
        <w:t>(</w:t>
      </w:r>
      <w:r w:rsidR="00EF39D9">
        <w:rPr>
          <w:rFonts w:ascii="Times New Roman" w:hAnsi="Times New Roman" w:cs="Times New Roman"/>
          <w:sz w:val="28"/>
          <w:szCs w:val="28"/>
        </w:rPr>
        <w:t xml:space="preserve">95% ДИ </w:t>
      </w:r>
      <w:r w:rsidR="00EF39D9">
        <w:rPr>
          <w:rFonts w:ascii="Times New Roman" w:hAnsi="Times New Roman"/>
          <w:sz w:val="28"/>
          <w:szCs w:val="28"/>
          <w:lang w:val="kk-KZ"/>
        </w:rPr>
        <w:t xml:space="preserve">0,93-2,41) </w:t>
      </w:r>
      <w:r w:rsidR="00EF39D9">
        <w:rPr>
          <w:rFonts w:ascii="Times New Roman" w:hAnsi="Times New Roman" w:cs="Times New Roman"/>
          <w:sz w:val="28"/>
          <w:szCs w:val="28"/>
          <w:lang w:val="kk-KZ"/>
        </w:rPr>
        <w:t xml:space="preserve">при соотношении апоВ/апоА1 от 0,57 до 0,70. А при соотношении апоВ/апоА1 от 0,71 до 0,85 и выше 0,86 риск развития ИР повышался на 1,93 раза </w:t>
      </w:r>
      <w:r w:rsidR="00EF39D9">
        <w:rPr>
          <w:rFonts w:ascii="Times New Roman" w:hAnsi="Times New Roman"/>
          <w:sz w:val="28"/>
          <w:szCs w:val="28"/>
          <w:lang w:val="kk-KZ"/>
        </w:rPr>
        <w:t>(</w:t>
      </w:r>
      <w:r w:rsidR="00EF39D9">
        <w:rPr>
          <w:rFonts w:ascii="Times New Roman" w:hAnsi="Times New Roman" w:cs="Times New Roman"/>
          <w:sz w:val="28"/>
          <w:szCs w:val="28"/>
        </w:rPr>
        <w:t xml:space="preserve">95% ДИ </w:t>
      </w:r>
      <w:r w:rsidR="00EF39D9">
        <w:rPr>
          <w:rFonts w:ascii="Times New Roman" w:hAnsi="Times New Roman"/>
          <w:sz w:val="28"/>
          <w:szCs w:val="28"/>
          <w:lang w:val="kk-KZ"/>
        </w:rPr>
        <w:t>1,14-3,28)</w:t>
      </w:r>
      <w:r w:rsidR="003751BA">
        <w:rPr>
          <w:rFonts w:ascii="Times New Roman" w:hAnsi="Times New Roman"/>
          <w:sz w:val="28"/>
          <w:szCs w:val="28"/>
          <w:lang w:val="kk-KZ"/>
        </w:rPr>
        <w:t xml:space="preserve"> </w:t>
      </w:r>
      <w:r w:rsidR="00EF39D9">
        <w:rPr>
          <w:rFonts w:ascii="Times New Roman" w:hAnsi="Times New Roman" w:cs="Times New Roman"/>
          <w:sz w:val="28"/>
          <w:szCs w:val="28"/>
          <w:lang w:val="kk-KZ"/>
        </w:rPr>
        <w:t xml:space="preserve">и на 1,84 раза </w:t>
      </w:r>
      <w:r w:rsidR="00EF39D9">
        <w:rPr>
          <w:rFonts w:ascii="Times New Roman" w:hAnsi="Times New Roman"/>
          <w:sz w:val="28"/>
          <w:szCs w:val="28"/>
          <w:lang w:val="kk-KZ"/>
        </w:rPr>
        <w:t>(</w:t>
      </w:r>
      <w:r w:rsidR="00EF39D9">
        <w:rPr>
          <w:rFonts w:ascii="Times New Roman" w:hAnsi="Times New Roman" w:cs="Times New Roman"/>
          <w:sz w:val="28"/>
          <w:szCs w:val="28"/>
        </w:rPr>
        <w:t xml:space="preserve">95% ДИ </w:t>
      </w:r>
      <w:r w:rsidR="00EF39D9">
        <w:rPr>
          <w:rFonts w:ascii="Times New Roman" w:hAnsi="Times New Roman"/>
          <w:sz w:val="28"/>
          <w:szCs w:val="28"/>
          <w:lang w:val="kk-KZ"/>
        </w:rPr>
        <w:t>1,31-2,99)</w:t>
      </w:r>
      <w:r w:rsidR="00EF39D9">
        <w:rPr>
          <w:rFonts w:ascii="Times New Roman" w:hAnsi="Times New Roman" w:cs="Times New Roman"/>
          <w:sz w:val="28"/>
          <w:szCs w:val="28"/>
          <w:lang w:val="kk-KZ"/>
        </w:rPr>
        <w:t xml:space="preserve">, соответственно. </w:t>
      </w:r>
      <w:r>
        <w:rPr>
          <w:rFonts w:ascii="Times New Roman" w:hAnsi="Times New Roman" w:cs="Times New Roman"/>
          <w:sz w:val="28"/>
          <w:szCs w:val="28"/>
        </w:rPr>
        <w:t>Гипергликемия чаще сопровождала</w:t>
      </w:r>
      <w:r w:rsidR="00AB12B3">
        <w:rPr>
          <w:rFonts w:ascii="Times New Roman" w:hAnsi="Times New Roman" w:cs="Times New Roman"/>
          <w:sz w:val="28"/>
          <w:szCs w:val="28"/>
        </w:rPr>
        <w:t xml:space="preserve">сь </w:t>
      </w:r>
      <w:r w:rsidR="009E32B4">
        <w:rPr>
          <w:rFonts w:ascii="Times New Roman" w:hAnsi="Times New Roman" w:cs="Times New Roman"/>
          <w:sz w:val="28"/>
          <w:szCs w:val="28"/>
        </w:rPr>
        <w:t xml:space="preserve">гипертриглицеридемией </w:t>
      </w:r>
      <w:r w:rsidR="00AB12B3">
        <w:rPr>
          <w:rFonts w:ascii="Times New Roman" w:hAnsi="Times New Roman" w:cs="Times New Roman"/>
          <w:sz w:val="28"/>
          <w:szCs w:val="28"/>
        </w:rPr>
        <w:t xml:space="preserve">в 1,58 </w:t>
      </w:r>
      <w:r w:rsidR="009E32B4">
        <w:rPr>
          <w:rFonts w:ascii="Times New Roman" w:hAnsi="Times New Roman" w:cs="Times New Roman"/>
          <w:sz w:val="28"/>
          <w:szCs w:val="28"/>
        </w:rPr>
        <w:t xml:space="preserve">раза </w:t>
      </w:r>
      <w:r w:rsidR="00AB12B3">
        <w:rPr>
          <w:rFonts w:ascii="Times New Roman" w:hAnsi="Times New Roman" w:cs="Times New Roman"/>
          <w:sz w:val="28"/>
          <w:szCs w:val="28"/>
        </w:rPr>
        <w:t xml:space="preserve">(95% ДИ 1,09-2,29), и </w:t>
      </w:r>
      <w:r w:rsidR="009E32B4">
        <w:rPr>
          <w:rFonts w:ascii="Times New Roman" w:hAnsi="Times New Roman" w:cs="Times New Roman"/>
          <w:sz w:val="28"/>
          <w:szCs w:val="28"/>
        </w:rPr>
        <w:t xml:space="preserve">высоким уровнем апоВ/апоА1 </w:t>
      </w:r>
      <w:r w:rsidR="00AB12B3">
        <w:rPr>
          <w:rFonts w:ascii="Times New Roman" w:hAnsi="Times New Roman" w:cs="Times New Roman"/>
          <w:sz w:val="28"/>
          <w:szCs w:val="28"/>
        </w:rPr>
        <w:t xml:space="preserve">в 1,59 </w:t>
      </w:r>
      <w:r w:rsidR="009E32B4">
        <w:rPr>
          <w:rFonts w:ascii="Times New Roman" w:hAnsi="Times New Roman" w:cs="Times New Roman"/>
          <w:sz w:val="28"/>
          <w:szCs w:val="28"/>
        </w:rPr>
        <w:t xml:space="preserve">раз </w:t>
      </w:r>
      <w:r w:rsidR="00AB12B3">
        <w:rPr>
          <w:rFonts w:ascii="Times New Roman" w:hAnsi="Times New Roman" w:cs="Times New Roman"/>
          <w:sz w:val="28"/>
          <w:szCs w:val="28"/>
        </w:rPr>
        <w:t>(95% ДИ 1,04-2,43).</w:t>
      </w:r>
    </w:p>
    <w:p w:rsidR="00AB12B3" w:rsidRDefault="0059778D"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8A2FEE">
        <w:rPr>
          <w:rFonts w:ascii="Times New Roman" w:hAnsi="Times New Roman" w:cs="Times New Roman"/>
          <w:sz w:val="28"/>
          <w:szCs w:val="28"/>
        </w:rPr>
        <w:t>ыяв</w:t>
      </w:r>
      <w:r w:rsidR="00AB12B3">
        <w:rPr>
          <w:rFonts w:ascii="Times New Roman" w:hAnsi="Times New Roman" w:cs="Times New Roman"/>
          <w:sz w:val="28"/>
          <w:szCs w:val="28"/>
        </w:rPr>
        <w:t>л</w:t>
      </w:r>
      <w:r>
        <w:rPr>
          <w:rFonts w:ascii="Times New Roman" w:hAnsi="Times New Roman" w:cs="Times New Roman"/>
          <w:sz w:val="28"/>
          <w:szCs w:val="28"/>
        </w:rPr>
        <w:t>ено</w:t>
      </w:r>
      <w:r w:rsidR="00AB12B3">
        <w:rPr>
          <w:rFonts w:ascii="Times New Roman" w:hAnsi="Times New Roman" w:cs="Times New Roman"/>
          <w:sz w:val="28"/>
          <w:szCs w:val="28"/>
        </w:rPr>
        <w:t>, что гиперхолестеринемия сопровождал</w:t>
      </w:r>
      <w:r>
        <w:rPr>
          <w:rFonts w:ascii="Times New Roman" w:hAnsi="Times New Roman" w:cs="Times New Roman"/>
          <w:sz w:val="28"/>
          <w:szCs w:val="28"/>
        </w:rPr>
        <w:t>а</w:t>
      </w:r>
      <w:r w:rsidR="009E32B4">
        <w:rPr>
          <w:rFonts w:ascii="Times New Roman" w:hAnsi="Times New Roman" w:cs="Times New Roman"/>
          <w:sz w:val="28"/>
          <w:szCs w:val="28"/>
        </w:rPr>
        <w:t>сь высоким</w:t>
      </w:r>
      <w:r w:rsidR="00E8638C">
        <w:rPr>
          <w:rFonts w:ascii="Times New Roman" w:hAnsi="Times New Roman" w:cs="Times New Roman"/>
          <w:sz w:val="28"/>
          <w:szCs w:val="28"/>
        </w:rPr>
        <w:t>и</w:t>
      </w:r>
      <w:r w:rsidR="009E32B4">
        <w:rPr>
          <w:rFonts w:ascii="Times New Roman" w:hAnsi="Times New Roman" w:cs="Times New Roman"/>
          <w:sz w:val="28"/>
          <w:szCs w:val="28"/>
        </w:rPr>
        <w:t xml:space="preserve"> уровн</w:t>
      </w:r>
      <w:r w:rsidR="00E8638C">
        <w:rPr>
          <w:rFonts w:ascii="Times New Roman" w:hAnsi="Times New Roman" w:cs="Times New Roman"/>
          <w:sz w:val="28"/>
          <w:szCs w:val="28"/>
        </w:rPr>
        <w:t>я</w:t>
      </w:r>
      <w:r w:rsidR="00AB12B3">
        <w:rPr>
          <w:rFonts w:ascii="Times New Roman" w:hAnsi="Times New Roman" w:cs="Times New Roman"/>
          <w:sz w:val="28"/>
          <w:szCs w:val="28"/>
        </w:rPr>
        <w:t>м</w:t>
      </w:r>
      <w:r w:rsidR="00E8638C">
        <w:rPr>
          <w:rFonts w:ascii="Times New Roman" w:hAnsi="Times New Roman" w:cs="Times New Roman"/>
          <w:sz w:val="28"/>
          <w:szCs w:val="28"/>
        </w:rPr>
        <w:t>и</w:t>
      </w:r>
      <w:r w:rsidR="00AB12B3">
        <w:rPr>
          <w:rFonts w:ascii="Times New Roman" w:hAnsi="Times New Roman" w:cs="Times New Roman"/>
          <w:sz w:val="28"/>
          <w:szCs w:val="28"/>
        </w:rPr>
        <w:t xml:space="preserve"> ТГ, ЛПНП, ЛПВП, апоВ и апоВ/апоА1. Шан</w:t>
      </w:r>
      <w:r w:rsidR="00123429">
        <w:rPr>
          <w:rFonts w:ascii="Times New Roman" w:hAnsi="Times New Roman" w:cs="Times New Roman"/>
          <w:sz w:val="28"/>
          <w:szCs w:val="28"/>
        </w:rPr>
        <w:t>с развития гиперхолестеринемии</w:t>
      </w:r>
      <w:r w:rsidR="00515B27">
        <w:rPr>
          <w:rFonts w:ascii="Times New Roman" w:hAnsi="Times New Roman" w:cs="Times New Roman"/>
          <w:sz w:val="28"/>
          <w:szCs w:val="28"/>
        </w:rPr>
        <w:t xml:space="preserve"> </w:t>
      </w:r>
      <w:r w:rsidR="00AB12B3">
        <w:rPr>
          <w:rFonts w:ascii="Times New Roman" w:hAnsi="Times New Roman" w:cs="Times New Roman"/>
          <w:sz w:val="28"/>
          <w:szCs w:val="28"/>
        </w:rPr>
        <w:t xml:space="preserve">был на 2,08 </w:t>
      </w:r>
      <w:r w:rsidR="009E32B4">
        <w:rPr>
          <w:rFonts w:ascii="Times New Roman" w:hAnsi="Times New Roman" w:cs="Times New Roman"/>
          <w:sz w:val="28"/>
          <w:szCs w:val="28"/>
        </w:rPr>
        <w:t xml:space="preserve">раз выше </w:t>
      </w:r>
      <w:r w:rsidR="00AB12B3">
        <w:rPr>
          <w:rFonts w:ascii="Times New Roman" w:hAnsi="Times New Roman" w:cs="Times New Roman"/>
          <w:sz w:val="28"/>
          <w:szCs w:val="28"/>
        </w:rPr>
        <w:t xml:space="preserve">(95% ДИ 1,31-3,33) у </w:t>
      </w:r>
      <w:r w:rsidR="009E32B4">
        <w:rPr>
          <w:rFonts w:ascii="Times New Roman" w:hAnsi="Times New Roman" w:cs="Times New Roman"/>
          <w:sz w:val="28"/>
          <w:szCs w:val="28"/>
        </w:rPr>
        <w:t>участник</w:t>
      </w:r>
      <w:r w:rsidR="00AB12B3">
        <w:rPr>
          <w:rFonts w:ascii="Times New Roman" w:hAnsi="Times New Roman" w:cs="Times New Roman"/>
          <w:sz w:val="28"/>
          <w:szCs w:val="28"/>
        </w:rPr>
        <w:t>ов с гипертриглицеридемией</w:t>
      </w:r>
      <w:r w:rsidR="00D014DE">
        <w:rPr>
          <w:rFonts w:ascii="Times New Roman" w:hAnsi="Times New Roman" w:cs="Times New Roman"/>
          <w:sz w:val="28"/>
          <w:szCs w:val="28"/>
        </w:rPr>
        <w:t>,</w:t>
      </w:r>
      <w:r w:rsidR="00AB12B3">
        <w:rPr>
          <w:rFonts w:ascii="Times New Roman" w:hAnsi="Times New Roman" w:cs="Times New Roman"/>
          <w:sz w:val="28"/>
          <w:szCs w:val="28"/>
        </w:rPr>
        <w:t xml:space="preserve"> чем у лиц с нормальными уровнями ТГ. Гиперхолестеринемия при высоком уровне ЛПНП встречался </w:t>
      </w:r>
      <w:r w:rsidR="009E32B4">
        <w:rPr>
          <w:rFonts w:ascii="Times New Roman" w:hAnsi="Times New Roman" w:cs="Times New Roman"/>
          <w:sz w:val="28"/>
          <w:szCs w:val="28"/>
        </w:rPr>
        <w:t>в</w:t>
      </w:r>
      <w:r w:rsidR="00AB12B3">
        <w:rPr>
          <w:rFonts w:ascii="Times New Roman" w:hAnsi="Times New Roman" w:cs="Times New Roman"/>
          <w:sz w:val="28"/>
          <w:szCs w:val="28"/>
        </w:rPr>
        <w:t xml:space="preserve"> 3,92 </w:t>
      </w:r>
      <w:r w:rsidR="009E32B4">
        <w:rPr>
          <w:rFonts w:ascii="Times New Roman" w:hAnsi="Times New Roman" w:cs="Times New Roman"/>
          <w:sz w:val="28"/>
          <w:szCs w:val="28"/>
        </w:rPr>
        <w:t xml:space="preserve">раза чаще </w:t>
      </w:r>
      <w:r w:rsidR="00AB12B3">
        <w:rPr>
          <w:rFonts w:ascii="Times New Roman" w:hAnsi="Times New Roman" w:cs="Times New Roman"/>
          <w:sz w:val="28"/>
          <w:szCs w:val="28"/>
        </w:rPr>
        <w:t xml:space="preserve">(95% ДИ 2,34-6,56), при гипераполипопротеинемии В – </w:t>
      </w:r>
      <w:r w:rsidR="009E32B4">
        <w:rPr>
          <w:rFonts w:ascii="Times New Roman" w:hAnsi="Times New Roman" w:cs="Times New Roman"/>
          <w:sz w:val="28"/>
          <w:szCs w:val="28"/>
        </w:rPr>
        <w:t>в</w:t>
      </w:r>
      <w:r w:rsidR="00AB12B3">
        <w:rPr>
          <w:rFonts w:ascii="Times New Roman" w:hAnsi="Times New Roman" w:cs="Times New Roman"/>
          <w:sz w:val="28"/>
          <w:szCs w:val="28"/>
        </w:rPr>
        <w:t xml:space="preserve"> 3,28 </w:t>
      </w:r>
      <w:r w:rsidR="009E32B4">
        <w:rPr>
          <w:rFonts w:ascii="Times New Roman" w:hAnsi="Times New Roman" w:cs="Times New Roman"/>
          <w:sz w:val="28"/>
          <w:szCs w:val="28"/>
        </w:rPr>
        <w:t xml:space="preserve">раза </w:t>
      </w:r>
      <w:r w:rsidR="00AB12B3">
        <w:rPr>
          <w:rFonts w:ascii="Times New Roman" w:hAnsi="Times New Roman" w:cs="Times New Roman"/>
          <w:sz w:val="28"/>
          <w:szCs w:val="28"/>
        </w:rPr>
        <w:t xml:space="preserve">(95% ДИ 1,66-6,47) </w:t>
      </w:r>
      <w:r w:rsidR="009E32B4">
        <w:rPr>
          <w:rFonts w:ascii="Times New Roman" w:hAnsi="Times New Roman" w:cs="Times New Roman"/>
          <w:sz w:val="28"/>
          <w:szCs w:val="28"/>
        </w:rPr>
        <w:t>и при высоком</w:t>
      </w:r>
      <w:r w:rsidR="00A22DD8">
        <w:rPr>
          <w:rFonts w:ascii="Times New Roman" w:hAnsi="Times New Roman" w:cs="Times New Roman"/>
          <w:sz w:val="28"/>
          <w:szCs w:val="28"/>
          <w:lang w:val="kk-KZ"/>
        </w:rPr>
        <w:t xml:space="preserve"> значени</w:t>
      </w:r>
      <w:r w:rsidR="009E32B4">
        <w:rPr>
          <w:rFonts w:ascii="Times New Roman" w:hAnsi="Times New Roman" w:cs="Times New Roman"/>
          <w:sz w:val="28"/>
          <w:szCs w:val="28"/>
          <w:lang w:val="kk-KZ"/>
        </w:rPr>
        <w:t>и</w:t>
      </w:r>
      <w:r w:rsidR="00A22DD8">
        <w:rPr>
          <w:rFonts w:ascii="Times New Roman" w:hAnsi="Times New Roman" w:cs="Times New Roman"/>
          <w:sz w:val="28"/>
          <w:szCs w:val="28"/>
          <w:lang w:val="kk-KZ"/>
        </w:rPr>
        <w:t xml:space="preserve"> </w:t>
      </w:r>
      <w:r w:rsidR="00AB12B3">
        <w:rPr>
          <w:rFonts w:ascii="Times New Roman" w:hAnsi="Times New Roman" w:cs="Times New Roman"/>
          <w:sz w:val="28"/>
          <w:szCs w:val="28"/>
        </w:rPr>
        <w:t xml:space="preserve">апоВ/апоА1 </w:t>
      </w:r>
      <w:r w:rsidR="00C16F07">
        <w:rPr>
          <w:rFonts w:ascii="Times New Roman" w:hAnsi="Times New Roman" w:cs="Times New Roman"/>
          <w:sz w:val="28"/>
          <w:szCs w:val="28"/>
        </w:rPr>
        <w:t>–</w:t>
      </w:r>
      <w:r w:rsidR="00AB12B3">
        <w:rPr>
          <w:rFonts w:ascii="Times New Roman" w:hAnsi="Times New Roman" w:cs="Times New Roman"/>
          <w:sz w:val="28"/>
          <w:szCs w:val="28"/>
        </w:rPr>
        <w:t xml:space="preserve"> </w:t>
      </w:r>
      <w:r w:rsidR="009E32B4">
        <w:rPr>
          <w:rFonts w:ascii="Times New Roman" w:hAnsi="Times New Roman" w:cs="Times New Roman"/>
          <w:sz w:val="28"/>
          <w:szCs w:val="28"/>
        </w:rPr>
        <w:t>в</w:t>
      </w:r>
      <w:r w:rsidR="00AB12B3">
        <w:rPr>
          <w:rFonts w:ascii="Times New Roman" w:hAnsi="Times New Roman" w:cs="Times New Roman"/>
          <w:sz w:val="28"/>
          <w:szCs w:val="28"/>
        </w:rPr>
        <w:t xml:space="preserve"> 3,42 </w:t>
      </w:r>
      <w:r w:rsidR="009E32B4">
        <w:rPr>
          <w:rFonts w:ascii="Times New Roman" w:hAnsi="Times New Roman" w:cs="Times New Roman"/>
          <w:sz w:val="28"/>
          <w:szCs w:val="28"/>
        </w:rPr>
        <w:t xml:space="preserve">раза чаще </w:t>
      </w:r>
      <w:r w:rsidR="00AB12B3">
        <w:rPr>
          <w:rFonts w:ascii="Times New Roman" w:hAnsi="Times New Roman" w:cs="Times New Roman"/>
          <w:sz w:val="28"/>
          <w:szCs w:val="28"/>
        </w:rPr>
        <w:t xml:space="preserve">(95% ДИ 1,96-5,98), соответственно. </w:t>
      </w:r>
      <w:r w:rsidR="00E8638C">
        <w:rPr>
          <w:rFonts w:ascii="Times New Roman" w:hAnsi="Times New Roman" w:cs="Times New Roman"/>
          <w:sz w:val="28"/>
          <w:szCs w:val="28"/>
        </w:rPr>
        <w:t>Также нами в исследуемой выборке выявлено частое сочетание</w:t>
      </w:r>
      <w:r w:rsidR="00AB12B3">
        <w:rPr>
          <w:rFonts w:ascii="Times New Roman" w:hAnsi="Times New Roman" w:cs="Times New Roman"/>
          <w:sz w:val="28"/>
          <w:szCs w:val="28"/>
        </w:rPr>
        <w:t xml:space="preserve"> гипераполипопротеинемии В </w:t>
      </w:r>
      <w:r w:rsidR="00E8638C">
        <w:rPr>
          <w:rFonts w:ascii="Times New Roman" w:hAnsi="Times New Roman" w:cs="Times New Roman"/>
          <w:sz w:val="28"/>
          <w:szCs w:val="28"/>
        </w:rPr>
        <w:t>с</w:t>
      </w:r>
      <w:r w:rsidR="00AB12B3">
        <w:rPr>
          <w:rFonts w:ascii="Times New Roman" w:hAnsi="Times New Roman" w:cs="Times New Roman"/>
          <w:sz w:val="28"/>
          <w:szCs w:val="28"/>
        </w:rPr>
        <w:t xml:space="preserve"> высоки</w:t>
      </w:r>
      <w:r w:rsidR="00E8638C">
        <w:rPr>
          <w:rFonts w:ascii="Times New Roman" w:hAnsi="Times New Roman" w:cs="Times New Roman"/>
          <w:sz w:val="28"/>
          <w:szCs w:val="28"/>
        </w:rPr>
        <w:t>м</w:t>
      </w:r>
      <w:r w:rsidR="00AB12B3">
        <w:rPr>
          <w:rFonts w:ascii="Times New Roman" w:hAnsi="Times New Roman" w:cs="Times New Roman"/>
          <w:sz w:val="28"/>
          <w:szCs w:val="28"/>
        </w:rPr>
        <w:t xml:space="preserve"> уровн</w:t>
      </w:r>
      <w:r w:rsidR="00E8638C">
        <w:rPr>
          <w:rFonts w:ascii="Times New Roman" w:hAnsi="Times New Roman" w:cs="Times New Roman"/>
          <w:sz w:val="28"/>
          <w:szCs w:val="28"/>
        </w:rPr>
        <w:t>ем</w:t>
      </w:r>
      <w:r w:rsidR="00AB12B3">
        <w:rPr>
          <w:rFonts w:ascii="Times New Roman" w:hAnsi="Times New Roman" w:cs="Times New Roman"/>
          <w:sz w:val="28"/>
          <w:szCs w:val="28"/>
        </w:rPr>
        <w:t xml:space="preserve"> инсулина (р=0,0001).</w:t>
      </w:r>
      <w:r w:rsidR="00B81F64">
        <w:rPr>
          <w:rFonts w:ascii="Times New Roman" w:hAnsi="Times New Roman" w:cs="Times New Roman"/>
          <w:sz w:val="28"/>
          <w:szCs w:val="28"/>
        </w:rPr>
        <w:t xml:space="preserve"> </w:t>
      </w:r>
      <w:r w:rsidR="00672755">
        <w:rPr>
          <w:rFonts w:ascii="Times New Roman" w:hAnsi="Times New Roman" w:cs="Times New Roman"/>
          <w:sz w:val="28"/>
          <w:szCs w:val="28"/>
        </w:rPr>
        <w:t>Повышенный</w:t>
      </w:r>
      <w:r w:rsidR="00F43486" w:rsidRPr="003E66F3">
        <w:rPr>
          <w:rFonts w:ascii="Times New Roman" w:hAnsi="Times New Roman" w:cs="Times New Roman"/>
          <w:sz w:val="28"/>
          <w:szCs w:val="28"/>
        </w:rPr>
        <w:t xml:space="preserve"> уров</w:t>
      </w:r>
      <w:r w:rsidR="00672755">
        <w:rPr>
          <w:rFonts w:ascii="Times New Roman" w:hAnsi="Times New Roman" w:cs="Times New Roman"/>
          <w:sz w:val="28"/>
          <w:szCs w:val="28"/>
        </w:rPr>
        <w:t>е</w:t>
      </w:r>
      <w:r w:rsidR="00F43486" w:rsidRPr="003E66F3">
        <w:rPr>
          <w:rFonts w:ascii="Times New Roman" w:hAnsi="Times New Roman" w:cs="Times New Roman"/>
          <w:sz w:val="28"/>
          <w:szCs w:val="28"/>
        </w:rPr>
        <w:t>н</w:t>
      </w:r>
      <w:r w:rsidR="00672755">
        <w:rPr>
          <w:rFonts w:ascii="Times New Roman" w:hAnsi="Times New Roman" w:cs="Times New Roman"/>
          <w:sz w:val="28"/>
          <w:szCs w:val="28"/>
        </w:rPr>
        <w:t>ь</w:t>
      </w:r>
      <w:r w:rsidR="00F43486" w:rsidRPr="003E66F3">
        <w:rPr>
          <w:rFonts w:ascii="Times New Roman" w:hAnsi="Times New Roman" w:cs="Times New Roman"/>
          <w:sz w:val="28"/>
          <w:szCs w:val="28"/>
        </w:rPr>
        <w:t xml:space="preserve"> апоА1 сопровождался низким уровн</w:t>
      </w:r>
      <w:r w:rsidR="00D56131">
        <w:rPr>
          <w:rFonts w:ascii="Times New Roman" w:hAnsi="Times New Roman" w:cs="Times New Roman"/>
          <w:sz w:val="28"/>
          <w:szCs w:val="28"/>
        </w:rPr>
        <w:t>е</w:t>
      </w:r>
      <w:r w:rsidR="00F43486" w:rsidRPr="003E66F3">
        <w:rPr>
          <w:rFonts w:ascii="Times New Roman" w:hAnsi="Times New Roman" w:cs="Times New Roman"/>
          <w:sz w:val="28"/>
          <w:szCs w:val="28"/>
        </w:rPr>
        <w:t xml:space="preserve">м </w:t>
      </w:r>
      <w:r w:rsidR="00F43486" w:rsidRPr="00BD3B69">
        <w:rPr>
          <w:rFonts w:ascii="Times New Roman" w:hAnsi="Times New Roman" w:cs="Times New Roman"/>
          <w:sz w:val="28"/>
          <w:szCs w:val="28"/>
        </w:rPr>
        <w:t>инсулина</w:t>
      </w:r>
      <w:r w:rsidR="00F43486" w:rsidRPr="00BD3B69">
        <w:rPr>
          <w:rFonts w:ascii="Times New Roman" w:hAnsi="Times New Roman"/>
          <w:sz w:val="28"/>
          <w:szCs w:val="28"/>
        </w:rPr>
        <w:t>.</w:t>
      </w:r>
    </w:p>
    <w:p w:rsidR="00BB71C8" w:rsidRPr="00BB71C8" w:rsidRDefault="00AB12B3" w:rsidP="00EC1AF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По результатам исследования низкий уровень ЛПВП чаще встречался в сочетании с нормальным уровн</w:t>
      </w:r>
      <w:r w:rsidR="00D56131">
        <w:rPr>
          <w:rFonts w:ascii="Times New Roman" w:hAnsi="Times New Roman" w:cs="Times New Roman"/>
          <w:sz w:val="28"/>
          <w:szCs w:val="28"/>
        </w:rPr>
        <w:t>е</w:t>
      </w:r>
      <w:r>
        <w:rPr>
          <w:rFonts w:ascii="Times New Roman" w:hAnsi="Times New Roman" w:cs="Times New Roman"/>
          <w:sz w:val="28"/>
          <w:szCs w:val="28"/>
        </w:rPr>
        <w:t xml:space="preserve">м ОХС (р=0,0001), ТГ (р=0,02) и апоВ/апоА1 (р=0,0001). Низкий уровень апоА1 на 2,47 </w:t>
      </w:r>
      <w:r w:rsidR="00D56131">
        <w:rPr>
          <w:rFonts w:ascii="Times New Roman" w:hAnsi="Times New Roman" w:cs="Times New Roman"/>
          <w:sz w:val="28"/>
          <w:szCs w:val="28"/>
        </w:rPr>
        <w:t xml:space="preserve">раз чаще </w:t>
      </w:r>
      <w:r>
        <w:rPr>
          <w:rFonts w:ascii="Times New Roman" w:hAnsi="Times New Roman" w:cs="Times New Roman"/>
          <w:sz w:val="28"/>
          <w:szCs w:val="28"/>
        </w:rPr>
        <w:t xml:space="preserve">(95% ДИ 1,15-5,34 р=0,017) встречался у мужчин – казахов по сравнению с женщинами </w:t>
      </w:r>
      <w:r w:rsidR="00C16F07">
        <w:rPr>
          <w:rFonts w:ascii="Times New Roman" w:hAnsi="Times New Roman" w:cs="Times New Roman"/>
          <w:sz w:val="28"/>
          <w:szCs w:val="28"/>
        </w:rPr>
        <w:t>–</w:t>
      </w:r>
      <w:r>
        <w:rPr>
          <w:rFonts w:ascii="Times New Roman" w:hAnsi="Times New Roman" w:cs="Times New Roman"/>
          <w:sz w:val="28"/>
          <w:szCs w:val="28"/>
        </w:rPr>
        <w:t xml:space="preserve"> к</w:t>
      </w:r>
      <w:r w:rsidR="0059778D">
        <w:rPr>
          <w:rFonts w:ascii="Times New Roman" w:hAnsi="Times New Roman" w:cs="Times New Roman"/>
          <w:sz w:val="28"/>
          <w:szCs w:val="28"/>
        </w:rPr>
        <w:t>азашками</w:t>
      </w:r>
      <w:r w:rsidR="008D7C28">
        <w:rPr>
          <w:rFonts w:ascii="Times New Roman" w:hAnsi="Times New Roman" w:cs="Times New Roman"/>
          <w:sz w:val="28"/>
          <w:szCs w:val="28"/>
        </w:rPr>
        <w:t xml:space="preserve"> данной выборки</w:t>
      </w:r>
      <w:r w:rsidR="0059778D">
        <w:rPr>
          <w:rFonts w:ascii="Times New Roman" w:hAnsi="Times New Roman" w:cs="Times New Roman"/>
          <w:sz w:val="28"/>
          <w:szCs w:val="28"/>
        </w:rPr>
        <w:t>. Это, возможно, связано</w:t>
      </w:r>
      <w:r>
        <w:rPr>
          <w:rFonts w:ascii="Times New Roman" w:hAnsi="Times New Roman" w:cs="Times New Roman"/>
          <w:sz w:val="28"/>
          <w:szCs w:val="28"/>
        </w:rPr>
        <w:t xml:space="preserve"> с особенностями </w:t>
      </w:r>
      <w:r>
        <w:rPr>
          <w:rFonts w:ascii="Times New Roman" w:hAnsi="Times New Roman" w:cs="Times New Roman"/>
          <w:sz w:val="28"/>
          <w:szCs w:val="28"/>
        </w:rPr>
        <w:lastRenderedPageBreak/>
        <w:t>питания казахской национальной кухни (большое содержание мяса, животного жира, мало ов</w:t>
      </w:r>
      <w:r w:rsidR="0059778D">
        <w:rPr>
          <w:rFonts w:ascii="Times New Roman" w:hAnsi="Times New Roman" w:cs="Times New Roman"/>
          <w:sz w:val="28"/>
          <w:szCs w:val="28"/>
        </w:rPr>
        <w:t xml:space="preserve">ощей и фруктов). Поэтому </w:t>
      </w:r>
      <w:r w:rsidR="00E8638C">
        <w:rPr>
          <w:rFonts w:ascii="Times New Roman" w:hAnsi="Times New Roman" w:cs="Times New Roman"/>
          <w:sz w:val="28"/>
          <w:szCs w:val="28"/>
        </w:rPr>
        <w:t>характер</w:t>
      </w:r>
      <w:r>
        <w:rPr>
          <w:rFonts w:ascii="Times New Roman" w:hAnsi="Times New Roman" w:cs="Times New Roman"/>
          <w:sz w:val="28"/>
          <w:szCs w:val="28"/>
        </w:rPr>
        <w:t xml:space="preserve"> питания казахской популяции </w:t>
      </w:r>
      <w:r w:rsidR="00E8638C">
        <w:rPr>
          <w:rFonts w:ascii="Times New Roman" w:hAnsi="Times New Roman" w:cs="Times New Roman"/>
          <w:sz w:val="28"/>
          <w:szCs w:val="28"/>
        </w:rPr>
        <w:t xml:space="preserve">напрямую отражается </w:t>
      </w:r>
      <w:r>
        <w:rPr>
          <w:rFonts w:ascii="Times New Roman" w:hAnsi="Times New Roman" w:cs="Times New Roman"/>
          <w:sz w:val="28"/>
          <w:szCs w:val="28"/>
        </w:rPr>
        <w:t>на уровн</w:t>
      </w:r>
      <w:r w:rsidR="00E8638C">
        <w:rPr>
          <w:rFonts w:ascii="Times New Roman" w:hAnsi="Times New Roman" w:cs="Times New Roman"/>
          <w:sz w:val="28"/>
          <w:szCs w:val="28"/>
        </w:rPr>
        <w:t>е</w:t>
      </w:r>
      <w:r>
        <w:rPr>
          <w:rFonts w:ascii="Times New Roman" w:hAnsi="Times New Roman" w:cs="Times New Roman"/>
          <w:sz w:val="28"/>
          <w:szCs w:val="28"/>
        </w:rPr>
        <w:t xml:space="preserve"> липидного и углеводного обмена </w:t>
      </w:r>
      <w:r w:rsidR="00E8638C">
        <w:rPr>
          <w:rFonts w:ascii="Times New Roman" w:hAnsi="Times New Roman" w:cs="Times New Roman"/>
          <w:sz w:val="28"/>
          <w:szCs w:val="28"/>
        </w:rPr>
        <w:t xml:space="preserve">и </w:t>
      </w:r>
      <w:r>
        <w:rPr>
          <w:rFonts w:ascii="Times New Roman" w:hAnsi="Times New Roman" w:cs="Times New Roman"/>
          <w:sz w:val="28"/>
          <w:szCs w:val="28"/>
        </w:rPr>
        <w:t>требует дополнительного изучения. При изучении корреляционных связей между биохимически</w:t>
      </w:r>
      <w:r w:rsidR="0059778D">
        <w:rPr>
          <w:rFonts w:ascii="Times New Roman" w:hAnsi="Times New Roman" w:cs="Times New Roman"/>
          <w:sz w:val="28"/>
          <w:szCs w:val="28"/>
        </w:rPr>
        <w:t>ми показателями</w:t>
      </w:r>
      <w:r>
        <w:rPr>
          <w:rFonts w:ascii="Times New Roman" w:hAnsi="Times New Roman" w:cs="Times New Roman"/>
          <w:sz w:val="28"/>
          <w:szCs w:val="28"/>
        </w:rPr>
        <w:t xml:space="preserve"> липидного и углеводного обменов с помощью коэффициента корреляции </w:t>
      </w:r>
      <w:r w:rsidR="00672755">
        <w:rPr>
          <w:rFonts w:ascii="Times New Roman" w:hAnsi="Times New Roman" w:cs="Times New Roman"/>
          <w:sz w:val="28"/>
          <w:szCs w:val="28"/>
        </w:rPr>
        <w:t>Spearman</w:t>
      </w:r>
      <w:r>
        <w:rPr>
          <w:rFonts w:ascii="Times New Roman" w:hAnsi="Times New Roman" w:cs="Times New Roman"/>
          <w:sz w:val="28"/>
          <w:szCs w:val="28"/>
        </w:rPr>
        <w:t xml:space="preserve"> мы выявили, </w:t>
      </w:r>
      <w:r w:rsidR="0059778D">
        <w:rPr>
          <w:rFonts w:ascii="Times New Roman" w:hAnsi="Times New Roman" w:cs="Times New Roman"/>
          <w:sz w:val="28"/>
          <w:szCs w:val="28"/>
        </w:rPr>
        <w:t xml:space="preserve">что </w:t>
      </w:r>
      <w:r>
        <w:rPr>
          <w:rFonts w:ascii="Times New Roman" w:hAnsi="Times New Roman" w:cs="Times New Roman"/>
          <w:sz w:val="28"/>
          <w:szCs w:val="28"/>
        </w:rPr>
        <w:t xml:space="preserve">уровни инсулина и </w:t>
      </w:r>
      <w:r>
        <w:rPr>
          <w:rFonts w:ascii="Times New Roman" w:hAnsi="Times New Roman"/>
          <w:sz w:val="28"/>
          <w:szCs w:val="28"/>
        </w:rPr>
        <w:t xml:space="preserve">HOMA-IR </w:t>
      </w:r>
      <w:r>
        <w:rPr>
          <w:rFonts w:ascii="Times New Roman" w:hAnsi="Times New Roman" w:cs="Times New Roman"/>
          <w:sz w:val="28"/>
          <w:szCs w:val="28"/>
        </w:rPr>
        <w:t>ассоциируется с уровн</w:t>
      </w:r>
      <w:r w:rsidR="00D56131">
        <w:rPr>
          <w:rFonts w:ascii="Times New Roman" w:hAnsi="Times New Roman" w:cs="Times New Roman"/>
          <w:sz w:val="28"/>
          <w:szCs w:val="28"/>
        </w:rPr>
        <w:t>е</w:t>
      </w:r>
      <w:r>
        <w:rPr>
          <w:rFonts w:ascii="Times New Roman" w:hAnsi="Times New Roman" w:cs="Times New Roman"/>
          <w:sz w:val="28"/>
          <w:szCs w:val="28"/>
        </w:rPr>
        <w:t>м ТГ (</w:t>
      </w:r>
      <w:r>
        <w:rPr>
          <w:rFonts w:ascii="Times New Roman" w:hAnsi="Times New Roman" w:cs="Times New Roman"/>
          <w:sz w:val="28"/>
          <w:szCs w:val="28"/>
          <w:lang w:val="en-US"/>
        </w:rPr>
        <w:t>r</w:t>
      </w:r>
      <w:r>
        <w:rPr>
          <w:rFonts w:ascii="Times New Roman" w:hAnsi="Times New Roman" w:cs="Times New Roman"/>
          <w:sz w:val="28"/>
          <w:szCs w:val="28"/>
          <w:vertAlign w:val="subscript"/>
          <w:lang w:val="en-US"/>
        </w:rPr>
        <w:t>S</w:t>
      </w:r>
      <w:r>
        <w:rPr>
          <w:rFonts w:ascii="Times New Roman" w:hAnsi="Times New Roman" w:cs="Times New Roman"/>
          <w:sz w:val="28"/>
          <w:szCs w:val="28"/>
        </w:rPr>
        <w:t>=0,</w:t>
      </w:r>
      <w:r w:rsidR="00F05058">
        <w:rPr>
          <w:rFonts w:ascii="Times New Roman" w:hAnsi="Times New Roman" w:cs="Times New Roman"/>
          <w:sz w:val="28"/>
          <w:szCs w:val="28"/>
        </w:rPr>
        <w:t>3</w:t>
      </w:r>
      <w:r>
        <w:rPr>
          <w:rFonts w:ascii="Times New Roman" w:hAnsi="Times New Roman" w:cs="Times New Roman"/>
          <w:sz w:val="28"/>
          <w:szCs w:val="28"/>
        </w:rPr>
        <w:t xml:space="preserve"> р=0,0001; </w:t>
      </w:r>
      <w:r>
        <w:rPr>
          <w:rFonts w:ascii="Times New Roman" w:hAnsi="Times New Roman" w:cs="Times New Roman"/>
          <w:sz w:val="28"/>
          <w:szCs w:val="28"/>
          <w:lang w:val="en-US"/>
        </w:rPr>
        <w:t>r</w:t>
      </w:r>
      <w:r>
        <w:rPr>
          <w:rFonts w:ascii="Times New Roman" w:hAnsi="Times New Roman" w:cs="Times New Roman"/>
          <w:sz w:val="28"/>
          <w:szCs w:val="28"/>
          <w:vertAlign w:val="subscript"/>
          <w:lang w:val="en-US"/>
        </w:rPr>
        <w:t>S</w:t>
      </w:r>
      <w:r>
        <w:rPr>
          <w:rFonts w:ascii="Times New Roman" w:hAnsi="Times New Roman" w:cs="Times New Roman"/>
          <w:sz w:val="28"/>
          <w:szCs w:val="28"/>
        </w:rPr>
        <w:t>=0,</w:t>
      </w:r>
      <w:r w:rsidR="00F05058">
        <w:rPr>
          <w:rFonts w:ascii="Times New Roman" w:hAnsi="Times New Roman" w:cs="Times New Roman"/>
          <w:sz w:val="28"/>
          <w:szCs w:val="28"/>
        </w:rPr>
        <w:t>3</w:t>
      </w:r>
      <w:r>
        <w:rPr>
          <w:rFonts w:ascii="Times New Roman" w:hAnsi="Times New Roman" w:cs="Times New Roman"/>
          <w:sz w:val="28"/>
          <w:szCs w:val="28"/>
        </w:rPr>
        <w:t xml:space="preserve"> р=0,0001) и апоВ (</w:t>
      </w:r>
      <w:r>
        <w:rPr>
          <w:rFonts w:ascii="Times New Roman" w:hAnsi="Times New Roman" w:cs="Times New Roman"/>
          <w:sz w:val="28"/>
          <w:szCs w:val="28"/>
          <w:lang w:val="en-US"/>
        </w:rPr>
        <w:t>r</w:t>
      </w:r>
      <w:r>
        <w:rPr>
          <w:rFonts w:ascii="Times New Roman" w:hAnsi="Times New Roman" w:cs="Times New Roman"/>
          <w:sz w:val="28"/>
          <w:szCs w:val="28"/>
          <w:vertAlign w:val="subscript"/>
          <w:lang w:val="en-US"/>
        </w:rPr>
        <w:t>S</w:t>
      </w:r>
      <w:r>
        <w:rPr>
          <w:rFonts w:ascii="Times New Roman" w:hAnsi="Times New Roman" w:cs="Times New Roman"/>
          <w:sz w:val="28"/>
          <w:szCs w:val="28"/>
        </w:rPr>
        <w:t xml:space="preserve">=0,1 р=0,003; </w:t>
      </w:r>
      <w:r>
        <w:rPr>
          <w:rFonts w:ascii="Times New Roman" w:hAnsi="Times New Roman" w:cs="Times New Roman"/>
          <w:sz w:val="28"/>
          <w:szCs w:val="28"/>
          <w:lang w:val="en-US"/>
        </w:rPr>
        <w:t>r</w:t>
      </w:r>
      <w:r>
        <w:rPr>
          <w:rFonts w:ascii="Times New Roman" w:hAnsi="Times New Roman" w:cs="Times New Roman"/>
          <w:sz w:val="28"/>
          <w:szCs w:val="28"/>
          <w:vertAlign w:val="subscript"/>
          <w:lang w:val="en-US"/>
        </w:rPr>
        <w:t>S</w:t>
      </w:r>
      <w:r>
        <w:rPr>
          <w:rFonts w:ascii="Times New Roman" w:hAnsi="Times New Roman" w:cs="Times New Roman"/>
          <w:sz w:val="28"/>
          <w:szCs w:val="28"/>
        </w:rPr>
        <w:t xml:space="preserve">=0,1 р=0,002), соответственно. </w:t>
      </w:r>
      <w:r w:rsidR="006F4F27">
        <w:rPr>
          <w:rFonts w:ascii="Times New Roman" w:hAnsi="Times New Roman" w:cs="Times New Roman"/>
          <w:sz w:val="28"/>
          <w:szCs w:val="28"/>
        </w:rPr>
        <w:t xml:space="preserve">Также была установлена слабая негативная корреляция между уровнями инсулина </w:t>
      </w:r>
      <w:r w:rsidR="00773EF1">
        <w:rPr>
          <w:rFonts w:ascii="Times New Roman" w:hAnsi="Times New Roman" w:cs="Times New Roman"/>
          <w:sz w:val="28"/>
          <w:szCs w:val="28"/>
          <w:lang w:val="kk-KZ"/>
        </w:rPr>
        <w:t>-</w:t>
      </w:r>
      <w:r w:rsidR="006F4F27">
        <w:rPr>
          <w:rFonts w:ascii="Times New Roman" w:hAnsi="Times New Roman" w:cs="Times New Roman"/>
          <w:sz w:val="28"/>
          <w:szCs w:val="28"/>
        </w:rPr>
        <w:t xml:space="preserve"> ЛПНП (</w:t>
      </w:r>
      <w:r w:rsidR="006F4F27">
        <w:rPr>
          <w:rFonts w:ascii="Times New Roman" w:hAnsi="Times New Roman" w:cs="Times New Roman"/>
          <w:sz w:val="28"/>
          <w:szCs w:val="28"/>
          <w:lang w:val="en-US"/>
        </w:rPr>
        <w:t>r</w:t>
      </w:r>
      <w:r w:rsidR="006F4F27">
        <w:rPr>
          <w:rFonts w:ascii="Times New Roman" w:hAnsi="Times New Roman" w:cs="Times New Roman"/>
          <w:sz w:val="28"/>
          <w:szCs w:val="28"/>
          <w:vertAlign w:val="subscript"/>
          <w:lang w:val="en-US"/>
        </w:rPr>
        <w:t>S</w:t>
      </w:r>
      <w:r w:rsidR="006F4F27">
        <w:rPr>
          <w:rFonts w:ascii="Times New Roman" w:hAnsi="Times New Roman" w:cs="Times New Roman"/>
          <w:sz w:val="28"/>
          <w:szCs w:val="28"/>
        </w:rPr>
        <w:t>=-0,1 р=0,02)</w:t>
      </w:r>
      <w:r w:rsidR="00773EF1">
        <w:rPr>
          <w:rFonts w:ascii="Times New Roman" w:hAnsi="Times New Roman" w:cs="Times New Roman"/>
          <w:sz w:val="28"/>
          <w:szCs w:val="28"/>
          <w:lang w:val="kk-KZ"/>
        </w:rPr>
        <w:t xml:space="preserve"> и</w:t>
      </w:r>
      <w:r w:rsidR="006F4F27">
        <w:rPr>
          <w:rFonts w:ascii="Times New Roman" w:hAnsi="Times New Roman" w:cs="Times New Roman"/>
          <w:sz w:val="28"/>
          <w:szCs w:val="28"/>
        </w:rPr>
        <w:t xml:space="preserve"> инсулина </w:t>
      </w:r>
      <w:r w:rsidR="00773EF1">
        <w:rPr>
          <w:rFonts w:ascii="Times New Roman" w:hAnsi="Times New Roman" w:cs="Times New Roman"/>
          <w:sz w:val="28"/>
          <w:szCs w:val="28"/>
          <w:lang w:val="kk-KZ"/>
        </w:rPr>
        <w:t>-</w:t>
      </w:r>
      <w:r w:rsidR="006F4F27">
        <w:rPr>
          <w:rFonts w:ascii="Times New Roman" w:hAnsi="Times New Roman" w:cs="Times New Roman"/>
          <w:sz w:val="28"/>
          <w:szCs w:val="28"/>
        </w:rPr>
        <w:t xml:space="preserve"> ОХС (</w:t>
      </w:r>
      <w:r w:rsidR="006F4F27">
        <w:rPr>
          <w:rFonts w:ascii="Times New Roman" w:hAnsi="Times New Roman" w:cs="Times New Roman"/>
          <w:sz w:val="28"/>
          <w:szCs w:val="28"/>
          <w:lang w:val="en-US"/>
        </w:rPr>
        <w:t>r</w:t>
      </w:r>
      <w:r w:rsidR="006F4F27">
        <w:rPr>
          <w:rFonts w:ascii="Times New Roman" w:hAnsi="Times New Roman" w:cs="Times New Roman"/>
          <w:sz w:val="28"/>
          <w:szCs w:val="28"/>
          <w:vertAlign w:val="subscript"/>
          <w:lang w:val="en-US"/>
        </w:rPr>
        <w:t>S</w:t>
      </w:r>
      <w:r w:rsidR="006F4F27">
        <w:rPr>
          <w:rFonts w:ascii="Times New Roman" w:hAnsi="Times New Roman" w:cs="Times New Roman"/>
          <w:sz w:val="28"/>
          <w:szCs w:val="28"/>
        </w:rPr>
        <w:t xml:space="preserve">=-0,1 р=0,05). </w:t>
      </w:r>
      <w:r w:rsidR="00210ED6">
        <w:rPr>
          <w:rFonts w:ascii="Times New Roman" w:hAnsi="Times New Roman" w:cs="Times New Roman"/>
          <w:sz w:val="28"/>
          <w:szCs w:val="28"/>
        </w:rPr>
        <w:t>Между уровнями инсулина и глюкозы была выявлена слабая положительная корреляция (</w:t>
      </w:r>
      <w:r w:rsidR="00210ED6">
        <w:rPr>
          <w:rFonts w:ascii="Times New Roman" w:hAnsi="Times New Roman" w:cs="Times New Roman"/>
          <w:sz w:val="28"/>
          <w:szCs w:val="28"/>
          <w:lang w:val="en-US"/>
        </w:rPr>
        <w:t>r</w:t>
      </w:r>
      <w:r w:rsidR="00210ED6">
        <w:rPr>
          <w:rFonts w:ascii="Times New Roman" w:hAnsi="Times New Roman" w:cs="Times New Roman"/>
          <w:sz w:val="28"/>
          <w:szCs w:val="28"/>
          <w:vertAlign w:val="subscript"/>
          <w:lang w:val="en-US"/>
        </w:rPr>
        <w:t>S</w:t>
      </w:r>
      <w:r w:rsidR="00210ED6">
        <w:rPr>
          <w:rFonts w:ascii="Times New Roman" w:hAnsi="Times New Roman" w:cs="Times New Roman"/>
          <w:sz w:val="28"/>
          <w:szCs w:val="28"/>
        </w:rPr>
        <w:t>=0,1 р=0,04).</w:t>
      </w:r>
      <w:r w:rsidR="00562F81">
        <w:rPr>
          <w:rFonts w:ascii="Times New Roman" w:hAnsi="Times New Roman" w:cs="Times New Roman"/>
          <w:sz w:val="28"/>
          <w:szCs w:val="28"/>
        </w:rPr>
        <w:t xml:space="preserve"> Мы обнаружили, что уровень</w:t>
      </w:r>
      <w:r w:rsidR="00B81F64">
        <w:rPr>
          <w:rFonts w:ascii="Times New Roman" w:hAnsi="Times New Roman" w:cs="Times New Roman"/>
          <w:sz w:val="28"/>
          <w:szCs w:val="28"/>
        </w:rPr>
        <w:t xml:space="preserve"> </w:t>
      </w:r>
      <w:r w:rsidR="00562F81">
        <w:rPr>
          <w:rFonts w:ascii="Times New Roman" w:hAnsi="Times New Roman"/>
          <w:sz w:val="28"/>
          <w:szCs w:val="28"/>
        </w:rPr>
        <w:t>HOMA-IR был слабо негативно коррелирован с уровнем апоА1</w:t>
      </w:r>
      <w:r w:rsidR="005B4D7C">
        <w:rPr>
          <w:rFonts w:ascii="Times New Roman" w:hAnsi="Times New Roman"/>
          <w:sz w:val="28"/>
          <w:szCs w:val="28"/>
        </w:rPr>
        <w:t xml:space="preserve"> </w:t>
      </w:r>
      <w:r w:rsidR="00427FE7">
        <w:rPr>
          <w:rFonts w:ascii="Times New Roman" w:hAnsi="Times New Roman" w:cs="Times New Roman"/>
          <w:sz w:val="28"/>
          <w:szCs w:val="28"/>
        </w:rPr>
        <w:t>(</w:t>
      </w:r>
      <w:r w:rsidR="00427FE7">
        <w:rPr>
          <w:rFonts w:ascii="Times New Roman" w:hAnsi="Times New Roman" w:cs="Times New Roman"/>
          <w:sz w:val="28"/>
          <w:szCs w:val="28"/>
          <w:lang w:val="en-US"/>
        </w:rPr>
        <w:t>r</w:t>
      </w:r>
      <w:r w:rsidR="00427FE7">
        <w:rPr>
          <w:rFonts w:ascii="Times New Roman" w:hAnsi="Times New Roman" w:cs="Times New Roman"/>
          <w:sz w:val="28"/>
          <w:szCs w:val="28"/>
          <w:vertAlign w:val="subscript"/>
          <w:lang w:val="en-US"/>
        </w:rPr>
        <w:t>S</w:t>
      </w:r>
      <w:r w:rsidR="00427FE7">
        <w:rPr>
          <w:rFonts w:ascii="Times New Roman" w:hAnsi="Times New Roman" w:cs="Times New Roman"/>
          <w:sz w:val="28"/>
          <w:szCs w:val="28"/>
        </w:rPr>
        <w:t>=-0,1 р=0,02), а с уровнем апоВ/апоА1 – слабо положительную корреляцию (</w:t>
      </w:r>
      <w:r w:rsidR="00427FE7">
        <w:rPr>
          <w:rFonts w:ascii="Times New Roman" w:hAnsi="Times New Roman" w:cs="Times New Roman"/>
          <w:sz w:val="28"/>
          <w:szCs w:val="28"/>
          <w:lang w:val="en-US"/>
        </w:rPr>
        <w:t>r</w:t>
      </w:r>
      <w:r w:rsidR="00427FE7">
        <w:rPr>
          <w:rFonts w:ascii="Times New Roman" w:hAnsi="Times New Roman" w:cs="Times New Roman"/>
          <w:sz w:val="28"/>
          <w:szCs w:val="28"/>
          <w:vertAlign w:val="subscript"/>
          <w:lang w:val="en-US"/>
        </w:rPr>
        <w:t>S</w:t>
      </w:r>
      <w:r w:rsidR="00427FE7">
        <w:rPr>
          <w:rFonts w:ascii="Times New Roman" w:hAnsi="Times New Roman" w:cs="Times New Roman"/>
          <w:sz w:val="28"/>
          <w:szCs w:val="28"/>
        </w:rPr>
        <w:t>=0,1 р=0,001)</w:t>
      </w:r>
      <w:r w:rsidR="00562F81">
        <w:rPr>
          <w:rFonts w:ascii="Times New Roman" w:hAnsi="Times New Roman"/>
          <w:sz w:val="28"/>
          <w:szCs w:val="28"/>
        </w:rPr>
        <w:t>.</w:t>
      </w:r>
      <w:r w:rsidR="00B81F64">
        <w:rPr>
          <w:rFonts w:ascii="Times New Roman" w:hAnsi="Times New Roman"/>
          <w:sz w:val="28"/>
          <w:szCs w:val="28"/>
        </w:rPr>
        <w:t xml:space="preserve"> </w:t>
      </w:r>
      <w:r>
        <w:rPr>
          <w:rFonts w:ascii="Times New Roman" w:hAnsi="Times New Roman" w:cs="Times New Roman"/>
          <w:sz w:val="28"/>
          <w:szCs w:val="28"/>
        </w:rPr>
        <w:t>Уровень апоВ имел достоверную корреляционную связь с уровнями ОХС (</w:t>
      </w:r>
      <w:r>
        <w:rPr>
          <w:rFonts w:ascii="Times New Roman" w:hAnsi="Times New Roman" w:cs="Times New Roman"/>
          <w:sz w:val="28"/>
          <w:szCs w:val="28"/>
          <w:lang w:val="en-US"/>
        </w:rPr>
        <w:t>r</w:t>
      </w:r>
      <w:r>
        <w:rPr>
          <w:rFonts w:ascii="Times New Roman" w:hAnsi="Times New Roman" w:cs="Times New Roman"/>
          <w:sz w:val="28"/>
          <w:szCs w:val="28"/>
          <w:vertAlign w:val="subscript"/>
          <w:lang w:val="en-US"/>
        </w:rPr>
        <w:t>S</w:t>
      </w:r>
      <w:r>
        <w:rPr>
          <w:rFonts w:ascii="Times New Roman" w:hAnsi="Times New Roman" w:cs="Times New Roman"/>
          <w:sz w:val="28"/>
          <w:szCs w:val="28"/>
        </w:rPr>
        <w:t>=0,2 р=0,001) и ТГ (</w:t>
      </w:r>
      <w:r>
        <w:rPr>
          <w:rFonts w:ascii="Times New Roman" w:hAnsi="Times New Roman" w:cs="Times New Roman"/>
          <w:sz w:val="28"/>
          <w:szCs w:val="28"/>
          <w:lang w:val="en-US"/>
        </w:rPr>
        <w:t>r</w:t>
      </w:r>
      <w:r>
        <w:rPr>
          <w:rFonts w:ascii="Times New Roman" w:hAnsi="Times New Roman" w:cs="Times New Roman"/>
          <w:sz w:val="28"/>
          <w:szCs w:val="28"/>
          <w:vertAlign w:val="subscript"/>
          <w:lang w:val="en-US"/>
        </w:rPr>
        <w:t>S</w:t>
      </w:r>
      <w:r>
        <w:rPr>
          <w:rFonts w:ascii="Times New Roman" w:hAnsi="Times New Roman" w:cs="Times New Roman"/>
          <w:sz w:val="28"/>
          <w:szCs w:val="28"/>
        </w:rPr>
        <w:t>=0,4 р=0,0001). Уровень глюкозы имел коррел</w:t>
      </w:r>
      <w:r w:rsidR="003C71D4">
        <w:rPr>
          <w:rFonts w:ascii="Times New Roman" w:hAnsi="Times New Roman" w:cs="Times New Roman"/>
          <w:sz w:val="28"/>
          <w:szCs w:val="28"/>
        </w:rPr>
        <w:t>яционную значимую связь с уровне</w:t>
      </w:r>
      <w:r>
        <w:rPr>
          <w:rFonts w:ascii="Times New Roman" w:hAnsi="Times New Roman" w:cs="Times New Roman"/>
          <w:sz w:val="28"/>
          <w:szCs w:val="28"/>
        </w:rPr>
        <w:t>м ТГ (</w:t>
      </w:r>
      <w:r>
        <w:rPr>
          <w:rFonts w:ascii="Times New Roman" w:hAnsi="Times New Roman" w:cs="Times New Roman"/>
          <w:sz w:val="28"/>
          <w:szCs w:val="28"/>
          <w:lang w:val="en-US"/>
        </w:rPr>
        <w:t>r</w:t>
      </w:r>
      <w:r>
        <w:rPr>
          <w:rFonts w:ascii="Times New Roman" w:hAnsi="Times New Roman" w:cs="Times New Roman"/>
          <w:sz w:val="28"/>
          <w:szCs w:val="28"/>
          <w:vertAlign w:val="subscript"/>
          <w:lang w:val="en-US"/>
        </w:rPr>
        <w:t>S</w:t>
      </w:r>
      <w:r>
        <w:rPr>
          <w:rFonts w:ascii="Times New Roman" w:hAnsi="Times New Roman" w:cs="Times New Roman"/>
          <w:sz w:val="28"/>
          <w:szCs w:val="28"/>
        </w:rPr>
        <w:t>=0,1 р=0,003) и</w:t>
      </w:r>
      <w:r w:rsidR="003C71D4">
        <w:rPr>
          <w:rFonts w:ascii="Times New Roman" w:hAnsi="Times New Roman" w:cs="Times New Roman"/>
          <w:sz w:val="28"/>
          <w:szCs w:val="28"/>
        </w:rPr>
        <w:t xml:space="preserve"> значением</w:t>
      </w:r>
      <w:r>
        <w:rPr>
          <w:rFonts w:ascii="Times New Roman" w:hAnsi="Times New Roman" w:cs="Times New Roman"/>
          <w:sz w:val="28"/>
          <w:szCs w:val="28"/>
        </w:rPr>
        <w:t xml:space="preserve"> апоВ/апоА1 (</w:t>
      </w:r>
      <w:r>
        <w:rPr>
          <w:rFonts w:ascii="Times New Roman" w:hAnsi="Times New Roman" w:cs="Times New Roman"/>
          <w:sz w:val="28"/>
          <w:szCs w:val="28"/>
          <w:lang w:val="en-US"/>
        </w:rPr>
        <w:t>r</w:t>
      </w:r>
      <w:r>
        <w:rPr>
          <w:rFonts w:ascii="Times New Roman" w:hAnsi="Times New Roman" w:cs="Times New Roman"/>
          <w:sz w:val="28"/>
          <w:szCs w:val="28"/>
          <w:vertAlign w:val="subscript"/>
          <w:lang w:val="en-US"/>
        </w:rPr>
        <w:t>S</w:t>
      </w:r>
      <w:r>
        <w:rPr>
          <w:rFonts w:ascii="Times New Roman" w:hAnsi="Times New Roman" w:cs="Times New Roman"/>
          <w:sz w:val="28"/>
          <w:szCs w:val="28"/>
        </w:rPr>
        <w:t xml:space="preserve">=0,1 р=0,004). </w:t>
      </w:r>
      <w:r w:rsidR="00EC1AF1" w:rsidRPr="00BB71C8">
        <w:rPr>
          <w:rFonts w:ascii="Times New Roman" w:hAnsi="Times New Roman" w:cs="Times New Roman"/>
          <w:sz w:val="28"/>
          <w:szCs w:val="28"/>
        </w:rPr>
        <w:t xml:space="preserve">При проведении множественной логистической регрессии между факторами риска и биохимическими показателями было выявлено, что </w:t>
      </w:r>
      <w:r w:rsidR="00BB71C8" w:rsidRPr="00BB71C8">
        <w:rPr>
          <w:rFonts w:ascii="Times New Roman" w:hAnsi="Times New Roman" w:cs="Times New Roman"/>
          <w:sz w:val="28"/>
          <w:szCs w:val="28"/>
        </w:rPr>
        <w:t>у</w:t>
      </w:r>
      <w:r w:rsidR="00BB71C8">
        <w:rPr>
          <w:rFonts w:ascii="Times New Roman" w:hAnsi="Times New Roman" w:cs="Times New Roman"/>
          <w:sz w:val="28"/>
          <w:szCs w:val="28"/>
        </w:rPr>
        <w:t>величение ИМТ на 1 кг/м</w:t>
      </w:r>
      <w:r w:rsidR="00BB71C8" w:rsidRPr="0014686D">
        <w:rPr>
          <w:rFonts w:ascii="Times New Roman" w:hAnsi="Times New Roman" w:cs="Times New Roman"/>
          <w:sz w:val="28"/>
          <w:szCs w:val="28"/>
          <w:vertAlign w:val="superscript"/>
        </w:rPr>
        <w:t>2</w:t>
      </w:r>
      <w:r w:rsidR="00BB71C8">
        <w:rPr>
          <w:rFonts w:ascii="Times New Roman" w:hAnsi="Times New Roman" w:cs="Times New Roman"/>
          <w:sz w:val="28"/>
          <w:szCs w:val="28"/>
        </w:rPr>
        <w:t xml:space="preserve"> увеличивал шанс гипертриглицеридемии в </w:t>
      </w:r>
      <w:r w:rsidR="00BB71C8">
        <w:rPr>
          <w:rFonts w:ascii="Times New Roman" w:hAnsi="Times New Roman"/>
          <w:sz w:val="28"/>
          <w:szCs w:val="28"/>
        </w:rPr>
        <w:t>1,04 раза (1,0-1,1)</w:t>
      </w:r>
      <w:r w:rsidR="0058586B">
        <w:rPr>
          <w:rFonts w:ascii="Times New Roman" w:hAnsi="Times New Roman"/>
          <w:sz w:val="28"/>
          <w:szCs w:val="28"/>
        </w:rPr>
        <w:t xml:space="preserve"> (р=0,0001)</w:t>
      </w:r>
      <w:r w:rsidR="00BB71C8">
        <w:rPr>
          <w:rFonts w:ascii="Times New Roman" w:hAnsi="Times New Roman"/>
          <w:sz w:val="28"/>
          <w:szCs w:val="28"/>
        </w:rPr>
        <w:t>; а к</w:t>
      </w:r>
      <w:r w:rsidR="00BB71C8">
        <w:rPr>
          <w:rFonts w:ascii="Times New Roman" w:hAnsi="Times New Roman" w:cs="Times New Roman"/>
          <w:sz w:val="28"/>
          <w:szCs w:val="28"/>
        </w:rPr>
        <w:t>урение увеличивает шанс низкого уровня апоА1 в 1</w:t>
      </w:r>
      <w:r w:rsidR="00BB71C8">
        <w:rPr>
          <w:rFonts w:ascii="Times New Roman" w:hAnsi="Times New Roman"/>
          <w:sz w:val="28"/>
          <w:szCs w:val="28"/>
        </w:rPr>
        <w:t>,88 раза (1,03-3,19)</w:t>
      </w:r>
      <w:r w:rsidR="0058586B">
        <w:rPr>
          <w:rFonts w:ascii="Times New Roman" w:hAnsi="Times New Roman"/>
          <w:sz w:val="28"/>
          <w:szCs w:val="28"/>
        </w:rPr>
        <w:t xml:space="preserve"> (р=0,0001)</w:t>
      </w:r>
      <w:r w:rsidR="00BB71C8">
        <w:rPr>
          <w:rFonts w:ascii="Times New Roman" w:hAnsi="Times New Roman"/>
          <w:sz w:val="28"/>
          <w:szCs w:val="28"/>
        </w:rPr>
        <w:t>; также у</w:t>
      </w:r>
      <w:r w:rsidR="00BB71C8">
        <w:rPr>
          <w:rFonts w:ascii="Times New Roman" w:hAnsi="Times New Roman" w:cs="Times New Roman"/>
          <w:sz w:val="28"/>
          <w:szCs w:val="28"/>
        </w:rPr>
        <w:t>величение возраста на 1 год увеличивает шанс гипераполипопротеинемии В в 1</w:t>
      </w:r>
      <w:r w:rsidR="00BB71C8">
        <w:rPr>
          <w:rFonts w:ascii="Times New Roman" w:hAnsi="Times New Roman"/>
          <w:sz w:val="28"/>
          <w:szCs w:val="28"/>
        </w:rPr>
        <w:t>,04 раза (1,01-1,05)</w:t>
      </w:r>
      <w:r w:rsidR="0058586B">
        <w:rPr>
          <w:rFonts w:ascii="Times New Roman" w:hAnsi="Times New Roman"/>
          <w:sz w:val="28"/>
          <w:szCs w:val="28"/>
        </w:rPr>
        <w:t xml:space="preserve"> (р=0,04)</w:t>
      </w:r>
      <w:r w:rsidR="00BB71C8">
        <w:rPr>
          <w:rFonts w:ascii="Times New Roman" w:hAnsi="Times New Roman"/>
          <w:sz w:val="28"/>
          <w:szCs w:val="28"/>
        </w:rPr>
        <w:t>;</w:t>
      </w:r>
      <w:r w:rsidR="00BB71C8" w:rsidRPr="00BB71C8">
        <w:rPr>
          <w:rFonts w:ascii="Times New Roman" w:hAnsi="Times New Roman" w:cs="Times New Roman"/>
          <w:sz w:val="28"/>
          <w:szCs w:val="28"/>
        </w:rPr>
        <w:t xml:space="preserve"> </w:t>
      </w:r>
      <w:r w:rsidR="00D56131">
        <w:rPr>
          <w:rFonts w:ascii="Times New Roman" w:hAnsi="Times New Roman" w:cs="Times New Roman"/>
          <w:sz w:val="28"/>
          <w:szCs w:val="28"/>
        </w:rPr>
        <w:t xml:space="preserve">гендерная принадлежность к </w:t>
      </w:r>
      <w:r w:rsidR="00C92942">
        <w:rPr>
          <w:rFonts w:ascii="Times New Roman" w:hAnsi="Times New Roman" w:cs="Times New Roman"/>
          <w:sz w:val="28"/>
          <w:szCs w:val="28"/>
        </w:rPr>
        <w:t>мужско</w:t>
      </w:r>
      <w:r w:rsidR="00D56131">
        <w:rPr>
          <w:rFonts w:ascii="Times New Roman" w:hAnsi="Times New Roman" w:cs="Times New Roman"/>
          <w:sz w:val="28"/>
          <w:szCs w:val="28"/>
        </w:rPr>
        <w:t>му</w:t>
      </w:r>
      <w:r w:rsidR="00C92942">
        <w:rPr>
          <w:rFonts w:ascii="Times New Roman" w:hAnsi="Times New Roman" w:cs="Times New Roman"/>
          <w:sz w:val="28"/>
          <w:szCs w:val="28"/>
        </w:rPr>
        <w:t xml:space="preserve"> пол</w:t>
      </w:r>
      <w:r w:rsidR="00D56131">
        <w:rPr>
          <w:rFonts w:ascii="Times New Roman" w:hAnsi="Times New Roman" w:cs="Times New Roman"/>
          <w:sz w:val="28"/>
          <w:szCs w:val="28"/>
        </w:rPr>
        <w:t>у</w:t>
      </w:r>
      <w:r w:rsidR="00C92942">
        <w:rPr>
          <w:rFonts w:ascii="Times New Roman" w:hAnsi="Times New Roman" w:cs="Times New Roman"/>
          <w:sz w:val="28"/>
          <w:szCs w:val="28"/>
        </w:rPr>
        <w:t xml:space="preserve"> снижает шанс</w:t>
      </w:r>
      <w:r w:rsidR="00BB71C8">
        <w:rPr>
          <w:rFonts w:ascii="Times New Roman" w:hAnsi="Times New Roman" w:cs="Times New Roman"/>
          <w:sz w:val="28"/>
          <w:szCs w:val="28"/>
        </w:rPr>
        <w:t xml:space="preserve"> ИР в </w:t>
      </w:r>
      <w:r w:rsidR="00BB71C8">
        <w:rPr>
          <w:rFonts w:ascii="Times New Roman" w:hAnsi="Times New Roman"/>
          <w:sz w:val="28"/>
          <w:szCs w:val="28"/>
        </w:rPr>
        <w:t xml:space="preserve">0,75 раза (0,49-1,0) </w:t>
      </w:r>
      <w:r w:rsidR="0058586B">
        <w:rPr>
          <w:rFonts w:ascii="Times New Roman" w:hAnsi="Times New Roman"/>
          <w:sz w:val="28"/>
          <w:szCs w:val="28"/>
        </w:rPr>
        <w:t xml:space="preserve">(р=0,02) </w:t>
      </w:r>
      <w:r w:rsidR="00BB71C8">
        <w:rPr>
          <w:rFonts w:ascii="Times New Roman" w:hAnsi="Times New Roman"/>
          <w:sz w:val="28"/>
          <w:szCs w:val="28"/>
        </w:rPr>
        <w:t>по сравнению с женским полом</w:t>
      </w:r>
      <w:r w:rsidR="004A70CF">
        <w:rPr>
          <w:rFonts w:ascii="Times New Roman" w:hAnsi="Times New Roman"/>
          <w:sz w:val="28"/>
          <w:szCs w:val="28"/>
        </w:rPr>
        <w:t xml:space="preserve"> исследуемой выборки</w:t>
      </w:r>
      <w:r w:rsidR="00BB71C8">
        <w:rPr>
          <w:rFonts w:ascii="Times New Roman" w:hAnsi="Times New Roman"/>
          <w:sz w:val="28"/>
          <w:szCs w:val="28"/>
        </w:rPr>
        <w:t>.</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Исходя из этого, мы считаем, что </w:t>
      </w:r>
      <w:r w:rsidR="00F972BA">
        <w:rPr>
          <w:rFonts w:ascii="Times New Roman" w:hAnsi="Times New Roman" w:cs="Times New Roman"/>
          <w:sz w:val="28"/>
          <w:szCs w:val="28"/>
        </w:rPr>
        <w:t xml:space="preserve">анализ </w:t>
      </w:r>
      <w:r>
        <w:rPr>
          <w:rFonts w:ascii="Times New Roman" w:hAnsi="Times New Roman" w:cs="Times New Roman"/>
          <w:sz w:val="28"/>
          <w:szCs w:val="28"/>
        </w:rPr>
        <w:t>уровн</w:t>
      </w:r>
      <w:r w:rsidR="00F972BA">
        <w:rPr>
          <w:rFonts w:ascii="Times New Roman" w:hAnsi="Times New Roman" w:cs="Times New Roman"/>
          <w:sz w:val="28"/>
          <w:szCs w:val="28"/>
        </w:rPr>
        <w:t>ей</w:t>
      </w:r>
      <w:r>
        <w:rPr>
          <w:rFonts w:ascii="Times New Roman" w:hAnsi="Times New Roman" w:cs="Times New Roman"/>
          <w:sz w:val="28"/>
          <w:szCs w:val="28"/>
        </w:rPr>
        <w:t xml:space="preserve"> ТГ</w:t>
      </w:r>
      <w:r w:rsidR="00906D94">
        <w:rPr>
          <w:rFonts w:ascii="Times New Roman" w:hAnsi="Times New Roman" w:cs="Times New Roman"/>
          <w:sz w:val="28"/>
          <w:szCs w:val="28"/>
        </w:rPr>
        <w:t>,</w:t>
      </w:r>
      <w:r>
        <w:rPr>
          <w:rFonts w:ascii="Times New Roman" w:hAnsi="Times New Roman" w:cs="Times New Roman"/>
          <w:sz w:val="28"/>
          <w:szCs w:val="28"/>
        </w:rPr>
        <w:t xml:space="preserve"> апоВ </w:t>
      </w:r>
      <w:r w:rsidR="00906D94">
        <w:rPr>
          <w:rFonts w:ascii="Times New Roman" w:hAnsi="Times New Roman" w:cs="Times New Roman"/>
          <w:sz w:val="28"/>
          <w:szCs w:val="28"/>
        </w:rPr>
        <w:t xml:space="preserve">и соотношения апоВ/апоА1 </w:t>
      </w:r>
      <w:r>
        <w:rPr>
          <w:rFonts w:ascii="Times New Roman" w:hAnsi="Times New Roman" w:cs="Times New Roman"/>
          <w:sz w:val="28"/>
          <w:szCs w:val="28"/>
        </w:rPr>
        <w:t xml:space="preserve">могут </w:t>
      </w:r>
      <w:r w:rsidR="00E8638C">
        <w:rPr>
          <w:rFonts w:ascii="Times New Roman" w:hAnsi="Times New Roman" w:cs="Times New Roman"/>
          <w:sz w:val="28"/>
          <w:szCs w:val="28"/>
        </w:rPr>
        <w:t>быть исползованы в качестве</w:t>
      </w:r>
      <w:r>
        <w:rPr>
          <w:rFonts w:ascii="Times New Roman" w:hAnsi="Times New Roman" w:cs="Times New Roman"/>
          <w:sz w:val="28"/>
          <w:szCs w:val="28"/>
        </w:rPr>
        <w:t xml:space="preserve"> ранни</w:t>
      </w:r>
      <w:r w:rsidR="00E8638C">
        <w:rPr>
          <w:rFonts w:ascii="Times New Roman" w:hAnsi="Times New Roman" w:cs="Times New Roman"/>
          <w:sz w:val="28"/>
          <w:szCs w:val="28"/>
        </w:rPr>
        <w:t>х</w:t>
      </w:r>
      <w:r w:rsidR="00F972BA">
        <w:rPr>
          <w:rFonts w:ascii="Times New Roman" w:hAnsi="Times New Roman" w:cs="Times New Roman"/>
          <w:sz w:val="28"/>
          <w:szCs w:val="28"/>
        </w:rPr>
        <w:t xml:space="preserve"> предиктор</w:t>
      </w:r>
      <w:r w:rsidR="00E8638C">
        <w:rPr>
          <w:rFonts w:ascii="Times New Roman" w:hAnsi="Times New Roman" w:cs="Times New Roman"/>
          <w:sz w:val="28"/>
          <w:szCs w:val="28"/>
        </w:rPr>
        <w:t>ов</w:t>
      </w:r>
      <w:r>
        <w:rPr>
          <w:rFonts w:ascii="Times New Roman" w:hAnsi="Times New Roman" w:cs="Times New Roman"/>
          <w:sz w:val="28"/>
          <w:szCs w:val="28"/>
        </w:rPr>
        <w:t xml:space="preserve"> риска дислипидемии, гиперинсулинемии и ИР в казахской популяции.</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4"/>
        </w:rPr>
      </w:pPr>
      <w:r>
        <w:rPr>
          <w:rFonts w:ascii="Times New Roman" w:hAnsi="Times New Roman" w:cs="Times New Roman"/>
          <w:sz w:val="28"/>
          <w:szCs w:val="28"/>
        </w:rPr>
        <w:t xml:space="preserve">Далее мы оценили наличие взаимосвязи полиморфизмов генов </w:t>
      </w:r>
      <w:r>
        <w:rPr>
          <w:rFonts w:ascii="Times New Roman" w:hAnsi="Times New Roman" w:cs="Times New Roman"/>
          <w:i/>
          <w:sz w:val="28"/>
          <w:szCs w:val="28"/>
        </w:rPr>
        <w:t xml:space="preserve">LPL </w:t>
      </w:r>
      <w:r>
        <w:rPr>
          <w:rFonts w:ascii="Times New Roman" w:hAnsi="Times New Roman" w:cs="Times New Roman"/>
          <w:sz w:val="28"/>
          <w:szCs w:val="28"/>
        </w:rPr>
        <w:t xml:space="preserve">Ser447Ter (rs328), </w:t>
      </w:r>
      <w:r>
        <w:rPr>
          <w:rFonts w:ascii="Times New Roman" w:hAnsi="Times New Roman" w:cs="Times New Roman"/>
          <w:i/>
          <w:sz w:val="28"/>
          <w:szCs w:val="28"/>
        </w:rPr>
        <w:t xml:space="preserve">ADRB2 </w:t>
      </w:r>
      <w:r>
        <w:rPr>
          <w:rFonts w:ascii="Times New Roman" w:hAnsi="Times New Roman" w:cs="Times New Roman"/>
          <w:sz w:val="28"/>
          <w:szCs w:val="28"/>
        </w:rPr>
        <w:t>Gln27Glu (rs1042714),</w:t>
      </w:r>
      <w:r>
        <w:rPr>
          <w:rFonts w:ascii="Times New Roman" w:hAnsi="Times New Roman" w:cs="Times New Roman"/>
          <w:i/>
          <w:sz w:val="28"/>
          <w:szCs w:val="28"/>
        </w:rPr>
        <w:t xml:space="preserve"> AGT </w:t>
      </w:r>
      <w:r>
        <w:rPr>
          <w:rFonts w:ascii="Times New Roman" w:hAnsi="Times New Roman" w:cs="Times New Roman"/>
          <w:sz w:val="28"/>
          <w:szCs w:val="28"/>
        </w:rPr>
        <w:t>Thr174Met (rs4762) и</w:t>
      </w:r>
      <w:r>
        <w:rPr>
          <w:rFonts w:ascii="Times New Roman" w:hAnsi="Times New Roman" w:cs="Times New Roman"/>
          <w:i/>
          <w:sz w:val="28"/>
          <w:szCs w:val="28"/>
        </w:rPr>
        <w:t xml:space="preserve"> AGTR1 </w:t>
      </w:r>
      <w:r>
        <w:rPr>
          <w:rFonts w:ascii="Times New Roman" w:hAnsi="Times New Roman" w:cs="Times New Roman"/>
          <w:sz w:val="28"/>
          <w:szCs w:val="28"/>
        </w:rPr>
        <w:t xml:space="preserve">A1166C (rs5186) ассоциированных с нарушениями липидного обмена у </w:t>
      </w:r>
      <w:r w:rsidR="00EF5323">
        <w:rPr>
          <w:rFonts w:ascii="Times New Roman" w:hAnsi="Times New Roman" w:cs="Times New Roman"/>
          <w:sz w:val="28"/>
          <w:szCs w:val="28"/>
        </w:rPr>
        <w:t>участников</w:t>
      </w:r>
      <w:r>
        <w:rPr>
          <w:rFonts w:ascii="Times New Roman" w:hAnsi="Times New Roman" w:cs="Times New Roman"/>
          <w:sz w:val="28"/>
          <w:szCs w:val="28"/>
        </w:rPr>
        <w:t xml:space="preserve"> с дислипидемией и ИР. В некоторых исследованиях </w:t>
      </w:r>
      <w:r>
        <w:rPr>
          <w:rFonts w:ascii="Times New Roman" w:hAnsi="Times New Roman" w:cs="Times New Roman"/>
          <w:sz w:val="28"/>
          <w:szCs w:val="24"/>
        </w:rPr>
        <w:t>полиморфизм Ser447Ter (rs328) гена</w:t>
      </w:r>
      <w:r w:rsidR="00920C90">
        <w:rPr>
          <w:rFonts w:ascii="Times New Roman" w:hAnsi="Times New Roman" w:cs="Times New Roman"/>
          <w:sz w:val="28"/>
          <w:szCs w:val="24"/>
          <w:lang w:val="kk-KZ"/>
        </w:rPr>
        <w:t xml:space="preserve"> </w:t>
      </w:r>
      <w:r>
        <w:rPr>
          <w:rFonts w:ascii="Times New Roman" w:hAnsi="Times New Roman" w:cs="Times New Roman"/>
          <w:i/>
          <w:sz w:val="28"/>
          <w:szCs w:val="24"/>
        </w:rPr>
        <w:t>LPL</w:t>
      </w:r>
      <w:r>
        <w:rPr>
          <w:rFonts w:ascii="Times New Roman" w:hAnsi="Times New Roman" w:cs="Times New Roman"/>
          <w:sz w:val="28"/>
          <w:szCs w:val="24"/>
        </w:rPr>
        <w:t xml:space="preserve"> </w:t>
      </w:r>
      <w:r w:rsidR="00D56131">
        <w:rPr>
          <w:rFonts w:ascii="Times New Roman" w:hAnsi="Times New Roman" w:cs="Times New Roman"/>
          <w:sz w:val="28"/>
          <w:szCs w:val="24"/>
        </w:rPr>
        <w:t>ассоциировал с</w:t>
      </w:r>
      <w:r w:rsidR="00EF5323">
        <w:rPr>
          <w:rFonts w:ascii="Times New Roman" w:hAnsi="Times New Roman" w:cs="Times New Roman"/>
          <w:sz w:val="28"/>
          <w:szCs w:val="24"/>
        </w:rPr>
        <w:t xml:space="preserve"> высоким</w:t>
      </w:r>
      <w:r>
        <w:rPr>
          <w:rFonts w:ascii="Times New Roman" w:hAnsi="Times New Roman" w:cs="Times New Roman"/>
          <w:sz w:val="28"/>
          <w:szCs w:val="24"/>
        </w:rPr>
        <w:t xml:space="preserve"> риск</w:t>
      </w:r>
      <w:r w:rsidR="00D56131">
        <w:rPr>
          <w:rFonts w:ascii="Times New Roman" w:hAnsi="Times New Roman" w:cs="Times New Roman"/>
          <w:sz w:val="28"/>
          <w:szCs w:val="24"/>
        </w:rPr>
        <w:t>ом</w:t>
      </w:r>
      <w:r>
        <w:rPr>
          <w:rFonts w:ascii="Times New Roman" w:hAnsi="Times New Roman" w:cs="Times New Roman"/>
          <w:sz w:val="28"/>
          <w:szCs w:val="24"/>
        </w:rPr>
        <w:t xml:space="preserve"> развития ИР. В настоящем исследовании</w:t>
      </w:r>
      <w:r w:rsidR="00920C90">
        <w:rPr>
          <w:rFonts w:ascii="Times New Roman" w:hAnsi="Times New Roman" w:cs="Times New Roman"/>
          <w:sz w:val="28"/>
          <w:szCs w:val="24"/>
          <w:lang w:val="kk-KZ"/>
        </w:rPr>
        <w:t xml:space="preserve"> </w:t>
      </w:r>
      <w:r>
        <w:rPr>
          <w:rFonts w:ascii="Times New Roman" w:hAnsi="Times New Roman" w:cs="Times New Roman"/>
          <w:sz w:val="28"/>
          <w:szCs w:val="28"/>
          <w:lang w:val="kk-KZ"/>
        </w:rPr>
        <w:t>аллель G полиморфизма</w:t>
      </w:r>
      <w:r w:rsidR="00B81F64">
        <w:rPr>
          <w:rFonts w:ascii="Times New Roman" w:hAnsi="Times New Roman" w:cs="Times New Roman"/>
          <w:sz w:val="28"/>
          <w:szCs w:val="28"/>
          <w:lang w:val="kk-KZ"/>
        </w:rPr>
        <w:t xml:space="preserve"> </w:t>
      </w:r>
      <w:r>
        <w:rPr>
          <w:rFonts w:ascii="Times New Roman" w:hAnsi="Times New Roman" w:cs="Times New Roman"/>
          <w:sz w:val="28"/>
          <w:szCs w:val="24"/>
        </w:rPr>
        <w:t>Ser447Ter (rs328) гена</w:t>
      </w:r>
      <w:r w:rsidR="00B81F64">
        <w:rPr>
          <w:rFonts w:ascii="Times New Roman" w:hAnsi="Times New Roman" w:cs="Times New Roman"/>
          <w:sz w:val="28"/>
          <w:szCs w:val="24"/>
        </w:rPr>
        <w:t xml:space="preserve"> </w:t>
      </w:r>
      <w:r>
        <w:rPr>
          <w:rFonts w:ascii="Times New Roman" w:hAnsi="Times New Roman" w:cs="Times New Roman"/>
          <w:i/>
          <w:sz w:val="28"/>
          <w:szCs w:val="24"/>
        </w:rPr>
        <w:t>LPL</w:t>
      </w:r>
      <w:r>
        <w:rPr>
          <w:rFonts w:ascii="Times New Roman" w:hAnsi="Times New Roman" w:cs="Times New Roman"/>
          <w:sz w:val="28"/>
          <w:szCs w:val="24"/>
        </w:rPr>
        <w:t xml:space="preserve"> был</w:t>
      </w:r>
      <w:r w:rsidR="00B81F64">
        <w:rPr>
          <w:rFonts w:ascii="Times New Roman" w:hAnsi="Times New Roman" w:cs="Times New Roman"/>
          <w:sz w:val="28"/>
          <w:szCs w:val="24"/>
        </w:rPr>
        <w:t xml:space="preserve"> </w:t>
      </w:r>
      <w:r>
        <w:rPr>
          <w:rFonts w:ascii="Times New Roman" w:hAnsi="Times New Roman" w:cs="Times New Roman"/>
          <w:sz w:val="28"/>
          <w:szCs w:val="28"/>
          <w:lang w:val="kk-KZ"/>
        </w:rPr>
        <w:t>ассоциирован с низким</w:t>
      </w:r>
      <w:r w:rsidR="00B81F64">
        <w:rPr>
          <w:rFonts w:ascii="Times New Roman" w:hAnsi="Times New Roman" w:cs="Times New Roman"/>
          <w:sz w:val="28"/>
          <w:szCs w:val="28"/>
          <w:lang w:val="kk-KZ"/>
        </w:rPr>
        <w:t xml:space="preserve"> </w:t>
      </w:r>
      <w:r>
        <w:rPr>
          <w:rFonts w:ascii="Times New Roman" w:hAnsi="Times New Roman" w:cs="Times New Roman"/>
          <w:sz w:val="28"/>
          <w:szCs w:val="28"/>
          <w:lang w:val="kk-KZ"/>
        </w:rPr>
        <w:t>риском</w:t>
      </w:r>
      <w:r w:rsidR="00B81F64">
        <w:rPr>
          <w:rFonts w:ascii="Times New Roman" w:hAnsi="Times New Roman" w:cs="Times New Roman"/>
          <w:sz w:val="28"/>
          <w:szCs w:val="28"/>
          <w:lang w:val="kk-KZ"/>
        </w:rPr>
        <w:t xml:space="preserve"> </w:t>
      </w:r>
      <w:r>
        <w:rPr>
          <w:rFonts w:ascii="Times New Roman" w:hAnsi="Times New Roman" w:cs="Times New Roman"/>
          <w:sz w:val="28"/>
          <w:szCs w:val="28"/>
          <w:lang w:val="kk-KZ"/>
        </w:rPr>
        <w:t>развития</w:t>
      </w:r>
      <w:r w:rsidR="00B81F64">
        <w:rPr>
          <w:rFonts w:ascii="Times New Roman" w:hAnsi="Times New Roman" w:cs="Times New Roman"/>
          <w:sz w:val="28"/>
          <w:szCs w:val="28"/>
          <w:lang w:val="kk-KZ"/>
        </w:rPr>
        <w:t xml:space="preserve"> </w:t>
      </w:r>
      <w:r>
        <w:rPr>
          <w:rFonts w:ascii="Times New Roman" w:hAnsi="Times New Roman" w:cs="Times New Roman"/>
          <w:sz w:val="28"/>
          <w:szCs w:val="28"/>
          <w:lang w:val="kk-KZ"/>
        </w:rPr>
        <w:t>гиперинсулинемии и высоким</w:t>
      </w:r>
      <w:r w:rsidR="00B81F64">
        <w:rPr>
          <w:rFonts w:ascii="Times New Roman" w:hAnsi="Times New Roman" w:cs="Times New Roman"/>
          <w:sz w:val="28"/>
          <w:szCs w:val="28"/>
          <w:lang w:val="kk-KZ"/>
        </w:rPr>
        <w:t xml:space="preserve"> </w:t>
      </w:r>
      <w:r>
        <w:rPr>
          <w:rFonts w:ascii="Times New Roman" w:hAnsi="Times New Roman" w:cs="Times New Roman"/>
          <w:sz w:val="28"/>
          <w:szCs w:val="28"/>
          <w:lang w:val="kk-KZ"/>
        </w:rPr>
        <w:t>риском</w:t>
      </w:r>
      <w:r w:rsidR="00B81F64">
        <w:rPr>
          <w:rFonts w:ascii="Times New Roman" w:hAnsi="Times New Roman" w:cs="Times New Roman"/>
          <w:sz w:val="28"/>
          <w:szCs w:val="28"/>
          <w:lang w:val="kk-KZ"/>
        </w:rPr>
        <w:t xml:space="preserve"> </w:t>
      </w:r>
      <w:r>
        <w:rPr>
          <w:rFonts w:ascii="Times New Roman" w:hAnsi="Times New Roman" w:cs="Times New Roman"/>
          <w:sz w:val="28"/>
          <w:szCs w:val="28"/>
          <w:lang w:val="kk-KZ"/>
        </w:rPr>
        <w:t>развития</w:t>
      </w:r>
      <w:r w:rsidR="00B81F64">
        <w:rPr>
          <w:rFonts w:ascii="Times New Roman" w:hAnsi="Times New Roman" w:cs="Times New Roman"/>
          <w:sz w:val="28"/>
          <w:szCs w:val="28"/>
          <w:lang w:val="kk-KZ"/>
        </w:rPr>
        <w:t xml:space="preserve"> </w:t>
      </w:r>
      <w:r>
        <w:rPr>
          <w:rFonts w:ascii="Times New Roman" w:hAnsi="Times New Roman" w:cs="Times New Roman"/>
          <w:sz w:val="28"/>
          <w:szCs w:val="28"/>
          <w:lang w:val="kk-KZ"/>
        </w:rPr>
        <w:t>гипергликемии. Таким</w:t>
      </w:r>
      <w:r w:rsidR="00B81F64">
        <w:rPr>
          <w:rFonts w:ascii="Times New Roman" w:hAnsi="Times New Roman" w:cs="Times New Roman"/>
          <w:sz w:val="28"/>
          <w:szCs w:val="28"/>
          <w:lang w:val="kk-KZ"/>
        </w:rPr>
        <w:t xml:space="preserve"> </w:t>
      </w:r>
      <w:r>
        <w:rPr>
          <w:rFonts w:ascii="Times New Roman" w:hAnsi="Times New Roman" w:cs="Times New Roman"/>
          <w:sz w:val="28"/>
          <w:szCs w:val="28"/>
          <w:lang w:val="kk-KZ"/>
        </w:rPr>
        <w:t>образом, по</w:t>
      </w:r>
      <w:r w:rsidR="00B81F64">
        <w:rPr>
          <w:rFonts w:ascii="Times New Roman" w:hAnsi="Times New Roman" w:cs="Times New Roman"/>
          <w:sz w:val="28"/>
          <w:szCs w:val="28"/>
          <w:lang w:val="kk-KZ"/>
        </w:rPr>
        <w:t xml:space="preserve"> </w:t>
      </w:r>
      <w:r>
        <w:rPr>
          <w:rFonts w:ascii="Times New Roman" w:hAnsi="Times New Roman" w:cs="Times New Roman"/>
          <w:sz w:val="28"/>
          <w:szCs w:val="28"/>
          <w:lang w:val="kk-KZ"/>
        </w:rPr>
        <w:t>нашим</w:t>
      </w:r>
      <w:r w:rsidR="00B81F64">
        <w:rPr>
          <w:rFonts w:ascii="Times New Roman" w:hAnsi="Times New Roman" w:cs="Times New Roman"/>
          <w:sz w:val="28"/>
          <w:szCs w:val="28"/>
          <w:lang w:val="kk-KZ"/>
        </w:rPr>
        <w:t xml:space="preserve"> </w:t>
      </w:r>
      <w:r>
        <w:rPr>
          <w:rFonts w:ascii="Times New Roman" w:hAnsi="Times New Roman" w:cs="Times New Roman"/>
          <w:sz w:val="28"/>
          <w:szCs w:val="28"/>
          <w:lang w:val="kk-KZ"/>
        </w:rPr>
        <w:t>результатам</w:t>
      </w:r>
      <w:r w:rsidR="00B81F64">
        <w:rPr>
          <w:rFonts w:ascii="Times New Roman" w:hAnsi="Times New Roman" w:cs="Times New Roman"/>
          <w:sz w:val="28"/>
          <w:szCs w:val="28"/>
          <w:lang w:val="kk-KZ"/>
        </w:rPr>
        <w:t xml:space="preserve"> </w:t>
      </w:r>
      <w:r>
        <w:rPr>
          <w:rFonts w:ascii="Times New Roman" w:hAnsi="Times New Roman" w:cs="Times New Roman"/>
          <w:sz w:val="28"/>
          <w:szCs w:val="28"/>
        </w:rPr>
        <w:t>генотип</w:t>
      </w:r>
      <w:r w:rsidR="00D56131">
        <w:rPr>
          <w:rFonts w:ascii="Times New Roman" w:hAnsi="Times New Roman" w:cs="Times New Roman"/>
          <w:sz w:val="28"/>
          <w:szCs w:val="28"/>
        </w:rPr>
        <w:t>ы</w:t>
      </w:r>
      <w:r>
        <w:rPr>
          <w:rFonts w:ascii="Times New Roman" w:hAnsi="Times New Roman" w:cs="Times New Roman"/>
          <w:sz w:val="28"/>
          <w:szCs w:val="28"/>
        </w:rPr>
        <w:t xml:space="preserve"> G/G и С/G</w:t>
      </w:r>
      <w:r w:rsidR="00B81F64">
        <w:rPr>
          <w:rFonts w:ascii="Times New Roman" w:hAnsi="Times New Roman" w:cs="Times New Roman"/>
          <w:sz w:val="28"/>
          <w:szCs w:val="28"/>
        </w:rPr>
        <w:t xml:space="preserve"> </w:t>
      </w:r>
      <w:r>
        <w:rPr>
          <w:rFonts w:ascii="Times New Roman" w:hAnsi="Times New Roman" w:cs="Times New Roman"/>
          <w:sz w:val="28"/>
          <w:szCs w:val="28"/>
          <w:lang w:val="kk-KZ"/>
        </w:rPr>
        <w:t>полиморфизма</w:t>
      </w:r>
      <w:r w:rsidR="00B81F64">
        <w:rPr>
          <w:rFonts w:ascii="Times New Roman" w:hAnsi="Times New Roman" w:cs="Times New Roman"/>
          <w:sz w:val="28"/>
          <w:szCs w:val="28"/>
          <w:lang w:val="kk-KZ"/>
        </w:rPr>
        <w:t xml:space="preserve"> </w:t>
      </w:r>
      <w:r>
        <w:rPr>
          <w:rFonts w:ascii="Times New Roman" w:hAnsi="Times New Roman" w:cs="Times New Roman"/>
          <w:sz w:val="28"/>
          <w:szCs w:val="24"/>
        </w:rPr>
        <w:t>Ser447Ter (rs328) гена</w:t>
      </w:r>
      <w:r w:rsidR="00B81F64">
        <w:rPr>
          <w:rFonts w:ascii="Times New Roman" w:hAnsi="Times New Roman" w:cs="Times New Roman"/>
          <w:sz w:val="28"/>
          <w:szCs w:val="24"/>
        </w:rPr>
        <w:t xml:space="preserve"> </w:t>
      </w:r>
      <w:r>
        <w:rPr>
          <w:rFonts w:ascii="Times New Roman" w:hAnsi="Times New Roman" w:cs="Times New Roman"/>
          <w:i/>
          <w:sz w:val="28"/>
          <w:szCs w:val="24"/>
        </w:rPr>
        <w:t>LPL</w:t>
      </w:r>
      <w:r>
        <w:rPr>
          <w:rFonts w:ascii="Times New Roman" w:hAnsi="Times New Roman" w:cs="Times New Roman"/>
          <w:sz w:val="28"/>
          <w:szCs w:val="28"/>
        </w:rPr>
        <w:t xml:space="preserve"> </w:t>
      </w:r>
      <w:r w:rsidR="00D56131">
        <w:rPr>
          <w:rFonts w:ascii="Times New Roman" w:hAnsi="Times New Roman" w:cs="Times New Roman"/>
          <w:sz w:val="28"/>
          <w:szCs w:val="28"/>
        </w:rPr>
        <w:t xml:space="preserve">способствуют </w:t>
      </w:r>
      <w:r>
        <w:rPr>
          <w:rFonts w:ascii="Times New Roman" w:hAnsi="Times New Roman" w:cs="Times New Roman"/>
          <w:sz w:val="28"/>
          <w:szCs w:val="28"/>
        </w:rPr>
        <w:t>повыш</w:t>
      </w:r>
      <w:r w:rsidR="00014A95">
        <w:rPr>
          <w:rFonts w:ascii="Times New Roman" w:hAnsi="Times New Roman" w:cs="Times New Roman"/>
          <w:sz w:val="28"/>
          <w:szCs w:val="28"/>
        </w:rPr>
        <w:t>ен</w:t>
      </w:r>
      <w:r w:rsidR="00D56131">
        <w:rPr>
          <w:rFonts w:ascii="Times New Roman" w:hAnsi="Times New Roman" w:cs="Times New Roman"/>
          <w:sz w:val="28"/>
          <w:szCs w:val="28"/>
        </w:rPr>
        <w:t>ию</w:t>
      </w:r>
      <w:r>
        <w:rPr>
          <w:rFonts w:ascii="Times New Roman" w:hAnsi="Times New Roman" w:cs="Times New Roman"/>
          <w:sz w:val="28"/>
          <w:szCs w:val="28"/>
        </w:rPr>
        <w:t xml:space="preserve"> риск</w:t>
      </w:r>
      <w:r w:rsidR="00D56131">
        <w:rPr>
          <w:rFonts w:ascii="Times New Roman" w:hAnsi="Times New Roman" w:cs="Times New Roman"/>
          <w:sz w:val="28"/>
          <w:szCs w:val="28"/>
        </w:rPr>
        <w:t>а</w:t>
      </w:r>
      <w:r>
        <w:rPr>
          <w:rFonts w:ascii="Times New Roman" w:hAnsi="Times New Roman" w:cs="Times New Roman"/>
          <w:sz w:val="28"/>
          <w:szCs w:val="28"/>
        </w:rPr>
        <w:t xml:space="preserve"> развития гипергликемии в</w:t>
      </w:r>
      <w:r w:rsidR="000C31DA">
        <w:rPr>
          <w:rFonts w:ascii="Times New Roman" w:hAnsi="Times New Roman" w:cs="Times New Roman"/>
          <w:sz w:val="28"/>
          <w:szCs w:val="28"/>
        </w:rPr>
        <w:t xml:space="preserve"> исследуемой выборке</w:t>
      </w:r>
      <w:r>
        <w:rPr>
          <w:rFonts w:ascii="Times New Roman" w:hAnsi="Times New Roman" w:cs="Times New Roman"/>
          <w:sz w:val="28"/>
          <w:szCs w:val="28"/>
        </w:rPr>
        <w:t xml:space="preserve"> </w:t>
      </w:r>
      <w:r w:rsidR="000837AF">
        <w:rPr>
          <w:rFonts w:ascii="Times New Roman" w:hAnsi="Times New Roman" w:cs="Times New Roman"/>
          <w:sz w:val="28"/>
          <w:szCs w:val="28"/>
        </w:rPr>
        <w:t>в</w:t>
      </w:r>
      <w:r>
        <w:rPr>
          <w:rFonts w:ascii="Times New Roman" w:hAnsi="Times New Roman" w:cs="Times New Roman"/>
          <w:sz w:val="28"/>
          <w:szCs w:val="28"/>
        </w:rPr>
        <w:t xml:space="preserve"> 1,82 </w:t>
      </w:r>
      <w:r w:rsidR="00D56131">
        <w:rPr>
          <w:rFonts w:ascii="Times New Roman" w:hAnsi="Times New Roman" w:cs="Times New Roman"/>
          <w:sz w:val="28"/>
          <w:szCs w:val="28"/>
        </w:rPr>
        <w:t xml:space="preserve">раза </w:t>
      </w:r>
      <w:r>
        <w:rPr>
          <w:rFonts w:ascii="Times New Roman" w:hAnsi="Times New Roman" w:cs="Times New Roman"/>
          <w:sz w:val="28"/>
          <w:szCs w:val="28"/>
        </w:rPr>
        <w:t xml:space="preserve">(95% ДИ 1,17-2,83 р=0,0077). </w:t>
      </w:r>
      <w:r w:rsidR="008D20A5">
        <w:rPr>
          <w:rFonts w:ascii="Times New Roman" w:hAnsi="Times New Roman" w:cs="Times New Roman"/>
          <w:sz w:val="28"/>
          <w:szCs w:val="28"/>
        </w:rPr>
        <w:t xml:space="preserve">У носителей </w:t>
      </w:r>
      <w:r>
        <w:rPr>
          <w:rFonts w:ascii="Times New Roman" w:hAnsi="Times New Roman" w:cs="Times New Roman"/>
          <w:sz w:val="28"/>
          <w:szCs w:val="28"/>
          <w:lang w:val="kk-KZ"/>
        </w:rPr>
        <w:t>генотип</w:t>
      </w:r>
      <w:r w:rsidR="008D20A5">
        <w:rPr>
          <w:rFonts w:ascii="Times New Roman" w:hAnsi="Times New Roman" w:cs="Times New Roman"/>
          <w:sz w:val="28"/>
          <w:szCs w:val="28"/>
          <w:lang w:val="kk-KZ"/>
        </w:rPr>
        <w:t>а</w:t>
      </w:r>
      <w:r>
        <w:rPr>
          <w:rFonts w:ascii="Times New Roman" w:hAnsi="Times New Roman" w:cs="Times New Roman"/>
          <w:sz w:val="28"/>
          <w:szCs w:val="28"/>
          <w:lang w:val="kk-KZ"/>
        </w:rPr>
        <w:t xml:space="preserve"> G/G полиморфизма Ser447Ter (</w:t>
      </w:r>
      <w:r>
        <w:rPr>
          <w:rFonts w:ascii="Times New Roman" w:hAnsi="Times New Roman" w:cs="Times New Roman"/>
          <w:sz w:val="28"/>
          <w:szCs w:val="28"/>
          <w:lang w:val="en-US"/>
        </w:rPr>
        <w:t>rs</w:t>
      </w:r>
      <w:r>
        <w:rPr>
          <w:rFonts w:ascii="Times New Roman" w:hAnsi="Times New Roman" w:cs="Times New Roman"/>
          <w:sz w:val="28"/>
          <w:szCs w:val="28"/>
        </w:rPr>
        <w:t>328</w:t>
      </w:r>
      <w:r>
        <w:rPr>
          <w:rFonts w:ascii="Times New Roman" w:hAnsi="Times New Roman" w:cs="Times New Roman"/>
          <w:sz w:val="28"/>
          <w:szCs w:val="28"/>
          <w:lang w:val="kk-KZ"/>
        </w:rPr>
        <w:t>) гена</w:t>
      </w:r>
      <w:r w:rsidR="00B81F64">
        <w:rPr>
          <w:rFonts w:ascii="Times New Roman" w:hAnsi="Times New Roman" w:cs="Times New Roman"/>
          <w:sz w:val="28"/>
          <w:szCs w:val="28"/>
          <w:lang w:val="kk-KZ"/>
        </w:rPr>
        <w:t xml:space="preserve"> </w:t>
      </w:r>
      <w:r>
        <w:rPr>
          <w:rFonts w:ascii="Times New Roman" w:hAnsi="Times New Roman" w:cs="Times New Roman"/>
          <w:i/>
          <w:sz w:val="28"/>
          <w:szCs w:val="28"/>
          <w:lang w:val="kk-KZ"/>
        </w:rPr>
        <w:t xml:space="preserve">LPL </w:t>
      </w:r>
      <w:r>
        <w:rPr>
          <w:rFonts w:ascii="Times New Roman" w:hAnsi="Times New Roman" w:cs="Times New Roman"/>
          <w:sz w:val="28"/>
          <w:szCs w:val="28"/>
          <w:lang w:val="kk-KZ"/>
        </w:rPr>
        <w:t>сниж</w:t>
      </w:r>
      <w:r w:rsidR="008D20A5">
        <w:rPr>
          <w:rFonts w:ascii="Times New Roman" w:hAnsi="Times New Roman" w:cs="Times New Roman"/>
          <w:sz w:val="28"/>
          <w:szCs w:val="28"/>
          <w:lang w:val="kk-KZ"/>
        </w:rPr>
        <w:t>ался</w:t>
      </w:r>
      <w:r>
        <w:rPr>
          <w:rFonts w:ascii="Times New Roman" w:hAnsi="Times New Roman" w:cs="Times New Roman"/>
          <w:sz w:val="28"/>
          <w:szCs w:val="28"/>
          <w:lang w:val="kk-KZ"/>
        </w:rPr>
        <w:t xml:space="preserve"> риск развития</w:t>
      </w:r>
      <w:r w:rsidR="00B81F6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гиперинсулинемии в 0,28 </w:t>
      </w:r>
      <w:r w:rsidR="000837AF">
        <w:rPr>
          <w:rFonts w:ascii="Times New Roman" w:hAnsi="Times New Roman" w:cs="Times New Roman"/>
          <w:sz w:val="28"/>
          <w:szCs w:val="28"/>
          <w:lang w:val="kk-KZ"/>
        </w:rPr>
        <w:t>раза</w:t>
      </w:r>
      <w:r w:rsidR="000837AF">
        <w:rPr>
          <w:rFonts w:ascii="Times New Roman" w:hAnsi="Times New Roman" w:cs="Times New Roman"/>
          <w:sz w:val="28"/>
          <w:szCs w:val="28"/>
        </w:rPr>
        <w:t xml:space="preserve"> </w:t>
      </w:r>
      <w:r>
        <w:rPr>
          <w:rFonts w:ascii="Times New Roman" w:hAnsi="Times New Roman" w:cs="Times New Roman"/>
          <w:sz w:val="28"/>
          <w:szCs w:val="28"/>
        </w:rPr>
        <w:t>(95% ДИ 0,1-0,84 р=0,037)</w:t>
      </w:r>
      <w:r w:rsidR="00B81F64">
        <w:rPr>
          <w:rFonts w:ascii="Times New Roman" w:hAnsi="Times New Roman" w:cs="Times New Roman"/>
          <w:sz w:val="28"/>
          <w:szCs w:val="28"/>
        </w:rPr>
        <w:t xml:space="preserve"> </w:t>
      </w:r>
      <w:r>
        <w:rPr>
          <w:rFonts w:ascii="Times New Roman" w:hAnsi="Times New Roman" w:cs="Times New Roman"/>
          <w:sz w:val="28"/>
          <w:szCs w:val="28"/>
          <w:lang w:val="kk-KZ"/>
        </w:rPr>
        <w:t>по</w:t>
      </w:r>
      <w:r w:rsidR="00004A2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сравнению с генотипами С/С </w:t>
      </w:r>
      <w:r>
        <w:rPr>
          <w:rFonts w:ascii="Times New Roman" w:hAnsi="Times New Roman" w:cs="Times New Roman"/>
          <w:sz w:val="28"/>
          <w:szCs w:val="28"/>
        </w:rPr>
        <w:t>и С/G.</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outlineLvl w:val="0"/>
        <w:rPr>
          <w:rFonts w:ascii="Times New Roman" w:hAnsi="Times New Roman" w:cs="Times New Roman"/>
          <w:sz w:val="28"/>
          <w:szCs w:val="24"/>
        </w:rPr>
      </w:pPr>
      <w:r>
        <w:rPr>
          <w:rFonts w:ascii="Times New Roman" w:hAnsi="Times New Roman" w:cs="Times New Roman"/>
          <w:sz w:val="28"/>
          <w:szCs w:val="28"/>
          <w:lang w:val="kk-KZ"/>
        </w:rPr>
        <w:lastRenderedPageBreak/>
        <w:t>Полиморфизм Gln27Glu (rs1042714) гена</w:t>
      </w:r>
      <w:r>
        <w:rPr>
          <w:rFonts w:ascii="Times New Roman" w:hAnsi="Times New Roman" w:cs="Times New Roman"/>
          <w:i/>
          <w:sz w:val="28"/>
          <w:szCs w:val="28"/>
          <w:lang w:val="kk-KZ"/>
        </w:rPr>
        <w:t xml:space="preserve"> ADRB2</w:t>
      </w:r>
      <w:r w:rsidR="00926B49">
        <w:rPr>
          <w:rFonts w:ascii="Times New Roman" w:hAnsi="Times New Roman" w:cs="Times New Roman"/>
          <w:i/>
          <w:sz w:val="28"/>
          <w:szCs w:val="28"/>
          <w:lang w:val="kk-KZ"/>
        </w:rPr>
        <w:t xml:space="preserve"> </w:t>
      </w:r>
      <w:r w:rsidR="008D20A5">
        <w:rPr>
          <w:rFonts w:ascii="Times New Roman" w:hAnsi="Times New Roman" w:cs="Times New Roman"/>
          <w:sz w:val="28"/>
          <w:szCs w:val="28"/>
          <w:lang w:val="kk-KZ"/>
        </w:rPr>
        <w:t>ассоциирован</w:t>
      </w:r>
      <w:r>
        <w:rPr>
          <w:rFonts w:ascii="Times New Roman" w:hAnsi="Times New Roman" w:cs="Times New Roman"/>
          <w:sz w:val="28"/>
          <w:szCs w:val="28"/>
          <w:lang w:val="kk-KZ"/>
        </w:rPr>
        <w:t xml:space="preserve"> с </w:t>
      </w:r>
      <w:r w:rsidR="008D20A5">
        <w:rPr>
          <w:rFonts w:ascii="Times New Roman" w:hAnsi="Times New Roman" w:cs="Times New Roman"/>
          <w:sz w:val="28"/>
          <w:szCs w:val="28"/>
          <w:lang w:val="kk-KZ"/>
        </w:rPr>
        <w:t xml:space="preserve">развитием </w:t>
      </w:r>
      <w:r>
        <w:rPr>
          <w:rFonts w:ascii="Times New Roman" w:hAnsi="Times New Roman" w:cs="Times New Roman"/>
          <w:sz w:val="28"/>
          <w:szCs w:val="28"/>
          <w:lang w:val="kk-KZ"/>
        </w:rPr>
        <w:t>ожирени</w:t>
      </w:r>
      <w:r w:rsidR="008D20A5">
        <w:rPr>
          <w:rFonts w:ascii="Times New Roman" w:hAnsi="Times New Roman" w:cs="Times New Roman"/>
          <w:sz w:val="28"/>
          <w:szCs w:val="28"/>
          <w:lang w:val="kk-KZ"/>
        </w:rPr>
        <w:t>я</w:t>
      </w:r>
      <w:r>
        <w:rPr>
          <w:rFonts w:ascii="Times New Roman" w:hAnsi="Times New Roman" w:cs="Times New Roman"/>
          <w:sz w:val="28"/>
          <w:szCs w:val="28"/>
          <w:lang w:val="kk-KZ"/>
        </w:rPr>
        <w:t xml:space="preserve"> и СД 2 типа. В </w:t>
      </w:r>
      <w:r w:rsidR="008D20A5">
        <w:rPr>
          <w:rFonts w:ascii="Times New Roman" w:hAnsi="Times New Roman" w:cs="Times New Roman"/>
          <w:sz w:val="28"/>
          <w:szCs w:val="28"/>
          <w:lang w:val="kk-KZ"/>
        </w:rPr>
        <w:t>нашей работе</w:t>
      </w:r>
      <w:r w:rsidR="0043275E">
        <w:rPr>
          <w:rFonts w:ascii="Times New Roman" w:hAnsi="Times New Roman" w:cs="Times New Roman"/>
          <w:sz w:val="28"/>
          <w:szCs w:val="28"/>
          <w:lang w:val="kk-KZ"/>
        </w:rPr>
        <w:t xml:space="preserve"> </w:t>
      </w:r>
      <w:r>
        <w:rPr>
          <w:rFonts w:ascii="Times New Roman" w:hAnsi="Times New Roman" w:cs="Times New Roman"/>
          <w:sz w:val="28"/>
          <w:szCs w:val="28"/>
          <w:lang w:val="kk-KZ"/>
        </w:rPr>
        <w:t>мы</w:t>
      </w:r>
      <w:r w:rsidR="0043275E">
        <w:rPr>
          <w:rFonts w:ascii="Times New Roman" w:hAnsi="Times New Roman" w:cs="Times New Roman"/>
          <w:sz w:val="28"/>
          <w:szCs w:val="28"/>
          <w:lang w:val="kk-KZ"/>
        </w:rPr>
        <w:t xml:space="preserve"> </w:t>
      </w:r>
      <w:r>
        <w:rPr>
          <w:rFonts w:ascii="Times New Roman" w:hAnsi="Times New Roman" w:cs="Times New Roman"/>
          <w:sz w:val="28"/>
          <w:szCs w:val="28"/>
          <w:lang w:val="kk-KZ"/>
        </w:rPr>
        <w:t>обнаружили, что</w:t>
      </w:r>
      <w:r w:rsidR="0043275E">
        <w:rPr>
          <w:rFonts w:ascii="Times New Roman" w:hAnsi="Times New Roman" w:cs="Times New Roman"/>
          <w:sz w:val="28"/>
          <w:szCs w:val="28"/>
          <w:lang w:val="kk-KZ"/>
        </w:rPr>
        <w:t xml:space="preserve"> </w:t>
      </w:r>
      <w:r>
        <w:rPr>
          <w:rFonts w:ascii="Times New Roman" w:hAnsi="Times New Roman" w:cs="Times New Roman"/>
          <w:sz w:val="28"/>
          <w:szCs w:val="28"/>
        </w:rPr>
        <w:t>генотип</w:t>
      </w:r>
      <w:r w:rsidR="00E82176">
        <w:rPr>
          <w:rFonts w:ascii="Times New Roman" w:hAnsi="Times New Roman" w:cs="Times New Roman"/>
          <w:sz w:val="28"/>
          <w:szCs w:val="28"/>
        </w:rPr>
        <w:t>ы</w:t>
      </w:r>
      <w:r>
        <w:rPr>
          <w:rFonts w:ascii="Times New Roman" w:hAnsi="Times New Roman" w:cs="Times New Roman"/>
          <w:sz w:val="28"/>
          <w:szCs w:val="28"/>
        </w:rPr>
        <w:t xml:space="preserve"> С/С и С/G </w:t>
      </w:r>
      <w:r w:rsidR="00E82176">
        <w:rPr>
          <w:rFonts w:ascii="Times New Roman" w:hAnsi="Times New Roman" w:cs="Times New Roman"/>
          <w:sz w:val="28"/>
          <w:szCs w:val="28"/>
        </w:rPr>
        <w:t xml:space="preserve">полиморфизма Gln27Glu (rs1042714) гена </w:t>
      </w:r>
      <w:r w:rsidR="00E82176">
        <w:rPr>
          <w:rFonts w:ascii="Times New Roman" w:hAnsi="Times New Roman" w:cs="Times New Roman"/>
          <w:i/>
          <w:sz w:val="28"/>
          <w:szCs w:val="28"/>
        </w:rPr>
        <w:t xml:space="preserve">ADBR2 </w:t>
      </w:r>
      <w:r w:rsidR="00E82176">
        <w:rPr>
          <w:rFonts w:ascii="Times New Roman" w:hAnsi="Times New Roman" w:cs="Times New Roman"/>
          <w:sz w:val="28"/>
          <w:szCs w:val="28"/>
        </w:rPr>
        <w:t xml:space="preserve">ассоциированы с </w:t>
      </w:r>
      <w:r>
        <w:rPr>
          <w:rFonts w:ascii="Times New Roman" w:hAnsi="Times New Roman" w:cs="Times New Roman"/>
          <w:sz w:val="28"/>
          <w:szCs w:val="28"/>
        </w:rPr>
        <w:t>риск</w:t>
      </w:r>
      <w:r w:rsidR="00E82176">
        <w:rPr>
          <w:rFonts w:ascii="Times New Roman" w:hAnsi="Times New Roman" w:cs="Times New Roman"/>
          <w:sz w:val="28"/>
          <w:szCs w:val="28"/>
        </w:rPr>
        <w:t>ом</w:t>
      </w:r>
      <w:r>
        <w:rPr>
          <w:rFonts w:ascii="Times New Roman" w:hAnsi="Times New Roman" w:cs="Times New Roman"/>
          <w:sz w:val="28"/>
          <w:szCs w:val="28"/>
        </w:rPr>
        <w:t xml:space="preserve"> развития гипертриглицеридемии в</w:t>
      </w:r>
      <w:r w:rsidR="00EA1F37">
        <w:rPr>
          <w:rFonts w:ascii="Times New Roman" w:hAnsi="Times New Roman" w:cs="Times New Roman"/>
          <w:sz w:val="28"/>
          <w:szCs w:val="28"/>
        </w:rPr>
        <w:t xml:space="preserve"> </w:t>
      </w:r>
      <w:r w:rsidR="00E82176">
        <w:rPr>
          <w:rFonts w:ascii="Times New Roman" w:hAnsi="Times New Roman" w:cs="Times New Roman"/>
          <w:sz w:val="28"/>
          <w:szCs w:val="28"/>
        </w:rPr>
        <w:t>исследуемой</w:t>
      </w:r>
      <w:r w:rsidR="00EA1F37">
        <w:rPr>
          <w:rFonts w:ascii="Times New Roman" w:hAnsi="Times New Roman" w:cs="Times New Roman"/>
          <w:sz w:val="28"/>
          <w:szCs w:val="28"/>
        </w:rPr>
        <w:t xml:space="preserve"> выборке</w:t>
      </w:r>
      <w:r>
        <w:rPr>
          <w:rFonts w:ascii="Times New Roman" w:hAnsi="Times New Roman" w:cs="Times New Roman"/>
          <w:sz w:val="28"/>
          <w:szCs w:val="28"/>
        </w:rPr>
        <w:t xml:space="preserve">, тогда как </w:t>
      </w:r>
      <w:r w:rsidR="00E82176">
        <w:rPr>
          <w:rFonts w:ascii="Times New Roman" w:hAnsi="Times New Roman" w:cs="Times New Roman"/>
          <w:sz w:val="28"/>
          <w:szCs w:val="28"/>
        </w:rPr>
        <w:t xml:space="preserve">генотип </w:t>
      </w:r>
      <w:r>
        <w:rPr>
          <w:rFonts w:ascii="Times New Roman" w:hAnsi="Times New Roman" w:cs="Times New Roman"/>
          <w:sz w:val="28"/>
          <w:szCs w:val="28"/>
        </w:rPr>
        <w:t xml:space="preserve">G/G </w:t>
      </w:r>
      <w:r w:rsidR="00E82176">
        <w:rPr>
          <w:rFonts w:ascii="Times New Roman" w:hAnsi="Times New Roman" w:cs="Times New Roman"/>
          <w:sz w:val="28"/>
          <w:szCs w:val="28"/>
        </w:rPr>
        <w:t>напротив является протективным в</w:t>
      </w:r>
      <w:r>
        <w:rPr>
          <w:rFonts w:ascii="Times New Roman" w:hAnsi="Times New Roman" w:cs="Times New Roman"/>
          <w:sz w:val="28"/>
          <w:szCs w:val="28"/>
        </w:rPr>
        <w:t xml:space="preserve"> 0,45 </w:t>
      </w:r>
      <w:r w:rsidR="00E82176">
        <w:rPr>
          <w:rFonts w:ascii="Times New Roman" w:hAnsi="Times New Roman" w:cs="Times New Roman"/>
          <w:sz w:val="28"/>
          <w:szCs w:val="28"/>
        </w:rPr>
        <w:t xml:space="preserve">раз </w:t>
      </w:r>
      <w:r>
        <w:rPr>
          <w:rFonts w:ascii="Times New Roman" w:hAnsi="Times New Roman" w:cs="Times New Roman"/>
          <w:sz w:val="28"/>
          <w:szCs w:val="28"/>
        </w:rPr>
        <w:t>(95% ДИ 0,23-0,86 р=0,018)</w:t>
      </w:r>
      <w:r>
        <w:rPr>
          <w:rFonts w:ascii="Times New Roman" w:hAnsi="Times New Roman" w:cs="Times New Roman"/>
          <w:i/>
          <w:sz w:val="28"/>
          <w:szCs w:val="28"/>
        </w:rPr>
        <w:t>.</w:t>
      </w:r>
      <w:r>
        <w:rPr>
          <w:rFonts w:ascii="Times New Roman" w:hAnsi="Times New Roman" w:cs="Times New Roman"/>
          <w:sz w:val="28"/>
          <w:szCs w:val="28"/>
        </w:rPr>
        <w:t xml:space="preserve"> Исходя из этого, мы пришли к выводу, что </w:t>
      </w:r>
      <w:r w:rsidR="008D20A5">
        <w:rPr>
          <w:rFonts w:ascii="Times New Roman" w:hAnsi="Times New Roman" w:cs="Times New Roman"/>
          <w:sz w:val="28"/>
          <w:szCs w:val="28"/>
          <w:lang w:val="kk-KZ"/>
        </w:rPr>
        <w:t>аллели</w:t>
      </w:r>
      <w:r w:rsidR="0043275E">
        <w:rPr>
          <w:rFonts w:ascii="Times New Roman" w:hAnsi="Times New Roman" w:cs="Times New Roman"/>
          <w:sz w:val="28"/>
          <w:szCs w:val="28"/>
          <w:lang w:val="kk-KZ"/>
        </w:rPr>
        <w:t xml:space="preserve"> </w:t>
      </w:r>
      <w:r>
        <w:rPr>
          <w:rFonts w:ascii="Times New Roman" w:hAnsi="Times New Roman" w:cs="Times New Roman"/>
          <w:sz w:val="28"/>
          <w:szCs w:val="28"/>
          <w:lang w:val="kk-KZ"/>
        </w:rPr>
        <w:t>полиморфизма Gln27Glu (rs1042714) гена</w:t>
      </w:r>
      <w:r w:rsidR="0043275E">
        <w:rPr>
          <w:rFonts w:ascii="Times New Roman" w:hAnsi="Times New Roman" w:cs="Times New Roman"/>
          <w:sz w:val="28"/>
          <w:szCs w:val="28"/>
          <w:lang w:val="kk-KZ"/>
        </w:rPr>
        <w:t xml:space="preserve"> </w:t>
      </w:r>
      <w:r>
        <w:rPr>
          <w:rFonts w:ascii="Times New Roman" w:hAnsi="Times New Roman" w:cs="Times New Roman"/>
          <w:i/>
          <w:sz w:val="28"/>
          <w:szCs w:val="28"/>
          <w:lang w:val="kk-KZ"/>
        </w:rPr>
        <w:t xml:space="preserve">ADRB2 </w:t>
      </w:r>
      <w:r>
        <w:rPr>
          <w:rFonts w:ascii="Times New Roman" w:hAnsi="Times New Roman" w:cs="Times New Roman"/>
          <w:sz w:val="28"/>
          <w:szCs w:val="28"/>
          <w:lang w:val="kk-KZ"/>
        </w:rPr>
        <w:t>были</w:t>
      </w:r>
      <w:r w:rsidR="0043275E">
        <w:rPr>
          <w:rFonts w:ascii="Times New Roman" w:hAnsi="Times New Roman" w:cs="Times New Roman"/>
          <w:sz w:val="28"/>
          <w:szCs w:val="28"/>
          <w:lang w:val="kk-KZ"/>
        </w:rPr>
        <w:t xml:space="preserve"> </w:t>
      </w:r>
      <w:r>
        <w:rPr>
          <w:rFonts w:ascii="Times New Roman" w:hAnsi="Times New Roman" w:cs="Times New Roman"/>
          <w:sz w:val="28"/>
          <w:szCs w:val="28"/>
          <w:lang w:val="kk-KZ"/>
        </w:rPr>
        <w:t>связаны с риском</w:t>
      </w:r>
      <w:r w:rsidR="0043275E">
        <w:rPr>
          <w:rFonts w:ascii="Times New Roman" w:hAnsi="Times New Roman" w:cs="Times New Roman"/>
          <w:sz w:val="28"/>
          <w:szCs w:val="28"/>
          <w:lang w:val="kk-KZ"/>
        </w:rPr>
        <w:t xml:space="preserve"> </w:t>
      </w:r>
      <w:r>
        <w:rPr>
          <w:rFonts w:ascii="Times New Roman" w:hAnsi="Times New Roman" w:cs="Times New Roman"/>
          <w:sz w:val="28"/>
          <w:szCs w:val="28"/>
          <w:lang w:val="kk-KZ"/>
        </w:rPr>
        <w:t>развития</w:t>
      </w:r>
      <w:r w:rsidR="0043275E">
        <w:rPr>
          <w:rFonts w:ascii="Times New Roman" w:hAnsi="Times New Roman" w:cs="Times New Roman"/>
          <w:sz w:val="28"/>
          <w:szCs w:val="28"/>
          <w:lang w:val="kk-KZ"/>
        </w:rPr>
        <w:t xml:space="preserve"> </w:t>
      </w:r>
      <w:r>
        <w:rPr>
          <w:rFonts w:ascii="Times New Roman" w:hAnsi="Times New Roman" w:cs="Times New Roman"/>
          <w:sz w:val="28"/>
          <w:szCs w:val="28"/>
          <w:lang w:val="kk-KZ"/>
        </w:rPr>
        <w:t>гипертриглицеридемии.</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rPr>
      </w:pPr>
      <w:r w:rsidRPr="0043275E">
        <w:rPr>
          <w:rFonts w:ascii="Times New Roman" w:hAnsi="Times New Roman" w:cs="Times New Roman"/>
          <w:sz w:val="28"/>
          <w:szCs w:val="28"/>
        </w:rPr>
        <w:t xml:space="preserve">Результаты исследования показали, что дислипидемия и ИР имеют молекулярно – генетические основы в </w:t>
      </w:r>
      <w:r w:rsidR="00535167">
        <w:rPr>
          <w:rFonts w:ascii="Times New Roman" w:hAnsi="Times New Roman" w:cs="Times New Roman"/>
          <w:sz w:val="28"/>
          <w:szCs w:val="28"/>
        </w:rPr>
        <w:t xml:space="preserve">исследуемой </w:t>
      </w:r>
      <w:r w:rsidR="00014A95">
        <w:rPr>
          <w:rFonts w:ascii="Times New Roman" w:hAnsi="Times New Roman" w:cs="Times New Roman"/>
          <w:sz w:val="28"/>
          <w:szCs w:val="28"/>
        </w:rPr>
        <w:t xml:space="preserve">нами </w:t>
      </w:r>
      <w:r w:rsidR="00535167">
        <w:rPr>
          <w:rFonts w:ascii="Times New Roman" w:hAnsi="Times New Roman" w:cs="Times New Roman"/>
          <w:sz w:val="28"/>
          <w:szCs w:val="28"/>
        </w:rPr>
        <w:t>выборке</w:t>
      </w:r>
      <w:r w:rsidRPr="0043275E">
        <w:rPr>
          <w:rFonts w:ascii="Times New Roman" w:hAnsi="Times New Roman" w:cs="Times New Roman"/>
          <w:sz w:val="28"/>
          <w:szCs w:val="28"/>
        </w:rPr>
        <w:t>.</w:t>
      </w:r>
      <w:r>
        <w:rPr>
          <w:rFonts w:ascii="Times New Roman" w:hAnsi="Times New Roman" w:cs="Times New Roman"/>
          <w:sz w:val="28"/>
          <w:szCs w:val="28"/>
        </w:rPr>
        <w:t xml:space="preserve"> Полиморфизмы генов </w:t>
      </w:r>
      <w:r>
        <w:rPr>
          <w:rFonts w:ascii="Times New Roman" w:hAnsi="Times New Roman"/>
          <w:i/>
          <w:sz w:val="28"/>
          <w:szCs w:val="28"/>
        </w:rPr>
        <w:t xml:space="preserve">LPL </w:t>
      </w:r>
      <w:r>
        <w:rPr>
          <w:rFonts w:ascii="Times New Roman" w:hAnsi="Times New Roman"/>
          <w:sz w:val="28"/>
          <w:szCs w:val="28"/>
        </w:rPr>
        <w:t>Ser447Ter (rs328),</w:t>
      </w:r>
      <w:r>
        <w:rPr>
          <w:rFonts w:ascii="Times New Roman" w:hAnsi="Times New Roman"/>
          <w:i/>
          <w:sz w:val="28"/>
          <w:szCs w:val="28"/>
        </w:rPr>
        <w:t xml:space="preserve"> ADRB2 </w:t>
      </w:r>
      <w:r>
        <w:rPr>
          <w:rFonts w:ascii="Times New Roman" w:hAnsi="Times New Roman"/>
          <w:sz w:val="28"/>
          <w:szCs w:val="28"/>
        </w:rPr>
        <w:t xml:space="preserve">Gln27Glu (rs1042714) </w:t>
      </w:r>
      <w:r w:rsidR="008D20A5">
        <w:rPr>
          <w:rFonts w:ascii="Times New Roman" w:hAnsi="Times New Roman"/>
          <w:sz w:val="28"/>
          <w:szCs w:val="28"/>
        </w:rPr>
        <w:t>могут служить</w:t>
      </w:r>
      <w:r>
        <w:rPr>
          <w:rFonts w:ascii="Times New Roman" w:hAnsi="Times New Roman"/>
          <w:sz w:val="28"/>
          <w:szCs w:val="28"/>
        </w:rPr>
        <w:t xml:space="preserve"> генетическими </w:t>
      </w:r>
      <w:r w:rsidR="008D20A5">
        <w:rPr>
          <w:rFonts w:ascii="Times New Roman" w:hAnsi="Times New Roman"/>
          <w:sz w:val="28"/>
          <w:szCs w:val="28"/>
        </w:rPr>
        <w:t>маркерами</w:t>
      </w:r>
      <w:r>
        <w:rPr>
          <w:rFonts w:ascii="Times New Roman" w:hAnsi="Times New Roman"/>
          <w:sz w:val="28"/>
          <w:szCs w:val="28"/>
        </w:rPr>
        <w:t xml:space="preserve"> при дислипидемии и ИР в </w:t>
      </w:r>
      <w:r w:rsidR="003F5615">
        <w:rPr>
          <w:rFonts w:ascii="Times New Roman" w:hAnsi="Times New Roman"/>
          <w:sz w:val="28"/>
          <w:szCs w:val="28"/>
        </w:rPr>
        <w:t>исследуемой выборке</w:t>
      </w:r>
      <w:r>
        <w:rPr>
          <w:rFonts w:ascii="Times New Roman" w:hAnsi="Times New Roman"/>
          <w:sz w:val="28"/>
          <w:szCs w:val="28"/>
        </w:rPr>
        <w:t xml:space="preserve">. </w:t>
      </w:r>
      <w:r w:rsidR="0059778D">
        <w:rPr>
          <w:rFonts w:ascii="Times New Roman" w:hAnsi="Times New Roman"/>
          <w:sz w:val="28"/>
          <w:szCs w:val="28"/>
        </w:rPr>
        <w:t>О</w:t>
      </w:r>
      <w:r>
        <w:rPr>
          <w:rFonts w:ascii="Times New Roman" w:hAnsi="Times New Roman"/>
          <w:sz w:val="28"/>
          <w:szCs w:val="28"/>
        </w:rPr>
        <w:t>бнаружен</w:t>
      </w:r>
      <w:r w:rsidR="008D20A5">
        <w:rPr>
          <w:rFonts w:ascii="Times New Roman" w:hAnsi="Times New Roman"/>
          <w:sz w:val="28"/>
          <w:szCs w:val="28"/>
        </w:rPr>
        <w:t>а</w:t>
      </w:r>
      <w:r w:rsidR="0059778D">
        <w:rPr>
          <w:rFonts w:ascii="Times New Roman" w:hAnsi="Times New Roman"/>
          <w:sz w:val="28"/>
          <w:szCs w:val="28"/>
        </w:rPr>
        <w:t xml:space="preserve"> взаимосвязь</w:t>
      </w:r>
      <w:r>
        <w:rPr>
          <w:rFonts w:ascii="Times New Roman" w:hAnsi="Times New Roman"/>
          <w:sz w:val="28"/>
          <w:szCs w:val="28"/>
        </w:rPr>
        <w:t xml:space="preserve"> между </w:t>
      </w:r>
      <w:r>
        <w:rPr>
          <w:rFonts w:ascii="Times New Roman" w:hAnsi="Times New Roman" w:cs="Times New Roman"/>
          <w:sz w:val="28"/>
          <w:szCs w:val="28"/>
          <w:lang w:val="kk-KZ"/>
        </w:rPr>
        <w:t>полиморфизмом</w:t>
      </w:r>
      <w:r w:rsidR="0043275E">
        <w:rPr>
          <w:rFonts w:ascii="Times New Roman" w:hAnsi="Times New Roman" w:cs="Times New Roman"/>
          <w:sz w:val="28"/>
          <w:szCs w:val="28"/>
          <w:lang w:val="kk-KZ"/>
        </w:rPr>
        <w:t xml:space="preserve"> </w:t>
      </w:r>
      <w:r>
        <w:rPr>
          <w:rFonts w:ascii="Times New Roman" w:hAnsi="Times New Roman" w:cs="Times New Roman"/>
          <w:sz w:val="28"/>
          <w:szCs w:val="24"/>
        </w:rPr>
        <w:t>Ser447Ter (rs328) гена</w:t>
      </w:r>
      <w:r w:rsidR="0043275E">
        <w:rPr>
          <w:rFonts w:ascii="Times New Roman" w:hAnsi="Times New Roman" w:cs="Times New Roman"/>
          <w:sz w:val="28"/>
          <w:szCs w:val="24"/>
        </w:rPr>
        <w:t xml:space="preserve"> </w:t>
      </w:r>
      <w:r>
        <w:rPr>
          <w:rFonts w:ascii="Times New Roman" w:hAnsi="Times New Roman" w:cs="Times New Roman"/>
          <w:i/>
          <w:sz w:val="28"/>
          <w:szCs w:val="24"/>
        </w:rPr>
        <w:t>LPL</w:t>
      </w:r>
      <w:r>
        <w:rPr>
          <w:rFonts w:ascii="Times New Roman" w:hAnsi="Times New Roman" w:cs="Times New Roman"/>
          <w:sz w:val="28"/>
          <w:szCs w:val="24"/>
        </w:rPr>
        <w:t xml:space="preserve"> и уровн</w:t>
      </w:r>
      <w:r w:rsidR="00014A95">
        <w:rPr>
          <w:rFonts w:ascii="Times New Roman" w:hAnsi="Times New Roman" w:cs="Times New Roman"/>
          <w:sz w:val="28"/>
          <w:szCs w:val="24"/>
        </w:rPr>
        <w:t>ем</w:t>
      </w:r>
      <w:r>
        <w:rPr>
          <w:rFonts w:ascii="Times New Roman" w:hAnsi="Times New Roman" w:cs="Times New Roman"/>
          <w:sz w:val="28"/>
          <w:szCs w:val="24"/>
        </w:rPr>
        <w:t xml:space="preserve"> инсулина и глюкозы, а также между </w:t>
      </w:r>
      <w:r>
        <w:rPr>
          <w:rFonts w:ascii="Times New Roman" w:hAnsi="Times New Roman" w:cs="Times New Roman"/>
          <w:sz w:val="28"/>
          <w:szCs w:val="28"/>
        </w:rPr>
        <w:t xml:space="preserve">полиморфизмом Gln27Glu (rs1042714) гена </w:t>
      </w:r>
      <w:r>
        <w:rPr>
          <w:rFonts w:ascii="Times New Roman" w:hAnsi="Times New Roman" w:cs="Times New Roman"/>
          <w:i/>
          <w:sz w:val="28"/>
          <w:szCs w:val="28"/>
        </w:rPr>
        <w:t>ADRB2</w:t>
      </w:r>
      <w:r>
        <w:rPr>
          <w:rFonts w:ascii="Times New Roman" w:hAnsi="Times New Roman" w:cs="Times New Roman"/>
          <w:sz w:val="28"/>
          <w:szCs w:val="28"/>
        </w:rPr>
        <w:t xml:space="preserve"> и уровнем ТГ.</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 результатам нашего исследования </w:t>
      </w:r>
      <w:r w:rsidR="0059778D">
        <w:rPr>
          <w:rFonts w:ascii="Times New Roman" w:hAnsi="Times New Roman" w:cs="Times New Roman"/>
          <w:sz w:val="28"/>
          <w:szCs w:val="28"/>
        </w:rPr>
        <w:t>были</w:t>
      </w:r>
      <w:r>
        <w:rPr>
          <w:rFonts w:ascii="Times New Roman" w:hAnsi="Times New Roman" w:cs="Times New Roman"/>
          <w:sz w:val="28"/>
          <w:szCs w:val="28"/>
        </w:rPr>
        <w:t xml:space="preserve"> разработа</w:t>
      </w:r>
      <w:r w:rsidR="0059778D">
        <w:rPr>
          <w:rFonts w:ascii="Times New Roman" w:hAnsi="Times New Roman" w:cs="Times New Roman"/>
          <w:sz w:val="28"/>
          <w:szCs w:val="28"/>
        </w:rPr>
        <w:t>ны алгоритмы по прогнозирования</w:t>
      </w:r>
      <w:r>
        <w:rPr>
          <w:rFonts w:ascii="Times New Roman" w:hAnsi="Times New Roman" w:cs="Times New Roman"/>
          <w:sz w:val="28"/>
          <w:szCs w:val="28"/>
        </w:rPr>
        <w:t xml:space="preserve"> риска развития гиперинсулинемии, гипергликемии и гипертриглицеридемии.</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Выводы</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По результаты проведенного нами исследования, мы пришли к следующим выводам:</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1. Изучение распространенности полиморфизмов генов</w:t>
      </w:r>
      <w:r>
        <w:rPr>
          <w:rFonts w:ascii="Times New Roman" w:hAnsi="Times New Roman"/>
          <w:i/>
          <w:sz w:val="28"/>
          <w:szCs w:val="28"/>
        </w:rPr>
        <w:t xml:space="preserve"> LPL </w:t>
      </w:r>
      <w:r>
        <w:rPr>
          <w:rFonts w:ascii="Times New Roman" w:hAnsi="Times New Roman"/>
          <w:sz w:val="28"/>
          <w:szCs w:val="28"/>
        </w:rPr>
        <w:t>Ser447Ter (rs328),</w:t>
      </w:r>
      <w:r>
        <w:rPr>
          <w:rFonts w:ascii="Times New Roman" w:hAnsi="Times New Roman"/>
          <w:i/>
          <w:sz w:val="28"/>
          <w:szCs w:val="28"/>
        </w:rPr>
        <w:t xml:space="preserve"> ADRB2 </w:t>
      </w:r>
      <w:r>
        <w:rPr>
          <w:rFonts w:ascii="Times New Roman" w:hAnsi="Times New Roman"/>
          <w:sz w:val="28"/>
          <w:szCs w:val="28"/>
        </w:rPr>
        <w:t>Gln27Glu (rs1042714),</w:t>
      </w:r>
      <w:r>
        <w:rPr>
          <w:rFonts w:ascii="Times New Roman" w:hAnsi="Times New Roman"/>
          <w:i/>
          <w:sz w:val="28"/>
          <w:szCs w:val="28"/>
        </w:rPr>
        <w:t xml:space="preserve"> AGT </w:t>
      </w:r>
      <w:r>
        <w:rPr>
          <w:rFonts w:ascii="Times New Roman" w:hAnsi="Times New Roman"/>
          <w:sz w:val="28"/>
          <w:szCs w:val="28"/>
        </w:rPr>
        <w:t>Thr174Met (rs4762),</w:t>
      </w:r>
      <w:r>
        <w:rPr>
          <w:rFonts w:ascii="Times New Roman" w:hAnsi="Times New Roman"/>
          <w:i/>
          <w:sz w:val="28"/>
          <w:szCs w:val="28"/>
        </w:rPr>
        <w:t xml:space="preserve"> AGTR1 </w:t>
      </w:r>
      <w:r>
        <w:rPr>
          <w:rFonts w:ascii="Times New Roman" w:hAnsi="Times New Roman"/>
          <w:sz w:val="28"/>
          <w:szCs w:val="28"/>
        </w:rPr>
        <w:t>A1166C (rs5186) показал, что частота</w:t>
      </w:r>
      <w:r>
        <w:rPr>
          <w:rFonts w:ascii="Times New Roman" w:hAnsi="Times New Roman" w:cs="Times New Roman"/>
          <w:sz w:val="28"/>
          <w:szCs w:val="28"/>
        </w:rPr>
        <w:t xml:space="preserve"> встречаемости редких аллелей </w:t>
      </w:r>
      <w:r w:rsidR="008D20A5">
        <w:rPr>
          <w:rFonts w:ascii="Times New Roman" w:hAnsi="Times New Roman" w:cs="Times New Roman"/>
          <w:sz w:val="28"/>
          <w:szCs w:val="28"/>
        </w:rPr>
        <w:t>этих</w:t>
      </w:r>
      <w:r>
        <w:rPr>
          <w:rFonts w:ascii="Times New Roman" w:hAnsi="Times New Roman" w:cs="Times New Roman"/>
          <w:sz w:val="28"/>
          <w:szCs w:val="28"/>
        </w:rPr>
        <w:t xml:space="preserve"> генов в</w:t>
      </w:r>
      <w:r w:rsidR="0063665C">
        <w:rPr>
          <w:rFonts w:ascii="Times New Roman" w:hAnsi="Times New Roman" w:cs="Times New Roman"/>
          <w:sz w:val="28"/>
          <w:szCs w:val="28"/>
        </w:rPr>
        <w:t xml:space="preserve"> исследуемой</w:t>
      </w:r>
      <w:r w:rsidR="004B08F6">
        <w:rPr>
          <w:rFonts w:ascii="Times New Roman" w:hAnsi="Times New Roman" w:cs="Times New Roman"/>
          <w:sz w:val="28"/>
          <w:szCs w:val="28"/>
        </w:rPr>
        <w:t xml:space="preserve"> нами в</w:t>
      </w:r>
      <w:r w:rsidR="0063665C">
        <w:rPr>
          <w:rFonts w:ascii="Times New Roman" w:hAnsi="Times New Roman" w:cs="Times New Roman"/>
          <w:sz w:val="28"/>
          <w:szCs w:val="28"/>
        </w:rPr>
        <w:t>ыборке</w:t>
      </w:r>
      <w:r>
        <w:rPr>
          <w:rFonts w:ascii="Times New Roman" w:hAnsi="Times New Roman" w:cs="Times New Roman"/>
          <w:sz w:val="28"/>
          <w:szCs w:val="28"/>
        </w:rPr>
        <w:t xml:space="preserve"> отличается от восточно-азиатской и европейской популяций и имеет промежуточное положение.</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 xml:space="preserve">2. </w:t>
      </w:r>
      <w:r w:rsidR="003D6C43">
        <w:rPr>
          <w:rFonts w:ascii="Times New Roman" w:hAnsi="Times New Roman" w:cs="Times New Roman"/>
          <w:sz w:val="28"/>
          <w:szCs w:val="28"/>
        </w:rPr>
        <w:t>А</w:t>
      </w:r>
      <w:r>
        <w:rPr>
          <w:rFonts w:ascii="Times New Roman" w:hAnsi="Times New Roman" w:cs="Times New Roman"/>
          <w:sz w:val="28"/>
          <w:szCs w:val="28"/>
        </w:rPr>
        <w:t>) Оценка наличи</w:t>
      </w:r>
      <w:r w:rsidR="000C114E">
        <w:rPr>
          <w:rFonts w:ascii="Times New Roman" w:hAnsi="Times New Roman" w:cs="Times New Roman"/>
          <w:sz w:val="28"/>
          <w:szCs w:val="28"/>
        </w:rPr>
        <w:t>я</w:t>
      </w:r>
      <w:r>
        <w:rPr>
          <w:rFonts w:ascii="Times New Roman" w:hAnsi="Times New Roman" w:cs="Times New Roman"/>
          <w:sz w:val="28"/>
          <w:szCs w:val="28"/>
        </w:rPr>
        <w:t xml:space="preserve"> взаимосвязи полиморфизмов генов ассоциированных с нарушениями липидного обмена у пациентов с дислипидемией и инсулинорезистентностью показал</w:t>
      </w:r>
      <w:r w:rsidR="000C114E">
        <w:rPr>
          <w:rFonts w:ascii="Times New Roman" w:hAnsi="Times New Roman" w:cs="Times New Roman"/>
          <w:sz w:val="28"/>
          <w:szCs w:val="28"/>
        </w:rPr>
        <w:t>а</w:t>
      </w:r>
      <w:r>
        <w:rPr>
          <w:rFonts w:ascii="Times New Roman" w:hAnsi="Times New Roman" w:cs="Times New Roman"/>
          <w:sz w:val="28"/>
          <w:szCs w:val="28"/>
        </w:rPr>
        <w:t xml:space="preserve">, что </w:t>
      </w:r>
      <w:r>
        <w:rPr>
          <w:rFonts w:ascii="Times New Roman" w:hAnsi="Times New Roman" w:cs="Times New Roman"/>
          <w:sz w:val="28"/>
          <w:szCs w:val="28"/>
          <w:lang w:val="kk-KZ"/>
        </w:rPr>
        <w:t>аллель G полиморфизма</w:t>
      </w:r>
      <w:r w:rsidR="00487950">
        <w:rPr>
          <w:rFonts w:ascii="Times New Roman" w:hAnsi="Times New Roman" w:cs="Times New Roman"/>
          <w:sz w:val="28"/>
          <w:szCs w:val="28"/>
          <w:lang w:val="kk-KZ"/>
        </w:rPr>
        <w:t xml:space="preserve"> </w:t>
      </w:r>
      <w:r>
        <w:rPr>
          <w:rFonts w:ascii="Times New Roman" w:hAnsi="Times New Roman" w:cs="Times New Roman"/>
          <w:sz w:val="28"/>
          <w:szCs w:val="24"/>
        </w:rPr>
        <w:t>Ser447Ter (rs328) гена</w:t>
      </w:r>
      <w:r w:rsidR="00487950">
        <w:rPr>
          <w:rFonts w:ascii="Times New Roman" w:hAnsi="Times New Roman" w:cs="Times New Roman"/>
          <w:sz w:val="28"/>
          <w:szCs w:val="24"/>
        </w:rPr>
        <w:t xml:space="preserve"> </w:t>
      </w:r>
      <w:r>
        <w:rPr>
          <w:rFonts w:ascii="Times New Roman" w:hAnsi="Times New Roman" w:cs="Times New Roman"/>
          <w:i/>
          <w:sz w:val="28"/>
          <w:szCs w:val="24"/>
        </w:rPr>
        <w:t>LPL</w:t>
      </w:r>
      <w:r>
        <w:rPr>
          <w:rFonts w:ascii="Times New Roman" w:hAnsi="Times New Roman" w:cs="Times New Roman"/>
          <w:sz w:val="28"/>
          <w:szCs w:val="24"/>
        </w:rPr>
        <w:t xml:space="preserve"> был</w:t>
      </w:r>
      <w:r w:rsidR="00487950">
        <w:rPr>
          <w:rFonts w:ascii="Times New Roman" w:hAnsi="Times New Roman" w:cs="Times New Roman"/>
          <w:sz w:val="28"/>
          <w:szCs w:val="24"/>
        </w:rPr>
        <w:t xml:space="preserve"> </w:t>
      </w:r>
      <w:r>
        <w:rPr>
          <w:rFonts w:ascii="Times New Roman" w:hAnsi="Times New Roman" w:cs="Times New Roman"/>
          <w:sz w:val="28"/>
          <w:szCs w:val="28"/>
          <w:lang w:val="kk-KZ"/>
        </w:rPr>
        <w:t>ассоциирован с низким</w:t>
      </w:r>
      <w:r w:rsidR="00487950">
        <w:rPr>
          <w:rFonts w:ascii="Times New Roman" w:hAnsi="Times New Roman" w:cs="Times New Roman"/>
          <w:sz w:val="28"/>
          <w:szCs w:val="28"/>
          <w:lang w:val="kk-KZ"/>
        </w:rPr>
        <w:t xml:space="preserve"> </w:t>
      </w:r>
      <w:r>
        <w:rPr>
          <w:rFonts w:ascii="Times New Roman" w:hAnsi="Times New Roman" w:cs="Times New Roman"/>
          <w:sz w:val="28"/>
          <w:szCs w:val="28"/>
          <w:lang w:val="kk-KZ"/>
        </w:rPr>
        <w:t>риском</w:t>
      </w:r>
      <w:r w:rsidR="00487950">
        <w:rPr>
          <w:rFonts w:ascii="Times New Roman" w:hAnsi="Times New Roman" w:cs="Times New Roman"/>
          <w:sz w:val="28"/>
          <w:szCs w:val="28"/>
          <w:lang w:val="kk-KZ"/>
        </w:rPr>
        <w:t xml:space="preserve"> </w:t>
      </w:r>
      <w:r>
        <w:rPr>
          <w:rFonts w:ascii="Times New Roman" w:hAnsi="Times New Roman" w:cs="Times New Roman"/>
          <w:sz w:val="28"/>
          <w:szCs w:val="28"/>
          <w:lang w:val="kk-KZ"/>
        </w:rPr>
        <w:t>развития</w:t>
      </w:r>
      <w:r w:rsidR="00487950">
        <w:rPr>
          <w:rFonts w:ascii="Times New Roman" w:hAnsi="Times New Roman" w:cs="Times New Roman"/>
          <w:sz w:val="28"/>
          <w:szCs w:val="28"/>
          <w:lang w:val="kk-KZ"/>
        </w:rPr>
        <w:t xml:space="preserve"> </w:t>
      </w:r>
      <w:r>
        <w:rPr>
          <w:rFonts w:ascii="Times New Roman" w:hAnsi="Times New Roman" w:cs="Times New Roman"/>
          <w:sz w:val="28"/>
          <w:szCs w:val="28"/>
          <w:lang w:val="kk-KZ"/>
        </w:rPr>
        <w:t>гиперинсулинемии (ОШ=0,57 95% ДИ 0,35-0,94 р=0,037) и высоким</w:t>
      </w:r>
      <w:r w:rsidR="00487950">
        <w:rPr>
          <w:rFonts w:ascii="Times New Roman" w:hAnsi="Times New Roman" w:cs="Times New Roman"/>
          <w:sz w:val="28"/>
          <w:szCs w:val="28"/>
          <w:lang w:val="kk-KZ"/>
        </w:rPr>
        <w:t xml:space="preserve"> </w:t>
      </w:r>
      <w:r>
        <w:rPr>
          <w:rFonts w:ascii="Times New Roman" w:hAnsi="Times New Roman" w:cs="Times New Roman"/>
          <w:sz w:val="28"/>
          <w:szCs w:val="28"/>
          <w:lang w:val="kk-KZ"/>
        </w:rPr>
        <w:t>риском</w:t>
      </w:r>
      <w:r w:rsidR="00487950">
        <w:rPr>
          <w:rFonts w:ascii="Times New Roman" w:hAnsi="Times New Roman" w:cs="Times New Roman"/>
          <w:sz w:val="28"/>
          <w:szCs w:val="28"/>
          <w:lang w:val="kk-KZ"/>
        </w:rPr>
        <w:t xml:space="preserve"> </w:t>
      </w:r>
      <w:r>
        <w:rPr>
          <w:rFonts w:ascii="Times New Roman" w:hAnsi="Times New Roman" w:cs="Times New Roman"/>
          <w:sz w:val="28"/>
          <w:szCs w:val="28"/>
          <w:lang w:val="kk-KZ"/>
        </w:rPr>
        <w:t>развития</w:t>
      </w:r>
      <w:r w:rsidR="0048795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гипергликемии (ОШ=1,5 95% ДИ 1,05-2,13 </w:t>
      </w:r>
      <w:r w:rsidR="0059778D">
        <w:rPr>
          <w:rFonts w:ascii="Times New Roman" w:hAnsi="Times New Roman" w:cs="Times New Roman"/>
          <w:sz w:val="28"/>
          <w:szCs w:val="28"/>
          <w:lang w:val="kk-KZ"/>
        </w:rPr>
        <w:t xml:space="preserve">р=0,023) в </w:t>
      </w:r>
      <w:r w:rsidR="002C14ED">
        <w:rPr>
          <w:rFonts w:ascii="Times New Roman" w:hAnsi="Times New Roman" w:cs="Times New Roman"/>
          <w:sz w:val="28"/>
          <w:szCs w:val="28"/>
          <w:lang w:val="kk-KZ"/>
        </w:rPr>
        <w:t xml:space="preserve">исследуемой </w:t>
      </w:r>
      <w:r w:rsidR="00BE70D9">
        <w:rPr>
          <w:rFonts w:ascii="Times New Roman" w:hAnsi="Times New Roman" w:cs="Times New Roman"/>
          <w:sz w:val="28"/>
          <w:szCs w:val="28"/>
          <w:lang w:val="kk-KZ"/>
        </w:rPr>
        <w:t>выборке</w:t>
      </w:r>
      <w:r w:rsidR="0059778D">
        <w:rPr>
          <w:rFonts w:ascii="Times New Roman" w:hAnsi="Times New Roman" w:cs="Times New Roman"/>
          <w:sz w:val="28"/>
          <w:szCs w:val="28"/>
          <w:lang w:val="kk-KZ"/>
        </w:rPr>
        <w:t xml:space="preserve">. </w:t>
      </w:r>
      <w:r w:rsidR="008D20A5">
        <w:rPr>
          <w:rFonts w:ascii="Times New Roman" w:hAnsi="Times New Roman" w:cs="Times New Roman"/>
          <w:sz w:val="28"/>
          <w:szCs w:val="28"/>
          <w:lang w:val="kk-KZ"/>
        </w:rPr>
        <w:t>Носительство г</w:t>
      </w:r>
      <w:r w:rsidR="00B42CE3">
        <w:rPr>
          <w:rFonts w:ascii="Times New Roman" w:hAnsi="Times New Roman" w:cs="Times New Roman"/>
          <w:sz w:val="28"/>
          <w:szCs w:val="28"/>
        </w:rPr>
        <w:t>енотип</w:t>
      </w:r>
      <w:r w:rsidR="008D20A5">
        <w:rPr>
          <w:rFonts w:ascii="Times New Roman" w:hAnsi="Times New Roman" w:cs="Times New Roman"/>
          <w:sz w:val="28"/>
          <w:szCs w:val="28"/>
        </w:rPr>
        <w:t>ов</w:t>
      </w:r>
      <w:r w:rsidR="00B42CE3">
        <w:rPr>
          <w:rFonts w:ascii="Times New Roman" w:hAnsi="Times New Roman" w:cs="Times New Roman"/>
          <w:sz w:val="28"/>
          <w:szCs w:val="28"/>
        </w:rPr>
        <w:t xml:space="preserve"> </w:t>
      </w:r>
      <w:r>
        <w:rPr>
          <w:rFonts w:ascii="Times New Roman" w:hAnsi="Times New Roman" w:cs="Times New Roman"/>
          <w:sz w:val="28"/>
          <w:szCs w:val="28"/>
        </w:rPr>
        <w:t>G/G и С/G</w:t>
      </w:r>
      <w:r w:rsidR="00487950">
        <w:rPr>
          <w:rFonts w:ascii="Times New Roman" w:hAnsi="Times New Roman" w:cs="Times New Roman"/>
          <w:sz w:val="28"/>
          <w:szCs w:val="28"/>
        </w:rPr>
        <w:t xml:space="preserve"> </w:t>
      </w:r>
      <w:r>
        <w:rPr>
          <w:rFonts w:ascii="Times New Roman" w:hAnsi="Times New Roman" w:cs="Times New Roman"/>
          <w:sz w:val="28"/>
          <w:szCs w:val="28"/>
          <w:lang w:val="kk-KZ"/>
        </w:rPr>
        <w:t>полиморфизма</w:t>
      </w:r>
      <w:r w:rsidR="00487950">
        <w:rPr>
          <w:rFonts w:ascii="Times New Roman" w:hAnsi="Times New Roman" w:cs="Times New Roman"/>
          <w:sz w:val="28"/>
          <w:szCs w:val="28"/>
          <w:lang w:val="kk-KZ"/>
        </w:rPr>
        <w:t xml:space="preserve"> </w:t>
      </w:r>
      <w:r>
        <w:rPr>
          <w:rFonts w:ascii="Times New Roman" w:hAnsi="Times New Roman" w:cs="Times New Roman"/>
          <w:sz w:val="28"/>
          <w:szCs w:val="24"/>
        </w:rPr>
        <w:t>Ser447Ter (rs328) гена</w:t>
      </w:r>
      <w:r w:rsidR="00487950">
        <w:rPr>
          <w:rFonts w:ascii="Times New Roman" w:hAnsi="Times New Roman" w:cs="Times New Roman"/>
          <w:sz w:val="28"/>
          <w:szCs w:val="24"/>
        </w:rPr>
        <w:t xml:space="preserve"> </w:t>
      </w:r>
      <w:r>
        <w:rPr>
          <w:rFonts w:ascii="Times New Roman" w:hAnsi="Times New Roman" w:cs="Times New Roman"/>
          <w:i/>
          <w:sz w:val="28"/>
          <w:szCs w:val="24"/>
        </w:rPr>
        <w:t>LPL</w:t>
      </w:r>
      <w:r>
        <w:rPr>
          <w:rFonts w:ascii="Times New Roman" w:hAnsi="Times New Roman" w:cs="Times New Roman"/>
          <w:sz w:val="28"/>
          <w:szCs w:val="28"/>
        </w:rPr>
        <w:t xml:space="preserve"> повыш</w:t>
      </w:r>
      <w:r w:rsidR="008D20A5">
        <w:rPr>
          <w:rFonts w:ascii="Times New Roman" w:hAnsi="Times New Roman" w:cs="Times New Roman"/>
          <w:sz w:val="28"/>
          <w:szCs w:val="28"/>
        </w:rPr>
        <w:t>ает</w:t>
      </w:r>
      <w:r>
        <w:rPr>
          <w:rFonts w:ascii="Times New Roman" w:hAnsi="Times New Roman" w:cs="Times New Roman"/>
          <w:sz w:val="28"/>
          <w:szCs w:val="28"/>
        </w:rPr>
        <w:t xml:space="preserve"> риск развития гипергликемии в </w:t>
      </w:r>
      <w:r w:rsidR="00770B87">
        <w:rPr>
          <w:rFonts w:ascii="Times New Roman" w:hAnsi="Times New Roman" w:cs="Times New Roman"/>
          <w:sz w:val="28"/>
          <w:szCs w:val="28"/>
        </w:rPr>
        <w:t xml:space="preserve">данной выборке </w:t>
      </w:r>
      <w:r w:rsidR="00BE70D9">
        <w:rPr>
          <w:rFonts w:ascii="Times New Roman" w:hAnsi="Times New Roman" w:cs="Times New Roman"/>
          <w:sz w:val="28"/>
          <w:szCs w:val="28"/>
        </w:rPr>
        <w:t>в</w:t>
      </w:r>
      <w:r>
        <w:rPr>
          <w:rFonts w:ascii="Times New Roman" w:hAnsi="Times New Roman" w:cs="Times New Roman"/>
          <w:sz w:val="28"/>
          <w:szCs w:val="28"/>
        </w:rPr>
        <w:t xml:space="preserve"> 1,82 </w:t>
      </w:r>
      <w:r w:rsidR="00BE70D9">
        <w:rPr>
          <w:rFonts w:ascii="Times New Roman" w:hAnsi="Times New Roman" w:cs="Times New Roman"/>
          <w:sz w:val="28"/>
          <w:szCs w:val="28"/>
        </w:rPr>
        <w:t xml:space="preserve">раза </w:t>
      </w:r>
      <w:r>
        <w:rPr>
          <w:rFonts w:ascii="Times New Roman" w:hAnsi="Times New Roman" w:cs="Times New Roman"/>
          <w:sz w:val="28"/>
          <w:szCs w:val="28"/>
        </w:rPr>
        <w:t>(</w:t>
      </w:r>
      <w:r>
        <w:rPr>
          <w:rFonts w:ascii="Times New Roman" w:hAnsi="Times New Roman" w:cs="Times New Roman"/>
          <w:sz w:val="28"/>
          <w:szCs w:val="28"/>
          <w:lang w:val="kk-KZ"/>
        </w:rPr>
        <w:t xml:space="preserve">95% ДИ </w:t>
      </w:r>
      <w:r>
        <w:rPr>
          <w:rFonts w:ascii="Times New Roman" w:hAnsi="Times New Roman" w:cs="Times New Roman"/>
          <w:sz w:val="28"/>
          <w:szCs w:val="28"/>
        </w:rPr>
        <w:t xml:space="preserve">1,17-3,07 р=0,0077), тогда как генотип С/С </w:t>
      </w:r>
      <w:r w:rsidR="0059778D">
        <w:rPr>
          <w:rFonts w:ascii="Times New Roman" w:hAnsi="Times New Roman" w:cs="Times New Roman"/>
          <w:sz w:val="28"/>
          <w:szCs w:val="28"/>
        </w:rPr>
        <w:t>сниж</w:t>
      </w:r>
      <w:r w:rsidR="008D20A5">
        <w:rPr>
          <w:rFonts w:ascii="Times New Roman" w:hAnsi="Times New Roman" w:cs="Times New Roman"/>
          <w:sz w:val="28"/>
          <w:szCs w:val="28"/>
        </w:rPr>
        <w:t>ает</w:t>
      </w:r>
      <w:r>
        <w:rPr>
          <w:rFonts w:ascii="Times New Roman" w:hAnsi="Times New Roman" w:cs="Times New Roman"/>
          <w:sz w:val="28"/>
          <w:szCs w:val="28"/>
        </w:rPr>
        <w:t xml:space="preserve"> риск развития гипергликемии. </w:t>
      </w:r>
      <w:r w:rsidR="0058264D">
        <w:rPr>
          <w:rFonts w:ascii="Times New Roman" w:hAnsi="Times New Roman" w:cs="Times New Roman"/>
          <w:sz w:val="28"/>
          <w:szCs w:val="28"/>
          <w:lang w:val="kk-KZ"/>
        </w:rPr>
        <w:t>Г</w:t>
      </w:r>
      <w:r>
        <w:rPr>
          <w:rFonts w:ascii="Times New Roman" w:hAnsi="Times New Roman" w:cs="Times New Roman"/>
          <w:sz w:val="28"/>
          <w:szCs w:val="28"/>
          <w:lang w:val="kk-KZ"/>
        </w:rPr>
        <w:t>енотип</w:t>
      </w:r>
      <w:r w:rsidR="0058264D">
        <w:rPr>
          <w:rFonts w:ascii="Times New Roman" w:hAnsi="Times New Roman" w:cs="Times New Roman"/>
          <w:sz w:val="28"/>
          <w:szCs w:val="28"/>
          <w:lang w:val="kk-KZ"/>
        </w:rPr>
        <w:t xml:space="preserve"> </w:t>
      </w:r>
      <w:r>
        <w:rPr>
          <w:rFonts w:ascii="Times New Roman" w:hAnsi="Times New Roman" w:cs="Times New Roman"/>
          <w:sz w:val="28"/>
          <w:szCs w:val="28"/>
          <w:lang w:val="kk-KZ"/>
        </w:rPr>
        <w:t>G/G полиморфизма Ser447Ter (</w:t>
      </w:r>
      <w:r>
        <w:rPr>
          <w:rFonts w:ascii="Times New Roman" w:hAnsi="Times New Roman" w:cs="Times New Roman"/>
          <w:sz w:val="28"/>
          <w:szCs w:val="28"/>
          <w:lang w:val="en-US"/>
        </w:rPr>
        <w:t>rs</w:t>
      </w:r>
      <w:r>
        <w:rPr>
          <w:rFonts w:ascii="Times New Roman" w:hAnsi="Times New Roman" w:cs="Times New Roman"/>
          <w:sz w:val="28"/>
          <w:szCs w:val="28"/>
        </w:rPr>
        <w:t>328</w:t>
      </w:r>
      <w:r>
        <w:rPr>
          <w:rFonts w:ascii="Times New Roman" w:hAnsi="Times New Roman" w:cs="Times New Roman"/>
          <w:sz w:val="28"/>
          <w:szCs w:val="28"/>
          <w:lang w:val="kk-KZ"/>
        </w:rPr>
        <w:t>) гена</w:t>
      </w:r>
      <w:r w:rsidR="00487950">
        <w:rPr>
          <w:rFonts w:ascii="Times New Roman" w:hAnsi="Times New Roman" w:cs="Times New Roman"/>
          <w:sz w:val="28"/>
          <w:szCs w:val="28"/>
          <w:lang w:val="kk-KZ"/>
        </w:rPr>
        <w:t xml:space="preserve"> </w:t>
      </w:r>
      <w:r>
        <w:rPr>
          <w:rFonts w:ascii="Times New Roman" w:hAnsi="Times New Roman" w:cs="Times New Roman"/>
          <w:i/>
          <w:sz w:val="28"/>
          <w:szCs w:val="28"/>
          <w:lang w:val="kk-KZ"/>
        </w:rPr>
        <w:t xml:space="preserve">LPL </w:t>
      </w:r>
      <w:r w:rsidR="0058264D">
        <w:rPr>
          <w:rFonts w:ascii="Times New Roman" w:hAnsi="Times New Roman" w:cs="Times New Roman"/>
          <w:sz w:val="28"/>
          <w:szCs w:val="28"/>
          <w:lang w:val="kk-KZ"/>
        </w:rPr>
        <w:t xml:space="preserve">ассоциирован со </w:t>
      </w:r>
      <w:r>
        <w:rPr>
          <w:rFonts w:ascii="Times New Roman" w:hAnsi="Times New Roman" w:cs="Times New Roman"/>
          <w:sz w:val="28"/>
          <w:szCs w:val="28"/>
          <w:lang w:val="kk-KZ"/>
        </w:rPr>
        <w:t>сниж</w:t>
      </w:r>
      <w:r w:rsidR="0058264D">
        <w:rPr>
          <w:rFonts w:ascii="Times New Roman" w:hAnsi="Times New Roman" w:cs="Times New Roman"/>
          <w:sz w:val="28"/>
          <w:szCs w:val="28"/>
          <w:lang w:val="kk-KZ"/>
        </w:rPr>
        <w:t>ен</w:t>
      </w:r>
      <w:r w:rsidR="00014A95">
        <w:rPr>
          <w:rFonts w:ascii="Times New Roman" w:hAnsi="Times New Roman" w:cs="Times New Roman"/>
          <w:sz w:val="28"/>
          <w:szCs w:val="28"/>
          <w:lang w:val="kk-KZ"/>
        </w:rPr>
        <w:t>ием</w:t>
      </w:r>
      <w:r>
        <w:rPr>
          <w:rFonts w:ascii="Times New Roman" w:hAnsi="Times New Roman" w:cs="Times New Roman"/>
          <w:sz w:val="28"/>
          <w:szCs w:val="28"/>
          <w:lang w:val="kk-KZ"/>
        </w:rPr>
        <w:t xml:space="preserve"> риск</w:t>
      </w:r>
      <w:r w:rsidR="0058264D">
        <w:rPr>
          <w:rFonts w:ascii="Times New Roman" w:hAnsi="Times New Roman" w:cs="Times New Roman"/>
          <w:sz w:val="28"/>
          <w:szCs w:val="28"/>
          <w:lang w:val="kk-KZ"/>
        </w:rPr>
        <w:t>ом</w:t>
      </w:r>
      <w:r>
        <w:rPr>
          <w:rFonts w:ascii="Times New Roman" w:hAnsi="Times New Roman" w:cs="Times New Roman"/>
          <w:sz w:val="28"/>
          <w:szCs w:val="28"/>
          <w:lang w:val="kk-KZ"/>
        </w:rPr>
        <w:t xml:space="preserve"> развития</w:t>
      </w:r>
      <w:r w:rsidR="0048795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гиперинсулинемии в 0,28 </w:t>
      </w:r>
      <w:r w:rsidR="00B94EAE">
        <w:rPr>
          <w:rFonts w:ascii="Times New Roman" w:hAnsi="Times New Roman" w:cs="Times New Roman"/>
          <w:sz w:val="28"/>
          <w:szCs w:val="28"/>
          <w:lang w:val="kk-KZ"/>
        </w:rPr>
        <w:t>раз</w:t>
      </w:r>
      <w:r w:rsidR="00BE70D9">
        <w:rPr>
          <w:rFonts w:ascii="Times New Roman" w:hAnsi="Times New Roman" w:cs="Times New Roman"/>
          <w:sz w:val="28"/>
          <w:szCs w:val="28"/>
          <w:lang w:val="kk-KZ"/>
        </w:rPr>
        <w:t>а</w:t>
      </w:r>
      <w:r w:rsidR="00487950">
        <w:rPr>
          <w:rFonts w:ascii="Times New Roman" w:hAnsi="Times New Roman" w:cs="Times New Roman"/>
          <w:sz w:val="28"/>
          <w:szCs w:val="28"/>
          <w:lang w:val="kk-KZ"/>
        </w:rPr>
        <w:t xml:space="preserve"> </w:t>
      </w:r>
      <w:r>
        <w:rPr>
          <w:rFonts w:ascii="Times New Roman" w:hAnsi="Times New Roman" w:cs="Times New Roman"/>
          <w:sz w:val="28"/>
          <w:szCs w:val="28"/>
          <w:lang w:val="kk-KZ"/>
        </w:rPr>
        <w:t>(95% ДИ 0</w:t>
      </w:r>
      <w:r>
        <w:rPr>
          <w:rFonts w:ascii="Times New Roman" w:hAnsi="Times New Roman" w:cs="Times New Roman"/>
          <w:sz w:val="28"/>
          <w:szCs w:val="28"/>
        </w:rPr>
        <w:t>,1-0,84 р=0,037</w:t>
      </w:r>
      <w:r>
        <w:rPr>
          <w:rFonts w:ascii="Times New Roman" w:hAnsi="Times New Roman" w:cs="Times New Roman"/>
          <w:sz w:val="28"/>
          <w:szCs w:val="28"/>
          <w:lang w:val="kk-KZ"/>
        </w:rPr>
        <w:t>) по</w:t>
      </w:r>
      <w:r w:rsidR="00936CD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сравнению с генотипами С/С </w:t>
      </w:r>
      <w:r>
        <w:rPr>
          <w:rFonts w:ascii="Times New Roman" w:hAnsi="Times New Roman" w:cs="Times New Roman"/>
          <w:sz w:val="28"/>
          <w:szCs w:val="28"/>
        </w:rPr>
        <w:t>и С/G.</w:t>
      </w:r>
    </w:p>
    <w:p w:rsidR="00AB12B3" w:rsidRDefault="00C16F07"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highlight w:val="yellow"/>
        </w:rPr>
      </w:pPr>
      <w:r>
        <w:rPr>
          <w:rFonts w:ascii="Times New Roman" w:hAnsi="Times New Roman" w:cs="Times New Roman"/>
          <w:sz w:val="28"/>
          <w:szCs w:val="28"/>
          <w:lang w:val="kk-KZ"/>
        </w:rPr>
        <w:t>Б</w:t>
      </w:r>
      <w:r w:rsidR="00AB12B3">
        <w:rPr>
          <w:rFonts w:ascii="Times New Roman" w:hAnsi="Times New Roman" w:cs="Times New Roman"/>
          <w:sz w:val="28"/>
          <w:szCs w:val="28"/>
          <w:lang w:val="kk-KZ"/>
        </w:rPr>
        <w:t xml:space="preserve">) </w:t>
      </w:r>
      <w:r w:rsidR="00BE70D9">
        <w:rPr>
          <w:rFonts w:ascii="Times New Roman" w:hAnsi="Times New Roman" w:cs="Times New Roman"/>
          <w:sz w:val="28"/>
          <w:szCs w:val="28"/>
          <w:lang w:val="kk-KZ"/>
        </w:rPr>
        <w:t>Аллель</w:t>
      </w:r>
      <w:r w:rsidR="00936CD9">
        <w:rPr>
          <w:rFonts w:ascii="Times New Roman" w:hAnsi="Times New Roman" w:cs="Times New Roman"/>
          <w:sz w:val="28"/>
          <w:szCs w:val="28"/>
          <w:lang w:val="kk-KZ"/>
        </w:rPr>
        <w:t xml:space="preserve"> </w:t>
      </w:r>
      <w:r w:rsidR="00AB12B3" w:rsidRPr="000C25BF">
        <w:rPr>
          <w:rFonts w:ascii="Times New Roman" w:hAnsi="Times New Roman" w:cs="Times New Roman"/>
          <w:sz w:val="28"/>
          <w:szCs w:val="28"/>
          <w:lang w:val="kk-KZ"/>
        </w:rPr>
        <w:t>G</w:t>
      </w:r>
      <w:r w:rsidR="00936CD9">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полиморфизма Gln27Glu (rs1042714) гена</w:t>
      </w:r>
      <w:r w:rsidR="00936CD9">
        <w:rPr>
          <w:rFonts w:ascii="Times New Roman" w:hAnsi="Times New Roman" w:cs="Times New Roman"/>
          <w:sz w:val="28"/>
          <w:szCs w:val="28"/>
          <w:lang w:val="kk-KZ"/>
        </w:rPr>
        <w:t xml:space="preserve"> </w:t>
      </w:r>
      <w:r w:rsidR="00AB12B3">
        <w:rPr>
          <w:rFonts w:ascii="Times New Roman" w:hAnsi="Times New Roman" w:cs="Times New Roman"/>
          <w:i/>
          <w:sz w:val="28"/>
          <w:szCs w:val="28"/>
          <w:lang w:val="kk-KZ"/>
        </w:rPr>
        <w:t xml:space="preserve">ADRB2 </w:t>
      </w:r>
      <w:r w:rsidR="008D20A5">
        <w:rPr>
          <w:rFonts w:ascii="Times New Roman" w:hAnsi="Times New Roman" w:cs="Times New Roman"/>
          <w:sz w:val="28"/>
          <w:szCs w:val="28"/>
          <w:lang w:val="kk-KZ"/>
        </w:rPr>
        <w:t xml:space="preserve">в нашей выборке </w:t>
      </w:r>
      <w:r w:rsidR="00AB12B3">
        <w:rPr>
          <w:rFonts w:ascii="Times New Roman" w:hAnsi="Times New Roman" w:cs="Times New Roman"/>
          <w:sz w:val="28"/>
          <w:szCs w:val="28"/>
          <w:lang w:val="kk-KZ"/>
        </w:rPr>
        <w:t>был</w:t>
      </w:r>
      <w:r w:rsidR="00936CD9">
        <w:rPr>
          <w:rFonts w:ascii="Times New Roman" w:hAnsi="Times New Roman" w:cs="Times New Roman"/>
          <w:sz w:val="28"/>
          <w:szCs w:val="28"/>
          <w:lang w:val="kk-KZ"/>
        </w:rPr>
        <w:t xml:space="preserve"> </w:t>
      </w:r>
      <w:r w:rsidR="00BE70D9">
        <w:rPr>
          <w:rFonts w:ascii="Times New Roman" w:hAnsi="Times New Roman" w:cs="Times New Roman"/>
          <w:sz w:val="28"/>
          <w:szCs w:val="28"/>
          <w:lang w:val="kk-KZ"/>
        </w:rPr>
        <w:t>ассоциирован</w:t>
      </w:r>
      <w:r w:rsidR="00AB12B3">
        <w:rPr>
          <w:rFonts w:ascii="Times New Roman" w:hAnsi="Times New Roman" w:cs="Times New Roman"/>
          <w:sz w:val="28"/>
          <w:szCs w:val="28"/>
          <w:lang w:val="kk-KZ"/>
        </w:rPr>
        <w:t xml:space="preserve"> с низким</w:t>
      </w:r>
      <w:r w:rsidR="00936CD9">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риском</w:t>
      </w:r>
      <w:r w:rsidR="00936CD9">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развития</w:t>
      </w:r>
      <w:r w:rsidR="00936CD9">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гипертриглицеридемии (ОШ=0,72 95% ДИ 0,52-0,98</w:t>
      </w:r>
      <w:r w:rsidR="00AB12B3" w:rsidRPr="000C25BF">
        <w:rPr>
          <w:rFonts w:ascii="Times New Roman" w:hAnsi="Times New Roman" w:cs="Times New Roman"/>
          <w:sz w:val="28"/>
          <w:szCs w:val="28"/>
          <w:lang w:val="kk-KZ"/>
        </w:rPr>
        <w:t xml:space="preserve"> р=0,0038</w:t>
      </w:r>
      <w:r w:rsidR="00AB12B3">
        <w:rPr>
          <w:rFonts w:ascii="Times New Roman" w:hAnsi="Times New Roman" w:cs="Times New Roman"/>
          <w:sz w:val="28"/>
          <w:szCs w:val="28"/>
          <w:lang w:val="kk-KZ"/>
        </w:rPr>
        <w:t xml:space="preserve">). </w:t>
      </w:r>
      <w:r w:rsidR="0058264D">
        <w:rPr>
          <w:rFonts w:ascii="Times New Roman" w:hAnsi="Times New Roman" w:cs="Times New Roman"/>
          <w:sz w:val="28"/>
          <w:szCs w:val="28"/>
        </w:rPr>
        <w:t>Г</w:t>
      </w:r>
      <w:r w:rsidR="00AB12B3">
        <w:rPr>
          <w:rFonts w:ascii="Times New Roman" w:hAnsi="Times New Roman" w:cs="Times New Roman"/>
          <w:sz w:val="28"/>
          <w:szCs w:val="28"/>
        </w:rPr>
        <w:t>енотип</w:t>
      </w:r>
      <w:r w:rsidR="0058264D">
        <w:rPr>
          <w:rFonts w:ascii="Times New Roman" w:hAnsi="Times New Roman" w:cs="Times New Roman"/>
          <w:sz w:val="28"/>
          <w:szCs w:val="28"/>
        </w:rPr>
        <w:t xml:space="preserve">ы </w:t>
      </w:r>
      <w:r w:rsidR="00AB12B3">
        <w:rPr>
          <w:rFonts w:ascii="Times New Roman" w:hAnsi="Times New Roman" w:cs="Times New Roman"/>
          <w:sz w:val="28"/>
          <w:szCs w:val="28"/>
        </w:rPr>
        <w:t>С/С и С/G п</w:t>
      </w:r>
      <w:r w:rsidR="00AB12B3">
        <w:rPr>
          <w:rFonts w:ascii="Times New Roman" w:hAnsi="Times New Roman" w:cs="Times New Roman"/>
          <w:sz w:val="28"/>
          <w:szCs w:val="28"/>
          <w:lang w:val="kk-KZ"/>
        </w:rPr>
        <w:t>олиморфизма Gln27Glu (rs1042714) гена</w:t>
      </w:r>
      <w:r w:rsidR="00AB12B3">
        <w:rPr>
          <w:rFonts w:ascii="Times New Roman" w:hAnsi="Times New Roman" w:cs="Times New Roman"/>
          <w:i/>
          <w:sz w:val="28"/>
          <w:szCs w:val="28"/>
          <w:lang w:val="kk-KZ"/>
        </w:rPr>
        <w:t xml:space="preserve"> ADRB2</w:t>
      </w:r>
      <w:r w:rsidR="00936CD9">
        <w:rPr>
          <w:rFonts w:ascii="Times New Roman" w:hAnsi="Times New Roman" w:cs="Times New Roman"/>
          <w:i/>
          <w:sz w:val="28"/>
          <w:szCs w:val="28"/>
          <w:lang w:val="kk-KZ"/>
        </w:rPr>
        <w:t xml:space="preserve"> </w:t>
      </w:r>
      <w:r w:rsidR="0058264D">
        <w:rPr>
          <w:rFonts w:ascii="Times New Roman" w:hAnsi="Times New Roman" w:cs="Times New Roman"/>
          <w:sz w:val="28"/>
          <w:szCs w:val="28"/>
          <w:lang w:val="kk-KZ"/>
        </w:rPr>
        <w:t xml:space="preserve">ассоциированы с </w:t>
      </w:r>
      <w:r w:rsidR="00AB12B3">
        <w:rPr>
          <w:rFonts w:ascii="Times New Roman" w:hAnsi="Times New Roman" w:cs="Times New Roman"/>
          <w:sz w:val="28"/>
          <w:szCs w:val="28"/>
        </w:rPr>
        <w:t>риск</w:t>
      </w:r>
      <w:r w:rsidR="0058264D">
        <w:rPr>
          <w:rFonts w:ascii="Times New Roman" w:hAnsi="Times New Roman" w:cs="Times New Roman"/>
          <w:sz w:val="28"/>
          <w:szCs w:val="28"/>
        </w:rPr>
        <w:t>ом</w:t>
      </w:r>
      <w:r w:rsidR="00AB12B3">
        <w:rPr>
          <w:rFonts w:ascii="Times New Roman" w:hAnsi="Times New Roman" w:cs="Times New Roman"/>
          <w:sz w:val="28"/>
          <w:szCs w:val="28"/>
        </w:rPr>
        <w:t xml:space="preserve"> развития гипертриглицеридемии в </w:t>
      </w:r>
      <w:r w:rsidR="000C5A58">
        <w:rPr>
          <w:rFonts w:ascii="Times New Roman" w:hAnsi="Times New Roman" w:cs="Times New Roman"/>
          <w:sz w:val="28"/>
          <w:szCs w:val="28"/>
        </w:rPr>
        <w:t>исследуемой выборке</w:t>
      </w:r>
      <w:r w:rsidR="00AB12B3">
        <w:rPr>
          <w:rFonts w:ascii="Times New Roman" w:hAnsi="Times New Roman" w:cs="Times New Roman"/>
          <w:sz w:val="28"/>
          <w:szCs w:val="28"/>
        </w:rPr>
        <w:t xml:space="preserve">, тогда как G/G генотип </w:t>
      </w:r>
      <w:r w:rsidR="0058264D">
        <w:rPr>
          <w:rFonts w:ascii="Times New Roman" w:hAnsi="Times New Roman" w:cs="Times New Roman"/>
          <w:sz w:val="28"/>
          <w:szCs w:val="28"/>
        </w:rPr>
        <w:t>напротив является протект</w:t>
      </w:r>
      <w:r w:rsidR="00590D2A">
        <w:rPr>
          <w:rFonts w:ascii="Times New Roman" w:hAnsi="Times New Roman" w:cs="Times New Roman"/>
          <w:sz w:val="28"/>
          <w:szCs w:val="28"/>
          <w:lang w:val="kk-KZ"/>
        </w:rPr>
        <w:t>и</w:t>
      </w:r>
      <w:r w:rsidR="0058264D">
        <w:rPr>
          <w:rFonts w:ascii="Times New Roman" w:hAnsi="Times New Roman" w:cs="Times New Roman"/>
          <w:sz w:val="28"/>
          <w:szCs w:val="28"/>
        </w:rPr>
        <w:t>вным</w:t>
      </w:r>
      <w:r w:rsidR="00BE70D9">
        <w:rPr>
          <w:rFonts w:ascii="Times New Roman" w:hAnsi="Times New Roman" w:cs="Times New Roman"/>
          <w:sz w:val="28"/>
          <w:szCs w:val="28"/>
        </w:rPr>
        <w:t xml:space="preserve"> в</w:t>
      </w:r>
      <w:r w:rsidR="00AB12B3">
        <w:rPr>
          <w:rFonts w:ascii="Times New Roman" w:hAnsi="Times New Roman" w:cs="Times New Roman"/>
          <w:sz w:val="28"/>
          <w:szCs w:val="28"/>
        </w:rPr>
        <w:t xml:space="preserve"> 0,45 </w:t>
      </w:r>
      <w:r w:rsidR="005E7BE7">
        <w:rPr>
          <w:rFonts w:ascii="Times New Roman" w:hAnsi="Times New Roman" w:cs="Times New Roman"/>
          <w:sz w:val="28"/>
          <w:szCs w:val="28"/>
        </w:rPr>
        <w:t>раз</w:t>
      </w:r>
      <w:r w:rsidR="00BE70D9">
        <w:rPr>
          <w:rFonts w:ascii="Times New Roman" w:hAnsi="Times New Roman" w:cs="Times New Roman"/>
          <w:sz w:val="28"/>
          <w:szCs w:val="28"/>
        </w:rPr>
        <w:t>а</w:t>
      </w:r>
      <w:r w:rsidR="005E7BE7">
        <w:rPr>
          <w:rFonts w:ascii="Times New Roman" w:hAnsi="Times New Roman" w:cs="Times New Roman"/>
          <w:sz w:val="28"/>
          <w:szCs w:val="28"/>
        </w:rPr>
        <w:t xml:space="preserve"> </w:t>
      </w:r>
      <w:r w:rsidR="00AB12B3">
        <w:rPr>
          <w:rFonts w:ascii="Times New Roman" w:hAnsi="Times New Roman" w:cs="Times New Roman"/>
          <w:sz w:val="28"/>
          <w:szCs w:val="28"/>
        </w:rPr>
        <w:t>(</w:t>
      </w:r>
      <w:r w:rsidR="00AB12B3">
        <w:rPr>
          <w:rFonts w:ascii="Times New Roman" w:hAnsi="Times New Roman" w:cs="Times New Roman"/>
          <w:sz w:val="28"/>
          <w:szCs w:val="28"/>
          <w:lang w:val="kk-KZ"/>
        </w:rPr>
        <w:t>95% ДИ 0,23-0,86</w:t>
      </w:r>
      <w:r w:rsidR="00AB12B3">
        <w:rPr>
          <w:rFonts w:ascii="Times New Roman" w:hAnsi="Times New Roman" w:cs="Times New Roman"/>
          <w:sz w:val="28"/>
          <w:szCs w:val="28"/>
        </w:rPr>
        <w:t xml:space="preserve"> р=0,018)</w:t>
      </w:r>
      <w:r w:rsidR="00AB12B3">
        <w:rPr>
          <w:rFonts w:ascii="Times New Roman" w:hAnsi="Times New Roman" w:cs="Times New Roman"/>
          <w:i/>
          <w:sz w:val="28"/>
          <w:szCs w:val="28"/>
        </w:rPr>
        <w:t>.</w:t>
      </w:r>
      <w:r w:rsidR="00AB12B3">
        <w:rPr>
          <w:rFonts w:ascii="Times New Roman" w:hAnsi="Times New Roman" w:cs="Times New Roman"/>
          <w:sz w:val="28"/>
          <w:szCs w:val="28"/>
        </w:rPr>
        <w:t xml:space="preserve"> </w:t>
      </w:r>
      <w:r w:rsidR="00611F52">
        <w:rPr>
          <w:rFonts w:ascii="Times New Roman" w:hAnsi="Times New Roman" w:cs="Times New Roman"/>
          <w:sz w:val="28"/>
          <w:szCs w:val="28"/>
        </w:rPr>
        <w:t xml:space="preserve">Не </w:t>
      </w:r>
      <w:r w:rsidR="00611F52">
        <w:rPr>
          <w:rFonts w:ascii="Times New Roman" w:hAnsi="Times New Roman" w:cs="Times New Roman"/>
          <w:sz w:val="28"/>
          <w:szCs w:val="28"/>
        </w:rPr>
        <w:lastRenderedPageBreak/>
        <w:t>выявлено ассоциации п</w:t>
      </w:r>
      <w:r w:rsidR="00AB12B3">
        <w:rPr>
          <w:rFonts w:ascii="Times New Roman" w:hAnsi="Times New Roman" w:cs="Times New Roman"/>
          <w:sz w:val="28"/>
          <w:szCs w:val="28"/>
        </w:rPr>
        <w:t>олиморфизм</w:t>
      </w:r>
      <w:r w:rsidR="00611F52">
        <w:rPr>
          <w:rFonts w:ascii="Times New Roman" w:hAnsi="Times New Roman" w:cs="Times New Roman"/>
          <w:sz w:val="28"/>
          <w:szCs w:val="28"/>
        </w:rPr>
        <w:t>ов</w:t>
      </w:r>
      <w:r w:rsidR="00AB12B3">
        <w:rPr>
          <w:rFonts w:ascii="Times New Roman" w:hAnsi="Times New Roman" w:cs="Times New Roman"/>
          <w:sz w:val="28"/>
          <w:szCs w:val="28"/>
        </w:rPr>
        <w:t xml:space="preserve"> генов</w:t>
      </w:r>
      <w:r w:rsidR="00936CD9">
        <w:rPr>
          <w:rFonts w:ascii="Times New Roman" w:hAnsi="Times New Roman" w:cs="Times New Roman"/>
          <w:sz w:val="28"/>
          <w:szCs w:val="28"/>
        </w:rPr>
        <w:t xml:space="preserve"> </w:t>
      </w:r>
      <w:r w:rsidR="00AB12B3">
        <w:rPr>
          <w:rFonts w:ascii="Times New Roman" w:hAnsi="Times New Roman"/>
          <w:i/>
          <w:sz w:val="28"/>
          <w:szCs w:val="28"/>
          <w:lang w:val="en-US"/>
        </w:rPr>
        <w:t>AGT</w:t>
      </w:r>
      <w:r w:rsidR="00936CD9">
        <w:rPr>
          <w:rFonts w:ascii="Times New Roman" w:hAnsi="Times New Roman"/>
          <w:i/>
          <w:sz w:val="28"/>
          <w:szCs w:val="28"/>
        </w:rPr>
        <w:t xml:space="preserve"> </w:t>
      </w:r>
      <w:r w:rsidR="00AB12B3">
        <w:rPr>
          <w:rFonts w:ascii="Times New Roman" w:hAnsi="Times New Roman"/>
          <w:sz w:val="28"/>
          <w:szCs w:val="28"/>
          <w:lang w:val="en-US"/>
        </w:rPr>
        <w:t>Thr</w:t>
      </w:r>
      <w:r w:rsidR="00AB12B3">
        <w:rPr>
          <w:rFonts w:ascii="Times New Roman" w:hAnsi="Times New Roman"/>
          <w:sz w:val="28"/>
          <w:szCs w:val="28"/>
        </w:rPr>
        <w:t>174</w:t>
      </w:r>
      <w:r w:rsidR="00AB12B3">
        <w:rPr>
          <w:rFonts w:ascii="Times New Roman" w:hAnsi="Times New Roman"/>
          <w:sz w:val="28"/>
          <w:szCs w:val="28"/>
          <w:lang w:val="en-US"/>
        </w:rPr>
        <w:t>Met</w:t>
      </w:r>
      <w:r w:rsidR="00AB12B3">
        <w:rPr>
          <w:rFonts w:ascii="Times New Roman" w:hAnsi="Times New Roman"/>
          <w:sz w:val="28"/>
          <w:szCs w:val="28"/>
        </w:rPr>
        <w:t xml:space="preserve"> (</w:t>
      </w:r>
      <w:r w:rsidR="00AB12B3">
        <w:rPr>
          <w:rFonts w:ascii="Times New Roman" w:hAnsi="Times New Roman"/>
          <w:sz w:val="28"/>
          <w:szCs w:val="28"/>
          <w:lang w:val="en-US"/>
        </w:rPr>
        <w:t>rs</w:t>
      </w:r>
      <w:r w:rsidR="00AB12B3">
        <w:rPr>
          <w:rFonts w:ascii="Times New Roman" w:hAnsi="Times New Roman"/>
          <w:sz w:val="28"/>
          <w:szCs w:val="28"/>
        </w:rPr>
        <w:t>4762) и</w:t>
      </w:r>
      <w:r w:rsidR="00936CD9">
        <w:rPr>
          <w:rFonts w:ascii="Times New Roman" w:hAnsi="Times New Roman"/>
          <w:sz w:val="28"/>
          <w:szCs w:val="28"/>
        </w:rPr>
        <w:t xml:space="preserve"> </w:t>
      </w:r>
      <w:r w:rsidR="00AB12B3">
        <w:rPr>
          <w:rFonts w:ascii="Times New Roman" w:hAnsi="Times New Roman"/>
          <w:i/>
          <w:sz w:val="28"/>
          <w:szCs w:val="28"/>
          <w:lang w:val="en-US"/>
        </w:rPr>
        <w:t>AGTR</w:t>
      </w:r>
      <w:r w:rsidR="00AB12B3">
        <w:rPr>
          <w:rFonts w:ascii="Times New Roman" w:hAnsi="Times New Roman"/>
          <w:i/>
          <w:sz w:val="28"/>
          <w:szCs w:val="28"/>
        </w:rPr>
        <w:t xml:space="preserve">1 </w:t>
      </w:r>
      <w:r w:rsidR="00AB12B3">
        <w:rPr>
          <w:rFonts w:ascii="Times New Roman" w:hAnsi="Times New Roman"/>
          <w:sz w:val="28"/>
          <w:szCs w:val="28"/>
          <w:lang w:val="en-US"/>
        </w:rPr>
        <w:t>A</w:t>
      </w:r>
      <w:r w:rsidR="00AB12B3">
        <w:rPr>
          <w:rFonts w:ascii="Times New Roman" w:hAnsi="Times New Roman"/>
          <w:sz w:val="28"/>
          <w:szCs w:val="28"/>
        </w:rPr>
        <w:t>1166</w:t>
      </w:r>
      <w:r w:rsidR="00AB12B3">
        <w:rPr>
          <w:rFonts w:ascii="Times New Roman" w:hAnsi="Times New Roman"/>
          <w:sz w:val="28"/>
          <w:szCs w:val="28"/>
          <w:lang w:val="en-US"/>
        </w:rPr>
        <w:t>C</w:t>
      </w:r>
      <w:r w:rsidR="00AB12B3">
        <w:rPr>
          <w:rFonts w:ascii="Times New Roman" w:hAnsi="Times New Roman"/>
          <w:sz w:val="28"/>
          <w:szCs w:val="28"/>
        </w:rPr>
        <w:t xml:space="preserve"> (</w:t>
      </w:r>
      <w:r w:rsidR="00AB12B3">
        <w:rPr>
          <w:rFonts w:ascii="Times New Roman" w:hAnsi="Times New Roman"/>
          <w:sz w:val="28"/>
          <w:szCs w:val="28"/>
          <w:lang w:val="en-US"/>
        </w:rPr>
        <w:t>rs</w:t>
      </w:r>
      <w:r w:rsidR="00AB12B3">
        <w:rPr>
          <w:rFonts w:ascii="Times New Roman" w:hAnsi="Times New Roman"/>
          <w:sz w:val="28"/>
          <w:szCs w:val="28"/>
        </w:rPr>
        <w:t>5186) с развити</w:t>
      </w:r>
      <w:r w:rsidR="00611F52">
        <w:rPr>
          <w:rFonts w:ascii="Times New Roman" w:hAnsi="Times New Roman"/>
          <w:sz w:val="28"/>
          <w:szCs w:val="28"/>
        </w:rPr>
        <w:t>ем</w:t>
      </w:r>
      <w:r w:rsidR="00AB12B3">
        <w:rPr>
          <w:rFonts w:ascii="Times New Roman" w:hAnsi="Times New Roman"/>
          <w:sz w:val="28"/>
          <w:szCs w:val="28"/>
        </w:rPr>
        <w:t xml:space="preserve"> дислипидемии и </w:t>
      </w:r>
      <w:r w:rsidR="00E2178A">
        <w:rPr>
          <w:rFonts w:ascii="Times New Roman" w:hAnsi="Times New Roman"/>
          <w:sz w:val="28"/>
          <w:szCs w:val="28"/>
        </w:rPr>
        <w:t>инсулинорезистентности</w:t>
      </w:r>
      <w:r w:rsidR="00AB12B3">
        <w:rPr>
          <w:rFonts w:ascii="Times New Roman" w:hAnsi="Times New Roman"/>
          <w:sz w:val="28"/>
          <w:szCs w:val="28"/>
        </w:rPr>
        <w:t xml:space="preserve"> в </w:t>
      </w:r>
      <w:r w:rsidR="00611F52">
        <w:rPr>
          <w:rFonts w:ascii="Times New Roman" w:hAnsi="Times New Roman"/>
          <w:sz w:val="28"/>
          <w:szCs w:val="28"/>
        </w:rPr>
        <w:t xml:space="preserve">исследуемой нами </w:t>
      </w:r>
      <w:r w:rsidR="00412A8D">
        <w:rPr>
          <w:rFonts w:ascii="Times New Roman" w:hAnsi="Times New Roman"/>
          <w:sz w:val="28"/>
          <w:szCs w:val="28"/>
        </w:rPr>
        <w:t>выборке</w:t>
      </w:r>
      <w:r w:rsidR="00AB12B3">
        <w:rPr>
          <w:rFonts w:ascii="Times New Roman" w:hAnsi="Times New Roman"/>
          <w:sz w:val="28"/>
          <w:szCs w:val="28"/>
        </w:rPr>
        <w:t>.</w:t>
      </w:r>
    </w:p>
    <w:p w:rsidR="00AB12B3" w:rsidRDefault="003D6C4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В)</w:t>
      </w:r>
      <w:r w:rsidR="00AB12B3">
        <w:rPr>
          <w:rFonts w:ascii="Times New Roman" w:hAnsi="Times New Roman" w:cs="Times New Roman"/>
          <w:sz w:val="28"/>
          <w:szCs w:val="28"/>
          <w:lang w:val="kk-KZ"/>
        </w:rPr>
        <w:t xml:space="preserve"> Анализ сравнени</w:t>
      </w:r>
      <w:r w:rsidR="000C114E">
        <w:rPr>
          <w:rFonts w:ascii="Times New Roman" w:hAnsi="Times New Roman" w:cs="Times New Roman"/>
          <w:sz w:val="28"/>
          <w:szCs w:val="28"/>
          <w:lang w:val="kk-KZ"/>
        </w:rPr>
        <w:t>я</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уровней</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биохимических</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показателей</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 xml:space="preserve">показал, что </w:t>
      </w:r>
      <w:r w:rsidR="00014A95">
        <w:rPr>
          <w:rFonts w:ascii="Times New Roman" w:hAnsi="Times New Roman" w:cs="Times New Roman"/>
          <w:sz w:val="28"/>
          <w:szCs w:val="28"/>
          <w:lang w:val="kk-KZ"/>
        </w:rPr>
        <w:t>у участников от</w:t>
      </w:r>
      <w:r w:rsidR="00BE70D9">
        <w:rPr>
          <w:rFonts w:ascii="Times New Roman" w:hAnsi="Times New Roman" w:cs="Times New Roman"/>
          <w:sz w:val="28"/>
          <w:szCs w:val="28"/>
          <w:lang w:val="kk-KZ"/>
        </w:rPr>
        <w:t xml:space="preserve"> 46 </w:t>
      </w:r>
      <w:r w:rsidR="00014A95">
        <w:rPr>
          <w:rFonts w:ascii="Times New Roman" w:hAnsi="Times New Roman" w:cs="Times New Roman"/>
          <w:sz w:val="28"/>
          <w:szCs w:val="28"/>
          <w:lang w:val="kk-KZ"/>
        </w:rPr>
        <w:t xml:space="preserve">лет </w:t>
      </w:r>
      <w:r w:rsidR="00BE70D9">
        <w:rPr>
          <w:rFonts w:ascii="Times New Roman" w:hAnsi="Times New Roman" w:cs="Times New Roman"/>
          <w:sz w:val="28"/>
          <w:szCs w:val="28"/>
          <w:lang w:val="kk-KZ"/>
        </w:rPr>
        <w:t>и старше</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гипераполипопротеинемия</w:t>
      </w:r>
      <w:r w:rsidR="00171E76">
        <w:rPr>
          <w:rFonts w:ascii="Times New Roman" w:hAnsi="Times New Roman" w:cs="Times New Roman"/>
          <w:sz w:val="28"/>
          <w:szCs w:val="28"/>
          <w:lang w:val="kk-KZ"/>
        </w:rPr>
        <w:t xml:space="preserve"> В </w:t>
      </w:r>
      <w:r w:rsidR="00AB12B3">
        <w:rPr>
          <w:rFonts w:ascii="Times New Roman" w:hAnsi="Times New Roman" w:cs="Times New Roman"/>
          <w:sz w:val="28"/>
          <w:szCs w:val="28"/>
          <w:lang w:val="kk-KZ"/>
        </w:rPr>
        <w:t>встречается</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чаще (р=0,04). Гипертриглицеридемия</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чаще</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 xml:space="preserve">встречается у </w:t>
      </w:r>
      <w:r w:rsidR="00BE70D9">
        <w:rPr>
          <w:rFonts w:ascii="Times New Roman" w:hAnsi="Times New Roman" w:cs="Times New Roman"/>
          <w:sz w:val="28"/>
          <w:szCs w:val="28"/>
          <w:lang w:val="kk-KZ"/>
        </w:rPr>
        <w:t>участников</w:t>
      </w:r>
      <w:r w:rsidR="00AB12B3">
        <w:rPr>
          <w:rFonts w:ascii="Times New Roman" w:hAnsi="Times New Roman" w:cs="Times New Roman"/>
          <w:sz w:val="28"/>
          <w:szCs w:val="28"/>
          <w:lang w:val="kk-KZ"/>
        </w:rPr>
        <w:t xml:space="preserve"> с абдоминальным</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 xml:space="preserve">ожирением (р=0,025). У женщин – казашек </w:t>
      </w:r>
      <w:r w:rsidR="00EF00D9">
        <w:rPr>
          <w:rFonts w:ascii="Times New Roman" w:hAnsi="Times New Roman" w:cs="Times New Roman"/>
          <w:sz w:val="28"/>
          <w:szCs w:val="28"/>
          <w:lang w:val="kk-KZ"/>
        </w:rPr>
        <w:t xml:space="preserve">исследуемой выборки </w:t>
      </w:r>
      <w:r w:rsidR="003E4670">
        <w:rPr>
          <w:rFonts w:ascii="Times New Roman" w:hAnsi="Times New Roman" w:cs="Times New Roman"/>
          <w:sz w:val="28"/>
          <w:szCs w:val="28"/>
          <w:lang w:val="kk-KZ"/>
        </w:rPr>
        <w:t>инсулинорезистентность</w:t>
      </w:r>
      <w:r w:rsidR="00AB12B3">
        <w:rPr>
          <w:rFonts w:ascii="Times New Roman" w:hAnsi="Times New Roman" w:cs="Times New Roman"/>
          <w:sz w:val="28"/>
          <w:szCs w:val="28"/>
          <w:lang w:val="kk-KZ"/>
        </w:rPr>
        <w:t xml:space="preserve"> встречается</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чаще</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чем у мужчин – казахов</w:t>
      </w:r>
      <w:r w:rsidR="00B3042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(р=0,05). Гипертриглицеридемия</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часто</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сопровождал</w:t>
      </w:r>
      <w:r w:rsidR="0059778D">
        <w:rPr>
          <w:rFonts w:ascii="Times New Roman" w:hAnsi="Times New Roman" w:cs="Times New Roman"/>
          <w:sz w:val="28"/>
          <w:szCs w:val="28"/>
          <w:lang w:val="kk-KZ"/>
        </w:rPr>
        <w:t>а</w:t>
      </w:r>
      <w:r w:rsidR="00AB12B3">
        <w:rPr>
          <w:rFonts w:ascii="Times New Roman" w:hAnsi="Times New Roman" w:cs="Times New Roman"/>
          <w:sz w:val="28"/>
          <w:szCs w:val="28"/>
          <w:lang w:val="kk-KZ"/>
        </w:rPr>
        <w:t>сь гипераполипопротеинемией В (р=0,0001), гиперхолестеринемией (р=0,002), высоким</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 xml:space="preserve">уровнем ЛПВП (р=0,02), гиперинсулинемией (р=0,0001), гипергликемией (р=0,047) и </w:t>
      </w:r>
      <w:r w:rsidR="00265E70">
        <w:rPr>
          <w:rFonts w:ascii="Times New Roman" w:hAnsi="Times New Roman" w:cs="Times New Roman"/>
          <w:sz w:val="28"/>
          <w:szCs w:val="28"/>
          <w:lang w:val="kk-KZ"/>
        </w:rPr>
        <w:t xml:space="preserve">высоким </w:t>
      </w:r>
      <w:r w:rsidR="00014A95">
        <w:rPr>
          <w:rFonts w:ascii="Times New Roman" w:hAnsi="Times New Roman" w:cs="Times New Roman"/>
          <w:sz w:val="28"/>
          <w:szCs w:val="28"/>
          <w:lang w:val="kk-KZ"/>
        </w:rPr>
        <w:t>значени</w:t>
      </w:r>
      <w:r w:rsidR="00265E70">
        <w:rPr>
          <w:rFonts w:ascii="Times New Roman" w:hAnsi="Times New Roman" w:cs="Times New Roman"/>
          <w:sz w:val="28"/>
          <w:szCs w:val="28"/>
          <w:lang w:val="kk-KZ"/>
        </w:rPr>
        <w:t xml:space="preserve">ем </w:t>
      </w:r>
      <w:r w:rsidR="003E4670">
        <w:rPr>
          <w:rFonts w:ascii="Times New Roman" w:hAnsi="Times New Roman"/>
          <w:sz w:val="28"/>
          <w:szCs w:val="28"/>
        </w:rPr>
        <w:t>HOMA-IR</w:t>
      </w:r>
      <w:r w:rsidR="00AB12B3">
        <w:rPr>
          <w:rFonts w:ascii="Times New Roman" w:hAnsi="Times New Roman" w:cs="Times New Roman"/>
          <w:sz w:val="28"/>
          <w:szCs w:val="28"/>
          <w:lang w:val="kk-KZ"/>
        </w:rPr>
        <w:t xml:space="preserve"> (р=0,0001). При</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гипераполипопротеинемией В чаще</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наблюдались</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высоки</w:t>
      </w:r>
      <w:r w:rsidR="00BE70D9">
        <w:rPr>
          <w:rFonts w:ascii="Times New Roman" w:hAnsi="Times New Roman" w:cs="Times New Roman"/>
          <w:sz w:val="28"/>
          <w:szCs w:val="28"/>
          <w:lang w:val="kk-KZ"/>
        </w:rPr>
        <w:t>й</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уров</w:t>
      </w:r>
      <w:r w:rsidR="00BE70D9">
        <w:rPr>
          <w:rFonts w:ascii="Times New Roman" w:hAnsi="Times New Roman" w:cs="Times New Roman"/>
          <w:sz w:val="28"/>
          <w:szCs w:val="28"/>
          <w:lang w:val="kk-KZ"/>
        </w:rPr>
        <w:t>е</w:t>
      </w:r>
      <w:r w:rsidR="00AB12B3">
        <w:rPr>
          <w:rFonts w:ascii="Times New Roman" w:hAnsi="Times New Roman" w:cs="Times New Roman"/>
          <w:sz w:val="28"/>
          <w:szCs w:val="28"/>
          <w:lang w:val="kk-KZ"/>
        </w:rPr>
        <w:t>н</w:t>
      </w:r>
      <w:r w:rsidR="00BE70D9">
        <w:rPr>
          <w:rFonts w:ascii="Times New Roman" w:hAnsi="Times New Roman" w:cs="Times New Roman"/>
          <w:sz w:val="28"/>
          <w:szCs w:val="28"/>
          <w:lang w:val="kk-KZ"/>
        </w:rPr>
        <w:t>ь</w:t>
      </w:r>
      <w:r w:rsidR="00216191">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 xml:space="preserve">инсулина (р=0,0001) и </w:t>
      </w:r>
      <w:r w:rsidR="00E2178A">
        <w:rPr>
          <w:rFonts w:ascii="Times New Roman" w:hAnsi="Times New Roman" w:cs="Times New Roman"/>
          <w:sz w:val="28"/>
          <w:szCs w:val="28"/>
          <w:lang w:val="kk-KZ"/>
        </w:rPr>
        <w:t xml:space="preserve">высокое значение </w:t>
      </w:r>
      <w:r w:rsidR="00AB12B3">
        <w:rPr>
          <w:rFonts w:ascii="Times New Roman" w:hAnsi="Times New Roman"/>
          <w:sz w:val="28"/>
          <w:szCs w:val="28"/>
        </w:rPr>
        <w:t xml:space="preserve">HOMA-IR </w:t>
      </w:r>
      <w:r w:rsidR="00AB12B3">
        <w:rPr>
          <w:rFonts w:ascii="Times New Roman" w:hAnsi="Times New Roman" w:cs="Times New Roman"/>
          <w:sz w:val="28"/>
          <w:szCs w:val="28"/>
          <w:lang w:val="kk-KZ"/>
        </w:rPr>
        <w:t xml:space="preserve">(р=0,0001). </w:t>
      </w:r>
      <w:r w:rsidR="005E3DAE">
        <w:rPr>
          <w:rFonts w:ascii="Times New Roman" w:hAnsi="Times New Roman" w:cs="Times New Roman"/>
          <w:sz w:val="28"/>
          <w:szCs w:val="28"/>
        </w:rPr>
        <w:t>Повышенный</w:t>
      </w:r>
      <w:r w:rsidR="005E3DAE" w:rsidRPr="003E66F3">
        <w:rPr>
          <w:rFonts w:ascii="Times New Roman" w:hAnsi="Times New Roman" w:cs="Times New Roman"/>
          <w:sz w:val="28"/>
          <w:szCs w:val="28"/>
        </w:rPr>
        <w:t xml:space="preserve"> уров</w:t>
      </w:r>
      <w:r w:rsidR="005E3DAE">
        <w:rPr>
          <w:rFonts w:ascii="Times New Roman" w:hAnsi="Times New Roman" w:cs="Times New Roman"/>
          <w:sz w:val="28"/>
          <w:szCs w:val="28"/>
        </w:rPr>
        <w:t>е</w:t>
      </w:r>
      <w:r w:rsidR="005E3DAE" w:rsidRPr="003E66F3">
        <w:rPr>
          <w:rFonts w:ascii="Times New Roman" w:hAnsi="Times New Roman" w:cs="Times New Roman"/>
          <w:sz w:val="28"/>
          <w:szCs w:val="28"/>
        </w:rPr>
        <w:t>н</w:t>
      </w:r>
      <w:r w:rsidR="005E3DAE">
        <w:rPr>
          <w:rFonts w:ascii="Times New Roman" w:hAnsi="Times New Roman" w:cs="Times New Roman"/>
          <w:sz w:val="28"/>
          <w:szCs w:val="28"/>
        </w:rPr>
        <w:t>ь</w:t>
      </w:r>
      <w:r w:rsidR="005E3DAE" w:rsidRPr="003E66F3">
        <w:rPr>
          <w:rFonts w:ascii="Times New Roman" w:hAnsi="Times New Roman" w:cs="Times New Roman"/>
          <w:sz w:val="28"/>
          <w:szCs w:val="28"/>
        </w:rPr>
        <w:t xml:space="preserve"> апоА1 сопровождался низким</w:t>
      </w:r>
      <w:r w:rsidR="009D5AB7">
        <w:rPr>
          <w:rFonts w:ascii="Times New Roman" w:hAnsi="Times New Roman" w:cs="Times New Roman"/>
          <w:sz w:val="28"/>
          <w:szCs w:val="28"/>
        </w:rPr>
        <w:t xml:space="preserve"> уровн</w:t>
      </w:r>
      <w:r w:rsidR="009D5AB7">
        <w:rPr>
          <w:rFonts w:ascii="Times New Roman" w:hAnsi="Times New Roman" w:cs="Times New Roman"/>
          <w:sz w:val="28"/>
          <w:szCs w:val="28"/>
          <w:lang w:val="kk-KZ"/>
        </w:rPr>
        <w:t>ем</w:t>
      </w:r>
      <w:r w:rsidR="005E3DAE" w:rsidRPr="003E66F3">
        <w:rPr>
          <w:rFonts w:ascii="Times New Roman" w:hAnsi="Times New Roman" w:cs="Times New Roman"/>
          <w:sz w:val="28"/>
          <w:szCs w:val="28"/>
        </w:rPr>
        <w:t xml:space="preserve"> инсулина</w:t>
      </w:r>
      <w:r w:rsidR="005E3DAE" w:rsidRPr="00BD3B69">
        <w:rPr>
          <w:rFonts w:ascii="Times New Roman" w:hAnsi="Times New Roman"/>
          <w:sz w:val="28"/>
          <w:szCs w:val="28"/>
        </w:rPr>
        <w:t>.</w:t>
      </w:r>
      <w:r w:rsidR="00216191">
        <w:rPr>
          <w:rFonts w:ascii="Times New Roman" w:hAnsi="Times New Roman"/>
          <w:sz w:val="28"/>
          <w:szCs w:val="28"/>
        </w:rPr>
        <w:t xml:space="preserve"> </w:t>
      </w:r>
      <w:r w:rsidR="00AB12B3">
        <w:rPr>
          <w:rFonts w:ascii="Times New Roman" w:hAnsi="Times New Roman" w:cs="Times New Roman"/>
          <w:sz w:val="28"/>
          <w:szCs w:val="28"/>
          <w:lang w:val="kk-KZ"/>
        </w:rPr>
        <w:t>И</w:t>
      </w:r>
      <w:r w:rsidR="003E4670">
        <w:rPr>
          <w:rFonts w:ascii="Times New Roman" w:hAnsi="Times New Roman" w:cs="Times New Roman"/>
          <w:sz w:val="28"/>
          <w:szCs w:val="28"/>
          <w:lang w:val="kk-KZ"/>
        </w:rPr>
        <w:t xml:space="preserve">нсулинорезистентность </w:t>
      </w:r>
      <w:r w:rsidR="00AB12B3">
        <w:rPr>
          <w:rFonts w:ascii="Times New Roman" w:hAnsi="Times New Roman" w:cs="Times New Roman"/>
          <w:sz w:val="28"/>
          <w:szCs w:val="28"/>
          <w:lang w:val="kk-KZ"/>
        </w:rPr>
        <w:t>был</w:t>
      </w:r>
      <w:r w:rsidR="00EC3B40">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связан с уровнем</w:t>
      </w:r>
      <w:r w:rsidR="00EC3B40">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апоВ (р=0,004) и ТГ (р=0,0001).</w:t>
      </w:r>
      <w:r w:rsidR="004669DD">
        <w:rPr>
          <w:rFonts w:ascii="Times New Roman" w:hAnsi="Times New Roman" w:cs="Times New Roman"/>
          <w:sz w:val="28"/>
          <w:szCs w:val="28"/>
          <w:lang w:val="kk-KZ"/>
        </w:rPr>
        <w:t xml:space="preserve"> </w:t>
      </w:r>
      <w:r w:rsidR="00507863">
        <w:rPr>
          <w:rFonts w:ascii="Times New Roman" w:hAnsi="Times New Roman" w:cs="Times New Roman"/>
          <w:sz w:val="28"/>
          <w:szCs w:val="28"/>
        </w:rPr>
        <w:t xml:space="preserve">Была обнаружена взаимосвязь между </w:t>
      </w:r>
      <w:r w:rsidR="00BE70D9">
        <w:rPr>
          <w:rFonts w:ascii="Times New Roman" w:hAnsi="Times New Roman" w:cs="Times New Roman"/>
          <w:sz w:val="28"/>
          <w:szCs w:val="28"/>
          <w:lang w:val="kk-KZ"/>
        </w:rPr>
        <w:t>значение</w:t>
      </w:r>
      <w:r w:rsidR="00507863">
        <w:rPr>
          <w:rFonts w:ascii="Times New Roman" w:hAnsi="Times New Roman" w:cs="Times New Roman"/>
          <w:sz w:val="28"/>
          <w:szCs w:val="28"/>
        </w:rPr>
        <w:t>м соотношени</w:t>
      </w:r>
      <w:r w:rsidR="00BE70D9">
        <w:rPr>
          <w:rFonts w:ascii="Times New Roman" w:hAnsi="Times New Roman" w:cs="Times New Roman"/>
          <w:sz w:val="28"/>
          <w:szCs w:val="28"/>
        </w:rPr>
        <w:t>я</w:t>
      </w:r>
      <w:r w:rsidR="00507863">
        <w:rPr>
          <w:rFonts w:ascii="Times New Roman" w:hAnsi="Times New Roman" w:cs="Times New Roman"/>
          <w:sz w:val="28"/>
          <w:szCs w:val="28"/>
        </w:rPr>
        <w:t xml:space="preserve"> апоВ/апоА1 и </w:t>
      </w:r>
      <w:r w:rsidR="00507863" w:rsidRPr="00210241">
        <w:rPr>
          <w:rFonts w:ascii="Times New Roman" w:hAnsi="Times New Roman"/>
          <w:sz w:val="28"/>
          <w:szCs w:val="28"/>
        </w:rPr>
        <w:t>HOMA-IR</w:t>
      </w:r>
      <w:r w:rsidR="00507863">
        <w:rPr>
          <w:rFonts w:ascii="Times New Roman" w:hAnsi="Times New Roman"/>
          <w:sz w:val="28"/>
          <w:szCs w:val="28"/>
        </w:rPr>
        <w:t xml:space="preserve"> (р=0,03)</w:t>
      </w:r>
      <w:r w:rsidR="00507863">
        <w:rPr>
          <w:rFonts w:ascii="Times New Roman" w:hAnsi="Times New Roman" w:cs="Times New Roman"/>
          <w:sz w:val="28"/>
          <w:szCs w:val="28"/>
        </w:rPr>
        <w:t xml:space="preserve">. Была обнаружена взаимосвязь между </w:t>
      </w:r>
      <w:r w:rsidR="00BE70D9">
        <w:rPr>
          <w:rFonts w:ascii="Times New Roman" w:hAnsi="Times New Roman" w:cs="Times New Roman"/>
          <w:sz w:val="28"/>
          <w:szCs w:val="28"/>
        </w:rPr>
        <w:t>показателем соотношения</w:t>
      </w:r>
      <w:r w:rsidR="00507863">
        <w:rPr>
          <w:rFonts w:ascii="Times New Roman" w:hAnsi="Times New Roman" w:cs="Times New Roman"/>
          <w:sz w:val="28"/>
          <w:szCs w:val="28"/>
        </w:rPr>
        <w:t xml:space="preserve"> апоВ/апоА1 и </w:t>
      </w:r>
      <w:r w:rsidR="00507863" w:rsidRPr="00210241">
        <w:rPr>
          <w:rFonts w:ascii="Times New Roman" w:hAnsi="Times New Roman"/>
          <w:sz w:val="28"/>
          <w:szCs w:val="28"/>
        </w:rPr>
        <w:t>HOMA-IR</w:t>
      </w:r>
      <w:r w:rsidR="00507863">
        <w:rPr>
          <w:rFonts w:ascii="Times New Roman" w:hAnsi="Times New Roman"/>
          <w:sz w:val="28"/>
          <w:szCs w:val="28"/>
        </w:rPr>
        <w:t xml:space="preserve"> (р=0,03)</w:t>
      </w:r>
      <w:r w:rsidR="00507863">
        <w:rPr>
          <w:rFonts w:ascii="Times New Roman" w:hAnsi="Times New Roman" w:cs="Times New Roman"/>
          <w:sz w:val="28"/>
          <w:szCs w:val="28"/>
        </w:rPr>
        <w:t xml:space="preserve">. </w:t>
      </w:r>
      <w:r w:rsidR="00507863">
        <w:rPr>
          <w:rFonts w:ascii="Times New Roman" w:hAnsi="Times New Roman" w:cs="Times New Roman"/>
          <w:sz w:val="28"/>
          <w:szCs w:val="28"/>
          <w:lang w:val="kk-KZ"/>
        </w:rPr>
        <w:t xml:space="preserve">Шанс развития риска </w:t>
      </w:r>
      <w:r w:rsidR="00E2178A">
        <w:rPr>
          <w:rFonts w:ascii="Times New Roman" w:hAnsi="Times New Roman" w:cs="Times New Roman"/>
          <w:sz w:val="28"/>
          <w:szCs w:val="28"/>
          <w:lang w:val="kk-KZ"/>
        </w:rPr>
        <w:t>инсулинорезистентности</w:t>
      </w:r>
      <w:r w:rsidR="00507863">
        <w:rPr>
          <w:rFonts w:ascii="Times New Roman" w:hAnsi="Times New Roman" w:cs="Times New Roman"/>
          <w:sz w:val="28"/>
          <w:szCs w:val="28"/>
          <w:lang w:val="kk-KZ"/>
        </w:rPr>
        <w:t xml:space="preserve"> повышался на 1,49 раз при соотношении апоВ/апоА1 от 0,57 до 0,70. А при соотношении апоВ/апоА1 от 0,71 до 0,85 и выше 0,86 риск развития </w:t>
      </w:r>
      <w:r w:rsidR="00E2178A">
        <w:rPr>
          <w:rFonts w:ascii="Times New Roman" w:hAnsi="Times New Roman" w:cs="Times New Roman"/>
          <w:sz w:val="28"/>
          <w:szCs w:val="28"/>
          <w:lang w:val="kk-KZ"/>
        </w:rPr>
        <w:t>инсулинорезистентности</w:t>
      </w:r>
      <w:r w:rsidR="00507863">
        <w:rPr>
          <w:rFonts w:ascii="Times New Roman" w:hAnsi="Times New Roman" w:cs="Times New Roman"/>
          <w:sz w:val="28"/>
          <w:szCs w:val="28"/>
          <w:lang w:val="kk-KZ"/>
        </w:rPr>
        <w:t xml:space="preserve"> повышался на 1,93 раза и на 1,84 раза, соответственно. </w:t>
      </w:r>
      <w:r w:rsidR="006839E4">
        <w:rPr>
          <w:rFonts w:ascii="Times New Roman" w:hAnsi="Times New Roman" w:cs="Times New Roman"/>
          <w:sz w:val="28"/>
          <w:szCs w:val="28"/>
        </w:rPr>
        <w:t>Уровни</w:t>
      </w:r>
      <w:r w:rsidR="00EC3B40">
        <w:rPr>
          <w:rFonts w:ascii="Times New Roman" w:hAnsi="Times New Roman" w:cs="Times New Roman"/>
          <w:sz w:val="28"/>
          <w:szCs w:val="28"/>
        </w:rPr>
        <w:t xml:space="preserve"> </w:t>
      </w:r>
      <w:r w:rsidR="006839E4">
        <w:rPr>
          <w:rFonts w:ascii="Times New Roman" w:hAnsi="Times New Roman" w:cs="Times New Roman"/>
          <w:sz w:val="28"/>
          <w:szCs w:val="28"/>
        </w:rPr>
        <w:t xml:space="preserve">инсулина и </w:t>
      </w:r>
      <w:r w:rsidR="006839E4">
        <w:rPr>
          <w:rFonts w:ascii="Times New Roman" w:hAnsi="Times New Roman"/>
          <w:sz w:val="28"/>
          <w:szCs w:val="28"/>
        </w:rPr>
        <w:t xml:space="preserve">HOMA-IR </w:t>
      </w:r>
      <w:r w:rsidR="006839E4">
        <w:rPr>
          <w:rFonts w:ascii="Times New Roman" w:hAnsi="Times New Roman" w:cs="Times New Roman"/>
          <w:sz w:val="28"/>
          <w:szCs w:val="28"/>
          <w:lang w:val="kk-KZ"/>
        </w:rPr>
        <w:t>имели слабую положительную корреляцию</w:t>
      </w:r>
      <w:r w:rsidR="006839E4">
        <w:rPr>
          <w:rFonts w:ascii="Times New Roman" w:hAnsi="Times New Roman" w:cs="Times New Roman"/>
          <w:sz w:val="28"/>
          <w:szCs w:val="28"/>
        </w:rPr>
        <w:t xml:space="preserve"> с уровн</w:t>
      </w:r>
      <w:r w:rsidR="00BE70D9">
        <w:rPr>
          <w:rFonts w:ascii="Times New Roman" w:hAnsi="Times New Roman" w:cs="Times New Roman"/>
          <w:sz w:val="28"/>
          <w:szCs w:val="28"/>
        </w:rPr>
        <w:t>я</w:t>
      </w:r>
      <w:r w:rsidR="006839E4">
        <w:rPr>
          <w:rFonts w:ascii="Times New Roman" w:hAnsi="Times New Roman" w:cs="Times New Roman"/>
          <w:sz w:val="28"/>
          <w:szCs w:val="28"/>
        </w:rPr>
        <w:t>м</w:t>
      </w:r>
      <w:r w:rsidR="00BE70D9">
        <w:rPr>
          <w:rFonts w:ascii="Times New Roman" w:hAnsi="Times New Roman" w:cs="Times New Roman"/>
          <w:sz w:val="28"/>
          <w:szCs w:val="28"/>
        </w:rPr>
        <w:t>и</w:t>
      </w:r>
      <w:r w:rsidR="006839E4">
        <w:rPr>
          <w:rFonts w:ascii="Times New Roman" w:hAnsi="Times New Roman" w:cs="Times New Roman"/>
          <w:sz w:val="28"/>
          <w:szCs w:val="28"/>
        </w:rPr>
        <w:t xml:space="preserve"> ТГ (р=0,0001; р=0,0001) и апоВ (р=0,003; р=0,002), соответственно.</w:t>
      </w:r>
      <w:r w:rsidR="00EC3B40">
        <w:rPr>
          <w:rFonts w:ascii="Times New Roman" w:hAnsi="Times New Roman" w:cs="Times New Roman"/>
          <w:sz w:val="28"/>
          <w:szCs w:val="28"/>
        </w:rPr>
        <w:t xml:space="preserve"> </w:t>
      </w:r>
      <w:r w:rsidR="00DC5287">
        <w:rPr>
          <w:rFonts w:ascii="Times New Roman" w:hAnsi="Times New Roman" w:cs="Times New Roman"/>
          <w:sz w:val="28"/>
          <w:szCs w:val="28"/>
        </w:rPr>
        <w:t>Также была установлена слабая негативная корреляция между уровнями инсулина и ЛПНП (р=0,02)</w:t>
      </w:r>
      <w:r w:rsidR="00565D32">
        <w:rPr>
          <w:rFonts w:ascii="Times New Roman" w:hAnsi="Times New Roman" w:cs="Times New Roman"/>
          <w:sz w:val="28"/>
          <w:szCs w:val="28"/>
          <w:lang w:val="kk-KZ"/>
        </w:rPr>
        <w:t>,</w:t>
      </w:r>
      <w:r w:rsidR="00DC5287">
        <w:rPr>
          <w:rFonts w:ascii="Times New Roman" w:hAnsi="Times New Roman" w:cs="Times New Roman"/>
          <w:sz w:val="28"/>
          <w:szCs w:val="28"/>
        </w:rPr>
        <w:t xml:space="preserve"> инсулина и ОХС (р=0,05). Между уровнями инсулина и глюкозы была выявлена слабая положительная корреляция (р=0,04). </w:t>
      </w:r>
      <w:r w:rsidR="00E2178A">
        <w:rPr>
          <w:rFonts w:ascii="Times New Roman" w:hAnsi="Times New Roman" w:cs="Times New Roman"/>
          <w:sz w:val="28"/>
          <w:szCs w:val="28"/>
        </w:rPr>
        <w:t>Значение</w:t>
      </w:r>
      <w:r w:rsidR="00EC3B40">
        <w:rPr>
          <w:rFonts w:ascii="Times New Roman" w:hAnsi="Times New Roman" w:cs="Times New Roman"/>
          <w:sz w:val="28"/>
          <w:szCs w:val="28"/>
        </w:rPr>
        <w:t xml:space="preserve"> </w:t>
      </w:r>
      <w:r w:rsidR="00DC5287">
        <w:rPr>
          <w:rFonts w:ascii="Times New Roman" w:hAnsi="Times New Roman"/>
          <w:sz w:val="28"/>
          <w:szCs w:val="28"/>
        </w:rPr>
        <w:t xml:space="preserve">HOMA-IR был слабо негативно коррелирован с уровнем апоА1 </w:t>
      </w:r>
      <w:r w:rsidR="00DC5287">
        <w:rPr>
          <w:rFonts w:ascii="Times New Roman" w:hAnsi="Times New Roman" w:cs="Times New Roman"/>
          <w:sz w:val="28"/>
          <w:szCs w:val="28"/>
        </w:rPr>
        <w:t xml:space="preserve">(р=0,02), а с </w:t>
      </w:r>
      <w:r w:rsidR="006A5DEA">
        <w:rPr>
          <w:rFonts w:ascii="Times New Roman" w:hAnsi="Times New Roman" w:cs="Times New Roman"/>
          <w:sz w:val="28"/>
          <w:szCs w:val="28"/>
        </w:rPr>
        <w:t>значением</w:t>
      </w:r>
      <w:r w:rsidR="00DC5287">
        <w:rPr>
          <w:rFonts w:ascii="Times New Roman" w:hAnsi="Times New Roman" w:cs="Times New Roman"/>
          <w:sz w:val="28"/>
          <w:szCs w:val="28"/>
        </w:rPr>
        <w:t xml:space="preserve"> апоВ/апоА1 – слабо положительную корреляцию (р=0,001)</w:t>
      </w:r>
      <w:r w:rsidR="00DC5287">
        <w:rPr>
          <w:rFonts w:ascii="Times New Roman" w:hAnsi="Times New Roman"/>
          <w:sz w:val="28"/>
          <w:szCs w:val="28"/>
        </w:rPr>
        <w:t>.</w:t>
      </w:r>
      <w:r w:rsidR="00EC3B40">
        <w:rPr>
          <w:rFonts w:ascii="Times New Roman" w:hAnsi="Times New Roman"/>
          <w:sz w:val="28"/>
          <w:szCs w:val="28"/>
        </w:rPr>
        <w:t xml:space="preserve"> </w:t>
      </w:r>
      <w:r w:rsidR="00AB12B3">
        <w:rPr>
          <w:rFonts w:ascii="Times New Roman" w:hAnsi="Times New Roman" w:cs="Times New Roman"/>
          <w:sz w:val="28"/>
          <w:szCs w:val="28"/>
        </w:rPr>
        <w:t>Уровень апоВ имел достоверную корреляционную связь с уровнями ОХС (р=0,001) и ТГ (р=0,0001). Уровень глюкозы имел корреляционную значимую связь с уровн</w:t>
      </w:r>
      <w:r w:rsidR="006A5DEA">
        <w:rPr>
          <w:rFonts w:ascii="Times New Roman" w:hAnsi="Times New Roman" w:cs="Times New Roman"/>
          <w:sz w:val="28"/>
          <w:szCs w:val="28"/>
        </w:rPr>
        <w:t>ем</w:t>
      </w:r>
      <w:r w:rsidR="00AB12B3">
        <w:rPr>
          <w:rFonts w:ascii="Times New Roman" w:hAnsi="Times New Roman" w:cs="Times New Roman"/>
          <w:sz w:val="28"/>
          <w:szCs w:val="28"/>
        </w:rPr>
        <w:t xml:space="preserve"> ТГ (р=0,003) и </w:t>
      </w:r>
      <w:r w:rsidR="006A5DEA">
        <w:rPr>
          <w:rFonts w:ascii="Times New Roman" w:hAnsi="Times New Roman" w:cs="Times New Roman"/>
          <w:sz w:val="28"/>
          <w:szCs w:val="28"/>
        </w:rPr>
        <w:t xml:space="preserve">значением </w:t>
      </w:r>
      <w:r w:rsidR="00AB12B3">
        <w:rPr>
          <w:rFonts w:ascii="Times New Roman" w:hAnsi="Times New Roman" w:cs="Times New Roman"/>
          <w:sz w:val="28"/>
          <w:szCs w:val="28"/>
        </w:rPr>
        <w:t>апоВ/апоА1 (р=0,004).</w:t>
      </w:r>
      <w:r w:rsidR="00EC3B40">
        <w:rPr>
          <w:rFonts w:ascii="Times New Roman" w:hAnsi="Times New Roman" w:cs="Times New Roman"/>
          <w:sz w:val="28"/>
          <w:szCs w:val="28"/>
        </w:rPr>
        <w:t xml:space="preserve"> </w:t>
      </w:r>
      <w:r w:rsidR="004669DD" w:rsidRPr="00BB71C8">
        <w:rPr>
          <w:rFonts w:ascii="Times New Roman" w:hAnsi="Times New Roman" w:cs="Times New Roman"/>
          <w:sz w:val="28"/>
          <w:szCs w:val="28"/>
        </w:rPr>
        <w:t>При проведении множественной логистической регрессии между факторами риска и биохимическими показателями было выявлено, что у</w:t>
      </w:r>
      <w:r w:rsidR="004669DD">
        <w:rPr>
          <w:rFonts w:ascii="Times New Roman" w:hAnsi="Times New Roman" w:cs="Times New Roman"/>
          <w:sz w:val="28"/>
          <w:szCs w:val="28"/>
        </w:rPr>
        <w:t>величение ИМТ на 1 кг/м</w:t>
      </w:r>
      <w:r w:rsidR="004669DD" w:rsidRPr="0014686D">
        <w:rPr>
          <w:rFonts w:ascii="Times New Roman" w:hAnsi="Times New Roman" w:cs="Times New Roman"/>
          <w:sz w:val="28"/>
          <w:szCs w:val="28"/>
          <w:vertAlign w:val="superscript"/>
        </w:rPr>
        <w:t>2</w:t>
      </w:r>
      <w:r w:rsidR="00BE70D9">
        <w:rPr>
          <w:rFonts w:ascii="Times New Roman" w:hAnsi="Times New Roman" w:cs="Times New Roman"/>
          <w:sz w:val="28"/>
          <w:szCs w:val="28"/>
        </w:rPr>
        <w:t xml:space="preserve"> увеличивал шанс</w:t>
      </w:r>
      <w:r w:rsidR="004669DD">
        <w:rPr>
          <w:rFonts w:ascii="Times New Roman" w:hAnsi="Times New Roman" w:cs="Times New Roman"/>
          <w:sz w:val="28"/>
          <w:szCs w:val="28"/>
        </w:rPr>
        <w:t xml:space="preserve"> гипертриглицеридемии</w:t>
      </w:r>
      <w:r w:rsidR="00A6234D">
        <w:rPr>
          <w:rFonts w:ascii="Times New Roman" w:hAnsi="Times New Roman" w:cs="Times New Roman"/>
          <w:sz w:val="28"/>
          <w:szCs w:val="28"/>
        </w:rPr>
        <w:t xml:space="preserve"> (р=0,0001)</w:t>
      </w:r>
      <w:r w:rsidR="004669DD">
        <w:rPr>
          <w:rFonts w:ascii="Times New Roman" w:hAnsi="Times New Roman"/>
          <w:sz w:val="28"/>
          <w:szCs w:val="28"/>
        </w:rPr>
        <w:t>; а к</w:t>
      </w:r>
      <w:r w:rsidR="00BE70D9">
        <w:rPr>
          <w:rFonts w:ascii="Times New Roman" w:hAnsi="Times New Roman" w:cs="Times New Roman"/>
          <w:sz w:val="28"/>
          <w:szCs w:val="28"/>
        </w:rPr>
        <w:t>урение увеличивает шанс</w:t>
      </w:r>
      <w:r w:rsidR="004669DD">
        <w:rPr>
          <w:rFonts w:ascii="Times New Roman" w:hAnsi="Times New Roman" w:cs="Times New Roman"/>
          <w:sz w:val="28"/>
          <w:szCs w:val="28"/>
        </w:rPr>
        <w:t xml:space="preserve"> низкого уровня апоА1 </w:t>
      </w:r>
      <w:r w:rsidR="00A6234D">
        <w:rPr>
          <w:rFonts w:ascii="Times New Roman" w:hAnsi="Times New Roman" w:cs="Times New Roman"/>
          <w:sz w:val="28"/>
          <w:szCs w:val="28"/>
        </w:rPr>
        <w:t>(р=0,0001)</w:t>
      </w:r>
      <w:r w:rsidR="004669DD">
        <w:rPr>
          <w:rFonts w:ascii="Times New Roman" w:hAnsi="Times New Roman"/>
          <w:sz w:val="28"/>
          <w:szCs w:val="28"/>
        </w:rPr>
        <w:t>; также у</w:t>
      </w:r>
      <w:r w:rsidR="004669DD">
        <w:rPr>
          <w:rFonts w:ascii="Times New Roman" w:hAnsi="Times New Roman" w:cs="Times New Roman"/>
          <w:sz w:val="28"/>
          <w:szCs w:val="28"/>
        </w:rPr>
        <w:t xml:space="preserve">величение возраста на 1 год увеличивает шанс гипераполипопротеинемии В </w:t>
      </w:r>
      <w:r w:rsidR="00A6234D">
        <w:rPr>
          <w:rFonts w:ascii="Times New Roman" w:hAnsi="Times New Roman" w:cs="Times New Roman"/>
          <w:sz w:val="28"/>
          <w:szCs w:val="28"/>
        </w:rPr>
        <w:t>(</w:t>
      </w:r>
      <w:r w:rsidR="00D91690">
        <w:rPr>
          <w:rFonts w:ascii="Times New Roman" w:hAnsi="Times New Roman" w:cs="Times New Roman"/>
          <w:sz w:val="28"/>
          <w:szCs w:val="28"/>
        </w:rPr>
        <w:t>р=</w:t>
      </w:r>
      <w:r w:rsidR="00A6234D">
        <w:rPr>
          <w:rFonts w:ascii="Times New Roman" w:hAnsi="Times New Roman" w:cs="Times New Roman"/>
          <w:sz w:val="28"/>
          <w:szCs w:val="28"/>
        </w:rPr>
        <w:t>0,04)</w:t>
      </w:r>
      <w:r w:rsidR="004669DD">
        <w:rPr>
          <w:rFonts w:ascii="Times New Roman" w:hAnsi="Times New Roman"/>
          <w:sz w:val="28"/>
          <w:szCs w:val="28"/>
        </w:rPr>
        <w:t>;</w:t>
      </w:r>
      <w:r w:rsidR="004669DD" w:rsidRPr="00BB71C8">
        <w:rPr>
          <w:rFonts w:ascii="Times New Roman" w:hAnsi="Times New Roman" w:cs="Times New Roman"/>
          <w:sz w:val="28"/>
          <w:szCs w:val="28"/>
        </w:rPr>
        <w:t xml:space="preserve"> </w:t>
      </w:r>
      <w:r w:rsidR="004669DD">
        <w:rPr>
          <w:rFonts w:ascii="Times New Roman" w:hAnsi="Times New Roman" w:cs="Times New Roman"/>
          <w:sz w:val="28"/>
          <w:szCs w:val="28"/>
        </w:rPr>
        <w:t xml:space="preserve">мужской пол снижает шанс </w:t>
      </w:r>
      <w:r w:rsidR="003E4670">
        <w:rPr>
          <w:rFonts w:ascii="Times New Roman" w:hAnsi="Times New Roman" w:cs="Times New Roman"/>
          <w:sz w:val="28"/>
          <w:szCs w:val="28"/>
        </w:rPr>
        <w:t>инсулинорезистентности</w:t>
      </w:r>
      <w:r w:rsidR="004669DD">
        <w:rPr>
          <w:rFonts w:ascii="Times New Roman" w:hAnsi="Times New Roman" w:cs="Times New Roman"/>
          <w:sz w:val="28"/>
          <w:szCs w:val="28"/>
        </w:rPr>
        <w:t xml:space="preserve"> </w:t>
      </w:r>
      <w:r w:rsidR="00A6234D">
        <w:rPr>
          <w:rFonts w:ascii="Times New Roman" w:hAnsi="Times New Roman" w:cs="Times New Roman"/>
          <w:sz w:val="28"/>
          <w:szCs w:val="28"/>
        </w:rPr>
        <w:t>(</w:t>
      </w:r>
      <w:r w:rsidR="00D91690">
        <w:rPr>
          <w:rFonts w:ascii="Times New Roman" w:hAnsi="Times New Roman" w:cs="Times New Roman"/>
          <w:sz w:val="28"/>
          <w:szCs w:val="28"/>
        </w:rPr>
        <w:t>р=</w:t>
      </w:r>
      <w:r w:rsidR="00A6234D">
        <w:rPr>
          <w:rFonts w:ascii="Times New Roman" w:hAnsi="Times New Roman" w:cs="Times New Roman"/>
          <w:sz w:val="28"/>
          <w:szCs w:val="28"/>
        </w:rPr>
        <w:t>0,02)</w:t>
      </w:r>
      <w:r w:rsidR="004669DD">
        <w:rPr>
          <w:rFonts w:ascii="Times New Roman" w:hAnsi="Times New Roman"/>
          <w:sz w:val="28"/>
          <w:szCs w:val="28"/>
        </w:rPr>
        <w:t>.</w:t>
      </w:r>
      <w:r w:rsidR="0090592C">
        <w:rPr>
          <w:rFonts w:ascii="Times New Roman" w:hAnsi="Times New Roman"/>
          <w:sz w:val="28"/>
          <w:szCs w:val="28"/>
        </w:rPr>
        <w:t xml:space="preserve"> </w:t>
      </w:r>
      <w:r w:rsidR="006839E4" w:rsidRPr="00EC3B40">
        <w:rPr>
          <w:rFonts w:ascii="Times New Roman" w:hAnsi="Times New Roman"/>
          <w:sz w:val="28"/>
          <w:szCs w:val="28"/>
        </w:rPr>
        <w:t xml:space="preserve">Также мы обнаружили, что уровень инсулина зависит от ИМТ (р=0,03), у </w:t>
      </w:r>
      <w:r w:rsidR="00BE70D9">
        <w:rPr>
          <w:rFonts w:ascii="Times New Roman" w:hAnsi="Times New Roman"/>
          <w:sz w:val="28"/>
          <w:szCs w:val="28"/>
        </w:rPr>
        <w:t>участник</w:t>
      </w:r>
      <w:r w:rsidR="006839E4" w:rsidRPr="00EC3B40">
        <w:rPr>
          <w:rFonts w:ascii="Times New Roman" w:hAnsi="Times New Roman"/>
          <w:sz w:val="28"/>
          <w:szCs w:val="28"/>
        </w:rPr>
        <w:t>ов с избыточным весом и ожирением чаще встречалось гиперинсулинемия.</w:t>
      </w:r>
      <w:r w:rsidR="00EC3B40">
        <w:rPr>
          <w:rFonts w:ascii="Times New Roman" w:hAnsi="Times New Roman"/>
          <w:sz w:val="28"/>
          <w:szCs w:val="28"/>
        </w:rPr>
        <w:t xml:space="preserve"> </w:t>
      </w:r>
      <w:r w:rsidR="00EB3C1E">
        <w:rPr>
          <w:rFonts w:ascii="Times New Roman" w:hAnsi="Times New Roman"/>
          <w:sz w:val="28"/>
          <w:szCs w:val="28"/>
        </w:rPr>
        <w:t>Анализ у</w:t>
      </w:r>
      <w:r w:rsidR="00AB12B3" w:rsidRPr="00EC3B40">
        <w:rPr>
          <w:rFonts w:ascii="Times New Roman" w:hAnsi="Times New Roman" w:cs="Times New Roman"/>
          <w:sz w:val="28"/>
          <w:szCs w:val="28"/>
        </w:rPr>
        <w:t>ровн</w:t>
      </w:r>
      <w:r w:rsidR="00EB3C1E">
        <w:rPr>
          <w:rFonts w:ascii="Times New Roman" w:hAnsi="Times New Roman" w:cs="Times New Roman"/>
          <w:sz w:val="28"/>
          <w:szCs w:val="28"/>
        </w:rPr>
        <w:t>ей</w:t>
      </w:r>
      <w:r w:rsidR="00AB12B3" w:rsidRPr="00EC3B40">
        <w:rPr>
          <w:rFonts w:ascii="Times New Roman" w:hAnsi="Times New Roman" w:cs="Times New Roman"/>
          <w:sz w:val="28"/>
          <w:szCs w:val="28"/>
        </w:rPr>
        <w:t xml:space="preserve"> ТГ</w:t>
      </w:r>
      <w:r w:rsidR="00A72F5B">
        <w:rPr>
          <w:rFonts w:ascii="Times New Roman" w:hAnsi="Times New Roman" w:cs="Times New Roman"/>
          <w:sz w:val="28"/>
          <w:szCs w:val="28"/>
        </w:rPr>
        <w:t>,</w:t>
      </w:r>
      <w:r w:rsidR="00AB12B3" w:rsidRPr="00EC3B40">
        <w:rPr>
          <w:rFonts w:ascii="Times New Roman" w:hAnsi="Times New Roman" w:cs="Times New Roman"/>
          <w:sz w:val="28"/>
          <w:szCs w:val="28"/>
        </w:rPr>
        <w:t xml:space="preserve"> апоВ </w:t>
      </w:r>
      <w:r w:rsidR="00A72F5B">
        <w:rPr>
          <w:rFonts w:ascii="Times New Roman" w:hAnsi="Times New Roman" w:cs="Times New Roman"/>
          <w:sz w:val="28"/>
          <w:szCs w:val="28"/>
        </w:rPr>
        <w:t xml:space="preserve">и </w:t>
      </w:r>
      <w:r w:rsidR="00EB3C1E">
        <w:rPr>
          <w:rFonts w:ascii="Times New Roman" w:hAnsi="Times New Roman" w:cs="Times New Roman"/>
          <w:sz w:val="28"/>
          <w:szCs w:val="28"/>
        </w:rPr>
        <w:t xml:space="preserve">значение </w:t>
      </w:r>
      <w:r w:rsidR="00A72F5B">
        <w:rPr>
          <w:rFonts w:ascii="Times New Roman" w:hAnsi="Times New Roman" w:cs="Times New Roman"/>
          <w:sz w:val="28"/>
          <w:szCs w:val="28"/>
        </w:rPr>
        <w:t>соотношени</w:t>
      </w:r>
      <w:r w:rsidR="00EB3C1E">
        <w:rPr>
          <w:rFonts w:ascii="Times New Roman" w:hAnsi="Times New Roman" w:cs="Times New Roman"/>
          <w:sz w:val="28"/>
          <w:szCs w:val="28"/>
        </w:rPr>
        <w:t>я</w:t>
      </w:r>
      <w:r w:rsidR="00A72F5B">
        <w:rPr>
          <w:rFonts w:ascii="Times New Roman" w:hAnsi="Times New Roman" w:cs="Times New Roman"/>
          <w:sz w:val="28"/>
          <w:szCs w:val="28"/>
        </w:rPr>
        <w:t xml:space="preserve"> апоВ/апоА1 </w:t>
      </w:r>
      <w:r w:rsidR="00AB12B3" w:rsidRPr="00EC3B40">
        <w:rPr>
          <w:rFonts w:ascii="Times New Roman" w:hAnsi="Times New Roman" w:cs="Times New Roman"/>
          <w:sz w:val="28"/>
          <w:szCs w:val="28"/>
        </w:rPr>
        <w:t xml:space="preserve">могут </w:t>
      </w:r>
      <w:r w:rsidR="0059778D" w:rsidRPr="00EC3B40">
        <w:rPr>
          <w:rFonts w:ascii="Times New Roman" w:hAnsi="Times New Roman" w:cs="Times New Roman"/>
          <w:sz w:val="28"/>
          <w:szCs w:val="28"/>
        </w:rPr>
        <w:t>быть рекомендованы</w:t>
      </w:r>
      <w:r w:rsidR="00AB12B3" w:rsidRPr="00EC3B40">
        <w:rPr>
          <w:rFonts w:ascii="Times New Roman" w:hAnsi="Times New Roman" w:cs="Times New Roman"/>
          <w:sz w:val="28"/>
          <w:szCs w:val="28"/>
        </w:rPr>
        <w:t xml:space="preserve"> как ранни</w:t>
      </w:r>
      <w:r w:rsidR="0059778D" w:rsidRPr="00EC3B40">
        <w:rPr>
          <w:rFonts w:ascii="Times New Roman" w:hAnsi="Times New Roman" w:cs="Times New Roman"/>
          <w:sz w:val="28"/>
          <w:szCs w:val="28"/>
        </w:rPr>
        <w:t>е</w:t>
      </w:r>
      <w:r w:rsidR="00AB12B3">
        <w:rPr>
          <w:rFonts w:ascii="Times New Roman" w:hAnsi="Times New Roman" w:cs="Times New Roman"/>
          <w:sz w:val="28"/>
          <w:szCs w:val="28"/>
        </w:rPr>
        <w:t xml:space="preserve"> предиктор</w:t>
      </w:r>
      <w:r w:rsidR="0059778D">
        <w:rPr>
          <w:rFonts w:ascii="Times New Roman" w:hAnsi="Times New Roman" w:cs="Times New Roman"/>
          <w:sz w:val="28"/>
          <w:szCs w:val="28"/>
        </w:rPr>
        <w:t>ы</w:t>
      </w:r>
      <w:r w:rsidR="00AB12B3">
        <w:rPr>
          <w:rFonts w:ascii="Times New Roman" w:hAnsi="Times New Roman" w:cs="Times New Roman"/>
          <w:sz w:val="28"/>
          <w:szCs w:val="28"/>
        </w:rPr>
        <w:t xml:space="preserve"> риска гиперинсулинемии и инсулинорезистентности в казахской популяции.</w:t>
      </w:r>
    </w:p>
    <w:p w:rsidR="00AB12B3" w:rsidRDefault="003D6C4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lastRenderedPageBreak/>
        <w:t>3</w:t>
      </w:r>
      <w:r w:rsidR="00AB12B3">
        <w:rPr>
          <w:rFonts w:ascii="Times New Roman" w:hAnsi="Times New Roman" w:cs="Times New Roman"/>
          <w:sz w:val="28"/>
          <w:szCs w:val="28"/>
          <w:lang w:val="kk-KZ"/>
        </w:rPr>
        <w:t>. На</w:t>
      </w:r>
      <w:r w:rsidR="00127ABC">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основе</w:t>
      </w:r>
      <w:r w:rsidR="00127ABC">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полученных</w:t>
      </w:r>
      <w:r w:rsidR="00127ABC">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результатов</w:t>
      </w:r>
      <w:r w:rsidR="00127ABC">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разработаны алгоритмы прогнозировани</w:t>
      </w:r>
      <w:r w:rsidR="0059778D">
        <w:rPr>
          <w:rFonts w:ascii="Times New Roman" w:hAnsi="Times New Roman" w:cs="Times New Roman"/>
          <w:sz w:val="28"/>
          <w:szCs w:val="28"/>
          <w:lang w:val="kk-KZ"/>
        </w:rPr>
        <w:t>я</w:t>
      </w:r>
      <w:r w:rsidR="00127ABC">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риска</w:t>
      </w:r>
      <w:r w:rsidR="00127ABC">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развития</w:t>
      </w:r>
      <w:r w:rsidR="00127ABC">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дислипидемии и инсулинорезистентности в казахской</w:t>
      </w:r>
      <w:r w:rsidR="00127ABC">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популяции, где</w:t>
      </w:r>
      <w:r w:rsidR="00127ABC">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рекомендовано, что</w:t>
      </w:r>
      <w:r w:rsidR="00127ABC">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при</w:t>
      </w:r>
      <w:r w:rsidR="00127ABC">
        <w:rPr>
          <w:rFonts w:ascii="Times New Roman" w:hAnsi="Times New Roman" w:cs="Times New Roman"/>
          <w:sz w:val="28"/>
          <w:szCs w:val="28"/>
          <w:lang w:val="kk-KZ"/>
        </w:rPr>
        <w:t xml:space="preserve"> </w:t>
      </w:r>
      <w:r w:rsidR="00AB12B3">
        <w:rPr>
          <w:rFonts w:ascii="Times New Roman" w:hAnsi="Times New Roman" w:cs="Times New Roman"/>
          <w:sz w:val="28"/>
          <w:szCs w:val="28"/>
          <w:lang w:val="kk-KZ"/>
        </w:rPr>
        <w:t>выявлении</w:t>
      </w:r>
      <w:r w:rsidR="00127ABC">
        <w:rPr>
          <w:rFonts w:ascii="Times New Roman" w:hAnsi="Times New Roman" w:cs="Times New Roman"/>
          <w:sz w:val="28"/>
          <w:szCs w:val="28"/>
          <w:lang w:val="kk-KZ"/>
        </w:rPr>
        <w:t xml:space="preserve"> </w:t>
      </w:r>
      <w:r w:rsidR="00AB12B3">
        <w:rPr>
          <w:rFonts w:ascii="Times New Roman" w:hAnsi="Times New Roman" w:cs="Times New Roman"/>
          <w:sz w:val="28"/>
          <w:szCs w:val="28"/>
        </w:rPr>
        <w:t>генотипов G/G и С/G</w:t>
      </w:r>
      <w:r w:rsidR="00127ABC">
        <w:rPr>
          <w:rFonts w:ascii="Times New Roman" w:hAnsi="Times New Roman" w:cs="Times New Roman"/>
          <w:sz w:val="28"/>
          <w:szCs w:val="28"/>
        </w:rPr>
        <w:t xml:space="preserve"> </w:t>
      </w:r>
      <w:r w:rsidR="00AB12B3">
        <w:rPr>
          <w:rFonts w:ascii="Times New Roman" w:hAnsi="Times New Roman" w:cs="Times New Roman"/>
          <w:sz w:val="28"/>
          <w:szCs w:val="28"/>
          <w:lang w:val="kk-KZ"/>
        </w:rPr>
        <w:t>полиморфизма</w:t>
      </w:r>
      <w:r w:rsidR="00127ABC">
        <w:rPr>
          <w:rFonts w:ascii="Times New Roman" w:hAnsi="Times New Roman" w:cs="Times New Roman"/>
          <w:sz w:val="28"/>
          <w:szCs w:val="28"/>
          <w:lang w:val="kk-KZ"/>
        </w:rPr>
        <w:t xml:space="preserve"> </w:t>
      </w:r>
      <w:r w:rsidR="00AB12B3">
        <w:rPr>
          <w:rFonts w:ascii="Times New Roman" w:hAnsi="Times New Roman" w:cs="Times New Roman"/>
          <w:sz w:val="28"/>
          <w:szCs w:val="24"/>
        </w:rPr>
        <w:t>Ser447Ter (rs328) гена</w:t>
      </w:r>
      <w:r w:rsidR="00127ABC">
        <w:rPr>
          <w:rFonts w:ascii="Times New Roman" w:hAnsi="Times New Roman" w:cs="Times New Roman"/>
          <w:sz w:val="28"/>
          <w:szCs w:val="24"/>
        </w:rPr>
        <w:t xml:space="preserve"> </w:t>
      </w:r>
      <w:r w:rsidR="00AB12B3">
        <w:rPr>
          <w:rFonts w:ascii="Times New Roman" w:hAnsi="Times New Roman" w:cs="Times New Roman"/>
          <w:i/>
          <w:sz w:val="28"/>
          <w:szCs w:val="24"/>
        </w:rPr>
        <w:t>LPL</w:t>
      </w:r>
      <w:r w:rsidR="00AB12B3">
        <w:rPr>
          <w:rFonts w:ascii="Times New Roman" w:hAnsi="Times New Roman" w:cs="Times New Roman"/>
          <w:sz w:val="28"/>
          <w:szCs w:val="28"/>
        </w:rPr>
        <w:t xml:space="preserve"> у здоровых лиц показано дообследование на наличие</w:t>
      </w:r>
      <w:r w:rsidR="00AC39D8">
        <w:rPr>
          <w:rFonts w:ascii="Times New Roman" w:hAnsi="Times New Roman" w:cs="Times New Roman"/>
          <w:sz w:val="28"/>
          <w:szCs w:val="28"/>
        </w:rPr>
        <w:t xml:space="preserve"> </w:t>
      </w:r>
      <w:r w:rsidR="00A10564">
        <w:rPr>
          <w:rFonts w:ascii="Times New Roman" w:hAnsi="Times New Roman" w:cs="Times New Roman"/>
          <w:sz w:val="28"/>
          <w:szCs w:val="28"/>
        </w:rPr>
        <w:t>БСК</w:t>
      </w:r>
      <w:r w:rsidR="00AB12B3">
        <w:rPr>
          <w:rFonts w:ascii="Times New Roman" w:hAnsi="Times New Roman" w:cs="Times New Roman"/>
          <w:sz w:val="28"/>
          <w:szCs w:val="28"/>
        </w:rPr>
        <w:t xml:space="preserve"> и СД в казахской популяции. И наличие генотипов С/С</w:t>
      </w:r>
      <w:r w:rsidR="002E73E3">
        <w:rPr>
          <w:rFonts w:ascii="Times New Roman" w:hAnsi="Times New Roman" w:cs="Times New Roman"/>
          <w:sz w:val="28"/>
          <w:szCs w:val="28"/>
        </w:rPr>
        <w:t xml:space="preserve"> и</w:t>
      </w:r>
      <w:r w:rsidR="00AB12B3">
        <w:rPr>
          <w:rFonts w:ascii="Times New Roman" w:hAnsi="Times New Roman" w:cs="Times New Roman"/>
          <w:sz w:val="28"/>
          <w:szCs w:val="28"/>
        </w:rPr>
        <w:t xml:space="preserve"> С/G</w:t>
      </w:r>
      <w:r w:rsidR="00127ABC">
        <w:rPr>
          <w:rFonts w:ascii="Times New Roman" w:hAnsi="Times New Roman" w:cs="Times New Roman"/>
          <w:sz w:val="28"/>
          <w:szCs w:val="28"/>
        </w:rPr>
        <w:t xml:space="preserve"> </w:t>
      </w:r>
      <w:r w:rsidR="00AB12B3">
        <w:rPr>
          <w:rFonts w:ascii="Times New Roman" w:hAnsi="Times New Roman" w:cs="Times New Roman"/>
          <w:sz w:val="28"/>
          <w:szCs w:val="28"/>
          <w:lang w:val="kk-KZ"/>
        </w:rPr>
        <w:t>полиморфизма</w:t>
      </w:r>
      <w:r w:rsidR="00127ABC">
        <w:rPr>
          <w:rFonts w:ascii="Times New Roman" w:hAnsi="Times New Roman" w:cs="Times New Roman"/>
          <w:sz w:val="28"/>
          <w:szCs w:val="28"/>
          <w:lang w:val="kk-KZ"/>
        </w:rPr>
        <w:t xml:space="preserve"> </w:t>
      </w:r>
      <w:r w:rsidR="00AB12B3">
        <w:rPr>
          <w:rFonts w:ascii="Times New Roman" w:hAnsi="Times New Roman" w:cs="Times New Roman"/>
          <w:sz w:val="28"/>
          <w:szCs w:val="24"/>
        </w:rPr>
        <w:t>Ser447Ter (rs328) гена</w:t>
      </w:r>
      <w:r w:rsidR="00127ABC">
        <w:rPr>
          <w:rFonts w:ascii="Times New Roman" w:hAnsi="Times New Roman" w:cs="Times New Roman"/>
          <w:sz w:val="28"/>
          <w:szCs w:val="24"/>
        </w:rPr>
        <w:t xml:space="preserve"> </w:t>
      </w:r>
      <w:r w:rsidR="00AB12B3">
        <w:rPr>
          <w:rFonts w:ascii="Times New Roman" w:hAnsi="Times New Roman" w:cs="Times New Roman"/>
          <w:i/>
          <w:sz w:val="28"/>
          <w:szCs w:val="24"/>
        </w:rPr>
        <w:t>LPL</w:t>
      </w:r>
      <w:r w:rsidR="00127ABC">
        <w:rPr>
          <w:rFonts w:ascii="Times New Roman" w:hAnsi="Times New Roman" w:cs="Times New Roman"/>
          <w:i/>
          <w:sz w:val="28"/>
          <w:szCs w:val="24"/>
        </w:rPr>
        <w:t xml:space="preserve"> </w:t>
      </w:r>
      <w:r w:rsidR="00AB12B3">
        <w:rPr>
          <w:rFonts w:ascii="Times New Roman" w:hAnsi="Times New Roman" w:cs="Times New Roman"/>
          <w:sz w:val="28"/>
          <w:szCs w:val="24"/>
        </w:rPr>
        <w:t xml:space="preserve">дообследование на наличие инсулинорезистентности, БСК и СД. В другом алгоритме </w:t>
      </w:r>
      <w:r w:rsidR="00AB12B3">
        <w:rPr>
          <w:rFonts w:ascii="Times New Roman" w:hAnsi="Times New Roman" w:cs="Times New Roman"/>
          <w:sz w:val="28"/>
          <w:szCs w:val="28"/>
        </w:rPr>
        <w:t>при выявлении генотипов С/С и С/G</w:t>
      </w:r>
      <w:r w:rsidR="00127ABC">
        <w:rPr>
          <w:rFonts w:ascii="Times New Roman" w:hAnsi="Times New Roman" w:cs="Times New Roman"/>
          <w:sz w:val="28"/>
          <w:szCs w:val="28"/>
        </w:rPr>
        <w:t xml:space="preserve"> </w:t>
      </w:r>
      <w:r w:rsidR="00AB12B3">
        <w:rPr>
          <w:rFonts w:ascii="Times New Roman" w:hAnsi="Times New Roman" w:cs="Times New Roman"/>
          <w:sz w:val="28"/>
          <w:szCs w:val="28"/>
        </w:rPr>
        <w:t xml:space="preserve">полиморфизма Gln27Glu (rs1042714) гена </w:t>
      </w:r>
      <w:r w:rsidR="00AB12B3">
        <w:rPr>
          <w:rFonts w:ascii="Times New Roman" w:hAnsi="Times New Roman" w:cs="Times New Roman"/>
          <w:i/>
          <w:sz w:val="28"/>
          <w:szCs w:val="28"/>
        </w:rPr>
        <w:t>ADBR2</w:t>
      </w:r>
      <w:r w:rsidR="00AB12B3">
        <w:rPr>
          <w:rFonts w:ascii="Times New Roman" w:hAnsi="Times New Roman" w:cs="Times New Roman"/>
          <w:sz w:val="28"/>
          <w:szCs w:val="28"/>
        </w:rPr>
        <w:t xml:space="preserve"> у здоровых лиц показано дообследование с определением уровня ТГ и на наличия БСК в казахской популяции.</w:t>
      </w:r>
    </w:p>
    <w:p w:rsidR="00E83EC5" w:rsidRDefault="00E83EC5" w:rsidP="00E83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
          <w:sz w:val="28"/>
          <w:szCs w:val="28"/>
          <w:lang w:val="kk-KZ"/>
        </w:rPr>
      </w:pPr>
      <w:r>
        <w:rPr>
          <w:rFonts w:ascii="Times New Roman" w:hAnsi="Times New Roman"/>
          <w:b/>
          <w:sz w:val="28"/>
          <w:szCs w:val="28"/>
          <w:lang w:val="kk-KZ"/>
        </w:rPr>
        <w:tab/>
      </w:r>
    </w:p>
    <w:p w:rsidR="00AB12B3" w:rsidRDefault="00E83EC5" w:rsidP="00E83E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
          <w:sz w:val="28"/>
          <w:szCs w:val="28"/>
        </w:rPr>
      </w:pPr>
      <w:r>
        <w:rPr>
          <w:rFonts w:ascii="Times New Roman" w:hAnsi="Times New Roman"/>
          <w:b/>
          <w:sz w:val="28"/>
          <w:szCs w:val="28"/>
          <w:lang w:val="kk-KZ"/>
        </w:rPr>
        <w:tab/>
      </w:r>
      <w:r w:rsidR="00E14C51">
        <w:rPr>
          <w:rFonts w:ascii="Times New Roman" w:hAnsi="Times New Roman"/>
          <w:b/>
          <w:sz w:val="28"/>
          <w:szCs w:val="28"/>
        </w:rPr>
        <w:t>Практические рекомендации</w:t>
      </w:r>
    </w:p>
    <w:p w:rsidR="00AB12B3" w:rsidRDefault="00127ABC" w:rsidP="00AB12B3">
      <w:pPr>
        <w:pStyle w:val="af4"/>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5"/>
        <w:jc w:val="both"/>
        <w:rPr>
          <w:rFonts w:ascii="Times New Roman" w:hAnsi="Times New Roman"/>
          <w:sz w:val="28"/>
          <w:szCs w:val="28"/>
        </w:rPr>
      </w:pPr>
      <w:r>
        <w:rPr>
          <w:rFonts w:ascii="Times New Roman" w:hAnsi="Times New Roman"/>
          <w:sz w:val="28"/>
          <w:szCs w:val="28"/>
        </w:rPr>
        <w:t xml:space="preserve"> </w:t>
      </w:r>
      <w:r w:rsidR="00AB12B3">
        <w:rPr>
          <w:rFonts w:ascii="Times New Roman" w:hAnsi="Times New Roman"/>
          <w:sz w:val="28"/>
          <w:szCs w:val="28"/>
        </w:rPr>
        <w:t>Генотипирование</w:t>
      </w:r>
      <w:r>
        <w:rPr>
          <w:rFonts w:ascii="Times New Roman" w:hAnsi="Times New Roman"/>
          <w:sz w:val="28"/>
          <w:szCs w:val="28"/>
        </w:rPr>
        <w:t xml:space="preserve"> </w:t>
      </w:r>
      <w:r w:rsidR="00AB12B3">
        <w:rPr>
          <w:rFonts w:ascii="Times New Roman" w:hAnsi="Times New Roman" w:cs="Times New Roman"/>
          <w:sz w:val="28"/>
          <w:szCs w:val="28"/>
        </w:rPr>
        <w:t>полиморфизмов генов</w:t>
      </w:r>
      <w:r w:rsidR="00AB12B3">
        <w:rPr>
          <w:rFonts w:ascii="Times New Roman" w:hAnsi="Times New Roman"/>
          <w:i/>
          <w:sz w:val="28"/>
          <w:szCs w:val="28"/>
        </w:rPr>
        <w:t xml:space="preserve"> LPL </w:t>
      </w:r>
      <w:r w:rsidR="00AB12B3">
        <w:rPr>
          <w:rFonts w:ascii="Times New Roman" w:hAnsi="Times New Roman"/>
          <w:sz w:val="28"/>
          <w:szCs w:val="28"/>
        </w:rPr>
        <w:t>Ser447Ter (rs328),</w:t>
      </w:r>
      <w:r w:rsidR="00AB12B3">
        <w:rPr>
          <w:rFonts w:ascii="Times New Roman" w:hAnsi="Times New Roman"/>
          <w:i/>
          <w:sz w:val="28"/>
          <w:szCs w:val="28"/>
        </w:rPr>
        <w:t xml:space="preserve"> ADRB2 </w:t>
      </w:r>
      <w:r w:rsidR="00AB12B3">
        <w:rPr>
          <w:rFonts w:ascii="Times New Roman" w:hAnsi="Times New Roman"/>
          <w:sz w:val="28"/>
          <w:szCs w:val="28"/>
        </w:rPr>
        <w:t>Gln27Glu (rs1042714) рекомендуется к применению в практической медицине для прогнозирования риска развития дислипидемии и инсулинорезистентности в казахской популяции.</w:t>
      </w:r>
    </w:p>
    <w:p w:rsidR="00AB12B3" w:rsidRDefault="00127ABC" w:rsidP="00AB12B3">
      <w:pPr>
        <w:pStyle w:val="af4"/>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5"/>
        <w:jc w:val="both"/>
        <w:rPr>
          <w:rFonts w:ascii="Times New Roman" w:hAnsi="Times New Roman"/>
          <w:sz w:val="28"/>
          <w:szCs w:val="28"/>
        </w:rPr>
      </w:pPr>
      <w:r>
        <w:rPr>
          <w:rFonts w:ascii="Times New Roman" w:hAnsi="Times New Roman"/>
          <w:sz w:val="28"/>
          <w:szCs w:val="28"/>
        </w:rPr>
        <w:t xml:space="preserve"> </w:t>
      </w:r>
      <w:r w:rsidR="00AB12B3">
        <w:rPr>
          <w:rFonts w:ascii="Times New Roman" w:hAnsi="Times New Roman"/>
          <w:sz w:val="28"/>
          <w:szCs w:val="28"/>
        </w:rPr>
        <w:t>Предложены</w:t>
      </w:r>
      <w:r w:rsidR="0059778D">
        <w:rPr>
          <w:rFonts w:ascii="Times New Roman" w:hAnsi="Times New Roman"/>
          <w:sz w:val="28"/>
          <w:szCs w:val="28"/>
        </w:rPr>
        <w:t xml:space="preserve"> к </w:t>
      </w:r>
      <w:r w:rsidR="002E73E3">
        <w:rPr>
          <w:rFonts w:ascii="Times New Roman" w:hAnsi="Times New Roman"/>
          <w:sz w:val="28"/>
          <w:szCs w:val="28"/>
        </w:rPr>
        <w:t>п</w:t>
      </w:r>
      <w:r w:rsidR="0059778D">
        <w:rPr>
          <w:rFonts w:ascii="Times New Roman" w:hAnsi="Times New Roman"/>
          <w:sz w:val="28"/>
          <w:szCs w:val="28"/>
        </w:rPr>
        <w:t>рименению</w:t>
      </w:r>
      <w:r w:rsidR="000C114E">
        <w:rPr>
          <w:rFonts w:ascii="Times New Roman" w:hAnsi="Times New Roman"/>
          <w:sz w:val="28"/>
          <w:szCs w:val="28"/>
        </w:rPr>
        <w:t xml:space="preserve"> алгоритмы </w:t>
      </w:r>
      <w:r w:rsidR="00AB12B3">
        <w:rPr>
          <w:rFonts w:ascii="Times New Roman" w:hAnsi="Times New Roman"/>
          <w:sz w:val="28"/>
          <w:szCs w:val="28"/>
        </w:rPr>
        <w:t>прогнозирования риска развития дислипидемии и инсулинорезистентности</w:t>
      </w:r>
      <w:r w:rsidR="0059778D">
        <w:rPr>
          <w:rFonts w:ascii="Times New Roman" w:hAnsi="Times New Roman"/>
          <w:sz w:val="28"/>
          <w:szCs w:val="28"/>
        </w:rPr>
        <w:t xml:space="preserve"> на</w:t>
      </w:r>
      <w:r w:rsidR="00AB12B3">
        <w:rPr>
          <w:rFonts w:ascii="Times New Roman" w:hAnsi="Times New Roman"/>
          <w:sz w:val="28"/>
          <w:szCs w:val="28"/>
        </w:rPr>
        <w:t xml:space="preserve"> основе </w:t>
      </w:r>
      <w:r w:rsidR="004F650F">
        <w:rPr>
          <w:rFonts w:ascii="Times New Roman" w:hAnsi="Times New Roman"/>
          <w:sz w:val="28"/>
          <w:szCs w:val="28"/>
        </w:rPr>
        <w:t xml:space="preserve">комплексного анализа (биохимические показатели, полиморфизмы таргетных генов и др.) </w:t>
      </w:r>
      <w:r w:rsidR="000C114E">
        <w:rPr>
          <w:rFonts w:ascii="Times New Roman" w:hAnsi="Times New Roman"/>
          <w:sz w:val="28"/>
          <w:szCs w:val="28"/>
        </w:rPr>
        <w:t>в казахской популяции.</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lang w:val="kk-KZ"/>
        </w:rPr>
      </w:pP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lang w:val="kk-KZ"/>
        </w:rPr>
        <w:sectPr w:rsidR="00AB12B3" w:rsidSect="00F9362C">
          <w:pgSz w:w="11906" w:h="16838" w:code="9"/>
          <w:pgMar w:top="1134" w:right="851" w:bottom="1134" w:left="1701" w:header="709" w:footer="709" w:gutter="0"/>
          <w:cols w:space="720"/>
          <w:docGrid w:linePitch="299"/>
        </w:sectPr>
      </w:pPr>
    </w:p>
    <w:p w:rsidR="00AB12B3" w:rsidRPr="0041189E"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rPr>
        <w:lastRenderedPageBreak/>
        <w:t>СПИСОК</w:t>
      </w:r>
      <w:r w:rsidR="00127ABC" w:rsidRPr="0041189E">
        <w:rPr>
          <w:rFonts w:ascii="Times New Roman" w:hAnsi="Times New Roman" w:cs="Times New Roman"/>
          <w:b/>
          <w:sz w:val="28"/>
          <w:szCs w:val="28"/>
          <w:lang w:val="en-US"/>
        </w:rPr>
        <w:t xml:space="preserve"> </w:t>
      </w:r>
      <w:r>
        <w:rPr>
          <w:rFonts w:ascii="Times New Roman" w:hAnsi="Times New Roman" w:cs="Times New Roman"/>
          <w:b/>
          <w:sz w:val="28"/>
          <w:szCs w:val="28"/>
        </w:rPr>
        <w:t>ИСПОЛЬЗОВАННЫХ</w:t>
      </w:r>
      <w:r w:rsidR="00127ABC" w:rsidRPr="0041189E">
        <w:rPr>
          <w:rFonts w:ascii="Times New Roman" w:hAnsi="Times New Roman" w:cs="Times New Roman"/>
          <w:b/>
          <w:sz w:val="28"/>
          <w:szCs w:val="28"/>
          <w:lang w:val="en-US"/>
        </w:rPr>
        <w:t xml:space="preserve"> </w:t>
      </w:r>
      <w:r>
        <w:rPr>
          <w:rFonts w:ascii="Times New Roman" w:hAnsi="Times New Roman" w:cs="Times New Roman"/>
          <w:b/>
          <w:sz w:val="28"/>
          <w:szCs w:val="28"/>
        </w:rPr>
        <w:t>ИСТОЧНИКОВ</w:t>
      </w: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sz w:val="28"/>
          <w:szCs w:val="28"/>
        </w:rPr>
        <w:fldChar w:fldCharType="begin" w:fldLock="1"/>
      </w:r>
      <w:r>
        <w:rPr>
          <w:rFonts w:ascii="Times New Roman" w:hAnsi="Times New Roman" w:cs="Times New Roman"/>
          <w:sz w:val="28"/>
          <w:szCs w:val="28"/>
          <w:lang w:val="en-US"/>
        </w:rPr>
        <w:instrText xml:space="preserve">ADDIN Mendeley Bibliography CSL_BIBLIOGRAPHY </w:instrText>
      </w:r>
      <w:r>
        <w:rPr>
          <w:rFonts w:ascii="Times New Roman" w:hAnsi="Times New Roman" w:cs="Times New Roman"/>
          <w:sz w:val="28"/>
          <w:szCs w:val="28"/>
        </w:rPr>
        <w:fldChar w:fldCharType="separate"/>
      </w:r>
      <w:r>
        <w:rPr>
          <w:rFonts w:ascii="Times New Roman" w:hAnsi="Times New Roman" w:cs="Times New Roman"/>
          <w:noProof/>
          <w:sz w:val="28"/>
          <w:szCs w:val="28"/>
          <w:lang w:val="en-US"/>
        </w:rPr>
        <w:t>1.</w:t>
      </w:r>
      <w:r>
        <w:rPr>
          <w:rFonts w:ascii="Times New Roman" w:hAnsi="Times New Roman" w:cs="Times New Roman"/>
          <w:noProof/>
          <w:sz w:val="28"/>
          <w:szCs w:val="28"/>
          <w:lang w:val="en-US"/>
        </w:rPr>
        <w:tab/>
        <w:t xml:space="preserve">D’Elia L., Strazzullo P. Excess Body Weight, Insulin Resistance and Isolated Systolic Hypertension: Potential Pathophysiological Links // </w:t>
      </w:r>
      <w:r>
        <w:rPr>
          <w:rFonts w:ascii="Times New Roman" w:hAnsi="Times New Roman" w:cs="Times New Roman"/>
          <w:iCs/>
          <w:sz w:val="28"/>
          <w:szCs w:val="28"/>
          <w:shd w:val="clear" w:color="auto" w:fill="FCFCFC"/>
          <w:lang w:val="en-US"/>
        </w:rPr>
        <w:t>High Blood Pressure &amp; Cardiovascular Prevention</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25 (1).</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 P. 17–23.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2.</w:t>
      </w:r>
      <w:r>
        <w:rPr>
          <w:rFonts w:ascii="Times New Roman" w:hAnsi="Times New Roman" w:cs="Times New Roman"/>
          <w:noProof/>
          <w:sz w:val="28"/>
          <w:szCs w:val="28"/>
          <w:lang w:val="en-US"/>
        </w:rPr>
        <w:tab/>
        <w:t>Mach F. 2019 ESC/EAS Guidelines for the management of dyslipidaemias: lipid modification to reduce cardiovascular risk //</w:t>
      </w:r>
      <w:r>
        <w:rPr>
          <w:rFonts w:ascii="Times New Roman" w:hAnsi="Times New Roman" w:cs="Times New Roman"/>
          <w:i/>
          <w:noProof/>
          <w:color w:val="000000" w:themeColor="text1"/>
          <w:sz w:val="28"/>
          <w:szCs w:val="28"/>
          <w:lang w:val="en-US"/>
        </w:rPr>
        <w:t xml:space="preserve"> </w:t>
      </w:r>
      <w:r w:rsidRPr="003B76A2">
        <w:rPr>
          <w:rStyle w:val="af9"/>
          <w:rFonts w:ascii="Times New Roman" w:hAnsi="Times New Roman" w:cs="Times New Roman"/>
          <w:i w:val="0"/>
          <w:color w:val="000000" w:themeColor="text1"/>
          <w:sz w:val="28"/>
          <w:szCs w:val="28"/>
          <w:bdr w:val="none" w:sz="0" w:space="0" w:color="auto" w:frame="1"/>
          <w:shd w:val="clear" w:color="auto" w:fill="FFFFFF"/>
          <w:lang w:val="en-US"/>
        </w:rPr>
        <w:t>European Heart Journal</w:t>
      </w:r>
      <w:r w:rsidRPr="003B76A2">
        <w:rPr>
          <w:rFonts w:ascii="Times New Roman" w:hAnsi="Times New Roman" w:cs="Times New Roman"/>
          <w:i/>
          <w:color w:val="000000" w:themeColor="text1"/>
          <w:sz w:val="28"/>
          <w:szCs w:val="28"/>
          <w:shd w:val="clear" w:color="auto" w:fill="FFFFFF"/>
          <w:lang w:val="kk-KZ"/>
        </w:rPr>
        <w:t>.</w:t>
      </w:r>
      <w:r w:rsidRPr="003B76A2">
        <w:rPr>
          <w:rFonts w:ascii="Times New Roman" w:hAnsi="Times New Roman" w:cs="Times New Roman"/>
          <w:color w:val="2A2A2A"/>
          <w:sz w:val="28"/>
          <w:szCs w:val="28"/>
          <w:shd w:val="clear" w:color="auto" w:fill="FFFFFF"/>
          <w:lang w:val="kk-KZ"/>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2020.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41</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1</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111–188.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3.</w:t>
      </w:r>
      <w:r>
        <w:rPr>
          <w:rFonts w:ascii="Times New Roman" w:hAnsi="Times New Roman" w:cs="Times New Roman"/>
          <w:noProof/>
          <w:sz w:val="28"/>
          <w:szCs w:val="28"/>
          <w:lang w:val="en-US"/>
        </w:rPr>
        <w:tab/>
        <w:t xml:space="preserve">Park Y.-W. The Metabolic Syndrome // Arch. Intern. Med. American Medical Association,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163 (4).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427.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4.</w:t>
      </w:r>
      <w:r>
        <w:rPr>
          <w:rFonts w:ascii="Times New Roman" w:hAnsi="Times New Roman" w:cs="Times New Roman"/>
          <w:noProof/>
          <w:sz w:val="28"/>
          <w:szCs w:val="28"/>
          <w:lang w:val="en-US"/>
        </w:rPr>
        <w:tab/>
        <w:t xml:space="preserve">Kaya A. The Prevelance of Insulin Resistance In The Turkish Population Constructed with 3331 participants // </w:t>
      </w:r>
      <w:r>
        <w:rPr>
          <w:rFonts w:ascii="Times New Roman" w:hAnsi="Times New Roman" w:cs="Times New Roman"/>
          <w:color w:val="000000" w:themeColor="text1"/>
          <w:sz w:val="28"/>
          <w:szCs w:val="28"/>
          <w:lang w:val="en-US"/>
        </w:rPr>
        <w:t>Eurasian Journal of Medicine and Oncology</w:t>
      </w:r>
      <w:r>
        <w:rPr>
          <w:rFonts w:ascii="Times New Roman" w:hAnsi="Times New Roman" w:cs="Times New Roman"/>
          <w:noProof/>
          <w:color w:val="000000" w:themeColor="text1"/>
          <w:sz w:val="28"/>
          <w:szCs w:val="28"/>
          <w:lang w:val="en-US"/>
        </w:rPr>
        <w:t xml:space="preserve">. </w:t>
      </w:r>
      <w:r>
        <w:rPr>
          <w:rFonts w:ascii="Times New Roman" w:hAnsi="Times New Roman" w:cs="Times New Roman"/>
          <w:noProof/>
          <w:color w:val="000000" w:themeColor="text1"/>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 (4).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202–206.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5.</w:t>
      </w:r>
      <w:r>
        <w:rPr>
          <w:rFonts w:ascii="Times New Roman" w:hAnsi="Times New Roman" w:cs="Times New Roman"/>
          <w:noProof/>
          <w:sz w:val="28"/>
          <w:szCs w:val="28"/>
          <w:lang w:val="en-US"/>
        </w:rPr>
        <w:tab/>
        <w:t xml:space="preserve">Rankinen T. Are There Genetic Paths Common to Obesity, Cardiovascular Disease Outcomes, and Cardiovascular Risk Factors? // </w:t>
      </w:r>
      <w:r>
        <w:rPr>
          <w:rFonts w:ascii="Times New Roman" w:hAnsi="Times New Roman" w:cs="Times New Roman"/>
          <w:color w:val="000000" w:themeColor="text1"/>
          <w:sz w:val="28"/>
          <w:szCs w:val="28"/>
          <w:lang w:val="en-US"/>
        </w:rPr>
        <w:t>Circulation Research</w:t>
      </w:r>
      <w:r>
        <w:rPr>
          <w:rFonts w:ascii="Times New Roman" w:hAnsi="Times New Roman" w:cs="Times New Roman"/>
          <w:noProof/>
          <w:color w:val="000000" w:themeColor="text1"/>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116 (5).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909–922.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6.</w:t>
      </w:r>
      <w:r>
        <w:rPr>
          <w:rFonts w:ascii="Times New Roman" w:hAnsi="Times New Roman" w:cs="Times New Roman"/>
          <w:noProof/>
          <w:sz w:val="28"/>
          <w:szCs w:val="28"/>
          <w:lang w:val="en-US"/>
        </w:rPr>
        <w:tab/>
        <w:t xml:space="preserve">Dai H.-J. T-HOD: a literature-based candidate gene database for hypertension, obesity and diabetes // Database.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2013.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rPr>
      </w:pPr>
      <w:r>
        <w:rPr>
          <w:rFonts w:ascii="Times New Roman" w:hAnsi="Times New Roman" w:cs="Times New Roman"/>
          <w:noProof/>
          <w:sz w:val="28"/>
          <w:szCs w:val="28"/>
        </w:rPr>
        <w:t>7.</w:t>
      </w:r>
      <w:r>
        <w:rPr>
          <w:rFonts w:ascii="Times New Roman" w:hAnsi="Times New Roman" w:cs="Times New Roman"/>
          <w:noProof/>
          <w:sz w:val="28"/>
          <w:szCs w:val="28"/>
        </w:rPr>
        <w:tab/>
        <w:t>Акильжанова А. Р., Кожамкулов У.А.</w:t>
      </w:r>
      <w:r>
        <w:rPr>
          <w:rFonts w:ascii="Times New Roman" w:hAnsi="Times New Roman" w:cs="Times New Roman"/>
          <w:noProof/>
          <w:sz w:val="28"/>
          <w:szCs w:val="28"/>
          <w:lang w:val="kk-KZ"/>
        </w:rPr>
        <w:t xml:space="preserve"> </w:t>
      </w:r>
      <w:r>
        <w:rPr>
          <w:rFonts w:ascii="Times New Roman" w:hAnsi="Times New Roman" w:cs="Times New Roman"/>
          <w:noProof/>
          <w:sz w:val="28"/>
          <w:szCs w:val="28"/>
        </w:rPr>
        <w:t xml:space="preserve">Исследование генетических вариантов, ассоциированных с гипертонией, ожирением и диабетом у лиц казахской популяции для последующего изучения взаимосвязей генетических вариантов и метаболома // </w:t>
      </w:r>
      <w:r>
        <w:rPr>
          <w:rFonts w:ascii="Times New Roman" w:hAnsi="Times New Roman" w:cs="Times New Roman"/>
          <w:noProof/>
          <w:sz w:val="28"/>
          <w:szCs w:val="28"/>
          <w:lang w:val="kk-KZ"/>
        </w:rPr>
        <w:t>Наука и здравоохранения</w:t>
      </w:r>
      <w:r>
        <w:rPr>
          <w:rFonts w:ascii="Times New Roman" w:hAnsi="Times New Roman" w:cs="Times New Roman"/>
          <w:noProof/>
          <w:sz w:val="28"/>
          <w:szCs w:val="28"/>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rPr>
        <w:t xml:space="preserve">2016. </w:t>
      </w:r>
      <w:r>
        <w:rPr>
          <w:rFonts w:ascii="Times New Roman" w:hAnsi="Times New Roman" w:cs="Times New Roman"/>
          <w:noProof/>
          <w:sz w:val="28"/>
          <w:szCs w:val="28"/>
          <w:lang w:val="kk-KZ"/>
        </w:rPr>
        <w:t>- №</w:t>
      </w:r>
      <w:r>
        <w:rPr>
          <w:rFonts w:ascii="Times New Roman" w:hAnsi="Times New Roman" w:cs="Times New Roman"/>
          <w:noProof/>
          <w:sz w:val="28"/>
          <w:szCs w:val="28"/>
        </w:rPr>
        <w:t xml:space="preserve"> 5. </w:t>
      </w:r>
      <w:r>
        <w:rPr>
          <w:rFonts w:ascii="Times New Roman" w:hAnsi="Times New Roman" w:cs="Times New Roman"/>
          <w:noProof/>
          <w:sz w:val="28"/>
          <w:szCs w:val="28"/>
          <w:lang w:val="kk-KZ"/>
        </w:rPr>
        <w:t>- С</w:t>
      </w:r>
      <w:r>
        <w:rPr>
          <w:rFonts w:ascii="Times New Roman" w:hAnsi="Times New Roman" w:cs="Times New Roman"/>
          <w:noProof/>
          <w:sz w:val="28"/>
          <w:szCs w:val="28"/>
        </w:rPr>
        <w:t>. 30–42.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8.</w:t>
      </w:r>
      <w:r>
        <w:rPr>
          <w:rFonts w:ascii="Times New Roman" w:hAnsi="Times New Roman" w:cs="Times New Roman"/>
          <w:noProof/>
          <w:sz w:val="28"/>
          <w:szCs w:val="28"/>
          <w:lang w:val="en-US"/>
        </w:rPr>
        <w:tab/>
        <w:t xml:space="preserve">Yang Y. Correlation between renin-angiotensin system gene polymorphisms and essential hypertension in the Chinese Yi ethnic group // J. Renin-Angiotensin- Aldosterone Syst.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w:t>
      </w:r>
      <w:r w:rsidR="003B76A2" w:rsidRPr="00492CA9">
        <w:rPr>
          <w:rFonts w:ascii="Times New Roman" w:hAnsi="Times New Roman" w:cs="Times New Roman"/>
          <w:noProof/>
          <w:sz w:val="28"/>
          <w:szCs w:val="28"/>
          <w:lang w:val="en-US"/>
        </w:rPr>
        <w:t>16 (4)</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975 –981.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9.</w:t>
      </w:r>
      <w:r>
        <w:rPr>
          <w:rFonts w:ascii="Times New Roman" w:hAnsi="Times New Roman" w:cs="Times New Roman"/>
          <w:noProof/>
          <w:sz w:val="28"/>
          <w:szCs w:val="28"/>
          <w:lang w:val="en-US"/>
        </w:rPr>
        <w:tab/>
        <w:t xml:space="preserve">World Medical Association. Declaration of Helsinki. // Law Med. Health Care. Vienna: Springer Vienna,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19 (3–4).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264–265.</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10.</w:t>
      </w:r>
      <w:r>
        <w:rPr>
          <w:rFonts w:ascii="Times New Roman" w:hAnsi="Times New Roman" w:cs="Times New Roman"/>
          <w:noProof/>
          <w:sz w:val="28"/>
          <w:szCs w:val="28"/>
          <w:lang w:val="en-US"/>
        </w:rPr>
        <w:tab/>
        <w:t xml:space="preserve">World Health Organization Department of Noncommunicable Disease Surveillance Definition, Diagnosis and Classification of Diabetes Mellitus and its Complications.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Geneva, - 1999.</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Р. </w:t>
      </w:r>
      <w:r>
        <w:rPr>
          <w:rFonts w:ascii="Times New Roman" w:hAnsi="Times New Roman" w:cs="Times New Roman"/>
          <w:noProof/>
          <w:sz w:val="28"/>
          <w:szCs w:val="28"/>
          <w:lang w:val="en-US"/>
        </w:rPr>
        <w:t>1–66.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11.</w:t>
      </w:r>
      <w:r>
        <w:rPr>
          <w:rFonts w:ascii="Times New Roman" w:hAnsi="Times New Roman" w:cs="Times New Roman"/>
          <w:noProof/>
          <w:sz w:val="28"/>
          <w:szCs w:val="28"/>
          <w:lang w:val="en-US"/>
        </w:rPr>
        <w:tab/>
        <w:t xml:space="preserve">Lorenzo C. The National Cholesterol Education Program-Adult Treatment Panel III, International Diabetes Federation, and World Health Organization Definitions of the Metabolic Syndrome as Predictors of Incident Cardiovascular Disease and Diabetes // Diabetes Care.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30(1).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8–13.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12.</w:t>
      </w:r>
      <w:r>
        <w:rPr>
          <w:rFonts w:ascii="Times New Roman" w:hAnsi="Times New Roman" w:cs="Times New Roman"/>
          <w:noProof/>
          <w:sz w:val="28"/>
          <w:szCs w:val="28"/>
          <w:lang w:val="en-US"/>
        </w:rPr>
        <w:tab/>
        <w:t xml:space="preserve">Alberti G. The IDF consensus worldwide defi nition of the metabolic syndrome // IDF Communications. Brussels,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Belgium, 2006. </w:t>
      </w:r>
      <w:r>
        <w:rPr>
          <w:rFonts w:ascii="Times New Roman" w:hAnsi="Times New Roman" w:cs="Times New Roman"/>
          <w:noProof/>
          <w:sz w:val="28"/>
          <w:szCs w:val="28"/>
          <w:lang w:val="kk-KZ"/>
        </w:rPr>
        <w:t xml:space="preserve">- Р. </w:t>
      </w:r>
      <w:r>
        <w:rPr>
          <w:rFonts w:ascii="Times New Roman" w:hAnsi="Times New Roman" w:cs="Times New Roman"/>
          <w:noProof/>
          <w:sz w:val="28"/>
          <w:szCs w:val="28"/>
          <w:lang w:val="en-US"/>
        </w:rPr>
        <w:t>1–24.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13.</w:t>
      </w:r>
      <w:r>
        <w:rPr>
          <w:rFonts w:ascii="Times New Roman" w:hAnsi="Times New Roman" w:cs="Times New Roman"/>
          <w:noProof/>
          <w:sz w:val="28"/>
          <w:szCs w:val="28"/>
          <w:lang w:val="en-US"/>
        </w:rPr>
        <w:tab/>
        <w:t xml:space="preserve">Bastien M. Overview of Epidemiology and Contribution of Obesity to Cardiovascular Disease // Prog. Cardiovasc. Dis.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56 (4).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369–381.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14.</w:t>
      </w:r>
      <w:r>
        <w:rPr>
          <w:rFonts w:ascii="Times New Roman" w:hAnsi="Times New Roman" w:cs="Times New Roman"/>
          <w:noProof/>
          <w:sz w:val="28"/>
          <w:szCs w:val="28"/>
          <w:lang w:val="en-US"/>
        </w:rPr>
        <w:tab/>
        <w:t>Petrie J.R., Guzik T.J., Touyz R.M. Diabetes, Hypertension, and Cardiovascular Disease: Clinical Insights and Vascular Mechanisms // Can. J. Cardiol.</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 2018.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34 (5).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575–584.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15.</w:t>
      </w:r>
      <w:r>
        <w:rPr>
          <w:rFonts w:ascii="Times New Roman" w:hAnsi="Times New Roman" w:cs="Times New Roman"/>
          <w:noProof/>
          <w:sz w:val="28"/>
          <w:szCs w:val="28"/>
          <w:lang w:val="en-US"/>
        </w:rPr>
        <w:tab/>
        <w:t xml:space="preserve">Lechner K. High-Risk Atherosclerosis and Metabolic Phenotype: The Roles </w:t>
      </w:r>
      <w:r>
        <w:rPr>
          <w:rFonts w:ascii="Times New Roman" w:hAnsi="Times New Roman" w:cs="Times New Roman"/>
          <w:noProof/>
          <w:sz w:val="28"/>
          <w:szCs w:val="28"/>
          <w:lang w:val="en-US"/>
        </w:rPr>
        <w:lastRenderedPageBreak/>
        <w:t xml:space="preserve">of Ectopic Adiposity, Atherogenic Dyslipidemia, and Inflammation // Metab. Syndr. Relat. Disord.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2020.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w:t>
      </w:r>
      <w:r w:rsidR="00492CA9">
        <w:rPr>
          <w:rFonts w:ascii="Times New Roman" w:hAnsi="Times New Roman" w:cs="Times New Roman"/>
          <w:noProof/>
          <w:sz w:val="28"/>
          <w:szCs w:val="28"/>
        </w:rPr>
        <w:t>18 (4)</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176–185.</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16.</w:t>
      </w:r>
      <w:r>
        <w:rPr>
          <w:rFonts w:ascii="Times New Roman" w:hAnsi="Times New Roman" w:cs="Times New Roman"/>
          <w:noProof/>
          <w:sz w:val="28"/>
          <w:szCs w:val="28"/>
          <w:lang w:val="en-US"/>
        </w:rPr>
        <w:tab/>
        <w:t xml:space="preserve">Ely B.R. Meta-inflammation and cardiometabolic disease in obesity: Can heat therapy help? // Temperature. Taylor &amp; Francis,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5</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1</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9–21.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17.</w:t>
      </w:r>
      <w:r>
        <w:rPr>
          <w:rFonts w:ascii="Times New Roman" w:hAnsi="Times New Roman" w:cs="Times New Roman"/>
          <w:noProof/>
          <w:sz w:val="28"/>
          <w:szCs w:val="28"/>
          <w:lang w:val="en-US"/>
        </w:rPr>
        <w:tab/>
        <w:t xml:space="preserve">Seravalle G., Grassi G. Obesity and hypertension // Pharmacol. Res.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122.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18.</w:t>
      </w:r>
      <w:r>
        <w:rPr>
          <w:rFonts w:ascii="Times New Roman" w:hAnsi="Times New Roman" w:cs="Times New Roman"/>
          <w:noProof/>
          <w:sz w:val="28"/>
          <w:szCs w:val="28"/>
          <w:lang w:val="en-US"/>
        </w:rPr>
        <w:tab/>
        <w:t xml:space="preserve">Solnica B. 2020 Guidelines of the Polish Society of Laboratory Diagnostics (PSLD) and the Polish Lipid Association (PoLA) on laboratory diagnostics of lipid metabolism disorders. // Arch Med Sci.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2020.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16 (2).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237–252.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19.</w:t>
      </w:r>
      <w:r>
        <w:rPr>
          <w:rFonts w:ascii="Times New Roman" w:hAnsi="Times New Roman" w:cs="Times New Roman"/>
          <w:noProof/>
          <w:sz w:val="28"/>
          <w:szCs w:val="28"/>
          <w:lang w:val="en-US"/>
        </w:rPr>
        <w:tab/>
        <w:t xml:space="preserve">Marais D. Dysbetalipoproteinemia: an extreme disorder of remnant metabolism. // Curr. Opin. Lipidol.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26</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4</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292–297.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20.</w:t>
      </w:r>
      <w:r>
        <w:rPr>
          <w:rFonts w:ascii="Times New Roman" w:hAnsi="Times New Roman" w:cs="Times New Roman"/>
          <w:noProof/>
          <w:sz w:val="28"/>
          <w:szCs w:val="28"/>
          <w:lang w:val="en-US"/>
        </w:rPr>
        <w:tab/>
        <w:t xml:space="preserve">Zhu J.-R. 2016 Chinese guidelines for the management of dyslipidemia in adults. // J. Geriatr. Cardiol.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15 (1).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1–29.</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21.</w:t>
      </w:r>
      <w:r>
        <w:rPr>
          <w:rFonts w:ascii="Times New Roman" w:hAnsi="Times New Roman" w:cs="Times New Roman"/>
          <w:noProof/>
          <w:sz w:val="28"/>
          <w:szCs w:val="28"/>
          <w:lang w:val="en-US"/>
        </w:rPr>
        <w:tab/>
        <w:t>Silverman M.G. Association Between Lowering LDL-C and Cardiovascular Risk Reduction Among Different Therapeutic Interventions // JAMA. 2016.</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 Vol. 316 (12).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1289–1297.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22.</w:t>
      </w:r>
      <w:r>
        <w:rPr>
          <w:rFonts w:ascii="Times New Roman" w:hAnsi="Times New Roman" w:cs="Times New Roman"/>
          <w:noProof/>
          <w:sz w:val="28"/>
          <w:szCs w:val="28"/>
          <w:lang w:val="en-US"/>
        </w:rPr>
        <w:tab/>
        <w:t xml:space="preserve">Nordestgaard B.G. Fasting is not routinely required for determination of a lipid profile: clinical and laboratory implications including flagging at desirable concentration cut-points—a joint consensus statement from the European Atherosclerosis Society and European Federa // Eur. Heart J.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37</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25</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1944–1958.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23.</w:t>
      </w:r>
      <w:r>
        <w:rPr>
          <w:rFonts w:ascii="Times New Roman" w:hAnsi="Times New Roman" w:cs="Times New Roman"/>
          <w:noProof/>
          <w:sz w:val="28"/>
          <w:szCs w:val="28"/>
          <w:lang w:val="en-US"/>
        </w:rPr>
        <w:tab/>
        <w:t xml:space="preserve">Cantey E.P., Wilkins J.T. Discordance between lipoprotein particle number and cholesterol content // Curr. Opin. Endocrinol. Diabetes Obes.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25 (2).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130–136.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kk-KZ"/>
        </w:rPr>
      </w:pPr>
      <w:r>
        <w:rPr>
          <w:rFonts w:ascii="Times New Roman" w:hAnsi="Times New Roman" w:cs="Times New Roman"/>
          <w:noProof/>
          <w:sz w:val="28"/>
          <w:szCs w:val="28"/>
          <w:lang w:val="en-US"/>
        </w:rPr>
        <w:t>24.</w:t>
      </w:r>
      <w:r>
        <w:rPr>
          <w:rFonts w:ascii="Times New Roman" w:hAnsi="Times New Roman" w:cs="Times New Roman"/>
          <w:noProof/>
          <w:sz w:val="28"/>
          <w:szCs w:val="28"/>
          <w:lang w:val="en-US"/>
        </w:rPr>
        <w:tab/>
        <w:t xml:space="preserve">Anderson T.J. 2016 Canadian Cardiovascular Society Guidelines for the Management of Dyslipidemia for the Prevention of Cardiovascular Disease in the Adult // Can. J. Cardiol.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32 (11).</w:t>
      </w:r>
      <w:r>
        <w:rPr>
          <w:rFonts w:ascii="Times New Roman" w:hAnsi="Times New Roman" w:cs="Times New Roman"/>
          <w:noProof/>
          <w:sz w:val="28"/>
          <w:szCs w:val="28"/>
          <w:lang w:val="kk-KZ"/>
        </w:rPr>
        <w:t xml:space="preserve"> - Р№ 1263-1282.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25.</w:t>
      </w:r>
      <w:r>
        <w:rPr>
          <w:rFonts w:ascii="Times New Roman" w:hAnsi="Times New Roman" w:cs="Times New Roman"/>
          <w:noProof/>
          <w:sz w:val="28"/>
          <w:szCs w:val="28"/>
          <w:lang w:val="en-US"/>
        </w:rPr>
        <w:tab/>
        <w:t xml:space="preserve">Borén J., Williams K.J. The central role of arterial retention of cholesterol-rich apolipoprotein-B-containing lipoproteins in the pathogenesis of atherosclerosis // Curr. Opin. Lipidol.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27 (5).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473–483.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26.</w:t>
      </w:r>
      <w:r>
        <w:rPr>
          <w:rFonts w:ascii="Times New Roman" w:hAnsi="Times New Roman" w:cs="Times New Roman"/>
          <w:noProof/>
          <w:sz w:val="28"/>
          <w:szCs w:val="28"/>
          <w:lang w:val="en-US"/>
        </w:rPr>
        <w:tab/>
        <w:t xml:space="preserve">Bartels E.D. Altered Metabolism of LDL in the Arterial Wall Precedes Atherosclerosis Regression // Circ. Res.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117 (11).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933–942.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27.</w:t>
      </w:r>
      <w:r>
        <w:rPr>
          <w:rFonts w:ascii="Times New Roman" w:hAnsi="Times New Roman" w:cs="Times New Roman"/>
          <w:noProof/>
          <w:sz w:val="28"/>
          <w:szCs w:val="28"/>
          <w:lang w:val="en-US"/>
        </w:rPr>
        <w:tab/>
        <w:t xml:space="preserve">Tamang H.K. Apo B / Apo A-I Ratio is Statistically A Better Predictor of Cardiovascular Disease (CVD) than Conventional Lipid Profile : A Study from Kathmandu Valley , Nepal // J. Clin. Diagnostic Res.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8 (2).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34–36.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28.</w:t>
      </w:r>
      <w:r>
        <w:rPr>
          <w:rFonts w:ascii="Times New Roman" w:hAnsi="Times New Roman" w:cs="Times New Roman"/>
          <w:noProof/>
          <w:sz w:val="28"/>
          <w:szCs w:val="28"/>
          <w:lang w:val="en-US"/>
        </w:rPr>
        <w:tab/>
        <w:t>Shilpasree A</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S</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 xml:space="preserve"> A Study of Serum Apolipoprotein A1, Apolipoprotein B and Lipid Profile in Stroke // J. Clin. diagnostic Res.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7</w:t>
      </w:r>
      <w:r w:rsidR="009726ED" w:rsidRPr="00936F60">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 xml:space="preserve">(7).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1303–1306.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29.</w:t>
      </w:r>
      <w:r>
        <w:rPr>
          <w:rFonts w:ascii="Times New Roman" w:hAnsi="Times New Roman" w:cs="Times New Roman"/>
          <w:noProof/>
          <w:sz w:val="28"/>
          <w:szCs w:val="28"/>
          <w:lang w:val="en-US"/>
        </w:rPr>
        <w:tab/>
        <w:t xml:space="preserve">Pechlaner R. Very-Low-Density Lipoprotein–Associated Apolipoproteins Predict Cardiovascular Events and Are Lowered by Inhibition of APOC-III // J. Am. Coll. Cardiol.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69</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7</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789–800.</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lastRenderedPageBreak/>
        <w:t>30.</w:t>
      </w:r>
      <w:r>
        <w:rPr>
          <w:rFonts w:ascii="Times New Roman" w:hAnsi="Times New Roman" w:cs="Times New Roman"/>
          <w:noProof/>
          <w:sz w:val="28"/>
          <w:szCs w:val="28"/>
          <w:lang w:val="en-US"/>
        </w:rPr>
        <w:tab/>
        <w:t xml:space="preserve">Renee Ruhaak L., van der Laarse A., Cobbaert C.M. Apolipoprotein profiling as a personalized approach to the diagnosis and treatment of dyslipidaemia // Ann. Clin. Biochem.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56 (3).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338–356.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31.</w:t>
      </w:r>
      <w:r>
        <w:rPr>
          <w:rFonts w:ascii="Times New Roman" w:hAnsi="Times New Roman" w:cs="Times New Roman"/>
          <w:noProof/>
          <w:sz w:val="28"/>
          <w:szCs w:val="28"/>
          <w:lang w:val="en-US"/>
        </w:rPr>
        <w:tab/>
        <w:t xml:space="preserve">Yusuf P.S. Effect of potentially modifiable risk factors associated with myocardial infarction in 52 countries (the INTERHEART study): Case-control study // Lancet.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364 (9438).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937–952.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32.</w:t>
      </w:r>
      <w:r>
        <w:rPr>
          <w:rFonts w:ascii="Times New Roman" w:hAnsi="Times New Roman" w:cs="Times New Roman"/>
          <w:noProof/>
          <w:sz w:val="28"/>
          <w:szCs w:val="28"/>
          <w:lang w:val="en-US"/>
        </w:rPr>
        <w:tab/>
        <w:t xml:space="preserve">Orsag J. Association of serum adipocyte fatty acid-binding protein and apolipoprotein b /apolipoprotein a1 ratio with intima media thickness of common carotid artery in dyslipidemic patients // Biomed. Pap. Biomedical Papers,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163</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2</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166–171.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kk-KZ"/>
        </w:rPr>
      </w:pPr>
      <w:r>
        <w:rPr>
          <w:rFonts w:ascii="Times New Roman" w:hAnsi="Times New Roman" w:cs="Times New Roman"/>
          <w:noProof/>
          <w:sz w:val="28"/>
          <w:szCs w:val="28"/>
          <w:lang w:val="en-US"/>
        </w:rPr>
        <w:t>33.</w:t>
      </w:r>
      <w:r>
        <w:rPr>
          <w:rFonts w:ascii="Times New Roman" w:hAnsi="Times New Roman" w:cs="Times New Roman"/>
          <w:noProof/>
          <w:sz w:val="28"/>
          <w:szCs w:val="28"/>
          <w:lang w:val="en-US"/>
        </w:rPr>
        <w:tab/>
        <w:t xml:space="preserve">Canadian Diabetes Association 2008 Clinical Practice Guidelines for the Prevention and Management of Diabetes in Canada // A Publ. Prof. Sect. Can. Diabetes Assoc.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32, Supplement 1.</w:t>
      </w:r>
      <w:r>
        <w:rPr>
          <w:rFonts w:ascii="Times New Roman" w:hAnsi="Times New Roman" w:cs="Times New Roman"/>
          <w:noProof/>
          <w:sz w:val="28"/>
          <w:szCs w:val="28"/>
          <w:lang w:val="kk-KZ"/>
        </w:rPr>
        <w:t xml:space="preserve"> - Р. 1-201.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34.</w:t>
      </w:r>
      <w:r>
        <w:rPr>
          <w:rFonts w:ascii="Times New Roman" w:hAnsi="Times New Roman" w:cs="Times New Roman"/>
          <w:noProof/>
          <w:sz w:val="28"/>
          <w:szCs w:val="28"/>
          <w:lang w:val="en-US"/>
        </w:rPr>
        <w:tab/>
        <w:t xml:space="preserve">Tomkin G.H., Owens D. Diabetes and dyslipidemia: Characterizing lipoprotein metabolism // Diabetes, Metab. Syndr. Obes. Targets Ther.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333–343.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35.</w:t>
      </w:r>
      <w:r>
        <w:rPr>
          <w:rFonts w:ascii="Times New Roman" w:hAnsi="Times New Roman" w:cs="Times New Roman"/>
          <w:noProof/>
          <w:sz w:val="28"/>
          <w:szCs w:val="28"/>
          <w:lang w:val="en-US"/>
        </w:rPr>
        <w:tab/>
        <w:t xml:space="preserve">Schenk S., Saberi M., Olefsky J.M. Insulin sensitivity: modulation by nutrients and inflammation // J. Clin. Invest.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118</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9</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2992–3002.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36.</w:t>
      </w:r>
      <w:r>
        <w:rPr>
          <w:rFonts w:ascii="Times New Roman" w:hAnsi="Times New Roman" w:cs="Times New Roman"/>
          <w:noProof/>
          <w:sz w:val="28"/>
          <w:szCs w:val="28"/>
          <w:lang w:val="en-US"/>
        </w:rPr>
        <w:tab/>
        <w:t xml:space="preserve">Olefsky J.M., Glass C.K. Macrophages, Inflammation, and Insulin Resistance // Annu. Rev. Physiol.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72</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1</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219–246.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37.</w:t>
      </w:r>
      <w:r>
        <w:rPr>
          <w:rFonts w:ascii="Times New Roman" w:hAnsi="Times New Roman" w:cs="Times New Roman"/>
          <w:noProof/>
          <w:sz w:val="28"/>
          <w:szCs w:val="28"/>
          <w:lang w:val="en-US"/>
        </w:rPr>
        <w:tab/>
        <w:t xml:space="preserve">Nolan P.B. Prevalence of metabolic syndrome and metabolic syndrome components in young adults: A pooled analysis. // Prev. Med. reports. Elsevier,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211–215.</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38.</w:t>
      </w:r>
      <w:r>
        <w:rPr>
          <w:rFonts w:ascii="Times New Roman" w:hAnsi="Times New Roman" w:cs="Times New Roman"/>
          <w:noProof/>
          <w:sz w:val="28"/>
          <w:szCs w:val="28"/>
          <w:lang w:val="en-US"/>
        </w:rPr>
        <w:tab/>
        <w:t xml:space="preserve">Lu Y. Metabolic mediators of the effects of body-mass index, overweight, and obesity on coronary heart disease and stroke: a pooled analysis of 97 prospective cohorts with 1·8 million participants. // Lancet.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383 (9921).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970–983.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39.</w:t>
      </w:r>
      <w:r>
        <w:rPr>
          <w:rFonts w:ascii="Times New Roman" w:hAnsi="Times New Roman" w:cs="Times New Roman"/>
          <w:noProof/>
          <w:sz w:val="28"/>
          <w:szCs w:val="28"/>
          <w:lang w:val="en-US"/>
        </w:rPr>
        <w:tab/>
        <w:t>Pang S</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J</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 Man Q</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Q</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 Song S</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 xml:space="preserve">, Association of lipid parameters with insulin resistance in different glycemic among the elderly population // Zhonghua Yu Fang Yi Xue Za Zhi.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52(6).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629–635.</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40.</w:t>
      </w:r>
      <w:r>
        <w:rPr>
          <w:rFonts w:ascii="Times New Roman" w:hAnsi="Times New Roman" w:cs="Times New Roman"/>
          <w:noProof/>
          <w:sz w:val="28"/>
          <w:szCs w:val="28"/>
          <w:lang w:val="en-US"/>
        </w:rPr>
        <w:tab/>
        <w:t xml:space="preserve">Luo S.H. Association of insulin resistance with dyslipidemia in adults with type 1 diabetes // Zhonghua Yi Xue Za Zhi.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99 (34).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2665–2669.</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41.</w:t>
      </w:r>
      <w:r>
        <w:rPr>
          <w:rFonts w:ascii="Times New Roman" w:hAnsi="Times New Roman" w:cs="Times New Roman"/>
          <w:noProof/>
          <w:sz w:val="28"/>
          <w:szCs w:val="28"/>
          <w:lang w:val="en-US"/>
        </w:rPr>
        <w:tab/>
        <w:t xml:space="preserve">Virkamäki A., Ueki K., Kahn C.R. Protein-protein interaction in insulin signaling and the molecular mechanisms of insulin resistance // J. Clin. Invest.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1999.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103</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7</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931–943.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42.</w:t>
      </w:r>
      <w:r>
        <w:rPr>
          <w:rFonts w:ascii="Times New Roman" w:hAnsi="Times New Roman" w:cs="Times New Roman"/>
          <w:noProof/>
          <w:sz w:val="28"/>
          <w:szCs w:val="28"/>
          <w:lang w:val="en-US"/>
        </w:rPr>
        <w:tab/>
        <w:t xml:space="preserve">Drouin-Chartier J.-P. Differential associations between plasma concentrations of insulin and glucose and intestinal expression of key genes involved in chylomicron metabolism // Am. J. Physiol. Liver Physiol.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315</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2</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177–184.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43.</w:t>
      </w:r>
      <w:r>
        <w:rPr>
          <w:rFonts w:ascii="Times New Roman" w:hAnsi="Times New Roman" w:cs="Times New Roman"/>
          <w:noProof/>
          <w:sz w:val="28"/>
          <w:szCs w:val="28"/>
          <w:lang w:val="en-US"/>
        </w:rPr>
        <w:tab/>
        <w:t xml:space="preserve">Patwardhan V. Dyslipidemia and Fat Distribution in Normal Weight Insulin Resistant Men. // J. Assoc. Physicians India.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67</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7</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26–29.</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44.</w:t>
      </w:r>
      <w:r>
        <w:rPr>
          <w:rFonts w:ascii="Times New Roman" w:hAnsi="Times New Roman" w:cs="Times New Roman"/>
          <w:noProof/>
          <w:sz w:val="28"/>
          <w:szCs w:val="28"/>
          <w:lang w:val="en-US"/>
        </w:rPr>
        <w:tab/>
        <w:t xml:space="preserve">Mansyur M.A. The association between metabolic syndrome components, low-grade systemic inflammation and insulin resistance in non-diabetic </w:t>
      </w:r>
      <w:r>
        <w:rPr>
          <w:rFonts w:ascii="Times New Roman" w:hAnsi="Times New Roman" w:cs="Times New Roman"/>
          <w:noProof/>
          <w:sz w:val="28"/>
          <w:szCs w:val="28"/>
          <w:lang w:val="en-US"/>
        </w:rPr>
        <w:lastRenderedPageBreak/>
        <w:t xml:space="preserve">Indonesian adolescent male // Clin. Nutr. ESPEN. Elsevier Ltd,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2020.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69–74.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kk-KZ"/>
        </w:rPr>
      </w:pPr>
      <w:r>
        <w:rPr>
          <w:rFonts w:ascii="Times New Roman" w:hAnsi="Times New Roman" w:cs="Times New Roman"/>
          <w:noProof/>
          <w:sz w:val="28"/>
          <w:szCs w:val="28"/>
          <w:lang w:val="en-US"/>
        </w:rPr>
        <w:t>45.</w:t>
      </w:r>
      <w:r>
        <w:rPr>
          <w:rFonts w:ascii="Times New Roman" w:hAnsi="Times New Roman" w:cs="Times New Roman"/>
          <w:noProof/>
          <w:sz w:val="28"/>
          <w:szCs w:val="28"/>
          <w:lang w:val="en-US"/>
        </w:rPr>
        <w:tab/>
        <w:t xml:space="preserve">Goff D.C. 2013 ACC/AHA guideline on the assessment of cardiovascular risk: A report of the American college of cardiology/American heart association task force on practice guidelines // Journal of the American College of Cardiology.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63 (25)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w:t>
      </w:r>
      <w:r>
        <w:rPr>
          <w:rFonts w:ascii="Times New Roman" w:hAnsi="Times New Roman" w:cs="Times New Roman"/>
          <w:noProof/>
          <w:sz w:val="28"/>
          <w:szCs w:val="28"/>
          <w:lang w:val="kk-KZ"/>
        </w:rPr>
        <w:t xml:space="preserve">. </w:t>
      </w:r>
      <w:r>
        <w:rPr>
          <w:rFonts w:ascii="Times New Roman" w:hAnsi="Times New Roman" w:cs="Times New Roman"/>
          <w:sz w:val="28"/>
          <w:szCs w:val="28"/>
          <w:lang w:val="en-US"/>
        </w:rPr>
        <w:t xml:space="preserve">2935–2959. </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46.</w:t>
      </w:r>
      <w:r>
        <w:rPr>
          <w:rFonts w:ascii="Times New Roman" w:hAnsi="Times New Roman" w:cs="Times New Roman"/>
          <w:noProof/>
          <w:sz w:val="28"/>
          <w:szCs w:val="28"/>
          <w:lang w:val="en-US"/>
        </w:rPr>
        <w:tab/>
        <w:t xml:space="preserve">Lipsy R.J. The National Cholesterol Education Program Adult Treatment Panel III guidelines. // J. Manag. Care Pharm.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9</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1 Suppl</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2–5.</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47.</w:t>
      </w:r>
      <w:r>
        <w:rPr>
          <w:rFonts w:ascii="Times New Roman" w:hAnsi="Times New Roman" w:cs="Times New Roman"/>
          <w:noProof/>
          <w:sz w:val="28"/>
          <w:szCs w:val="28"/>
          <w:lang w:val="en-US"/>
        </w:rPr>
        <w:tab/>
        <w:t>Beisiegel U. Lipoprotein metabolism. // Eur. Heart J. 1998. Vol. 19 Suppl A. A20</w:t>
      </w:r>
      <w:r>
        <w:rPr>
          <w:rFonts w:ascii="Times New Roman" w:hAnsi="Times New Roman" w:cs="Times New Roman"/>
          <w:noProof/>
          <w:sz w:val="28"/>
          <w:szCs w:val="28"/>
          <w:lang w:val="kk-KZ"/>
        </w:rPr>
        <w:t xml:space="preserve">. - </w:t>
      </w:r>
      <w:r>
        <w:rPr>
          <w:rFonts w:ascii="Times New Roman" w:hAnsi="Times New Roman" w:cs="Times New Roman"/>
          <w:noProof/>
          <w:sz w:val="28"/>
          <w:szCs w:val="28"/>
          <w:lang w:val="en-US"/>
        </w:rPr>
        <w:t>P. 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48.</w:t>
      </w:r>
      <w:r>
        <w:rPr>
          <w:rFonts w:ascii="Times New Roman" w:hAnsi="Times New Roman" w:cs="Times New Roman"/>
          <w:noProof/>
          <w:sz w:val="28"/>
          <w:szCs w:val="28"/>
          <w:lang w:val="en-US"/>
        </w:rPr>
        <w:tab/>
        <w:t xml:space="preserve">Xie C. The common biological basis for common complex diseases: Evidence from lipoprotein lipase gene // Eur. J. Hum. Genet. Nature Publishing Group,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18</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1</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49.</w:t>
      </w:r>
      <w:r>
        <w:rPr>
          <w:rFonts w:ascii="Times New Roman" w:hAnsi="Times New Roman" w:cs="Times New Roman"/>
          <w:noProof/>
          <w:sz w:val="28"/>
          <w:szCs w:val="28"/>
          <w:lang w:val="en-US"/>
        </w:rPr>
        <w:tab/>
        <w:t xml:space="preserve">Mo X. Association of lipoprotein lipase polymorphism rs2197089 with serum lipid concentrations and LPL gene expression // J. Hum. Genet. Nature Publishing Group,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58</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3</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160–164.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50.</w:t>
      </w:r>
      <w:r>
        <w:rPr>
          <w:rFonts w:ascii="Times New Roman" w:hAnsi="Times New Roman" w:cs="Times New Roman"/>
          <w:noProof/>
          <w:sz w:val="28"/>
          <w:szCs w:val="28"/>
          <w:lang w:val="en-US"/>
        </w:rPr>
        <w:tab/>
        <w:t xml:space="preserve">Carty C.L. Analysis of Metabolic Syndrome Components in &gt;15 000 African Americans Identifies Pleiotropic Variants Results from the Population Architecture Using Genomics and Epidemiology Study // Circ. Cardiovasc. Genet.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505–513.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51.</w:t>
      </w:r>
      <w:r>
        <w:rPr>
          <w:rFonts w:ascii="Times New Roman" w:hAnsi="Times New Roman" w:cs="Times New Roman"/>
          <w:noProof/>
          <w:sz w:val="28"/>
          <w:szCs w:val="28"/>
          <w:lang w:val="en-US"/>
        </w:rPr>
        <w:tab/>
        <w:t xml:space="preserve">Malczewska-Malec M. Analysis of candidate genes in Polish families with obesity // Clin. Chem. Lab. Med.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42 (5).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487–493.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52.</w:t>
      </w:r>
      <w:r>
        <w:rPr>
          <w:rFonts w:ascii="Times New Roman" w:hAnsi="Times New Roman" w:cs="Times New Roman"/>
          <w:noProof/>
          <w:sz w:val="28"/>
          <w:szCs w:val="28"/>
          <w:lang w:val="en-US"/>
        </w:rPr>
        <w:tab/>
        <w:t xml:space="preserve">Liu A. The S447X polymorphism of the lipoprotein lipase gene is associated with lipoprotein lipid and blood pressure levels in Chinese patients with essential hypertension // J. Hypertens.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22 (8).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1503–1509.</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53.</w:t>
      </w:r>
      <w:r>
        <w:rPr>
          <w:rFonts w:ascii="Times New Roman" w:hAnsi="Times New Roman" w:cs="Times New Roman"/>
          <w:noProof/>
          <w:sz w:val="28"/>
          <w:szCs w:val="28"/>
          <w:lang w:val="en-US"/>
        </w:rPr>
        <w:tab/>
        <w:t xml:space="preserve">Liu A.P. The association of S447X and Hind III polymorphism in the lipoprotein lipase gene with dyslipidemia of the metabolic syndrome in patients with essential hypertension // Chinese J. Med. Genet.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22</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2</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151–157.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54.</w:t>
      </w:r>
      <w:r>
        <w:rPr>
          <w:rFonts w:ascii="Times New Roman" w:hAnsi="Times New Roman" w:cs="Times New Roman"/>
          <w:noProof/>
          <w:sz w:val="28"/>
          <w:szCs w:val="28"/>
          <w:lang w:val="en-US"/>
        </w:rPr>
        <w:tab/>
        <w:t xml:space="preserve">Chen P. Lipoprotein lipase variants associated with an endophenotype of hypertension: hypertension combined with elevated triglycerides // Hum. Mutat.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30 (1).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49–55.</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55.</w:t>
      </w:r>
      <w:r>
        <w:rPr>
          <w:rFonts w:ascii="Times New Roman" w:hAnsi="Times New Roman" w:cs="Times New Roman"/>
          <w:noProof/>
          <w:sz w:val="28"/>
          <w:szCs w:val="28"/>
          <w:lang w:val="en-US"/>
        </w:rPr>
        <w:tab/>
        <w:t xml:space="preserve">Jeppesen J. Relationship between common lipoprotein lipase gene sequence variants, hyperinsulinemia, and risk of ischemic heart disease: A population-based study. // Atherosclerosis.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211 (2).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506–511.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56.</w:t>
      </w:r>
      <w:r>
        <w:rPr>
          <w:rFonts w:ascii="Times New Roman" w:hAnsi="Times New Roman" w:cs="Times New Roman"/>
          <w:noProof/>
          <w:sz w:val="28"/>
          <w:szCs w:val="28"/>
          <w:lang w:val="en-US"/>
        </w:rPr>
        <w:tab/>
        <w:t xml:space="preserve">Kraja A.T. A bivariate genome-wide approach to metabolic syndrome: STAMPEED Consortium // Diabetes.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60 (4).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1329–1339.</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57.</w:t>
      </w:r>
      <w:r>
        <w:rPr>
          <w:rFonts w:ascii="Times New Roman" w:hAnsi="Times New Roman" w:cs="Times New Roman"/>
          <w:noProof/>
          <w:sz w:val="28"/>
          <w:szCs w:val="28"/>
          <w:lang w:val="en-US"/>
        </w:rPr>
        <w:tab/>
        <w:t xml:space="preserve">Muñoz-Barrios S. Association of the HindIII and S447X polymorphisms in LPL gene with hypertension and type 2 diabetes in Mexican families // Dis. Markers.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33 (6).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313–320.</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58.</w:t>
      </w:r>
      <w:r>
        <w:rPr>
          <w:rFonts w:ascii="Times New Roman" w:hAnsi="Times New Roman" w:cs="Times New Roman"/>
          <w:noProof/>
          <w:sz w:val="28"/>
          <w:szCs w:val="28"/>
          <w:lang w:val="en-US"/>
        </w:rPr>
        <w:tab/>
        <w:t xml:space="preserve">Xing H.X. Relationship between lipoprotein lipase gene polymorphism and hemorrhagic stroke in a Chinese population // Int J Clin Exp Med.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8 (8).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13592–13597.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59.</w:t>
      </w:r>
      <w:r>
        <w:rPr>
          <w:rFonts w:ascii="Times New Roman" w:hAnsi="Times New Roman" w:cs="Times New Roman"/>
          <w:noProof/>
          <w:sz w:val="28"/>
          <w:szCs w:val="28"/>
          <w:lang w:val="en-US"/>
        </w:rPr>
        <w:tab/>
        <w:t xml:space="preserve">Pereira V.C.L. Polymorphisms of the lipoprotein lipase gene as genetic </w:t>
      </w:r>
      <w:r>
        <w:rPr>
          <w:rFonts w:ascii="Times New Roman" w:hAnsi="Times New Roman" w:cs="Times New Roman"/>
          <w:noProof/>
          <w:sz w:val="28"/>
          <w:szCs w:val="28"/>
          <w:lang w:val="en-US"/>
        </w:rPr>
        <w:lastRenderedPageBreak/>
        <w:t>markers for stroke in colombian population: a case control study. // Colomb. medica</w:t>
      </w:r>
      <w:r>
        <w:rPr>
          <w:rFonts w:ascii="Times New Roman" w:hAnsi="Times New Roman" w:cs="Times New Roman"/>
          <w:noProof/>
          <w:sz w:val="28"/>
          <w:szCs w:val="28"/>
          <w:lang w:val="kk-KZ"/>
        </w:rPr>
        <w:t>. -</w:t>
      </w:r>
      <w:r>
        <w:rPr>
          <w:rFonts w:ascii="Times New Roman" w:hAnsi="Times New Roman" w:cs="Times New Roman"/>
          <w:noProof/>
          <w:sz w:val="28"/>
          <w:szCs w:val="28"/>
          <w:lang w:val="en-US"/>
        </w:rPr>
        <w:t xml:space="preserve"> 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47 (4).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189–195.</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60.</w:t>
      </w:r>
      <w:r>
        <w:rPr>
          <w:rFonts w:ascii="Times New Roman" w:hAnsi="Times New Roman" w:cs="Times New Roman"/>
          <w:noProof/>
          <w:sz w:val="28"/>
          <w:szCs w:val="28"/>
          <w:lang w:val="en-US"/>
        </w:rPr>
        <w:tab/>
        <w:t xml:space="preserve">Vishram J. Relationship Between Two Common Lipoprotein Lipase Variants and the Metabolic Syndrome and Its Individual Components // Metab. Syndr. Relat. Disord.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14</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9</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442–448.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61.</w:t>
      </w:r>
      <w:r>
        <w:rPr>
          <w:rFonts w:ascii="Times New Roman" w:hAnsi="Times New Roman" w:cs="Times New Roman"/>
          <w:noProof/>
          <w:sz w:val="28"/>
          <w:szCs w:val="28"/>
          <w:lang w:val="en-US"/>
        </w:rPr>
        <w:tab/>
        <w:t xml:space="preserve">Fischer S. Association of Multiple Genetic Variants with the Extension and Severity of Coronary Artery Disease // Arq. Bras. Cardiol.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110</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1</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16–23.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62.</w:t>
      </w:r>
      <w:r>
        <w:rPr>
          <w:rFonts w:ascii="Times New Roman" w:hAnsi="Times New Roman" w:cs="Times New Roman"/>
          <w:noProof/>
          <w:sz w:val="28"/>
          <w:szCs w:val="28"/>
          <w:lang w:val="en-US"/>
        </w:rPr>
        <w:tab/>
        <w:t xml:space="preserve">Matsunaga A. Variants of Lipid-Related Genes in Adult Japanese Patients with Severe Hypertriglyceridemia // J. Atheroscler. Thromb.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2020.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w:t>
      </w:r>
      <w:r>
        <w:rPr>
          <w:rFonts w:ascii="Times New Roman" w:hAnsi="Times New Roman" w:cs="Times New Roman"/>
          <w:noProof/>
          <w:sz w:val="28"/>
          <w:szCs w:val="28"/>
          <w:lang w:val="kk-KZ"/>
        </w:rPr>
        <w:t xml:space="preserve">2. - </w:t>
      </w:r>
      <w:r>
        <w:rPr>
          <w:rFonts w:ascii="Times New Roman" w:hAnsi="Times New Roman" w:cs="Times New Roman"/>
          <w:noProof/>
          <w:sz w:val="28"/>
          <w:szCs w:val="28"/>
          <w:lang w:val="en-US"/>
        </w:rPr>
        <w:t>P. 1–14.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63.</w:t>
      </w:r>
      <w:r>
        <w:rPr>
          <w:rFonts w:ascii="Times New Roman" w:hAnsi="Times New Roman" w:cs="Times New Roman"/>
          <w:noProof/>
          <w:sz w:val="28"/>
          <w:szCs w:val="28"/>
          <w:lang w:val="en-US"/>
        </w:rPr>
        <w:tab/>
        <w:t xml:space="preserve">Shahid S.U. Common variants in the genes of triglyceride and HDL-C metabolism lack association with coronary artery disease in the Pakistani subjects // Lipids Health Dis. Lipids in Health and Disease,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16 </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24</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64.</w:t>
      </w:r>
      <w:r>
        <w:rPr>
          <w:rFonts w:ascii="Times New Roman" w:hAnsi="Times New Roman" w:cs="Times New Roman"/>
          <w:noProof/>
          <w:sz w:val="28"/>
          <w:szCs w:val="28"/>
          <w:lang w:val="en-US"/>
        </w:rPr>
        <w:tab/>
        <w:t xml:space="preserve">Alinaghian N. Corrigendum to “Gender-related relation between metabolic syndrome and S447X and HindIII polymorphisms of lipoprotein lipase gene in northern Iran” [Gene 706 (2019) 13–18] // Gene. Elsevier,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2020.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725 </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September 2019</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144</w:t>
      </w:r>
      <w:r w:rsidR="00936F60">
        <w:rPr>
          <w:rFonts w:ascii="Times New Roman" w:hAnsi="Times New Roman" w:cs="Times New Roman"/>
          <w:noProof/>
          <w:sz w:val="28"/>
          <w:szCs w:val="28"/>
        </w:rPr>
        <w:t>-</w:t>
      </w:r>
      <w:r>
        <w:rPr>
          <w:rFonts w:ascii="Times New Roman" w:hAnsi="Times New Roman" w:cs="Times New Roman"/>
          <w:noProof/>
          <w:sz w:val="28"/>
          <w:szCs w:val="28"/>
          <w:lang w:val="en-US"/>
        </w:rPr>
        <w:t>152.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65.</w:t>
      </w:r>
      <w:r>
        <w:rPr>
          <w:rFonts w:ascii="Times New Roman" w:hAnsi="Times New Roman" w:cs="Times New Roman"/>
          <w:noProof/>
          <w:sz w:val="28"/>
          <w:szCs w:val="28"/>
          <w:lang w:val="en-US"/>
        </w:rPr>
        <w:tab/>
        <w:t xml:space="preserve">Shahid S.U. Genetic risk analysis of coronary artery disease in Pakistani subjects using a genetic risk score of 21 variants // Atherosclerosis.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258.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66.</w:t>
      </w:r>
      <w:r>
        <w:rPr>
          <w:rFonts w:ascii="Times New Roman" w:hAnsi="Times New Roman" w:cs="Times New Roman"/>
          <w:noProof/>
          <w:sz w:val="28"/>
          <w:szCs w:val="28"/>
          <w:lang w:val="en-US"/>
        </w:rPr>
        <w:tab/>
        <w:t xml:space="preserve">Titov B. V. Genetic risk factors for myocardial infarction more clearly manifest for early age of first onset // Mol. Biol. Rep.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44</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4</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315–321.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67.</w:t>
      </w:r>
      <w:r>
        <w:rPr>
          <w:rFonts w:ascii="Times New Roman" w:hAnsi="Times New Roman" w:cs="Times New Roman"/>
          <w:noProof/>
          <w:sz w:val="28"/>
          <w:szCs w:val="28"/>
          <w:lang w:val="en-US"/>
        </w:rPr>
        <w:tab/>
        <w:t xml:space="preserve">Tabikhanova L.E. Polymorphism of lipid exchange genes in some populations of South and East Siberia // Vavilovskii Zhurnal Genet. Selektsii.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23 (8).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1011–1019.</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68.</w:t>
      </w:r>
      <w:r>
        <w:rPr>
          <w:rFonts w:ascii="Times New Roman" w:hAnsi="Times New Roman" w:cs="Times New Roman"/>
          <w:noProof/>
          <w:sz w:val="28"/>
          <w:szCs w:val="28"/>
          <w:lang w:val="en-US"/>
        </w:rPr>
        <w:tab/>
        <w:t xml:space="preserve">Shatwan I. Impact of Lipoprotein Lipase Gene Polymorphism, S447X, on Postprandial Triacylglycerol and Glucose Response to Sequential Meal Ingestion // Int. J. Mol. Sci.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17 (3).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P. </w:t>
      </w:r>
      <w:r w:rsidR="00936F60" w:rsidRPr="00A8488E">
        <w:rPr>
          <w:rFonts w:ascii="Times New Roman" w:hAnsi="Times New Roman" w:cs="Times New Roman"/>
          <w:noProof/>
          <w:sz w:val="28"/>
          <w:szCs w:val="28"/>
          <w:lang w:val="en-US"/>
        </w:rPr>
        <w:t>1-</w:t>
      </w:r>
      <w:r>
        <w:rPr>
          <w:rFonts w:ascii="Times New Roman" w:hAnsi="Times New Roman" w:cs="Times New Roman"/>
          <w:noProof/>
          <w:sz w:val="28"/>
          <w:szCs w:val="28"/>
          <w:lang w:val="en-US"/>
        </w:rPr>
        <w:t>9.</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69.</w:t>
      </w:r>
      <w:r>
        <w:rPr>
          <w:rFonts w:ascii="Times New Roman" w:hAnsi="Times New Roman" w:cs="Times New Roman"/>
          <w:noProof/>
          <w:sz w:val="28"/>
          <w:szCs w:val="28"/>
          <w:lang w:val="en-US"/>
        </w:rPr>
        <w:tab/>
        <w:t xml:space="preserve">Nejati M. Lipoprotein lipase gene polymorphisms as risk factors for stroke: A computational and meta-analysis // Iran. J. Basic Med. Sci.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21 (7).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701–708.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70.</w:t>
      </w:r>
      <w:r>
        <w:rPr>
          <w:rFonts w:ascii="Times New Roman" w:hAnsi="Times New Roman" w:cs="Times New Roman"/>
          <w:noProof/>
          <w:sz w:val="28"/>
          <w:szCs w:val="28"/>
          <w:lang w:val="en-US"/>
        </w:rPr>
        <w:tab/>
        <w:t xml:space="preserve">Caussy C. Multiple microRNA regulation of lipoprotein lipase gene abolished by 3′UTR polymorphisms in a triglyceride-lowering haplotype harboring p.Ser474Ter // Atherosclerosis.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246 (110)</w:t>
      </w:r>
      <w:r>
        <w:rPr>
          <w:rFonts w:ascii="Times New Roman" w:hAnsi="Times New Roman" w:cs="Times New Roman"/>
          <w:noProof/>
          <w:sz w:val="28"/>
          <w:szCs w:val="28"/>
          <w:lang w:val="kk-KZ"/>
        </w:rPr>
        <w:t xml:space="preserve">. - </w:t>
      </w:r>
      <w:r>
        <w:rPr>
          <w:rFonts w:ascii="Times New Roman" w:hAnsi="Times New Roman" w:cs="Times New Roman"/>
          <w:noProof/>
          <w:sz w:val="28"/>
          <w:szCs w:val="28"/>
          <w:lang w:val="en-US"/>
        </w:rPr>
        <w:t>P. 280–286.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71.</w:t>
      </w:r>
      <w:r>
        <w:rPr>
          <w:rFonts w:ascii="Times New Roman" w:hAnsi="Times New Roman" w:cs="Times New Roman"/>
          <w:noProof/>
          <w:sz w:val="28"/>
          <w:szCs w:val="28"/>
          <w:lang w:val="en-US"/>
        </w:rPr>
        <w:tab/>
        <w:t xml:space="preserve">Gjesing A.P. Studies of the associations between functional </w:t>
      </w:r>
      <w:r>
        <w:rPr>
          <w:rFonts w:ascii="Times New Roman" w:hAnsi="Times New Roman" w:cs="Times New Roman"/>
          <w:noProof/>
          <w:sz w:val="28"/>
          <w:szCs w:val="28"/>
        </w:rPr>
        <w:t>β</w:t>
      </w:r>
      <w:r>
        <w:rPr>
          <w:rFonts w:ascii="Times New Roman" w:hAnsi="Times New Roman" w:cs="Times New Roman"/>
          <w:noProof/>
          <w:sz w:val="28"/>
          <w:szCs w:val="28"/>
          <w:lang w:val="en-US"/>
        </w:rPr>
        <w:t xml:space="preserve">2- adrenergic receptor variants and obesity, hypertension and type 2 diabetes in 7,808 white subjects // Diabetologia.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50 (3).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563–568.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kk-KZ"/>
        </w:rPr>
      </w:pPr>
      <w:r>
        <w:rPr>
          <w:rFonts w:ascii="Times New Roman" w:hAnsi="Times New Roman" w:cs="Times New Roman"/>
          <w:noProof/>
          <w:sz w:val="28"/>
          <w:szCs w:val="28"/>
          <w:lang w:val="en-US"/>
        </w:rPr>
        <w:t>72.</w:t>
      </w:r>
      <w:r>
        <w:rPr>
          <w:rFonts w:ascii="Times New Roman" w:hAnsi="Times New Roman" w:cs="Times New Roman"/>
          <w:noProof/>
          <w:sz w:val="28"/>
          <w:szCs w:val="28"/>
          <w:lang w:val="en-US"/>
        </w:rPr>
        <w:tab/>
        <w:t xml:space="preserve">Rosmond R. Polymorphisms of the beta2-adrenergic receptor gene (ADRB2) in relation to cardiovascular risk factors in men. // J. Intern. Med.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2000.</w:t>
      </w:r>
      <w:r>
        <w:rPr>
          <w:rFonts w:ascii="Times New Roman" w:hAnsi="Times New Roman" w:cs="Times New Roman"/>
          <w:noProof/>
          <w:sz w:val="28"/>
          <w:szCs w:val="28"/>
          <w:lang w:val="kk-KZ"/>
        </w:rPr>
        <w:t xml:space="preserve"> - </w:t>
      </w:r>
      <w:r>
        <w:rPr>
          <w:rFonts w:ascii="Times New Roman" w:hAnsi="Times New Roman" w:cs="Times New Roman"/>
          <w:noProof/>
          <w:sz w:val="28"/>
          <w:szCs w:val="28"/>
          <w:lang w:val="en-US"/>
        </w:rPr>
        <w:t xml:space="preserve">Vol. </w:t>
      </w:r>
      <w:r>
        <w:rPr>
          <w:rFonts w:ascii="Times New Roman" w:hAnsi="Times New Roman" w:cs="Times New Roman"/>
          <w:noProof/>
          <w:sz w:val="28"/>
          <w:szCs w:val="28"/>
          <w:lang w:val="kk-KZ"/>
        </w:rPr>
        <w:t>248</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P. </w:t>
      </w:r>
      <w:r>
        <w:rPr>
          <w:rFonts w:ascii="Times New Roman" w:hAnsi="Times New Roman" w:cs="Times New Roman"/>
          <w:noProof/>
          <w:sz w:val="28"/>
          <w:szCs w:val="28"/>
          <w:lang w:val="kk-KZ"/>
        </w:rPr>
        <w:t>239-244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73.</w:t>
      </w:r>
      <w:r>
        <w:rPr>
          <w:rFonts w:ascii="Times New Roman" w:hAnsi="Times New Roman" w:cs="Times New Roman"/>
          <w:noProof/>
          <w:sz w:val="28"/>
          <w:szCs w:val="28"/>
          <w:lang w:val="en-US"/>
        </w:rPr>
        <w:tab/>
        <w:t xml:space="preserve">Gu D. Association Study With 33 Single-Nucleotide Polymorphisms in 11 </w:t>
      </w:r>
      <w:r>
        <w:rPr>
          <w:rFonts w:ascii="Times New Roman" w:hAnsi="Times New Roman" w:cs="Times New Roman"/>
          <w:noProof/>
          <w:sz w:val="28"/>
          <w:szCs w:val="28"/>
          <w:lang w:val="en-US"/>
        </w:rPr>
        <w:lastRenderedPageBreak/>
        <w:t xml:space="preserve">Candidate Genes for Hypertension in Chinese // Hypertension.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2006. Vol. </w:t>
      </w:r>
      <w:r>
        <w:rPr>
          <w:rFonts w:ascii="Times New Roman" w:hAnsi="Times New Roman" w:cs="Times New Roman"/>
          <w:noProof/>
          <w:sz w:val="28"/>
          <w:szCs w:val="28"/>
          <w:lang w:val="kk-KZ"/>
        </w:rPr>
        <w:t>47</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1147–1154.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74.</w:t>
      </w:r>
      <w:r>
        <w:rPr>
          <w:rFonts w:ascii="Times New Roman" w:hAnsi="Times New Roman" w:cs="Times New Roman"/>
          <w:noProof/>
          <w:sz w:val="28"/>
          <w:szCs w:val="28"/>
          <w:lang w:val="en-US"/>
        </w:rPr>
        <w:tab/>
        <w:t xml:space="preserve">Steemburgo T., Azevedo M.J. Interação entre gene e nutriente e sua associação à obesidade e ao diabetes melito // Arq. Bras. Endocrinol. Metabol.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53</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2</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497–508.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75.</w:t>
      </w:r>
      <w:r>
        <w:rPr>
          <w:rFonts w:ascii="Times New Roman" w:hAnsi="Times New Roman" w:cs="Times New Roman"/>
          <w:noProof/>
          <w:sz w:val="28"/>
          <w:szCs w:val="28"/>
          <w:lang w:val="en-US"/>
        </w:rPr>
        <w:tab/>
        <w:t>Pereira T. V., Mingroni-Netto R.C., Yamada Y. ADRB2 and LEPR gene polymorphisms: Synergistic effects on the risk of obesity in Japanese // Obesity. Nature Publishing Group</w:t>
      </w:r>
      <w:r>
        <w:rPr>
          <w:rFonts w:ascii="Times New Roman" w:hAnsi="Times New Roman" w:cs="Times New Roman"/>
          <w:noProof/>
          <w:sz w:val="28"/>
          <w:szCs w:val="28"/>
          <w:lang w:val="kk-KZ"/>
        </w:rPr>
        <w:t>. -</w:t>
      </w:r>
      <w:r>
        <w:rPr>
          <w:rFonts w:ascii="Times New Roman" w:hAnsi="Times New Roman" w:cs="Times New Roman"/>
          <w:noProof/>
          <w:sz w:val="28"/>
          <w:szCs w:val="28"/>
          <w:lang w:val="en-US"/>
        </w:rPr>
        <w:t xml:space="preserve"> 2011.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19</w:t>
      </w:r>
      <w:r w:rsidRPr="00066B4D">
        <w:rPr>
          <w:rFonts w:ascii="Times New Roman" w:hAnsi="Times New Roman" w:cs="Times New Roman"/>
          <w:noProof/>
          <w:sz w:val="28"/>
          <w:szCs w:val="28"/>
          <w:lang w:val="en-US"/>
        </w:rPr>
        <w:t xml:space="preserve"> (7)</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1523–1527.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76.</w:t>
      </w:r>
      <w:r>
        <w:rPr>
          <w:rFonts w:ascii="Times New Roman" w:hAnsi="Times New Roman" w:cs="Times New Roman"/>
          <w:noProof/>
          <w:sz w:val="28"/>
          <w:szCs w:val="28"/>
          <w:lang w:val="en-US"/>
        </w:rPr>
        <w:tab/>
        <w:t xml:space="preserve">Lee S. Interactive effects of main genotype, caloric intakes, and smoking status on risk of obesity // Asia Pac. J. Clin. Nutr.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20</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4</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563–571.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77.</w:t>
      </w:r>
      <w:r>
        <w:rPr>
          <w:rFonts w:ascii="Times New Roman" w:hAnsi="Times New Roman" w:cs="Times New Roman"/>
          <w:noProof/>
          <w:sz w:val="28"/>
          <w:szCs w:val="28"/>
          <w:lang w:val="en-US"/>
        </w:rPr>
        <w:tab/>
        <w:t xml:space="preserve">Gok I. Roles of beta2-adrenergic receptor gene polymorphisms in a Turkish population with obstructive sleep apnea syndrome or obesity. // Genet. Mol. Res.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13 (4).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8511–8518.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78.</w:t>
      </w:r>
      <w:r>
        <w:rPr>
          <w:rFonts w:ascii="Times New Roman" w:hAnsi="Times New Roman" w:cs="Times New Roman"/>
          <w:noProof/>
          <w:sz w:val="28"/>
          <w:szCs w:val="28"/>
          <w:lang w:val="en-US"/>
        </w:rPr>
        <w:tab/>
        <w:t xml:space="preserve">Apalasamy Y.D. Gender-dependent association of a </w:t>
      </w:r>
      <w:r>
        <w:rPr>
          <w:rFonts w:ascii="Times New Roman" w:hAnsi="Times New Roman" w:cs="Times New Roman"/>
          <w:noProof/>
          <w:sz w:val="28"/>
          <w:szCs w:val="28"/>
        </w:rPr>
        <w:t>β</w:t>
      </w:r>
      <w:r>
        <w:rPr>
          <w:rFonts w:ascii="Times New Roman" w:hAnsi="Times New Roman" w:cs="Times New Roman"/>
          <w:noProof/>
          <w:sz w:val="28"/>
          <w:szCs w:val="28"/>
          <w:lang w:val="en-US"/>
        </w:rPr>
        <w:t xml:space="preserve">2-adrenergic gene variant with obesity parameters in Malaysian Malays // Asia-Pacific J. Public Heal.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27 (2).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154–165.</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79.</w:t>
      </w:r>
      <w:r>
        <w:rPr>
          <w:rFonts w:ascii="Times New Roman" w:hAnsi="Times New Roman" w:cs="Times New Roman"/>
          <w:noProof/>
          <w:sz w:val="28"/>
          <w:szCs w:val="28"/>
          <w:lang w:val="en-US"/>
        </w:rPr>
        <w:tab/>
        <w:t xml:space="preserve">El-Menyar A. Association of </w:t>
      </w:r>
      <w:r>
        <w:rPr>
          <w:rFonts w:ascii="Times New Roman" w:hAnsi="Times New Roman" w:cs="Times New Roman"/>
          <w:noProof/>
          <w:sz w:val="28"/>
          <w:szCs w:val="28"/>
        </w:rPr>
        <w:t>β</w:t>
      </w:r>
      <w:r>
        <w:rPr>
          <w:rFonts w:ascii="Times New Roman" w:hAnsi="Times New Roman" w:cs="Times New Roman"/>
          <w:noProof/>
          <w:sz w:val="28"/>
          <w:szCs w:val="28"/>
          <w:lang w:val="en-US"/>
        </w:rPr>
        <w:t xml:space="preserve">-Adrenergic Receptor Gene Polymorphisms With Acute Coronary Syndrome and Cardiovascular Risk Factors in an Arab Population // Angiology.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67 (8).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762–771.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80.</w:t>
      </w:r>
      <w:r>
        <w:rPr>
          <w:rFonts w:ascii="Times New Roman" w:hAnsi="Times New Roman" w:cs="Times New Roman"/>
          <w:noProof/>
          <w:sz w:val="28"/>
          <w:szCs w:val="28"/>
          <w:lang w:val="en-US"/>
        </w:rPr>
        <w:tab/>
        <w:t xml:space="preserve">Rodrigues J. </w:t>
      </w:r>
      <w:r>
        <w:rPr>
          <w:rFonts w:ascii="Times New Roman" w:hAnsi="Times New Roman" w:cs="Times New Roman"/>
          <w:noProof/>
          <w:sz w:val="28"/>
          <w:szCs w:val="28"/>
        </w:rPr>
        <w:t>β</w:t>
      </w:r>
      <w:r>
        <w:rPr>
          <w:rFonts w:ascii="Times New Roman" w:hAnsi="Times New Roman" w:cs="Times New Roman"/>
          <w:noProof/>
          <w:sz w:val="28"/>
          <w:szCs w:val="28"/>
          <w:lang w:val="en-US"/>
        </w:rPr>
        <w:t xml:space="preserve">2 adrenergic interaction and cardiac autonomic function: effects of aerobic training in overweight/obese individuals // Eur. J. Appl. Physiol. Springer Berlin Heidelberg,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2020.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120</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3</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613–624.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81.</w:t>
      </w:r>
      <w:r>
        <w:rPr>
          <w:rFonts w:ascii="Times New Roman" w:hAnsi="Times New Roman" w:cs="Times New Roman"/>
          <w:noProof/>
          <w:sz w:val="28"/>
          <w:szCs w:val="28"/>
          <w:lang w:val="en-US"/>
        </w:rPr>
        <w:tab/>
        <w:t xml:space="preserve">Du S. Effect of </w:t>
      </w:r>
      <w:r>
        <w:rPr>
          <w:rFonts w:ascii="Times New Roman" w:hAnsi="Times New Roman" w:cs="Times New Roman"/>
          <w:noProof/>
          <w:sz w:val="28"/>
          <w:szCs w:val="28"/>
        </w:rPr>
        <w:t>β</w:t>
      </w:r>
      <w:r>
        <w:rPr>
          <w:rFonts w:ascii="Times New Roman" w:hAnsi="Times New Roman" w:cs="Times New Roman"/>
          <w:noProof/>
          <w:sz w:val="28"/>
          <w:szCs w:val="28"/>
          <w:lang w:val="en-US"/>
        </w:rPr>
        <w:t xml:space="preserve"> 2 -adrenergic receptor polymorphisms on epinephrine and exercise-stimulated lipolysis in humans // Physiol. Rep.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w:t>
      </w:r>
      <w:r>
        <w:rPr>
          <w:rFonts w:ascii="Times New Roman" w:hAnsi="Times New Roman" w:cs="Times New Roman"/>
          <w:noProof/>
          <w:sz w:val="28"/>
          <w:szCs w:val="28"/>
          <w:lang w:val="kk-KZ"/>
        </w:rPr>
        <w:t>1866</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w:t>
      </w:r>
      <w:r>
        <w:rPr>
          <w:rFonts w:ascii="Times New Roman" w:hAnsi="Times New Roman" w:cs="Times New Roman"/>
          <w:noProof/>
          <w:sz w:val="28"/>
          <w:szCs w:val="28"/>
          <w:lang w:val="kk-KZ"/>
        </w:rPr>
        <w:t>-15</w:t>
      </w:r>
      <w:r>
        <w:rPr>
          <w:rFonts w:ascii="Times New Roman" w:hAnsi="Times New Roman" w:cs="Times New Roman"/>
          <w:noProof/>
          <w:sz w:val="28"/>
          <w:szCs w:val="28"/>
          <w:lang w:val="en-US"/>
        </w:rPr>
        <w:t>.</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82.</w:t>
      </w:r>
      <w:r>
        <w:rPr>
          <w:rFonts w:ascii="Times New Roman" w:hAnsi="Times New Roman" w:cs="Times New Roman"/>
          <w:noProof/>
          <w:sz w:val="28"/>
          <w:szCs w:val="28"/>
          <w:lang w:val="en-US"/>
        </w:rPr>
        <w:tab/>
        <w:t xml:space="preserve">Nielsen M. The Gly16 Allele of the Gly16Arg Single-Nucleotide Polymorphism in the </w:t>
      </w:r>
      <w:r>
        <w:rPr>
          <w:rFonts w:ascii="Times New Roman" w:hAnsi="Times New Roman" w:cs="Times New Roman"/>
          <w:noProof/>
          <w:sz w:val="28"/>
          <w:szCs w:val="28"/>
        </w:rPr>
        <w:t>β</w:t>
      </w:r>
      <w:r>
        <w:rPr>
          <w:rFonts w:ascii="Times New Roman" w:hAnsi="Times New Roman" w:cs="Times New Roman"/>
          <w:noProof/>
          <w:sz w:val="28"/>
          <w:szCs w:val="28"/>
          <w:lang w:val="en-US"/>
        </w:rPr>
        <w:t xml:space="preserve">2-Adrenergic Receptor Gene Augments Perioperative Use of Vasopressors // Anesth. Analg.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122 (5).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1385–1393.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83.</w:t>
      </w:r>
      <w:r>
        <w:rPr>
          <w:rFonts w:ascii="Times New Roman" w:hAnsi="Times New Roman" w:cs="Times New Roman"/>
          <w:noProof/>
          <w:sz w:val="28"/>
          <w:szCs w:val="28"/>
          <w:lang w:val="en-US"/>
        </w:rPr>
        <w:tab/>
        <w:t xml:space="preserve">Tan P.Y., Mitra S.R. The Combined Effect of Polygenic Risk from FTO and ADRB2 Gene Variants, Odds of Obesity, and Post-Hipcref Diet Differences // Lifestyle Genomics.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2020.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13 (2).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84–98.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84.</w:t>
      </w:r>
      <w:r>
        <w:rPr>
          <w:rFonts w:ascii="Times New Roman" w:hAnsi="Times New Roman" w:cs="Times New Roman"/>
          <w:noProof/>
          <w:sz w:val="28"/>
          <w:szCs w:val="28"/>
          <w:lang w:val="en-US"/>
        </w:rPr>
        <w:tab/>
        <w:t xml:space="preserve">Skov J. Tissue renin-angiotensin systems: A unifying hypothesis of metabolic disease // Front. Endocrinol. (Lausanne).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5.</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 P. 1–7.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85.</w:t>
      </w:r>
      <w:r>
        <w:rPr>
          <w:rFonts w:ascii="Times New Roman" w:hAnsi="Times New Roman" w:cs="Times New Roman"/>
          <w:noProof/>
          <w:sz w:val="28"/>
          <w:szCs w:val="28"/>
          <w:lang w:val="en-US"/>
        </w:rPr>
        <w:tab/>
        <w:t xml:space="preserve">Johnston A. Skeletal muscle myoblasts possess a stretch-responsive local angiotensin signalling system // J. Renin-Angiotensin-Aldosterone Syst.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12 (2).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75–84.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86.</w:t>
      </w:r>
      <w:r>
        <w:rPr>
          <w:rFonts w:ascii="Times New Roman" w:hAnsi="Times New Roman" w:cs="Times New Roman"/>
          <w:noProof/>
          <w:sz w:val="28"/>
          <w:szCs w:val="28"/>
          <w:lang w:val="en-US"/>
        </w:rPr>
        <w:tab/>
        <w:t xml:space="preserve">Procopciuc L.M. Renin angiotensin system polymorphisms in patients with metabolic syndrome (MetS). // Eur. J. Intern. Med.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21 (5).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414–418.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87.</w:t>
      </w:r>
      <w:r>
        <w:rPr>
          <w:rFonts w:ascii="Times New Roman" w:hAnsi="Times New Roman" w:cs="Times New Roman"/>
          <w:noProof/>
          <w:sz w:val="28"/>
          <w:szCs w:val="28"/>
          <w:lang w:val="en-US"/>
        </w:rPr>
        <w:tab/>
        <w:t xml:space="preserve">Yasue S. Adipose tissue-specific regulation of angiotensinogen in obese humans and mice: Impact of nutritional status and adipocyte hypertrophy // Am. J. Hypertens.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23 (4).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425–431.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88.</w:t>
      </w:r>
      <w:r>
        <w:rPr>
          <w:rFonts w:ascii="Times New Roman" w:hAnsi="Times New Roman" w:cs="Times New Roman"/>
          <w:noProof/>
          <w:sz w:val="28"/>
          <w:szCs w:val="28"/>
          <w:lang w:val="en-US"/>
        </w:rPr>
        <w:tab/>
        <w:t xml:space="preserve">Pollex R.L. Metabolic syndrome in aboriginal Canadians: Prevalence and genetic associations // Atherosclerosis.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184 (1).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121–129.</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lastRenderedPageBreak/>
        <w:t>89.</w:t>
      </w:r>
      <w:r>
        <w:rPr>
          <w:rFonts w:ascii="Times New Roman" w:hAnsi="Times New Roman" w:cs="Times New Roman"/>
          <w:noProof/>
          <w:sz w:val="28"/>
          <w:szCs w:val="28"/>
          <w:lang w:val="en-US"/>
        </w:rPr>
        <w:tab/>
        <w:t xml:space="preserve">Mehri S. Genotypic interactions of renin–angiotensin system genes with diabetes type 2 in a Tunisian population // Life Sci.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87.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49–54.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90.</w:t>
      </w:r>
      <w:r>
        <w:rPr>
          <w:rFonts w:ascii="Times New Roman" w:hAnsi="Times New Roman" w:cs="Times New Roman"/>
          <w:noProof/>
          <w:sz w:val="28"/>
          <w:szCs w:val="28"/>
          <w:lang w:val="en-US"/>
        </w:rPr>
        <w:tab/>
        <w:t xml:space="preserve">Watkins W.S. Genotype–phenotype analysis of angiotensinogen polymorphisms and essential hypertension: the importance of haplotypes // J. Hypertens.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28 (1).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65–75.</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91.</w:t>
      </w:r>
      <w:r>
        <w:rPr>
          <w:rFonts w:ascii="Times New Roman" w:hAnsi="Times New Roman" w:cs="Times New Roman"/>
          <w:noProof/>
          <w:sz w:val="28"/>
          <w:szCs w:val="28"/>
          <w:lang w:val="en-US"/>
        </w:rPr>
        <w:tab/>
        <w:t xml:space="preserve">Gatti R.R. The interaction of AGT and NOS3 gene polymorphisms with conventional risk factors increases predisposition to hypertension // JRAAS - J. Renin-Angiotensin-Aldosterone Syst.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14 (4).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360–368.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92.</w:t>
      </w:r>
      <w:r>
        <w:rPr>
          <w:rFonts w:ascii="Times New Roman" w:hAnsi="Times New Roman" w:cs="Times New Roman"/>
          <w:noProof/>
          <w:sz w:val="28"/>
          <w:szCs w:val="28"/>
          <w:lang w:val="en-US"/>
        </w:rPr>
        <w:tab/>
        <w:t xml:space="preserve">Mohana V.U. Gender-related association of AGT gene variants (M235T and T174M) with essential hypertension-A case-control study // Clin. Exp. Hypertens.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34 (1).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38–44.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93.</w:t>
      </w:r>
      <w:r>
        <w:rPr>
          <w:rFonts w:ascii="Times New Roman" w:hAnsi="Times New Roman" w:cs="Times New Roman"/>
          <w:noProof/>
          <w:sz w:val="28"/>
          <w:szCs w:val="28"/>
          <w:lang w:val="en-US"/>
        </w:rPr>
        <w:tab/>
        <w:t xml:space="preserve">Li H. The relationship between angiotensinogen gene polymorphisms and essential hypertension in a Northern Han Chinese population // Angiology.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65 (7).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614–619.</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94.</w:t>
      </w:r>
      <w:r>
        <w:rPr>
          <w:rFonts w:ascii="Times New Roman" w:hAnsi="Times New Roman" w:cs="Times New Roman"/>
          <w:noProof/>
          <w:sz w:val="28"/>
          <w:szCs w:val="28"/>
          <w:lang w:val="en-US"/>
        </w:rPr>
        <w:tab/>
        <w:t xml:space="preserve">Kolovou V. Angiotensinogen (AGT) M235T, AGT T174M and Angiotensin-1- Converting Enzyme (ACE) I/D Gene Polymorphisms in Essential Hypertension: Effects on Ramipril Efficacy // Open Cardiovasc. Med. J.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118–126.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95.</w:t>
      </w:r>
      <w:r>
        <w:rPr>
          <w:rFonts w:ascii="Times New Roman" w:hAnsi="Times New Roman" w:cs="Times New Roman"/>
          <w:noProof/>
          <w:sz w:val="28"/>
          <w:szCs w:val="28"/>
          <w:lang w:val="en-US"/>
        </w:rPr>
        <w:tab/>
        <w:t xml:space="preserve">Isordia-Salas I. Gene polymorphisms of angiotensin-converting enzyme and angiotensinogen and risk of idiopathic ischemic stroke // Gene.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688.</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 P. 163–170.</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96.</w:t>
      </w:r>
      <w:r>
        <w:rPr>
          <w:rFonts w:ascii="Times New Roman" w:hAnsi="Times New Roman" w:cs="Times New Roman"/>
          <w:noProof/>
          <w:sz w:val="28"/>
          <w:szCs w:val="28"/>
          <w:lang w:val="en-US"/>
        </w:rPr>
        <w:tab/>
        <w:t xml:space="preserve">Muñoz A.M. Examining for an association between candidate gene polymorphisms in the metabolic syndrome components on excess weight and adiposity measures in youth: A cross-sectional study // Genes Nutr. Genes &amp; Nutrition,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12</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1</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1–11.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97.</w:t>
      </w:r>
      <w:r>
        <w:rPr>
          <w:rFonts w:ascii="Times New Roman" w:hAnsi="Times New Roman" w:cs="Times New Roman"/>
          <w:noProof/>
          <w:sz w:val="28"/>
          <w:szCs w:val="28"/>
          <w:lang w:val="en-US"/>
        </w:rPr>
        <w:tab/>
        <w:t xml:space="preserve">Mehta P.K., Griendling K.K. Angiotensin II cell signaling: physiological and pathological effects in the cardiovascular system // Am. J. Physiol. Physiol.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292</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1</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C82–C97.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98.</w:t>
      </w:r>
      <w:r>
        <w:rPr>
          <w:rFonts w:ascii="Times New Roman" w:hAnsi="Times New Roman" w:cs="Times New Roman"/>
          <w:noProof/>
          <w:sz w:val="28"/>
          <w:szCs w:val="28"/>
          <w:lang w:val="en-US"/>
        </w:rPr>
        <w:tab/>
        <w:t>Zhang G.</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Role of mitochondria in angiotensin II-induced reactive oxygen species and mitogen-activated protein kinase activation // Cardiovasc. Res.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76 (2).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204–212.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99.</w:t>
      </w:r>
      <w:r>
        <w:rPr>
          <w:rFonts w:ascii="Times New Roman" w:hAnsi="Times New Roman" w:cs="Times New Roman"/>
          <w:noProof/>
          <w:sz w:val="28"/>
          <w:szCs w:val="28"/>
          <w:lang w:val="en-US"/>
        </w:rPr>
        <w:tab/>
        <w:t>Nickenig G.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Harrison D.G. The AT1-Type Angiotensin Receptor in Oxidative Stress and Atherogenesis Part II: AT1 Receptor Regulation // Circulation.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105. </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 xml:space="preserve"> P. 530–536.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100.</w:t>
      </w:r>
      <w:r>
        <w:rPr>
          <w:rFonts w:ascii="Times New Roman" w:hAnsi="Times New Roman" w:cs="Times New Roman"/>
          <w:noProof/>
          <w:sz w:val="28"/>
          <w:szCs w:val="28"/>
          <w:lang w:val="en-US"/>
        </w:rPr>
        <w:tab/>
        <w:t xml:space="preserve">Behravan J., Naghibi M., Mazloomi M.A. Polymorphism of angiotensin II type 1receptor gene in Essential Hypertension in Iranian population // Daru.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14 (2).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82–86.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101.</w:t>
      </w:r>
      <w:r>
        <w:rPr>
          <w:rFonts w:ascii="Times New Roman" w:hAnsi="Times New Roman" w:cs="Times New Roman"/>
          <w:noProof/>
          <w:sz w:val="28"/>
          <w:szCs w:val="28"/>
          <w:lang w:val="en-US"/>
        </w:rPr>
        <w:tab/>
        <w:t>Fabris B</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 Bortoletto M</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 xml:space="preserve">, Candido R. Genetic polymorphisms of the renin-angiotensin-aldosterone system and renal insufficiency in essential hypertension // J Hypertens.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23 (2).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309–316.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102.</w:t>
      </w:r>
      <w:r>
        <w:rPr>
          <w:rFonts w:ascii="Times New Roman" w:hAnsi="Times New Roman" w:cs="Times New Roman"/>
          <w:noProof/>
          <w:sz w:val="28"/>
          <w:szCs w:val="28"/>
          <w:lang w:val="en-US"/>
        </w:rPr>
        <w:tab/>
        <w:t xml:space="preserve">Fatini C. Multilocus analysis in candidate genes ACE, AGT, and AGTR1 and predisposition to peripheral arterial disease: Role of ACE D/-240T haplotype // J. Vasc. Surg. Elsevier Inc.,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2009.</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 Vol. 50 (6).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1399–1404.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103.</w:t>
      </w:r>
      <w:r>
        <w:rPr>
          <w:rFonts w:ascii="Times New Roman" w:hAnsi="Times New Roman" w:cs="Times New Roman"/>
          <w:noProof/>
          <w:sz w:val="28"/>
          <w:szCs w:val="28"/>
          <w:lang w:val="en-US"/>
        </w:rPr>
        <w:tab/>
        <w:t xml:space="preserve">Campbell C.Y. Associations between Genetic Variants in the ACE, AGT, </w:t>
      </w:r>
      <w:r>
        <w:rPr>
          <w:rFonts w:ascii="Times New Roman" w:hAnsi="Times New Roman" w:cs="Times New Roman"/>
          <w:noProof/>
          <w:sz w:val="28"/>
          <w:szCs w:val="28"/>
          <w:lang w:val="en-US"/>
        </w:rPr>
        <w:lastRenderedPageBreak/>
        <w:t xml:space="preserve">AGTR1 and AGTR2 Genes and Renal Function in the Multi-Ethnic Study of Atherosclerosis // Am. J. Nephrol.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32 (2).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156–162.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104.</w:t>
      </w:r>
      <w:r>
        <w:rPr>
          <w:rFonts w:ascii="Times New Roman" w:hAnsi="Times New Roman" w:cs="Times New Roman"/>
          <w:noProof/>
          <w:sz w:val="28"/>
          <w:szCs w:val="28"/>
          <w:lang w:val="en-US"/>
        </w:rPr>
        <w:tab/>
        <w:t xml:space="preserve">Mehri S. Renin-Angiotensin system polymorphisms in relation to hypertension status and obesity in a Tunisian population // Mol. Biol. Rep.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39</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4</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4059–4065.</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105.</w:t>
      </w:r>
      <w:r>
        <w:rPr>
          <w:rFonts w:ascii="Times New Roman" w:hAnsi="Times New Roman" w:cs="Times New Roman"/>
          <w:noProof/>
          <w:sz w:val="28"/>
          <w:szCs w:val="28"/>
          <w:lang w:val="en-US"/>
        </w:rPr>
        <w:tab/>
        <w:t xml:space="preserve">Abdollahi M.R. Quantitated transcript haplotypes (QTH) of AGTR1, reduced abundance of mRNA haplotypes containing 1166C (rs5186:A&gt;C), and relevance to metabolic syndrome traits // Hum. Mutat.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28</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4</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365–373.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106.</w:t>
      </w:r>
      <w:r>
        <w:rPr>
          <w:rFonts w:ascii="Times New Roman" w:hAnsi="Times New Roman" w:cs="Times New Roman"/>
          <w:noProof/>
          <w:sz w:val="28"/>
          <w:szCs w:val="28"/>
          <w:lang w:val="en-US"/>
        </w:rPr>
        <w:tab/>
        <w:t xml:space="preserve">Miyanaga K. C allele of angiotensin II type 1 receptor gene A1166C polymorphism affects plasma adiponectin concentrations in healthy young Japanese women // Hypertens. Res. Nature Publishing Group,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32 (10).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901–905.</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107.</w:t>
      </w:r>
      <w:r>
        <w:rPr>
          <w:rFonts w:ascii="Times New Roman" w:hAnsi="Times New Roman" w:cs="Times New Roman"/>
          <w:noProof/>
          <w:sz w:val="28"/>
          <w:szCs w:val="28"/>
          <w:lang w:val="en-US"/>
        </w:rPr>
        <w:tab/>
        <w:t xml:space="preserve">Palatini P. Angiotensin II type 1 receptor gene polymorphism predicts development of hypertension and metabolic syndrome // Am. J. Hypertens.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2009.</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 Vol. 22 (2).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208–214.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108.</w:t>
      </w:r>
      <w:r>
        <w:rPr>
          <w:rFonts w:ascii="Times New Roman" w:hAnsi="Times New Roman" w:cs="Times New Roman"/>
          <w:noProof/>
          <w:sz w:val="28"/>
          <w:szCs w:val="28"/>
          <w:lang w:val="en-US"/>
        </w:rPr>
        <w:tab/>
        <w:t xml:space="preserve">Xu Y. Association of angiotensin I converting enzyme, angiotensin II type 1 receptor and angiotensin I converting enzyme 2 gene polymorphisms with the dyslipidemia in Type 2 diabetic patients of Chinese Han origin // Doi.Org.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35 (4).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378–383.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109.</w:t>
      </w:r>
      <w:r>
        <w:rPr>
          <w:rFonts w:ascii="Times New Roman" w:hAnsi="Times New Roman" w:cs="Times New Roman"/>
          <w:noProof/>
          <w:sz w:val="28"/>
          <w:szCs w:val="28"/>
          <w:lang w:val="en-US"/>
        </w:rPr>
        <w:tab/>
        <w:t xml:space="preserve">Pacholczyk M. Association of angiotensin-converting enzyme and angiotensin II type I receptor gene polymorphisms with extreme obesity in Polish individuals. // DNA Cell Biol.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2013.</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 Vol. 32 (8).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435–442.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110.</w:t>
      </w:r>
      <w:r>
        <w:rPr>
          <w:rFonts w:ascii="Times New Roman" w:hAnsi="Times New Roman" w:cs="Times New Roman"/>
          <w:noProof/>
          <w:sz w:val="28"/>
          <w:szCs w:val="28"/>
          <w:lang w:val="en-US"/>
        </w:rPr>
        <w:tab/>
        <w:t xml:space="preserve">Mehri S. The CC genotype of the angiotensin II type I receptor gene independently associates with acute myocardial infarction in a Tunisian population // J. Renin-Angiotensin- Aldosterone Syst.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12 (4).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595–600.</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111.</w:t>
      </w:r>
      <w:r>
        <w:rPr>
          <w:rFonts w:ascii="Times New Roman" w:hAnsi="Times New Roman" w:cs="Times New Roman"/>
          <w:noProof/>
          <w:sz w:val="28"/>
          <w:szCs w:val="28"/>
          <w:lang w:val="en-US"/>
        </w:rPr>
        <w:tab/>
        <w:t>Abdollahi M.R. Quantitated transcript haplotypes (QTH) of AGTR1 , reduced abundance of mRNA haplotypes containing 1166C (rs5186:A&gt;C), and relevance to metabolic syndrome traits // Hum. Mutat.</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 2007.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28 </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4</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365–373.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112.</w:t>
      </w:r>
      <w:r>
        <w:rPr>
          <w:rFonts w:ascii="Times New Roman" w:hAnsi="Times New Roman" w:cs="Times New Roman"/>
          <w:noProof/>
          <w:sz w:val="28"/>
          <w:szCs w:val="28"/>
          <w:lang w:val="en-US"/>
        </w:rPr>
        <w:tab/>
        <w:t xml:space="preserve">Herrera C.L. Association of polymorphisms within the Renin-Angiotensin System with metabolic syndrome in a cohort of Chilean subjects // Arch. Endocrinol. Metab.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60</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3</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190–198.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113.</w:t>
      </w:r>
      <w:r>
        <w:rPr>
          <w:rFonts w:ascii="Times New Roman" w:hAnsi="Times New Roman" w:cs="Times New Roman"/>
          <w:noProof/>
          <w:sz w:val="28"/>
          <w:szCs w:val="28"/>
          <w:lang w:val="en-US"/>
        </w:rPr>
        <w:tab/>
        <w:t xml:space="preserve">Sugimoto K. Association between angiotensin II type 1 receptor gene polymorphism and essential hypertension: the Ohasama Study. // Hypertens. Res.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27 (8).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551–556.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114.</w:t>
      </w:r>
      <w:r>
        <w:rPr>
          <w:rFonts w:ascii="Times New Roman" w:hAnsi="Times New Roman" w:cs="Times New Roman"/>
          <w:noProof/>
          <w:sz w:val="28"/>
          <w:szCs w:val="28"/>
          <w:lang w:val="en-US"/>
        </w:rPr>
        <w:tab/>
        <w:t xml:space="preserve">Tamaki S. Association between polymorphism of the AGTR1 and cardiovascular events in a Japanese general sample (The Shigaraki Study). // Int. J. Cardiol.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136 (3).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354–355.</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rPr>
      </w:pPr>
      <w:r>
        <w:rPr>
          <w:rFonts w:ascii="Times New Roman" w:hAnsi="Times New Roman" w:cs="Times New Roman"/>
          <w:noProof/>
          <w:sz w:val="28"/>
          <w:szCs w:val="28"/>
        </w:rPr>
        <w:t>115.</w:t>
      </w:r>
      <w:r>
        <w:rPr>
          <w:rFonts w:ascii="Times New Roman" w:hAnsi="Times New Roman" w:cs="Times New Roman"/>
          <w:noProof/>
          <w:sz w:val="28"/>
          <w:szCs w:val="28"/>
        </w:rPr>
        <w:tab/>
        <w:t xml:space="preserve">Шацкая Е.Г., Карпенко М.А., Ларионова В.И. С.В.Н. Полиморфизм “кандидатных” генов и артериальная гипертензия, осложненная инсультом // Вестник Российской военно-медицинской академии. </w:t>
      </w:r>
      <w:r>
        <w:rPr>
          <w:rFonts w:ascii="Times New Roman" w:hAnsi="Times New Roman" w:cs="Times New Roman"/>
          <w:noProof/>
          <w:sz w:val="28"/>
          <w:szCs w:val="28"/>
          <w:lang w:val="kk-KZ"/>
        </w:rPr>
        <w:t xml:space="preserve">- </w:t>
      </w:r>
      <w:r>
        <w:rPr>
          <w:rFonts w:ascii="Times New Roman" w:hAnsi="Times New Roman" w:cs="Times New Roman"/>
          <w:noProof/>
          <w:sz w:val="28"/>
          <w:szCs w:val="28"/>
        </w:rPr>
        <w:t xml:space="preserve">2011. </w:t>
      </w:r>
      <w:r>
        <w:rPr>
          <w:rFonts w:ascii="Times New Roman" w:hAnsi="Times New Roman" w:cs="Times New Roman"/>
          <w:noProof/>
          <w:sz w:val="28"/>
          <w:szCs w:val="28"/>
          <w:lang w:val="kk-KZ"/>
        </w:rPr>
        <w:t xml:space="preserve">- </w:t>
      </w:r>
      <w:r>
        <w:rPr>
          <w:rFonts w:ascii="Times New Roman" w:hAnsi="Times New Roman" w:cs="Times New Roman"/>
          <w:noProof/>
          <w:sz w:val="28"/>
          <w:szCs w:val="28"/>
        </w:rPr>
        <w:t xml:space="preserve">№ </w:t>
      </w:r>
      <w:r>
        <w:rPr>
          <w:rFonts w:ascii="Times New Roman" w:hAnsi="Times New Roman" w:cs="Times New Roman"/>
          <w:noProof/>
          <w:sz w:val="28"/>
          <w:szCs w:val="28"/>
          <w:lang w:val="kk-KZ"/>
        </w:rPr>
        <w:t>1 (</w:t>
      </w:r>
      <w:r>
        <w:rPr>
          <w:rFonts w:ascii="Times New Roman" w:hAnsi="Times New Roman" w:cs="Times New Roman"/>
          <w:noProof/>
          <w:sz w:val="28"/>
          <w:szCs w:val="28"/>
        </w:rPr>
        <w:t>33</w:t>
      </w:r>
      <w:r>
        <w:rPr>
          <w:rFonts w:ascii="Times New Roman" w:hAnsi="Times New Roman" w:cs="Times New Roman"/>
          <w:noProof/>
          <w:sz w:val="28"/>
          <w:szCs w:val="28"/>
          <w:lang w:val="kk-KZ"/>
        </w:rPr>
        <w:t>)</w:t>
      </w:r>
      <w:r>
        <w:rPr>
          <w:rFonts w:ascii="Times New Roman" w:hAnsi="Times New Roman" w:cs="Times New Roman"/>
          <w:noProof/>
          <w:sz w:val="28"/>
          <w:szCs w:val="28"/>
        </w:rPr>
        <w:t>.</w:t>
      </w:r>
      <w:r>
        <w:rPr>
          <w:rFonts w:ascii="Times New Roman" w:hAnsi="Times New Roman" w:cs="Times New Roman"/>
          <w:noProof/>
          <w:sz w:val="28"/>
          <w:szCs w:val="28"/>
          <w:lang w:val="kk-KZ"/>
        </w:rPr>
        <w:t xml:space="preserve"> - С</w:t>
      </w:r>
      <w:r>
        <w:rPr>
          <w:rFonts w:ascii="Times New Roman" w:hAnsi="Times New Roman" w:cs="Times New Roman"/>
          <w:noProof/>
          <w:sz w:val="28"/>
          <w:szCs w:val="28"/>
        </w:rPr>
        <w:t>. 35–42.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116.</w:t>
      </w:r>
      <w:r>
        <w:rPr>
          <w:rFonts w:ascii="Times New Roman" w:hAnsi="Times New Roman" w:cs="Times New Roman"/>
          <w:noProof/>
          <w:sz w:val="28"/>
          <w:szCs w:val="28"/>
          <w:lang w:val="en-US"/>
        </w:rPr>
        <w:tab/>
        <w:t xml:space="preserve">Cwynar M. Blood pressure, arterial stiffness and endogenous lithium </w:t>
      </w:r>
      <w:r>
        <w:rPr>
          <w:rFonts w:ascii="Times New Roman" w:hAnsi="Times New Roman" w:cs="Times New Roman"/>
          <w:noProof/>
          <w:sz w:val="28"/>
          <w:szCs w:val="28"/>
          <w:lang w:val="en-US"/>
        </w:rPr>
        <w:lastRenderedPageBreak/>
        <w:t xml:space="preserve">clearance in relation to AGTR1 A1166C and AGTR2 G1675A gene polymorphisms. // J. Renin. Angiotensin. Aldosterone. Syst.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17 (2).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1–12.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117.</w:t>
      </w:r>
      <w:r>
        <w:rPr>
          <w:rFonts w:ascii="Times New Roman" w:hAnsi="Times New Roman" w:cs="Times New Roman"/>
          <w:noProof/>
          <w:sz w:val="28"/>
          <w:szCs w:val="28"/>
          <w:lang w:val="en-US"/>
        </w:rPr>
        <w:tab/>
        <w:t xml:space="preserve">Lapierre A.V. Angiotensin II type 1 receptor A1166C gene polymorphism and essential hypertension in San Luis. // Biocell.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30 (3).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447–455.</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kk-KZ"/>
        </w:rPr>
      </w:pPr>
      <w:r>
        <w:rPr>
          <w:rFonts w:ascii="Times New Roman" w:hAnsi="Times New Roman" w:cs="Times New Roman"/>
          <w:noProof/>
          <w:sz w:val="28"/>
          <w:szCs w:val="28"/>
          <w:lang w:val="en-US"/>
        </w:rPr>
        <w:t>118.</w:t>
      </w:r>
      <w:r>
        <w:rPr>
          <w:rFonts w:ascii="Times New Roman" w:hAnsi="Times New Roman" w:cs="Times New Roman"/>
          <w:noProof/>
          <w:sz w:val="28"/>
          <w:szCs w:val="28"/>
          <w:lang w:val="en-US"/>
        </w:rPr>
        <w:tab/>
        <w:t xml:space="preserve">Junusbekov Y. AGT rs699 and AGTR1 rs5186 gene variants are associated with cardiovascular-related phenotypes in atherosclerotic peripheral arterial obstructive disease. // Ir. J. Med. Sci.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2019.</w:t>
      </w:r>
      <w:r>
        <w:rPr>
          <w:rFonts w:ascii="Times New Roman" w:hAnsi="Times New Roman" w:cs="Times New Roman"/>
          <w:noProof/>
          <w:sz w:val="28"/>
          <w:szCs w:val="28"/>
          <w:lang w:val="kk-KZ"/>
        </w:rPr>
        <w:t xml:space="preserve"> - </w:t>
      </w:r>
      <w:r>
        <w:rPr>
          <w:rFonts w:ascii="Times New Roman" w:hAnsi="Times New Roman" w:cs="Times New Roman"/>
          <w:noProof/>
          <w:sz w:val="28"/>
          <w:szCs w:val="28"/>
          <w:lang w:val="en-US"/>
        </w:rPr>
        <w:t xml:space="preserve">Vol. </w:t>
      </w:r>
      <w:r>
        <w:rPr>
          <w:rFonts w:ascii="Times New Roman" w:hAnsi="Times New Roman" w:cs="Times New Roman"/>
          <w:noProof/>
          <w:sz w:val="28"/>
          <w:szCs w:val="28"/>
          <w:lang w:val="kk-KZ"/>
        </w:rPr>
        <w:t>189</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P. </w:t>
      </w:r>
      <w:r>
        <w:rPr>
          <w:rFonts w:ascii="Times New Roman" w:hAnsi="Times New Roman" w:cs="Times New Roman"/>
          <w:noProof/>
          <w:sz w:val="28"/>
          <w:szCs w:val="28"/>
          <w:lang w:val="kk-KZ"/>
        </w:rPr>
        <w:t>885</w:t>
      </w:r>
      <w:r>
        <w:rPr>
          <w:rFonts w:ascii="Times New Roman" w:hAnsi="Times New Roman" w:cs="Times New Roman"/>
          <w:noProof/>
          <w:sz w:val="28"/>
          <w:szCs w:val="28"/>
          <w:lang w:val="en-US"/>
        </w:rPr>
        <w:t>–</w:t>
      </w:r>
      <w:r>
        <w:rPr>
          <w:rFonts w:ascii="Times New Roman" w:hAnsi="Times New Roman" w:cs="Times New Roman"/>
          <w:noProof/>
          <w:sz w:val="28"/>
          <w:szCs w:val="28"/>
          <w:lang w:val="kk-KZ"/>
        </w:rPr>
        <w:t>894</w:t>
      </w:r>
      <w:r>
        <w:rPr>
          <w:rFonts w:ascii="Times New Roman" w:hAnsi="Times New Roman" w:cs="Times New Roman"/>
          <w:noProof/>
          <w:sz w:val="28"/>
          <w:szCs w:val="28"/>
          <w:lang w:val="en-US"/>
        </w:rPr>
        <w:t>.</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119.</w:t>
      </w:r>
      <w:r>
        <w:rPr>
          <w:rFonts w:ascii="Times New Roman" w:hAnsi="Times New Roman" w:cs="Times New Roman"/>
          <w:noProof/>
          <w:sz w:val="28"/>
          <w:szCs w:val="28"/>
          <w:lang w:val="en-US"/>
        </w:rPr>
        <w:tab/>
        <w:t xml:space="preserve">Baranova T.I. Genetic determination of the vascular reactions in humans in response to the diving reflex // Am. J. Physiol. Circ. Physiol.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312</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3</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622–631.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120.</w:t>
      </w:r>
      <w:r>
        <w:rPr>
          <w:rFonts w:ascii="Times New Roman" w:hAnsi="Times New Roman" w:cs="Times New Roman"/>
          <w:noProof/>
          <w:sz w:val="28"/>
          <w:szCs w:val="28"/>
          <w:lang w:val="en-US"/>
        </w:rPr>
        <w:tab/>
        <w:t xml:space="preserve">Fajar J.K. The association between angiotensin II type 1 receptor A1166C gene polymorphism and the risk of essential hypertension: a meta-analysis // Egyptian Journal of Medical Human Genetics,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20</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1</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P. </w:t>
      </w:r>
      <w:r w:rsidR="00A8488E" w:rsidRPr="00871AD0">
        <w:rPr>
          <w:rFonts w:ascii="Times New Roman" w:hAnsi="Times New Roman" w:cs="Times New Roman"/>
          <w:noProof/>
          <w:sz w:val="28"/>
          <w:szCs w:val="28"/>
          <w:lang w:val="en-US"/>
        </w:rPr>
        <w:t>1-</w:t>
      </w:r>
      <w:r>
        <w:rPr>
          <w:rFonts w:ascii="Times New Roman" w:hAnsi="Times New Roman" w:cs="Times New Roman"/>
          <w:noProof/>
          <w:sz w:val="28"/>
          <w:szCs w:val="28"/>
          <w:lang w:val="en-US"/>
        </w:rPr>
        <w:t>14.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121.</w:t>
      </w:r>
      <w:r>
        <w:rPr>
          <w:rFonts w:ascii="Times New Roman" w:hAnsi="Times New Roman" w:cs="Times New Roman"/>
          <w:noProof/>
          <w:sz w:val="28"/>
          <w:szCs w:val="28"/>
          <w:lang w:val="en-US"/>
        </w:rPr>
        <w:tab/>
        <w:t xml:space="preserve">Stumvoll M., Goldstein B.J., van Haeften T.W. Type 2 diabetes: principles of pathogenesis and therapy // Lancet. 2005.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365</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9467</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 P. 1333–1346.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122.</w:t>
      </w:r>
      <w:r>
        <w:rPr>
          <w:rFonts w:ascii="Times New Roman" w:hAnsi="Times New Roman" w:cs="Times New Roman"/>
          <w:noProof/>
          <w:sz w:val="28"/>
          <w:szCs w:val="28"/>
          <w:lang w:val="en-US"/>
        </w:rPr>
        <w:tab/>
        <w:t xml:space="preserve">Muñoz A.M., Bedoya G., Velásquez C. An approach to the etiology of metabolic syndrome // Colomb. Med.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44 (1).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57–63.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123.</w:t>
      </w:r>
      <w:r>
        <w:rPr>
          <w:rFonts w:ascii="Times New Roman" w:hAnsi="Times New Roman" w:cs="Times New Roman"/>
          <w:noProof/>
          <w:sz w:val="28"/>
          <w:szCs w:val="28"/>
          <w:lang w:val="en-US"/>
        </w:rPr>
        <w:tab/>
        <w:t xml:space="preserve">Panizzon M.S. A new look at the genetic and environmental coherence of metabolic syndrome components // Obesity.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23 (12).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2499–2507.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124.</w:t>
      </w:r>
      <w:r>
        <w:rPr>
          <w:rFonts w:ascii="Times New Roman" w:hAnsi="Times New Roman" w:cs="Times New Roman"/>
          <w:noProof/>
          <w:sz w:val="28"/>
          <w:szCs w:val="28"/>
          <w:lang w:val="en-US"/>
        </w:rPr>
        <w:tab/>
        <w:t xml:space="preserve">Chen Z. Functional Screening of Candidate Causal Genes for Insulin Resistance in Human Preadipocytes and Adipocytes // Circ. Res.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2020.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126 (3).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330–346.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125.</w:t>
      </w:r>
      <w:r>
        <w:rPr>
          <w:rFonts w:ascii="Times New Roman" w:hAnsi="Times New Roman" w:cs="Times New Roman"/>
          <w:noProof/>
          <w:sz w:val="28"/>
          <w:szCs w:val="28"/>
          <w:lang w:val="en-US"/>
        </w:rPr>
        <w:tab/>
        <w:t xml:space="preserve">Cho Y.S. Association of lipoprotein lipase (LPL) single nucleotide polymorphisms with type 2 diabetes mellitus // Exp. Mol. Med.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40 (5).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523</w:t>
      </w:r>
      <w:r w:rsidR="00871AD0" w:rsidRPr="00E36FE7">
        <w:rPr>
          <w:rFonts w:ascii="Times New Roman" w:hAnsi="Times New Roman" w:cs="Times New Roman"/>
          <w:noProof/>
          <w:sz w:val="28"/>
          <w:szCs w:val="28"/>
          <w:lang w:val="en-US"/>
        </w:rPr>
        <w:t>-532</w:t>
      </w:r>
      <w:r>
        <w:rPr>
          <w:rFonts w:ascii="Times New Roman" w:hAnsi="Times New Roman" w:cs="Times New Roman"/>
          <w:noProof/>
          <w:sz w:val="28"/>
          <w:szCs w:val="28"/>
          <w:lang w:val="en-US"/>
        </w:rPr>
        <w:t>.</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kk-KZ"/>
        </w:rPr>
      </w:pPr>
      <w:r>
        <w:rPr>
          <w:rFonts w:ascii="Times New Roman" w:hAnsi="Times New Roman" w:cs="Times New Roman"/>
          <w:noProof/>
          <w:sz w:val="28"/>
          <w:szCs w:val="28"/>
          <w:lang w:val="en-US"/>
        </w:rPr>
        <w:t>126.</w:t>
      </w:r>
      <w:r>
        <w:rPr>
          <w:rFonts w:ascii="Times New Roman" w:hAnsi="Times New Roman" w:cs="Times New Roman"/>
          <w:noProof/>
          <w:sz w:val="28"/>
          <w:szCs w:val="28"/>
          <w:lang w:val="en-US"/>
        </w:rPr>
        <w:tab/>
        <w:t>Cahua-Pablo J.Á. Polymorphisms in the LPL and CETP genes and haplotype in the ESR1 gene are associated with metabolic syndrome in women from Southwestern Mexico // Int. J. Mol. Sci. 2015.</w:t>
      </w:r>
      <w:r>
        <w:rPr>
          <w:rFonts w:ascii="Times New Roman" w:hAnsi="Times New Roman" w:cs="Times New Roman"/>
          <w:noProof/>
          <w:sz w:val="28"/>
          <w:szCs w:val="28"/>
          <w:lang w:val="kk-KZ"/>
        </w:rPr>
        <w:t xml:space="preserve"> - </w:t>
      </w:r>
      <w:r>
        <w:rPr>
          <w:rFonts w:ascii="Times New Roman" w:hAnsi="Times New Roman" w:cs="Times New Roman"/>
          <w:noProof/>
          <w:sz w:val="28"/>
          <w:szCs w:val="28"/>
          <w:lang w:val="en-US"/>
        </w:rPr>
        <w:t xml:space="preserve">Vol. </w:t>
      </w:r>
      <w:r>
        <w:rPr>
          <w:rFonts w:ascii="Times New Roman" w:hAnsi="Times New Roman" w:cs="Times New Roman"/>
          <w:noProof/>
          <w:sz w:val="28"/>
          <w:szCs w:val="28"/>
          <w:lang w:val="kk-KZ"/>
        </w:rPr>
        <w:t>8 (16)</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P. </w:t>
      </w:r>
      <w:r>
        <w:rPr>
          <w:rFonts w:ascii="Times New Roman" w:hAnsi="Times New Roman" w:cs="Times New Roman"/>
          <w:noProof/>
          <w:sz w:val="28"/>
          <w:szCs w:val="28"/>
          <w:lang w:val="kk-KZ"/>
        </w:rPr>
        <w:t>21539-21554</w:t>
      </w:r>
      <w:r>
        <w:rPr>
          <w:rFonts w:ascii="Times New Roman" w:hAnsi="Times New Roman" w:cs="Times New Roman"/>
          <w:noProof/>
          <w:sz w:val="28"/>
          <w:szCs w:val="28"/>
          <w:lang w:val="en-US"/>
        </w:rPr>
        <w:t>.</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127.</w:t>
      </w:r>
      <w:r>
        <w:rPr>
          <w:rFonts w:ascii="Times New Roman" w:hAnsi="Times New Roman" w:cs="Times New Roman"/>
          <w:noProof/>
          <w:sz w:val="28"/>
          <w:szCs w:val="28"/>
          <w:lang w:val="en-US"/>
        </w:rPr>
        <w:tab/>
        <w:t>Yue Y. The association of lipid metabolism relative gene polymorphisms and ischemic stroke in Han and Uighur population of Xinjiang // Lipids Health Dis. Lipids in Health and Disease</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16</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1</w:t>
      </w:r>
      <w:r w:rsidR="00E36FE7">
        <w:rPr>
          <w:rFonts w:ascii="Times New Roman" w:hAnsi="Times New Roman" w:cs="Times New Roman"/>
          <w:noProof/>
          <w:sz w:val="28"/>
          <w:szCs w:val="28"/>
          <w:lang w:val="en-US"/>
        </w:rPr>
        <w:t>20</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w:t>
      </w:r>
      <w:r w:rsidR="00E36FE7">
        <w:rPr>
          <w:rFonts w:ascii="Times New Roman" w:hAnsi="Times New Roman" w:cs="Times New Roman"/>
          <w:noProof/>
          <w:sz w:val="28"/>
          <w:szCs w:val="28"/>
        </w:rPr>
        <w:t>-8</w:t>
      </w:r>
      <w:r>
        <w:rPr>
          <w:rFonts w:ascii="Times New Roman" w:hAnsi="Times New Roman" w:cs="Times New Roman"/>
          <w:noProof/>
          <w:sz w:val="28"/>
          <w:szCs w:val="28"/>
          <w:lang w:val="en-US"/>
        </w:rPr>
        <w:t>.</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128.</w:t>
      </w:r>
      <w:r>
        <w:rPr>
          <w:rFonts w:ascii="Times New Roman" w:hAnsi="Times New Roman" w:cs="Times New Roman"/>
          <w:noProof/>
          <w:sz w:val="28"/>
          <w:szCs w:val="28"/>
          <w:lang w:val="en-US"/>
        </w:rPr>
        <w:tab/>
        <w:t xml:space="preserve">Gavra P. The influence of gene polymorphisms on postprandial triglyceride response after oral fat tolerance test meal in patients with diabetes mellitus. // Int. J. Clin. Pract.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73 (12). </w:t>
      </w:r>
      <w:r w:rsidR="00124AD0">
        <w:rPr>
          <w:rFonts w:ascii="Times New Roman" w:hAnsi="Times New Roman" w:cs="Times New Roman"/>
          <w:noProof/>
          <w:sz w:val="28"/>
          <w:szCs w:val="28"/>
          <w:lang w:val="en-US"/>
        </w:rPr>
        <w:t>13432</w:t>
      </w:r>
      <w:r w:rsidR="00124AD0" w:rsidRPr="00124AD0">
        <w:rPr>
          <w:rFonts w:ascii="Times New Roman" w:hAnsi="Times New Roman" w:cs="Times New Roman"/>
          <w:noProof/>
          <w:sz w:val="28"/>
          <w:szCs w:val="28"/>
          <w:lang w:val="en-US"/>
        </w:rPr>
        <w:t>.</w:t>
      </w:r>
      <w:r w:rsidR="00124AD0" w:rsidRPr="004825EC">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w:t>
      </w:r>
      <w:r w:rsidR="004825EC" w:rsidRPr="004825EC">
        <w:rPr>
          <w:rFonts w:ascii="Times New Roman" w:hAnsi="Times New Roman" w:cs="Times New Roman"/>
          <w:noProof/>
          <w:sz w:val="28"/>
          <w:szCs w:val="28"/>
          <w:lang w:val="en-US"/>
        </w:rPr>
        <w:t xml:space="preserve"> </w:t>
      </w:r>
      <w:r w:rsidR="00124AD0" w:rsidRPr="004825EC">
        <w:rPr>
          <w:rFonts w:ascii="Times New Roman" w:hAnsi="Times New Roman" w:cs="Times New Roman"/>
          <w:noProof/>
          <w:sz w:val="28"/>
          <w:szCs w:val="28"/>
          <w:lang w:val="en-US"/>
        </w:rPr>
        <w:t>1-4</w:t>
      </w:r>
      <w:r>
        <w:rPr>
          <w:rFonts w:ascii="Times New Roman" w:hAnsi="Times New Roman" w:cs="Times New Roman"/>
          <w:noProof/>
          <w:sz w:val="28"/>
          <w:szCs w:val="28"/>
          <w:lang w:val="en-US"/>
        </w:rPr>
        <w:t>.</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129.</w:t>
      </w:r>
      <w:r>
        <w:rPr>
          <w:rFonts w:ascii="Times New Roman" w:hAnsi="Times New Roman" w:cs="Times New Roman"/>
          <w:noProof/>
          <w:sz w:val="28"/>
          <w:szCs w:val="28"/>
          <w:lang w:val="en-US"/>
        </w:rPr>
        <w:tab/>
        <w:t>Park H.S., Shin E.S., Lee J.E. Genotypes and haplotypes of beta2-adrenergic receptor and parameters of the metabolic syndrome in Korean adolescents. // Metabolism.</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 2008.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57 (8).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1064–1070.</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130.</w:t>
      </w:r>
      <w:r>
        <w:rPr>
          <w:rFonts w:ascii="Times New Roman" w:hAnsi="Times New Roman" w:cs="Times New Roman"/>
          <w:noProof/>
          <w:sz w:val="28"/>
          <w:szCs w:val="28"/>
          <w:lang w:val="en-US"/>
        </w:rPr>
        <w:tab/>
        <w:t xml:space="preserve">Borghi C., Urso R., Cicero A.F. Renin–angiotensin system at the crossroad of hypertension and hypercholesterolemia // Nutr. Metab. Cardiovasc. Dis.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2017.</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 Vol. 27</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2</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115–120.</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lastRenderedPageBreak/>
        <w:t>131.</w:t>
      </w:r>
      <w:r>
        <w:rPr>
          <w:rFonts w:ascii="Times New Roman" w:hAnsi="Times New Roman" w:cs="Times New Roman"/>
          <w:noProof/>
          <w:sz w:val="28"/>
          <w:szCs w:val="28"/>
          <w:lang w:val="en-US"/>
        </w:rPr>
        <w:tab/>
        <w:t xml:space="preserve">Underwood P.C., Adler G.K. The Renin Angiotensin Aldosterone System and Insulin Resistance in Humans // Curr. Hypertens. Rep.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15 (1).</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 P. 59–70.</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132.</w:t>
      </w:r>
      <w:r>
        <w:rPr>
          <w:rFonts w:ascii="Times New Roman" w:hAnsi="Times New Roman" w:cs="Times New Roman"/>
          <w:noProof/>
          <w:sz w:val="28"/>
          <w:szCs w:val="28"/>
          <w:lang w:val="en-US"/>
        </w:rPr>
        <w:tab/>
        <w:t xml:space="preserve">Hsiao C.-F. The effects of the renin-angiotensin-aldosterone system gene polymorphisms on insulin resistance in hypertensive families // J. Renin-Angiotensin-Aldosterone Syst.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13 (4).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446–454.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133.</w:t>
      </w:r>
      <w:r>
        <w:rPr>
          <w:rFonts w:ascii="Times New Roman" w:hAnsi="Times New Roman" w:cs="Times New Roman"/>
          <w:noProof/>
          <w:sz w:val="28"/>
          <w:szCs w:val="28"/>
          <w:lang w:val="en-US"/>
        </w:rPr>
        <w:tab/>
        <w:t xml:space="preserve">Moussa A. Genetic Variation in the Renin-Angiotensin System and Diabetic Nephropathy in the Tunisian Population // Clin. Lab.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63 (03).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2368–2371.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134.</w:t>
      </w:r>
      <w:r>
        <w:rPr>
          <w:rFonts w:ascii="Times New Roman" w:hAnsi="Times New Roman" w:cs="Times New Roman"/>
          <w:noProof/>
          <w:sz w:val="28"/>
          <w:szCs w:val="28"/>
          <w:lang w:val="en-US"/>
        </w:rPr>
        <w:tab/>
        <w:t xml:space="preserve">Makuc J. Angiotensinogen (AGT) gene missense polymorphisms (rs699 and rs4762) and diabetic nephropathy in Caucasians with type 2 diabetes mellitus // Bosn. J. Basic Med. Sci.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17 (3).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262–267.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kk-KZ"/>
        </w:rPr>
      </w:pPr>
      <w:r>
        <w:rPr>
          <w:rFonts w:ascii="Times New Roman" w:hAnsi="Times New Roman" w:cs="Times New Roman"/>
          <w:noProof/>
          <w:sz w:val="28"/>
          <w:szCs w:val="28"/>
          <w:lang w:val="en-US"/>
        </w:rPr>
        <w:t>135.</w:t>
      </w:r>
      <w:r>
        <w:rPr>
          <w:rFonts w:ascii="Times New Roman" w:hAnsi="Times New Roman" w:cs="Times New Roman"/>
          <w:noProof/>
          <w:sz w:val="28"/>
          <w:szCs w:val="28"/>
          <w:lang w:val="en-US"/>
        </w:rPr>
        <w:tab/>
        <w:t xml:space="preserve">Liu N., Wang Y. Association between angiotensinogen T174M polymorphism and the risk of diabetic nephropathy: A meta-analysis // JRAAS - J. Renin-Angiotensin-Aldosterone Syst.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20 (1).</w:t>
      </w:r>
      <w:r>
        <w:rPr>
          <w:rFonts w:ascii="Times New Roman" w:hAnsi="Times New Roman" w:cs="Times New Roman"/>
          <w:noProof/>
          <w:sz w:val="28"/>
          <w:szCs w:val="28"/>
          <w:lang w:val="kk-KZ"/>
        </w:rPr>
        <w:t xml:space="preserve"> - Р. 1-6.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136.</w:t>
      </w:r>
      <w:r>
        <w:rPr>
          <w:rFonts w:ascii="Times New Roman" w:hAnsi="Times New Roman" w:cs="Times New Roman"/>
          <w:noProof/>
          <w:sz w:val="28"/>
          <w:szCs w:val="28"/>
          <w:lang w:val="en-US"/>
        </w:rPr>
        <w:tab/>
        <w:t xml:space="preserve">Kalupahana N.S., Moustaid-Moussa N. The renin-angiotensin system: A link between obesity, inflammation and insulin resistance // Obes. Rev.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13 (2).</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 P. 136–149.</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137.</w:t>
      </w:r>
      <w:r>
        <w:rPr>
          <w:rFonts w:ascii="Times New Roman" w:hAnsi="Times New Roman" w:cs="Times New Roman"/>
          <w:noProof/>
          <w:sz w:val="28"/>
          <w:szCs w:val="28"/>
          <w:lang w:val="en-US"/>
        </w:rPr>
        <w:tab/>
        <w:t xml:space="preserve">Fung M.M. Early inflammatory and metabolic changes in association with AGTR1 polymorphisms in prehypertensive subjects // Am. J. Hypertens.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24 (2).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225–233.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138.</w:t>
      </w:r>
      <w:r>
        <w:rPr>
          <w:rFonts w:ascii="Times New Roman" w:hAnsi="Times New Roman" w:cs="Times New Roman"/>
          <w:noProof/>
          <w:sz w:val="28"/>
          <w:szCs w:val="28"/>
          <w:lang w:val="en-US"/>
        </w:rPr>
        <w:tab/>
        <w:t xml:space="preserve">Mehri S. Genotypic interactions of renin–angiotensin system genes with diabetes type 2 in a Tunisian population // Life Sci.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87 (1–2).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49–54.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139.</w:t>
      </w:r>
      <w:r>
        <w:rPr>
          <w:rFonts w:ascii="Times New Roman" w:hAnsi="Times New Roman" w:cs="Times New Roman"/>
          <w:noProof/>
          <w:sz w:val="28"/>
          <w:szCs w:val="28"/>
          <w:lang w:val="en-US"/>
        </w:rPr>
        <w:tab/>
        <w:t xml:space="preserve">Zotova T.Y. Analysis of Polymorphism of Angiotensin System Genes (ACE, AGTR1, and AGT) and Gene ITGB3 in Patients with Arterial Hypertension in Combination with Metabolic Syndrome // Bull. Exp. Biol. Med.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161</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3</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334–338.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140.</w:t>
      </w:r>
      <w:r>
        <w:rPr>
          <w:rFonts w:ascii="Times New Roman" w:hAnsi="Times New Roman" w:cs="Times New Roman"/>
          <w:noProof/>
          <w:sz w:val="28"/>
          <w:szCs w:val="28"/>
          <w:lang w:val="en-US"/>
        </w:rPr>
        <w:tab/>
        <w:t xml:space="preserve">Lastra-Lastra G. Role of aldosterone and angiotensin II in insulin resistance: an update // Clin. Endocrinol. (Oxf).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71 (1).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141.</w:t>
      </w:r>
      <w:r>
        <w:rPr>
          <w:rFonts w:ascii="Times New Roman" w:hAnsi="Times New Roman" w:cs="Times New Roman"/>
          <w:noProof/>
          <w:sz w:val="28"/>
          <w:szCs w:val="28"/>
          <w:lang w:val="en-US"/>
        </w:rPr>
        <w:tab/>
        <w:t xml:space="preserve">Persu A. Candidate gene studies: accepting negative results. // J. Hypertens.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24 (3).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443–445.</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kk-KZ"/>
        </w:rPr>
      </w:pPr>
      <w:r>
        <w:rPr>
          <w:rFonts w:ascii="Times New Roman" w:hAnsi="Times New Roman" w:cs="Times New Roman"/>
          <w:noProof/>
          <w:sz w:val="28"/>
          <w:szCs w:val="28"/>
          <w:lang w:val="en-US"/>
        </w:rPr>
        <w:t>142.</w:t>
      </w:r>
      <w:r>
        <w:rPr>
          <w:rFonts w:ascii="Times New Roman" w:hAnsi="Times New Roman" w:cs="Times New Roman"/>
          <w:noProof/>
          <w:sz w:val="28"/>
          <w:szCs w:val="28"/>
          <w:lang w:val="en-US"/>
        </w:rPr>
        <w:tab/>
        <w:t xml:space="preserve">De R. Identifying gene-gene interactions that are highly associated with Body Mass Index using Quantitative Multifactor Dimensionality Reduction (QMDR) // BioData Min. BioData Mining,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2015.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8</w:t>
      </w:r>
      <w:r>
        <w:rPr>
          <w:rFonts w:ascii="Times New Roman" w:hAnsi="Times New Roman" w:cs="Times New Roman"/>
          <w:noProof/>
          <w:sz w:val="28"/>
          <w:szCs w:val="28"/>
          <w:lang w:val="kk-KZ"/>
        </w:rPr>
        <w:t xml:space="preserve"> (4</w:t>
      </w:r>
      <w:r>
        <w:rPr>
          <w:rFonts w:ascii="Times New Roman" w:hAnsi="Times New Roman" w:cs="Times New Roman"/>
          <w:noProof/>
          <w:sz w:val="28"/>
          <w:szCs w:val="28"/>
          <w:lang w:val="en-US"/>
        </w:rPr>
        <w:t>1</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w:t>
      </w:r>
      <w:r>
        <w:rPr>
          <w:rFonts w:ascii="Times New Roman" w:hAnsi="Times New Roman" w:cs="Times New Roman"/>
          <w:noProof/>
          <w:sz w:val="28"/>
          <w:szCs w:val="28"/>
          <w:lang w:val="kk-KZ"/>
        </w:rPr>
        <w:t xml:space="preserve"> - Р. 1-4.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143.</w:t>
      </w:r>
      <w:r>
        <w:rPr>
          <w:rFonts w:ascii="Times New Roman" w:hAnsi="Times New Roman" w:cs="Times New Roman"/>
          <w:noProof/>
          <w:sz w:val="28"/>
          <w:szCs w:val="28"/>
          <w:lang w:val="en-US"/>
        </w:rPr>
        <w:tab/>
        <w:t xml:space="preserve">Mcgillicuddy F.C., Roche H.M. Nutritional status, genetic susceptibility, and insulin resistance-important precedents to atherosclerosis // Mol. Nutr. Food Res.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56 (7).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1173–1184.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144.</w:t>
      </w:r>
      <w:r>
        <w:rPr>
          <w:rFonts w:ascii="Times New Roman" w:hAnsi="Times New Roman" w:cs="Times New Roman"/>
          <w:noProof/>
          <w:sz w:val="28"/>
          <w:szCs w:val="28"/>
          <w:lang w:val="en-US"/>
        </w:rPr>
        <w:tab/>
        <w:t xml:space="preserve">Oti M., Huynen M.A., Brunner H.G. Phenome connections // Trends Genet.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2008.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24 (3).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103–106.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rPr>
      </w:pPr>
      <w:r>
        <w:rPr>
          <w:rFonts w:ascii="Times New Roman" w:hAnsi="Times New Roman" w:cs="Times New Roman"/>
          <w:noProof/>
          <w:sz w:val="28"/>
          <w:szCs w:val="28"/>
        </w:rPr>
        <w:t>145.</w:t>
      </w:r>
      <w:r>
        <w:rPr>
          <w:rFonts w:ascii="Times New Roman" w:hAnsi="Times New Roman" w:cs="Times New Roman"/>
          <w:noProof/>
          <w:sz w:val="28"/>
          <w:szCs w:val="28"/>
        </w:rPr>
        <w:tab/>
        <w:t>Шаханова А.Т.</w:t>
      </w:r>
      <w:r w:rsidR="004825EC">
        <w:rPr>
          <w:rFonts w:ascii="Times New Roman" w:hAnsi="Times New Roman" w:cs="Times New Roman"/>
          <w:noProof/>
          <w:sz w:val="28"/>
          <w:szCs w:val="28"/>
        </w:rPr>
        <w:t>, Аукенов Н.Е., Нуртазина А.У.</w:t>
      </w:r>
      <w:r>
        <w:rPr>
          <w:rFonts w:ascii="Times New Roman" w:hAnsi="Times New Roman" w:cs="Times New Roman"/>
          <w:noProof/>
          <w:sz w:val="28"/>
          <w:szCs w:val="28"/>
        </w:rPr>
        <w:t xml:space="preserve"> Взаимосвязь инсулинорезистентности и полиморфизмов генов липидного обмена и ренин-ангиотензин-альдостероновой системы. Обзор литературы // Наука и здравоохранение. </w:t>
      </w:r>
      <w:r>
        <w:rPr>
          <w:rFonts w:ascii="Times New Roman" w:hAnsi="Times New Roman" w:cs="Times New Roman"/>
          <w:noProof/>
          <w:sz w:val="28"/>
          <w:szCs w:val="28"/>
          <w:lang w:val="kk-KZ"/>
        </w:rPr>
        <w:t xml:space="preserve">- </w:t>
      </w:r>
      <w:r>
        <w:rPr>
          <w:rFonts w:ascii="Times New Roman" w:hAnsi="Times New Roman" w:cs="Times New Roman"/>
          <w:noProof/>
          <w:sz w:val="28"/>
          <w:szCs w:val="28"/>
        </w:rPr>
        <w:t xml:space="preserve">2019. </w:t>
      </w:r>
      <w:r w:rsidR="004825EC">
        <w:rPr>
          <w:rFonts w:ascii="Times New Roman" w:hAnsi="Times New Roman" w:cs="Times New Roman"/>
          <w:noProof/>
          <w:sz w:val="28"/>
          <w:szCs w:val="28"/>
        </w:rPr>
        <w:t xml:space="preserve">- </w:t>
      </w:r>
      <w:r>
        <w:rPr>
          <w:rFonts w:ascii="Times New Roman" w:hAnsi="Times New Roman" w:cs="Times New Roman"/>
          <w:noProof/>
          <w:sz w:val="28"/>
          <w:szCs w:val="28"/>
          <w:lang w:val="kk-KZ"/>
        </w:rPr>
        <w:t>№</w:t>
      </w:r>
      <w:r>
        <w:rPr>
          <w:rFonts w:ascii="Times New Roman" w:hAnsi="Times New Roman" w:cs="Times New Roman"/>
          <w:noProof/>
          <w:sz w:val="28"/>
          <w:szCs w:val="28"/>
        </w:rPr>
        <w:t xml:space="preserve"> 21. </w:t>
      </w:r>
      <w:r>
        <w:rPr>
          <w:rFonts w:ascii="Times New Roman" w:hAnsi="Times New Roman" w:cs="Times New Roman"/>
          <w:noProof/>
          <w:sz w:val="28"/>
          <w:szCs w:val="28"/>
          <w:lang w:val="kk-KZ"/>
        </w:rPr>
        <w:t>- С</w:t>
      </w:r>
      <w:r>
        <w:rPr>
          <w:rFonts w:ascii="Times New Roman" w:hAnsi="Times New Roman" w:cs="Times New Roman"/>
          <w:noProof/>
          <w:sz w:val="28"/>
          <w:szCs w:val="28"/>
        </w:rPr>
        <w:t>. 50–59.</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rPr>
        <w:lastRenderedPageBreak/>
        <w:t>146.</w:t>
      </w:r>
      <w:r>
        <w:rPr>
          <w:rFonts w:ascii="Times New Roman" w:hAnsi="Times New Roman" w:cs="Times New Roman"/>
          <w:noProof/>
          <w:sz w:val="28"/>
          <w:szCs w:val="28"/>
        </w:rPr>
        <w:tab/>
        <w:t>Шаханова А.Т., Аукенов Н.Е., Нуртазина А.У. Полиморфизмы генов при артериальной гипертензии: ренин-ангиотензин-альдостероновая система. О</w:t>
      </w:r>
      <w:r>
        <w:rPr>
          <w:rFonts w:ascii="Times New Roman" w:hAnsi="Times New Roman" w:cs="Times New Roman"/>
          <w:noProof/>
          <w:sz w:val="28"/>
          <w:szCs w:val="28"/>
          <w:lang w:val="kk-KZ"/>
        </w:rPr>
        <w:t>б</w:t>
      </w:r>
      <w:r>
        <w:rPr>
          <w:rFonts w:ascii="Times New Roman" w:hAnsi="Times New Roman" w:cs="Times New Roman"/>
          <w:noProof/>
          <w:sz w:val="28"/>
          <w:szCs w:val="28"/>
        </w:rPr>
        <w:t>зор</w:t>
      </w:r>
      <w:r>
        <w:rPr>
          <w:rFonts w:ascii="Times New Roman" w:hAnsi="Times New Roman" w:cs="Times New Roman"/>
          <w:noProof/>
          <w:sz w:val="28"/>
          <w:szCs w:val="28"/>
          <w:lang w:val="en-US"/>
        </w:rPr>
        <w:t xml:space="preserve"> </w:t>
      </w:r>
      <w:r>
        <w:rPr>
          <w:rFonts w:ascii="Times New Roman" w:hAnsi="Times New Roman" w:cs="Times New Roman"/>
          <w:noProof/>
          <w:sz w:val="28"/>
          <w:szCs w:val="28"/>
        </w:rPr>
        <w:t>литературы</w:t>
      </w:r>
      <w:r>
        <w:rPr>
          <w:rFonts w:ascii="Times New Roman" w:hAnsi="Times New Roman" w:cs="Times New Roman"/>
          <w:noProof/>
          <w:sz w:val="28"/>
          <w:szCs w:val="28"/>
          <w:lang w:val="en-US"/>
        </w:rPr>
        <w:t xml:space="preserve"> // </w:t>
      </w:r>
      <w:r>
        <w:rPr>
          <w:rFonts w:ascii="Times New Roman" w:hAnsi="Times New Roman" w:cs="Times New Roman"/>
          <w:noProof/>
          <w:sz w:val="28"/>
          <w:szCs w:val="28"/>
        </w:rPr>
        <w:t>Наука</w:t>
      </w:r>
      <w:r>
        <w:rPr>
          <w:rFonts w:ascii="Times New Roman" w:hAnsi="Times New Roman" w:cs="Times New Roman"/>
          <w:noProof/>
          <w:sz w:val="28"/>
          <w:szCs w:val="28"/>
          <w:lang w:val="en-US"/>
        </w:rPr>
        <w:t xml:space="preserve"> </w:t>
      </w:r>
      <w:r>
        <w:rPr>
          <w:rFonts w:ascii="Times New Roman" w:hAnsi="Times New Roman" w:cs="Times New Roman"/>
          <w:noProof/>
          <w:sz w:val="28"/>
          <w:szCs w:val="28"/>
        </w:rPr>
        <w:t>и</w:t>
      </w:r>
      <w:r>
        <w:rPr>
          <w:rFonts w:ascii="Times New Roman" w:hAnsi="Times New Roman" w:cs="Times New Roman"/>
          <w:noProof/>
          <w:sz w:val="28"/>
          <w:szCs w:val="28"/>
          <w:lang w:val="en-US"/>
        </w:rPr>
        <w:t xml:space="preserve"> </w:t>
      </w:r>
      <w:r>
        <w:rPr>
          <w:rFonts w:ascii="Times New Roman" w:hAnsi="Times New Roman" w:cs="Times New Roman"/>
          <w:noProof/>
          <w:sz w:val="28"/>
          <w:szCs w:val="28"/>
        </w:rPr>
        <w:t>здравоохранение</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2018. </w:t>
      </w:r>
      <w:r w:rsidR="004825EC">
        <w:rPr>
          <w:rFonts w:ascii="Times New Roman" w:hAnsi="Times New Roman" w:cs="Times New Roman"/>
          <w:noProof/>
          <w:sz w:val="28"/>
          <w:szCs w:val="28"/>
        </w:rPr>
        <w:t xml:space="preserve">- </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 xml:space="preserve"> 1. </w:t>
      </w:r>
      <w:r>
        <w:rPr>
          <w:rFonts w:ascii="Times New Roman" w:hAnsi="Times New Roman" w:cs="Times New Roman"/>
          <w:noProof/>
          <w:sz w:val="28"/>
          <w:szCs w:val="28"/>
          <w:lang w:val="kk-KZ"/>
        </w:rPr>
        <w:t>- С</w:t>
      </w:r>
      <w:r>
        <w:rPr>
          <w:rFonts w:ascii="Times New Roman" w:hAnsi="Times New Roman" w:cs="Times New Roman"/>
          <w:noProof/>
          <w:sz w:val="28"/>
          <w:szCs w:val="28"/>
          <w:lang w:val="en-US"/>
        </w:rPr>
        <w:t>. 116–130.</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147.</w:t>
      </w:r>
      <w:r>
        <w:rPr>
          <w:rFonts w:ascii="Times New Roman" w:hAnsi="Times New Roman" w:cs="Times New Roman"/>
          <w:noProof/>
          <w:sz w:val="28"/>
          <w:szCs w:val="28"/>
          <w:lang w:val="en-US"/>
        </w:rPr>
        <w:tab/>
        <w:t xml:space="preserve">Fahed M. Evaluation of risk factors for insulin resistance: a cross sectional study among employees at a private university in Lebanon // BMC Endocr. Disord. BMC Endocrine Disorders,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2020. </w:t>
      </w:r>
      <w:r>
        <w:rPr>
          <w:rFonts w:ascii="Times New Roman" w:hAnsi="Times New Roman" w:cs="Times New Roman"/>
          <w:noProof/>
          <w:sz w:val="28"/>
          <w:szCs w:val="28"/>
          <w:lang w:val="kk-KZ"/>
        </w:rPr>
        <w:t xml:space="preserve">- </w:t>
      </w:r>
      <w:r w:rsidR="00E36FE7">
        <w:rPr>
          <w:rFonts w:ascii="Times New Roman" w:hAnsi="Times New Roman" w:cs="Times New Roman"/>
          <w:noProof/>
          <w:sz w:val="28"/>
          <w:szCs w:val="28"/>
          <w:lang w:val="en-US"/>
        </w:rPr>
        <w:t>Vol. 20 (</w:t>
      </w:r>
      <w:r w:rsidR="00E36FE7">
        <w:rPr>
          <w:rFonts w:ascii="Times New Roman" w:hAnsi="Times New Roman" w:cs="Times New Roman"/>
          <w:noProof/>
          <w:sz w:val="28"/>
          <w:szCs w:val="28"/>
          <w:lang w:val="en-US"/>
        </w:rPr>
        <w:t>85</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w:t>
      </w:r>
      <w:r w:rsidR="00E36FE7">
        <w:rPr>
          <w:rFonts w:ascii="Times New Roman" w:hAnsi="Times New Roman" w:cs="Times New Roman"/>
          <w:noProof/>
          <w:sz w:val="28"/>
          <w:szCs w:val="28"/>
        </w:rPr>
        <w:t>1-14</w:t>
      </w:r>
      <w:r>
        <w:rPr>
          <w:rFonts w:ascii="Times New Roman" w:hAnsi="Times New Roman" w:cs="Times New Roman"/>
          <w:noProof/>
          <w:sz w:val="28"/>
          <w:szCs w:val="28"/>
          <w:lang w:val="en-US"/>
        </w:rPr>
        <w:t>.</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148.</w:t>
      </w:r>
      <w:r>
        <w:rPr>
          <w:rFonts w:ascii="Times New Roman" w:hAnsi="Times New Roman" w:cs="Times New Roman"/>
          <w:noProof/>
          <w:sz w:val="28"/>
          <w:szCs w:val="28"/>
          <w:lang w:val="en-US"/>
        </w:rPr>
        <w:tab/>
        <w:t xml:space="preserve">Williams B. 2018 Practice Guidelines for the management of arterial hypertension of the European Society of Cardiology and the European Society of Hypertension // J. Hypertens.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36 (12).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1953–2041.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149.</w:t>
      </w:r>
      <w:r>
        <w:rPr>
          <w:rFonts w:ascii="Times New Roman" w:hAnsi="Times New Roman" w:cs="Times New Roman"/>
          <w:noProof/>
          <w:sz w:val="28"/>
          <w:szCs w:val="28"/>
          <w:lang w:val="en-US"/>
        </w:rPr>
        <w:tab/>
        <w:t>Catapano A.L. 2016 ESC/EAS Guidelines for the Management of Dyslipidaemias // European Heart Journal. European Society of Cardiology and European Atherosclerosis Association.</w:t>
      </w:r>
      <w:r>
        <w:rPr>
          <w:rFonts w:ascii="Times New Roman" w:hAnsi="Times New Roman" w:cs="Times New Roman"/>
          <w:noProof/>
          <w:sz w:val="28"/>
          <w:szCs w:val="28"/>
          <w:lang w:val="kk-KZ"/>
        </w:rPr>
        <w:t xml:space="preserve"> - </w:t>
      </w:r>
      <w:r>
        <w:rPr>
          <w:rFonts w:ascii="Times New Roman" w:hAnsi="Times New Roman" w:cs="Times New Roman"/>
          <w:noProof/>
          <w:sz w:val="28"/>
          <w:szCs w:val="28"/>
          <w:lang w:val="en-US"/>
        </w:rPr>
        <w:t xml:space="preserve">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37 (39).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2999–3058.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rPr>
      </w:pPr>
      <w:r>
        <w:rPr>
          <w:rFonts w:ascii="Times New Roman" w:hAnsi="Times New Roman" w:cs="Times New Roman"/>
          <w:noProof/>
          <w:sz w:val="28"/>
          <w:szCs w:val="28"/>
        </w:rPr>
        <w:t>150.</w:t>
      </w:r>
      <w:r>
        <w:rPr>
          <w:rFonts w:ascii="Times New Roman" w:hAnsi="Times New Roman" w:cs="Times New Roman"/>
          <w:noProof/>
          <w:sz w:val="28"/>
          <w:szCs w:val="28"/>
        </w:rPr>
        <w:tab/>
      </w:r>
      <w:r>
        <w:rPr>
          <w:rFonts w:ascii="Times New Roman" w:hAnsi="Times New Roman" w:cs="Times New Roman"/>
          <w:noProof/>
          <w:sz w:val="28"/>
          <w:szCs w:val="28"/>
          <w:lang w:val="kk-KZ"/>
        </w:rPr>
        <w:t xml:space="preserve">А.с. 1892 </w:t>
      </w:r>
      <w:r>
        <w:rPr>
          <w:rFonts w:ascii="Times New Roman" w:hAnsi="Times New Roman" w:cs="Times New Roman"/>
          <w:noProof/>
          <w:sz w:val="28"/>
          <w:szCs w:val="28"/>
        </w:rPr>
        <w:t>Оценка факторов риска развития артериальной гипертензии и метаболического синдрома в казахской популяции на амбулаторном этапе /</w:t>
      </w:r>
      <w:r>
        <w:rPr>
          <w:rFonts w:ascii="Times New Roman" w:hAnsi="Times New Roman" w:cs="Times New Roman"/>
          <w:noProof/>
          <w:sz w:val="28"/>
          <w:szCs w:val="28"/>
          <w:lang w:val="kk-KZ"/>
        </w:rPr>
        <w:t xml:space="preserve"> А.У. Нуртазина, Н.Е.Аукенов, А.Т. Шаханова, Д.К.</w:t>
      </w:r>
      <w:r w:rsidR="00124AD0">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Кожахметова опубликовано 14 июня</w:t>
      </w:r>
      <w:r>
        <w:rPr>
          <w:rFonts w:ascii="Times New Roman" w:hAnsi="Times New Roman" w:cs="Times New Roman"/>
          <w:noProof/>
          <w:sz w:val="28"/>
          <w:szCs w:val="28"/>
        </w:rPr>
        <w:t xml:space="preserve"> 2018.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rPr>
        <w:t>151.</w:t>
      </w:r>
      <w:r>
        <w:rPr>
          <w:rFonts w:ascii="Times New Roman" w:hAnsi="Times New Roman" w:cs="Times New Roman"/>
          <w:noProof/>
          <w:sz w:val="28"/>
          <w:szCs w:val="28"/>
        </w:rPr>
        <w:tab/>
        <w:t xml:space="preserve">Майоров А.Ю., Урбанова К.А., Галстян Г.Р. Методы количественной оценки инсулинорезистентности // Ожирение и метоболизм. </w:t>
      </w:r>
      <w:r>
        <w:rPr>
          <w:rFonts w:ascii="Times New Roman" w:hAnsi="Times New Roman" w:cs="Times New Roman"/>
          <w:noProof/>
          <w:sz w:val="28"/>
          <w:szCs w:val="28"/>
          <w:lang w:val="kk-KZ"/>
        </w:rPr>
        <w:t xml:space="preserve">- </w:t>
      </w:r>
      <w:r>
        <w:rPr>
          <w:rFonts w:ascii="Times New Roman" w:hAnsi="Times New Roman" w:cs="Times New Roman"/>
          <w:noProof/>
          <w:sz w:val="28"/>
          <w:szCs w:val="28"/>
        </w:rPr>
        <w:t xml:space="preserve">2009. </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 xml:space="preserve"> 2. </w:t>
      </w:r>
      <w:r>
        <w:rPr>
          <w:rFonts w:ascii="Times New Roman" w:hAnsi="Times New Roman" w:cs="Times New Roman"/>
          <w:noProof/>
          <w:sz w:val="28"/>
          <w:szCs w:val="28"/>
          <w:lang w:val="kk-KZ"/>
        </w:rPr>
        <w:t>- С</w:t>
      </w:r>
      <w:r>
        <w:rPr>
          <w:rFonts w:ascii="Times New Roman" w:hAnsi="Times New Roman" w:cs="Times New Roman"/>
          <w:noProof/>
          <w:sz w:val="28"/>
          <w:szCs w:val="28"/>
          <w:lang w:val="en-US"/>
        </w:rPr>
        <w:t>. 19–23.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152.</w:t>
      </w:r>
      <w:r>
        <w:rPr>
          <w:rFonts w:ascii="Times New Roman" w:hAnsi="Times New Roman" w:cs="Times New Roman"/>
          <w:noProof/>
          <w:sz w:val="28"/>
          <w:szCs w:val="28"/>
          <w:lang w:val="en-US"/>
        </w:rPr>
        <w:tab/>
        <w:t xml:space="preserve">Ren X. Association between Triglyceride to HDL-C Ratio ( TG / HDL-C ) and Insulin Resistance in Chinese Patients with Newly Diagnosed Type 2 Diabetes Mellitus // PLoS One.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68, № 11(4).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1–13.</w:t>
      </w:r>
    </w:p>
    <w:p w:rsidR="00066B4D" w:rsidRPr="00124AD0"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rPr>
      </w:pPr>
      <w:r>
        <w:rPr>
          <w:rFonts w:ascii="Times New Roman" w:hAnsi="Times New Roman" w:cs="Times New Roman"/>
          <w:noProof/>
          <w:sz w:val="28"/>
          <w:szCs w:val="28"/>
        </w:rPr>
        <w:t>153.</w:t>
      </w:r>
      <w:r>
        <w:rPr>
          <w:rFonts w:ascii="Times New Roman" w:hAnsi="Times New Roman" w:cs="Times New Roman"/>
          <w:noProof/>
          <w:sz w:val="28"/>
          <w:szCs w:val="28"/>
        </w:rPr>
        <w:tab/>
        <w:t xml:space="preserve">Гржибовский А.М. Типы данных, проверка распределения и описательная статистика // Экология человека. </w:t>
      </w:r>
      <w:r>
        <w:rPr>
          <w:rFonts w:ascii="Times New Roman" w:hAnsi="Times New Roman" w:cs="Times New Roman"/>
          <w:noProof/>
          <w:sz w:val="28"/>
          <w:szCs w:val="28"/>
          <w:lang w:val="kk-KZ"/>
        </w:rPr>
        <w:t xml:space="preserve">- </w:t>
      </w:r>
      <w:r>
        <w:rPr>
          <w:rFonts w:ascii="Times New Roman" w:hAnsi="Times New Roman" w:cs="Times New Roman"/>
          <w:noProof/>
          <w:sz w:val="28"/>
          <w:szCs w:val="28"/>
        </w:rPr>
        <w:t xml:space="preserve">2008. </w:t>
      </w:r>
      <w:r w:rsidR="00124AD0">
        <w:rPr>
          <w:rFonts w:ascii="Times New Roman" w:hAnsi="Times New Roman" w:cs="Times New Roman"/>
          <w:noProof/>
          <w:sz w:val="28"/>
          <w:szCs w:val="28"/>
        </w:rPr>
        <w:t xml:space="preserve">- </w:t>
      </w:r>
      <w:r>
        <w:rPr>
          <w:rFonts w:ascii="Times New Roman" w:hAnsi="Times New Roman" w:cs="Times New Roman"/>
          <w:noProof/>
          <w:sz w:val="28"/>
          <w:szCs w:val="28"/>
          <w:lang w:val="kk-KZ"/>
        </w:rPr>
        <w:t>№</w:t>
      </w:r>
      <w:r w:rsidRPr="00124AD0">
        <w:rPr>
          <w:rFonts w:ascii="Times New Roman" w:hAnsi="Times New Roman" w:cs="Times New Roman"/>
          <w:noProof/>
          <w:sz w:val="28"/>
          <w:szCs w:val="28"/>
        </w:rPr>
        <w:t xml:space="preserve"> 01. </w:t>
      </w:r>
      <w:r>
        <w:rPr>
          <w:rFonts w:ascii="Times New Roman" w:hAnsi="Times New Roman" w:cs="Times New Roman"/>
          <w:noProof/>
          <w:sz w:val="28"/>
          <w:szCs w:val="28"/>
          <w:lang w:val="kk-KZ"/>
        </w:rPr>
        <w:t>- С</w:t>
      </w:r>
      <w:r w:rsidRPr="00124AD0">
        <w:rPr>
          <w:rFonts w:ascii="Times New Roman" w:hAnsi="Times New Roman" w:cs="Times New Roman"/>
          <w:noProof/>
          <w:sz w:val="28"/>
          <w:szCs w:val="28"/>
        </w:rPr>
        <w:t>. 52–58.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154.</w:t>
      </w:r>
      <w:r>
        <w:rPr>
          <w:rFonts w:ascii="Times New Roman" w:hAnsi="Times New Roman" w:cs="Times New Roman"/>
          <w:noProof/>
          <w:sz w:val="28"/>
          <w:szCs w:val="28"/>
          <w:lang w:val="en-US"/>
        </w:rPr>
        <w:tab/>
        <w:t xml:space="preserve">Takezaki N., Nei M., Tamura K. POPTREE2: Software for constructing population trees from allele frequency data and computing other population statistics with windows interface // Mol. Biol. Evol.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27</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4</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747–752.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155.</w:t>
      </w:r>
      <w:r>
        <w:rPr>
          <w:rFonts w:ascii="Times New Roman" w:hAnsi="Times New Roman" w:cs="Times New Roman"/>
          <w:noProof/>
          <w:sz w:val="28"/>
          <w:szCs w:val="28"/>
          <w:lang w:val="en-US"/>
        </w:rPr>
        <w:tab/>
        <w:t xml:space="preserve">Takezaki N., Nei M., Tamura K. POPTREEW: Web Version of POPTREE for Constructing Population Trees from Allele Frequency Data and Computing Some Other Quantities // Mol. Biol. Evol.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31</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6</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1622–1624.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rPr>
      </w:pPr>
      <w:r>
        <w:rPr>
          <w:rFonts w:ascii="Times New Roman" w:hAnsi="Times New Roman" w:cs="Times New Roman"/>
          <w:noProof/>
          <w:sz w:val="28"/>
          <w:szCs w:val="28"/>
          <w:lang w:val="en-US"/>
        </w:rPr>
        <w:t>156.</w:t>
      </w:r>
      <w:r>
        <w:rPr>
          <w:rFonts w:ascii="Times New Roman" w:hAnsi="Times New Roman" w:cs="Times New Roman"/>
          <w:noProof/>
          <w:sz w:val="28"/>
          <w:szCs w:val="28"/>
          <w:lang w:val="en-US"/>
        </w:rPr>
        <w:tab/>
        <w:t>Ding K., Kullo I.J. Geographic differences in allele frequencies of susceptibility SNPs for cardiovascular disease // BMC Med. Genet</w:t>
      </w:r>
      <w:r w:rsidRPr="00066B4D">
        <w:rPr>
          <w:rFonts w:ascii="Times New Roman" w:hAnsi="Times New Roman" w:cs="Times New Roman"/>
          <w:noProof/>
          <w:sz w:val="28"/>
          <w:szCs w:val="28"/>
        </w:rPr>
        <w:t xml:space="preserve">. </w:t>
      </w:r>
      <w:r>
        <w:rPr>
          <w:rFonts w:ascii="Times New Roman" w:hAnsi="Times New Roman" w:cs="Times New Roman"/>
          <w:noProof/>
          <w:sz w:val="28"/>
          <w:szCs w:val="28"/>
          <w:lang w:val="en-US"/>
        </w:rPr>
        <w:t>BioMed</w:t>
      </w:r>
      <w:r w:rsidRPr="00066B4D">
        <w:rPr>
          <w:rFonts w:ascii="Times New Roman" w:hAnsi="Times New Roman" w:cs="Times New Roman"/>
          <w:noProof/>
          <w:sz w:val="28"/>
          <w:szCs w:val="28"/>
        </w:rPr>
        <w:t xml:space="preserve"> </w:t>
      </w:r>
      <w:r>
        <w:rPr>
          <w:rFonts w:ascii="Times New Roman" w:hAnsi="Times New Roman" w:cs="Times New Roman"/>
          <w:noProof/>
          <w:sz w:val="28"/>
          <w:szCs w:val="28"/>
          <w:lang w:val="en-US"/>
        </w:rPr>
        <w:t>Central</w:t>
      </w:r>
      <w:r w:rsidRPr="00066B4D">
        <w:rPr>
          <w:rFonts w:ascii="Times New Roman" w:hAnsi="Times New Roman" w:cs="Times New Roman"/>
          <w:noProof/>
          <w:sz w:val="28"/>
          <w:szCs w:val="28"/>
        </w:rPr>
        <w:t xml:space="preserve"> </w:t>
      </w:r>
      <w:r>
        <w:rPr>
          <w:rFonts w:ascii="Times New Roman" w:hAnsi="Times New Roman" w:cs="Times New Roman"/>
          <w:noProof/>
          <w:sz w:val="28"/>
          <w:szCs w:val="28"/>
          <w:lang w:val="en-US"/>
        </w:rPr>
        <w:t>Ltd</w:t>
      </w:r>
      <w:r>
        <w:rPr>
          <w:rFonts w:ascii="Times New Roman" w:hAnsi="Times New Roman" w:cs="Times New Roman"/>
          <w:noProof/>
          <w:sz w:val="28"/>
          <w:szCs w:val="28"/>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rPr>
        <w:t xml:space="preserve">2011.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w:t>
      </w:r>
      <w:r>
        <w:rPr>
          <w:rFonts w:ascii="Times New Roman" w:hAnsi="Times New Roman" w:cs="Times New Roman"/>
          <w:noProof/>
          <w:sz w:val="28"/>
          <w:szCs w:val="28"/>
        </w:rPr>
        <w:t xml:space="preserve">. 12 (1).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w:t>
      </w:r>
      <w:r>
        <w:rPr>
          <w:rFonts w:ascii="Times New Roman" w:hAnsi="Times New Roman" w:cs="Times New Roman"/>
          <w:noProof/>
          <w:sz w:val="28"/>
          <w:szCs w:val="28"/>
        </w:rPr>
        <w:t>. 55.</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rPr>
      </w:pPr>
      <w:r>
        <w:rPr>
          <w:rFonts w:ascii="Times New Roman" w:hAnsi="Times New Roman" w:cs="Times New Roman"/>
          <w:noProof/>
          <w:sz w:val="28"/>
          <w:szCs w:val="28"/>
        </w:rPr>
        <w:t>157.</w:t>
      </w:r>
      <w:r>
        <w:rPr>
          <w:rFonts w:ascii="Times New Roman" w:hAnsi="Times New Roman" w:cs="Times New Roman"/>
          <w:noProof/>
          <w:sz w:val="28"/>
          <w:szCs w:val="28"/>
        </w:rPr>
        <w:tab/>
        <w:t>Шаханова А.Т.</w:t>
      </w:r>
      <w:r w:rsidR="00AB1968">
        <w:rPr>
          <w:rFonts w:ascii="Times New Roman" w:hAnsi="Times New Roman" w:cs="Times New Roman"/>
          <w:noProof/>
          <w:sz w:val="28"/>
          <w:szCs w:val="28"/>
        </w:rPr>
        <w:t>, Аукенов Н.Е., Нуртазина А.У.</w:t>
      </w:r>
      <w:r>
        <w:rPr>
          <w:rFonts w:ascii="Times New Roman" w:hAnsi="Times New Roman" w:cs="Times New Roman"/>
          <w:noProof/>
          <w:sz w:val="28"/>
          <w:szCs w:val="28"/>
        </w:rPr>
        <w:t xml:space="preserve"> Распространенность полиморфизмов генов в казахской популяции // Вестник КазНМУ. </w:t>
      </w:r>
      <w:r>
        <w:rPr>
          <w:rFonts w:ascii="Times New Roman" w:hAnsi="Times New Roman" w:cs="Times New Roman"/>
          <w:noProof/>
          <w:sz w:val="28"/>
          <w:szCs w:val="28"/>
          <w:lang w:val="kk-KZ"/>
        </w:rPr>
        <w:t xml:space="preserve">- </w:t>
      </w:r>
      <w:r>
        <w:rPr>
          <w:rFonts w:ascii="Times New Roman" w:hAnsi="Times New Roman" w:cs="Times New Roman"/>
          <w:noProof/>
          <w:sz w:val="28"/>
          <w:szCs w:val="28"/>
        </w:rPr>
        <w:t xml:space="preserve">2020. </w:t>
      </w:r>
      <w:r>
        <w:rPr>
          <w:rFonts w:ascii="Times New Roman" w:hAnsi="Times New Roman" w:cs="Times New Roman"/>
          <w:noProof/>
          <w:sz w:val="28"/>
          <w:szCs w:val="28"/>
          <w:lang w:val="kk-KZ"/>
        </w:rPr>
        <w:t>- №</w:t>
      </w:r>
      <w:r>
        <w:rPr>
          <w:rFonts w:ascii="Times New Roman" w:hAnsi="Times New Roman" w:cs="Times New Roman"/>
          <w:noProof/>
          <w:sz w:val="28"/>
          <w:szCs w:val="28"/>
        </w:rPr>
        <w:t xml:space="preserve"> 1. </w:t>
      </w:r>
      <w:r>
        <w:rPr>
          <w:rFonts w:ascii="Times New Roman" w:hAnsi="Times New Roman" w:cs="Times New Roman"/>
          <w:noProof/>
          <w:sz w:val="28"/>
          <w:szCs w:val="28"/>
          <w:lang w:val="kk-KZ"/>
        </w:rPr>
        <w:t>- С</w:t>
      </w:r>
      <w:r>
        <w:rPr>
          <w:rFonts w:ascii="Times New Roman" w:hAnsi="Times New Roman" w:cs="Times New Roman"/>
          <w:noProof/>
          <w:sz w:val="28"/>
          <w:szCs w:val="28"/>
        </w:rPr>
        <w:t>. 490–493.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158.</w:t>
      </w:r>
      <w:r>
        <w:rPr>
          <w:rFonts w:ascii="Times New Roman" w:hAnsi="Times New Roman" w:cs="Times New Roman"/>
          <w:noProof/>
          <w:sz w:val="28"/>
          <w:szCs w:val="28"/>
          <w:lang w:val="en-US"/>
        </w:rPr>
        <w:tab/>
        <w:t xml:space="preserve">Sikhayeva N. Type 2 diabetes mellitus: distribution of genetic markers in Kazakh population // Clin. Interv. Aging.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377–388.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kk-KZ"/>
        </w:rPr>
      </w:pPr>
      <w:r>
        <w:rPr>
          <w:rFonts w:ascii="Times New Roman" w:hAnsi="Times New Roman" w:cs="Times New Roman"/>
          <w:noProof/>
          <w:sz w:val="28"/>
          <w:szCs w:val="28"/>
          <w:lang w:val="en-US"/>
        </w:rPr>
        <w:t>159.</w:t>
      </w:r>
      <w:r>
        <w:rPr>
          <w:rFonts w:ascii="Times New Roman" w:hAnsi="Times New Roman" w:cs="Times New Roman"/>
          <w:noProof/>
          <w:sz w:val="28"/>
          <w:szCs w:val="28"/>
          <w:lang w:val="en-US"/>
        </w:rPr>
        <w:tab/>
        <w:t xml:space="preserve">Zhang Z. The contribution of genetic diversity to subdivide populations </w:t>
      </w:r>
      <w:r>
        <w:rPr>
          <w:rFonts w:ascii="Times New Roman" w:hAnsi="Times New Roman" w:cs="Times New Roman"/>
          <w:noProof/>
          <w:sz w:val="28"/>
          <w:szCs w:val="28"/>
          <w:lang w:val="en-US"/>
        </w:rPr>
        <w:lastRenderedPageBreak/>
        <w:t xml:space="preserve">living in the silk road of China // PLoS One.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9 (5).</w:t>
      </w:r>
      <w:r>
        <w:rPr>
          <w:rFonts w:ascii="Times New Roman" w:hAnsi="Times New Roman" w:cs="Times New Roman"/>
          <w:noProof/>
          <w:sz w:val="28"/>
          <w:szCs w:val="28"/>
          <w:lang w:val="kk-KZ"/>
        </w:rPr>
        <w:t xml:space="preserve"> е97344. - С. 1-8.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kk-KZ"/>
        </w:rPr>
      </w:pPr>
      <w:r>
        <w:rPr>
          <w:rFonts w:ascii="Times New Roman" w:hAnsi="Times New Roman" w:cs="Times New Roman"/>
          <w:noProof/>
          <w:sz w:val="28"/>
          <w:szCs w:val="28"/>
          <w:lang w:val="en-US"/>
        </w:rPr>
        <w:t>160.</w:t>
      </w:r>
      <w:r>
        <w:rPr>
          <w:rFonts w:ascii="Times New Roman" w:hAnsi="Times New Roman" w:cs="Times New Roman"/>
          <w:noProof/>
          <w:sz w:val="28"/>
          <w:szCs w:val="28"/>
          <w:lang w:val="en-US"/>
        </w:rPr>
        <w:tab/>
        <w:t xml:space="preserve">Iskakova A.N. Polymorphisms in genes involved in the absorption, distribution, metabolism, and excretion of drugs in the Kazakhs of Kazakhstan // BMC Genet. BMC Genetics,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17</w:t>
      </w:r>
      <w:r>
        <w:rPr>
          <w:rFonts w:ascii="Times New Roman" w:hAnsi="Times New Roman" w:cs="Times New Roman"/>
          <w:noProof/>
          <w:sz w:val="28"/>
          <w:szCs w:val="28"/>
          <w:lang w:val="kk-KZ"/>
        </w:rPr>
        <w:t xml:space="preserve"> (23)</w:t>
      </w:r>
      <w:r>
        <w:rPr>
          <w:rFonts w:ascii="Times New Roman" w:hAnsi="Times New Roman" w:cs="Times New Roman"/>
          <w:noProof/>
          <w:sz w:val="28"/>
          <w:szCs w:val="28"/>
          <w:lang w:val="en-US"/>
        </w:rPr>
        <w:t>.</w:t>
      </w:r>
      <w:r>
        <w:rPr>
          <w:rFonts w:ascii="Times New Roman" w:hAnsi="Times New Roman" w:cs="Times New Roman"/>
          <w:noProof/>
          <w:sz w:val="28"/>
          <w:szCs w:val="28"/>
          <w:lang w:val="kk-KZ"/>
        </w:rPr>
        <w:t xml:space="preserve"> - Р. 1-22.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kk-KZ"/>
        </w:rPr>
      </w:pPr>
      <w:r>
        <w:rPr>
          <w:rFonts w:ascii="Times New Roman" w:hAnsi="Times New Roman" w:cs="Times New Roman"/>
          <w:noProof/>
          <w:sz w:val="28"/>
          <w:szCs w:val="28"/>
          <w:lang w:val="en-US"/>
        </w:rPr>
        <w:t>161.</w:t>
      </w:r>
      <w:r>
        <w:rPr>
          <w:rFonts w:ascii="Times New Roman" w:hAnsi="Times New Roman" w:cs="Times New Roman"/>
          <w:noProof/>
          <w:sz w:val="28"/>
          <w:szCs w:val="28"/>
          <w:lang w:val="en-US"/>
        </w:rPr>
        <w:tab/>
        <w:t>Elhomsy G., George T Griffing. Goal level of apob 2014</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 xml:space="preserve"> Medscape. 2014.</w:t>
      </w:r>
      <w:r>
        <w:rPr>
          <w:rFonts w:ascii="Times New Roman" w:hAnsi="Times New Roman" w:cs="Times New Roman"/>
          <w:noProof/>
          <w:sz w:val="28"/>
          <w:szCs w:val="28"/>
          <w:lang w:val="kk-KZ"/>
        </w:rPr>
        <w:t xml:space="preserve"> https://emedicine.medscape.com/article/2087335-overview </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162.</w:t>
      </w:r>
      <w:r>
        <w:rPr>
          <w:rFonts w:ascii="Times New Roman" w:hAnsi="Times New Roman" w:cs="Times New Roman"/>
          <w:noProof/>
          <w:sz w:val="28"/>
          <w:szCs w:val="28"/>
          <w:lang w:val="en-US"/>
        </w:rPr>
        <w:tab/>
        <w:t xml:space="preserve">Mancia G. 2013 ESH/ESC guidelines for the management of arterial hypertension: The Task Force for the management of arterial hypertension of the European Society of Hypertension (ESH) and of the European Society of Cardiology (ESC) // Eur. Heart J.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34 (28).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2159–2219.</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163.</w:t>
      </w:r>
      <w:r>
        <w:rPr>
          <w:rFonts w:ascii="Times New Roman" w:hAnsi="Times New Roman" w:cs="Times New Roman"/>
          <w:noProof/>
          <w:sz w:val="28"/>
          <w:szCs w:val="28"/>
          <w:lang w:val="en-US"/>
        </w:rPr>
        <w:tab/>
        <w:t xml:space="preserve">Ference B.A. Association of Triglyceride-Lowering LPL Variants and LDL-C–Lowering LDLR Variants With Risk of Coronary Heart Disease // JAMA.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321 (4).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364</w:t>
      </w:r>
      <w:r>
        <w:rPr>
          <w:rFonts w:ascii="Times New Roman" w:hAnsi="Times New Roman" w:cs="Times New Roman"/>
          <w:noProof/>
          <w:sz w:val="28"/>
          <w:szCs w:val="28"/>
          <w:lang w:val="kk-KZ"/>
        </w:rPr>
        <w:t>-373</w:t>
      </w:r>
      <w:r>
        <w:rPr>
          <w:rFonts w:ascii="Times New Roman" w:hAnsi="Times New Roman" w:cs="Times New Roman"/>
          <w:noProof/>
          <w:sz w:val="28"/>
          <w:szCs w:val="28"/>
          <w:lang w:val="en-US"/>
        </w:rPr>
        <w:t>.</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164.</w:t>
      </w:r>
      <w:r>
        <w:rPr>
          <w:rFonts w:ascii="Times New Roman" w:hAnsi="Times New Roman" w:cs="Times New Roman"/>
          <w:noProof/>
          <w:sz w:val="28"/>
          <w:szCs w:val="28"/>
          <w:lang w:val="en-US"/>
        </w:rPr>
        <w:tab/>
        <w:t xml:space="preserve">Han T. Changes in triglycerides and high-density lipoprotein cholesterol may precede peripheral insulin resistance, with 2-h insulin partially mediating this unidirectional relationship: A prospective cohort study // Cardiovasc. Diabetol. BioMed Central,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15</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1</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1–11.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165.</w:t>
      </w:r>
      <w:r>
        <w:rPr>
          <w:rFonts w:ascii="Times New Roman" w:hAnsi="Times New Roman" w:cs="Times New Roman"/>
          <w:noProof/>
          <w:sz w:val="28"/>
          <w:szCs w:val="28"/>
          <w:lang w:val="en-US"/>
        </w:rPr>
        <w:tab/>
        <w:t xml:space="preserve">Khan S.H. Status of non-HDL-cholesterol and LDL-cholesterol among subjects with and without metabolic syndrome // J. Pak. Med. Assoc.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68 (4).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554–558.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166.</w:t>
      </w:r>
      <w:r>
        <w:rPr>
          <w:rFonts w:ascii="Times New Roman" w:hAnsi="Times New Roman" w:cs="Times New Roman"/>
          <w:noProof/>
          <w:sz w:val="28"/>
          <w:szCs w:val="28"/>
          <w:lang w:val="en-US"/>
        </w:rPr>
        <w:tab/>
        <w:t xml:space="preserve">Sathiyakumar V. Fasting Versus Nonfasting and Low-Density Lipoprotein Cholesterol Accuracy // Circulation.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137 (1).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10–19.</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167.</w:t>
      </w:r>
      <w:r>
        <w:rPr>
          <w:rFonts w:ascii="Times New Roman" w:hAnsi="Times New Roman" w:cs="Times New Roman"/>
          <w:noProof/>
          <w:sz w:val="28"/>
          <w:szCs w:val="28"/>
          <w:lang w:val="en-US"/>
        </w:rPr>
        <w:tab/>
        <w:t xml:space="preserve">Lincoff A.M. Evacetrapib and Cardiovascular Outcomes in High-Risk Vascular Disease // N. Engl. J. Med.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376 (20).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1933–1942.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168.</w:t>
      </w:r>
      <w:r>
        <w:rPr>
          <w:rFonts w:ascii="Times New Roman" w:hAnsi="Times New Roman" w:cs="Times New Roman"/>
          <w:noProof/>
          <w:sz w:val="28"/>
          <w:szCs w:val="28"/>
          <w:lang w:val="en-US"/>
        </w:rPr>
        <w:tab/>
        <w:t xml:space="preserve">Abi-Ayad M. HDL-C, ApoA1 and VLDL-TG as biomarkers for the carotid plaque presence in patients with metabolic syndrome. // Diabetes Metab. Syndr.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12 (2).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175–179.</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169.</w:t>
      </w:r>
      <w:r>
        <w:rPr>
          <w:rFonts w:ascii="Times New Roman" w:hAnsi="Times New Roman" w:cs="Times New Roman"/>
          <w:noProof/>
          <w:sz w:val="28"/>
          <w:szCs w:val="28"/>
          <w:lang w:val="en-US"/>
        </w:rPr>
        <w:tab/>
        <w:t xml:space="preserve">Girona J. HDL Triglycerides: A New Marker of Metabolic and Cardiovascular Risk // Int. J. Mol. Sci.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20 (13).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3151.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rPr>
        <w:t>170.</w:t>
      </w:r>
      <w:r>
        <w:rPr>
          <w:rFonts w:ascii="Times New Roman" w:hAnsi="Times New Roman" w:cs="Times New Roman"/>
          <w:noProof/>
          <w:sz w:val="28"/>
          <w:szCs w:val="28"/>
        </w:rPr>
        <w:tab/>
        <w:t>Шаханова А.Т. Нарушение липидного обмена у казахов с повышенной массой тела (Материалы поперечного исследования в ЦПМСП г.Семей) // VIII Ежегодная Международная Научно-Практическая Конференция “Актуальные вопросы медицины” и “Спутниковый форум по общественному зоровью и политике здравоохранения.” Баку</w:t>
      </w:r>
      <w:r>
        <w:rPr>
          <w:rFonts w:ascii="Times New Roman" w:hAnsi="Times New Roman" w:cs="Times New Roman"/>
          <w:noProof/>
          <w:sz w:val="28"/>
          <w:szCs w:val="28"/>
          <w:lang w:val="en-US"/>
        </w:rPr>
        <w:t xml:space="preserve">, </w:t>
      </w:r>
      <w:r>
        <w:rPr>
          <w:rFonts w:ascii="Times New Roman" w:hAnsi="Times New Roman" w:cs="Times New Roman"/>
          <w:noProof/>
          <w:sz w:val="28"/>
          <w:szCs w:val="28"/>
        </w:rPr>
        <w:t>Азербайджан</w:t>
      </w:r>
      <w:r>
        <w:rPr>
          <w:rFonts w:ascii="Times New Roman" w:hAnsi="Times New Roman" w:cs="Times New Roman"/>
          <w:noProof/>
          <w:sz w:val="28"/>
          <w:szCs w:val="28"/>
          <w:lang w:val="en-US"/>
        </w:rPr>
        <w:t>: “</w:t>
      </w:r>
      <w:r>
        <w:rPr>
          <w:rFonts w:ascii="Times New Roman" w:hAnsi="Times New Roman" w:cs="Times New Roman"/>
          <w:noProof/>
          <w:sz w:val="28"/>
          <w:szCs w:val="28"/>
        </w:rPr>
        <w:t>Молодые</w:t>
      </w:r>
      <w:r>
        <w:rPr>
          <w:rFonts w:ascii="Times New Roman" w:hAnsi="Times New Roman" w:cs="Times New Roman"/>
          <w:noProof/>
          <w:sz w:val="28"/>
          <w:szCs w:val="28"/>
          <w:lang w:val="en-US"/>
        </w:rPr>
        <w:t xml:space="preserve"> </w:t>
      </w:r>
      <w:r>
        <w:rPr>
          <w:rFonts w:ascii="Times New Roman" w:hAnsi="Times New Roman" w:cs="Times New Roman"/>
          <w:noProof/>
          <w:sz w:val="28"/>
          <w:szCs w:val="28"/>
        </w:rPr>
        <w:t>Врачи</w:t>
      </w:r>
      <w:r>
        <w:rPr>
          <w:rFonts w:ascii="Times New Roman" w:hAnsi="Times New Roman" w:cs="Times New Roman"/>
          <w:noProof/>
          <w:sz w:val="28"/>
          <w:szCs w:val="28"/>
          <w:lang w:val="en-US"/>
        </w:rPr>
        <w:t xml:space="preserve"> </w:t>
      </w:r>
      <w:r>
        <w:rPr>
          <w:rFonts w:ascii="Times New Roman" w:hAnsi="Times New Roman" w:cs="Times New Roman"/>
          <w:noProof/>
          <w:sz w:val="28"/>
          <w:szCs w:val="28"/>
        </w:rPr>
        <w:t>Азербайджана</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2019. </w:t>
      </w:r>
      <w:r>
        <w:rPr>
          <w:rFonts w:ascii="Times New Roman" w:hAnsi="Times New Roman" w:cs="Times New Roman"/>
          <w:noProof/>
          <w:sz w:val="28"/>
          <w:szCs w:val="28"/>
          <w:lang w:val="kk-KZ"/>
        </w:rPr>
        <w:t>- №</w:t>
      </w:r>
      <w:r>
        <w:rPr>
          <w:rFonts w:ascii="Times New Roman" w:hAnsi="Times New Roman" w:cs="Times New Roman"/>
          <w:noProof/>
          <w:sz w:val="28"/>
          <w:szCs w:val="28"/>
          <w:lang w:val="en-US"/>
        </w:rPr>
        <w:t xml:space="preserve"> 6. </w:t>
      </w:r>
      <w:r>
        <w:rPr>
          <w:rFonts w:ascii="Times New Roman" w:hAnsi="Times New Roman" w:cs="Times New Roman"/>
          <w:noProof/>
          <w:sz w:val="28"/>
          <w:szCs w:val="28"/>
          <w:lang w:val="kk-KZ"/>
        </w:rPr>
        <w:t>- С</w:t>
      </w:r>
      <w:r>
        <w:rPr>
          <w:rFonts w:ascii="Times New Roman" w:hAnsi="Times New Roman" w:cs="Times New Roman"/>
          <w:noProof/>
          <w:sz w:val="28"/>
          <w:szCs w:val="28"/>
          <w:lang w:val="en-US"/>
        </w:rPr>
        <w:t>. 36–37.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171.</w:t>
      </w:r>
      <w:r>
        <w:rPr>
          <w:rFonts w:ascii="Times New Roman" w:hAnsi="Times New Roman" w:cs="Times New Roman"/>
          <w:noProof/>
          <w:sz w:val="28"/>
          <w:szCs w:val="28"/>
          <w:lang w:val="en-US"/>
        </w:rPr>
        <w:tab/>
        <w:t xml:space="preserve">Ference B.A. Variation in PCSK9 and HMGCR and Risk of Cardiovascular Disease and Diabetes // N. Engl. J. Med.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375 (22).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2144–2153.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172.</w:t>
      </w:r>
      <w:r>
        <w:rPr>
          <w:rFonts w:ascii="Times New Roman" w:hAnsi="Times New Roman" w:cs="Times New Roman"/>
          <w:noProof/>
          <w:sz w:val="28"/>
          <w:szCs w:val="28"/>
          <w:lang w:val="en-US"/>
        </w:rPr>
        <w:tab/>
        <w:t xml:space="preserve">Rohit A., Haridas N. Studies on apolipoproteins (Apo A1 &amp; Apo B) and lipoprotein (a) along with lipid profile in the patients of type II Diabetes Mellitus and metabolic syndrome // Int. J. Med. Biomed. Stud.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2020.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4</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2</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71–77.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173.</w:t>
      </w:r>
      <w:r>
        <w:rPr>
          <w:rFonts w:ascii="Times New Roman" w:hAnsi="Times New Roman" w:cs="Times New Roman"/>
          <w:noProof/>
          <w:sz w:val="28"/>
          <w:szCs w:val="28"/>
          <w:lang w:val="en-US"/>
        </w:rPr>
        <w:tab/>
        <w:t xml:space="preserve">Alinaghian N. Gender-related relation between metabolic syndrome and </w:t>
      </w:r>
      <w:r>
        <w:rPr>
          <w:rFonts w:ascii="Times New Roman" w:hAnsi="Times New Roman" w:cs="Times New Roman"/>
          <w:noProof/>
          <w:sz w:val="28"/>
          <w:szCs w:val="28"/>
          <w:lang w:val="en-US"/>
        </w:rPr>
        <w:lastRenderedPageBreak/>
        <w:t xml:space="preserve">S447X and HindIII polymorphisms of lipoprotein lipase gene in northern Iran // Gene.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706.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13–18.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174.</w:t>
      </w:r>
      <w:r>
        <w:rPr>
          <w:rFonts w:ascii="Times New Roman" w:hAnsi="Times New Roman" w:cs="Times New Roman"/>
          <w:noProof/>
          <w:sz w:val="28"/>
          <w:szCs w:val="28"/>
          <w:lang w:val="en-US"/>
        </w:rPr>
        <w:tab/>
        <w:t xml:space="preserve">Ference B.A. Association of Genetic Variants Related to CETP Inhibitors and Statins With Lipoprotein Levels and Cardiovascular Risk // JAMA.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318 (10).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947.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rPr>
      </w:pPr>
      <w:r>
        <w:rPr>
          <w:rFonts w:ascii="Times New Roman" w:hAnsi="Times New Roman" w:cs="Times New Roman"/>
          <w:noProof/>
          <w:sz w:val="28"/>
          <w:szCs w:val="28"/>
          <w:lang w:val="en-US"/>
        </w:rPr>
        <w:t>175.</w:t>
      </w:r>
      <w:r>
        <w:rPr>
          <w:rFonts w:ascii="Times New Roman" w:hAnsi="Times New Roman" w:cs="Times New Roman"/>
          <w:noProof/>
          <w:sz w:val="28"/>
          <w:szCs w:val="28"/>
          <w:lang w:val="en-US"/>
        </w:rPr>
        <w:tab/>
        <w:t xml:space="preserve">Bissonnette S. High plasma apolipoprotein B identifies obese subjects who best ameliorate white adipose tissue dysfunction and glucose-induced hyperinsulinemia after a hypocaloric diet // Am. J. Clin. </w:t>
      </w:r>
      <w:r>
        <w:rPr>
          <w:rFonts w:ascii="Times New Roman" w:hAnsi="Times New Roman" w:cs="Times New Roman"/>
          <w:noProof/>
          <w:sz w:val="28"/>
          <w:szCs w:val="28"/>
        </w:rPr>
        <w:t xml:space="preserve">Nutr. </w:t>
      </w:r>
      <w:r>
        <w:rPr>
          <w:rFonts w:ascii="Times New Roman" w:hAnsi="Times New Roman" w:cs="Times New Roman"/>
          <w:noProof/>
          <w:sz w:val="28"/>
          <w:szCs w:val="28"/>
          <w:lang w:val="kk-KZ"/>
        </w:rPr>
        <w:t xml:space="preserve">- </w:t>
      </w:r>
      <w:r>
        <w:rPr>
          <w:rFonts w:ascii="Times New Roman" w:hAnsi="Times New Roman" w:cs="Times New Roman"/>
          <w:noProof/>
          <w:sz w:val="28"/>
          <w:szCs w:val="28"/>
        </w:rPr>
        <w:t xml:space="preserve">2018. </w:t>
      </w:r>
      <w:r>
        <w:rPr>
          <w:rFonts w:ascii="Times New Roman" w:hAnsi="Times New Roman" w:cs="Times New Roman"/>
          <w:noProof/>
          <w:sz w:val="28"/>
          <w:szCs w:val="28"/>
          <w:lang w:val="kk-KZ"/>
        </w:rPr>
        <w:t xml:space="preserve">- </w:t>
      </w:r>
      <w:r>
        <w:rPr>
          <w:rFonts w:ascii="Times New Roman" w:hAnsi="Times New Roman" w:cs="Times New Roman"/>
          <w:noProof/>
          <w:sz w:val="28"/>
          <w:szCs w:val="28"/>
        </w:rPr>
        <w:t xml:space="preserve">Vol. 108 (1). </w:t>
      </w:r>
      <w:r>
        <w:rPr>
          <w:rFonts w:ascii="Times New Roman" w:hAnsi="Times New Roman" w:cs="Times New Roman"/>
          <w:noProof/>
          <w:sz w:val="28"/>
          <w:szCs w:val="28"/>
          <w:lang w:val="kk-KZ"/>
        </w:rPr>
        <w:t xml:space="preserve">- </w:t>
      </w:r>
      <w:r>
        <w:rPr>
          <w:rFonts w:ascii="Times New Roman" w:hAnsi="Times New Roman" w:cs="Times New Roman"/>
          <w:noProof/>
          <w:sz w:val="28"/>
          <w:szCs w:val="28"/>
        </w:rPr>
        <w:t>P. 62–76.</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rPr>
      </w:pPr>
      <w:r>
        <w:rPr>
          <w:rFonts w:ascii="Times New Roman" w:hAnsi="Times New Roman" w:cs="Times New Roman"/>
          <w:noProof/>
          <w:sz w:val="28"/>
          <w:szCs w:val="28"/>
        </w:rPr>
        <w:t>176.</w:t>
      </w:r>
      <w:r>
        <w:rPr>
          <w:rFonts w:ascii="Times New Roman" w:hAnsi="Times New Roman" w:cs="Times New Roman"/>
          <w:noProof/>
          <w:sz w:val="28"/>
          <w:szCs w:val="28"/>
        </w:rPr>
        <w:tab/>
        <w:t>Шаханова А.Т.</w:t>
      </w:r>
      <w:r w:rsidR="00AB1968">
        <w:rPr>
          <w:rFonts w:ascii="Times New Roman" w:hAnsi="Times New Roman" w:cs="Times New Roman"/>
          <w:noProof/>
          <w:sz w:val="28"/>
          <w:szCs w:val="28"/>
        </w:rPr>
        <w:t>, Аукенов Н.Е., Нуртазина А.У.</w:t>
      </w:r>
      <w:r>
        <w:rPr>
          <w:rFonts w:ascii="Times New Roman" w:hAnsi="Times New Roman" w:cs="Times New Roman"/>
          <w:noProof/>
          <w:sz w:val="28"/>
          <w:szCs w:val="28"/>
        </w:rPr>
        <w:t xml:space="preserve"> Оценка частоты и характера изменений уровня аполипопротеина В, липидного и углеводного обменов у лиц казахской национальности // A</w:t>
      </w:r>
      <w:r>
        <w:rPr>
          <w:rFonts w:ascii="Times New Roman" w:hAnsi="Times New Roman" w:cs="Times New Roman"/>
          <w:noProof/>
          <w:sz w:val="28"/>
          <w:szCs w:val="28"/>
          <w:lang w:val="kk-KZ"/>
        </w:rPr>
        <w:t>стана медициналық журналы</w:t>
      </w:r>
      <w:r>
        <w:rPr>
          <w:rFonts w:ascii="Times New Roman" w:hAnsi="Times New Roman" w:cs="Times New Roman"/>
          <w:noProof/>
          <w:sz w:val="28"/>
          <w:szCs w:val="28"/>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rPr>
        <w:t xml:space="preserve">2020. </w:t>
      </w:r>
      <w:r>
        <w:rPr>
          <w:rFonts w:ascii="Times New Roman" w:hAnsi="Times New Roman" w:cs="Times New Roman"/>
          <w:noProof/>
          <w:sz w:val="28"/>
          <w:szCs w:val="28"/>
          <w:lang w:val="kk-KZ"/>
        </w:rPr>
        <w:t>- №</w:t>
      </w:r>
      <w:r>
        <w:rPr>
          <w:rFonts w:ascii="Times New Roman" w:hAnsi="Times New Roman" w:cs="Times New Roman"/>
          <w:noProof/>
          <w:sz w:val="28"/>
          <w:szCs w:val="28"/>
        </w:rPr>
        <w:t xml:space="preserve"> 2 (104). </w:t>
      </w:r>
      <w:r>
        <w:rPr>
          <w:rFonts w:ascii="Times New Roman" w:hAnsi="Times New Roman" w:cs="Times New Roman"/>
          <w:noProof/>
          <w:sz w:val="28"/>
          <w:szCs w:val="28"/>
          <w:lang w:val="kk-KZ"/>
        </w:rPr>
        <w:t>- С</w:t>
      </w:r>
      <w:r>
        <w:rPr>
          <w:rFonts w:ascii="Times New Roman" w:hAnsi="Times New Roman" w:cs="Times New Roman"/>
          <w:noProof/>
          <w:sz w:val="28"/>
          <w:szCs w:val="28"/>
        </w:rPr>
        <w:t>. 238–245.</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177.</w:t>
      </w:r>
      <w:r>
        <w:rPr>
          <w:rFonts w:ascii="Times New Roman" w:hAnsi="Times New Roman" w:cs="Times New Roman"/>
          <w:noProof/>
          <w:sz w:val="28"/>
          <w:szCs w:val="28"/>
          <w:lang w:val="en-US"/>
        </w:rPr>
        <w:tab/>
        <w:t xml:space="preserve">Bodde M.C. Apolipoproteins A1, B, and apoB/apoA1 ratio are associated with first ST-segment elevation myocardial infarction but not with recurrent events during long-term follow-up // Clin. Res. Cardiol. Springer Berlin Heidelberg,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108 (5</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 P. 520–538.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178.</w:t>
      </w:r>
      <w:r>
        <w:rPr>
          <w:rFonts w:ascii="Times New Roman" w:hAnsi="Times New Roman" w:cs="Times New Roman"/>
          <w:noProof/>
          <w:sz w:val="28"/>
          <w:szCs w:val="28"/>
          <w:lang w:val="en-US"/>
        </w:rPr>
        <w:tab/>
        <w:t xml:space="preserve">Tang S. Apolipoprotein A-I enhances insulin-dependent and insulin-independent glucose uptake by skeletal muscle // Sci. Rep. Springer US,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Vol. 9</w:t>
      </w:r>
      <w:r w:rsidR="00B02740">
        <w:rPr>
          <w:rFonts w:ascii="Times New Roman" w:hAnsi="Times New Roman" w:cs="Times New Roman"/>
          <w:noProof/>
          <w:sz w:val="28"/>
          <w:szCs w:val="28"/>
        </w:rPr>
        <w:t xml:space="preserve"> </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1</w:t>
      </w:r>
      <w:r w:rsidRPr="00066B4D">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1–9.</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179.</w:t>
      </w:r>
      <w:r>
        <w:rPr>
          <w:rFonts w:ascii="Times New Roman" w:hAnsi="Times New Roman" w:cs="Times New Roman"/>
          <w:noProof/>
          <w:sz w:val="28"/>
          <w:szCs w:val="28"/>
          <w:lang w:val="en-US"/>
        </w:rPr>
        <w:tab/>
        <w:t xml:space="preserve">Domingo-Espín J. Site-specific glycations of apolipoprotein A-I lead to differentiated functional effects on lipid-binding and on glucose metabolism // Biochim. Biophys. Acta - Mol. Basis Dis.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1864 (9).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2822–2834.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180.</w:t>
      </w:r>
      <w:r>
        <w:rPr>
          <w:rFonts w:ascii="Times New Roman" w:hAnsi="Times New Roman" w:cs="Times New Roman"/>
          <w:noProof/>
          <w:sz w:val="28"/>
          <w:szCs w:val="28"/>
          <w:lang w:val="en-US"/>
        </w:rPr>
        <w:tab/>
        <w:t xml:space="preserve">Zhu Y.M. Association of Apolipoproteins B and A-1 With Markers of Vascular Health or Cardiovascular Events. // Can. J. Cardiol.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33 (10).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 1305–1311.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181.</w:t>
      </w:r>
      <w:r>
        <w:rPr>
          <w:rFonts w:ascii="Times New Roman" w:hAnsi="Times New Roman" w:cs="Times New Roman"/>
          <w:noProof/>
          <w:sz w:val="28"/>
          <w:szCs w:val="28"/>
          <w:lang w:val="en-US"/>
        </w:rPr>
        <w:tab/>
        <w:t xml:space="preserve">Karjalainen M.K. Apolipoprotein A-I concentrations and risk of coronary artery disease: A Mendelian randomization study // Atherosclerosis. Elsevier, 2020.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w:t>
      </w:r>
      <w:r>
        <w:rPr>
          <w:rFonts w:ascii="Times New Roman" w:hAnsi="Times New Roman" w:cs="Times New Roman"/>
          <w:noProof/>
          <w:sz w:val="28"/>
          <w:szCs w:val="28"/>
          <w:lang w:val="kk-KZ"/>
        </w:rPr>
        <w:t>299</w:t>
      </w:r>
      <w:r>
        <w:rPr>
          <w:rFonts w:ascii="Times New Roman" w:hAnsi="Times New Roman" w:cs="Times New Roman"/>
          <w:noProof/>
          <w:sz w:val="28"/>
          <w:szCs w:val="28"/>
          <w:lang w:val="en-US"/>
        </w:rPr>
        <w:t xml:space="preserve">. P. </w:t>
      </w:r>
      <w:r>
        <w:rPr>
          <w:rFonts w:ascii="Times New Roman" w:hAnsi="Times New Roman" w:cs="Times New Roman"/>
          <w:noProof/>
          <w:sz w:val="28"/>
          <w:szCs w:val="28"/>
          <w:lang w:val="kk-KZ"/>
        </w:rPr>
        <w:t>56</w:t>
      </w:r>
      <w:r>
        <w:rPr>
          <w:rFonts w:ascii="Times New Roman" w:hAnsi="Times New Roman" w:cs="Times New Roman"/>
          <w:noProof/>
          <w:sz w:val="28"/>
          <w:szCs w:val="28"/>
          <w:lang w:val="en-US"/>
        </w:rPr>
        <w:t>–</w:t>
      </w:r>
      <w:r>
        <w:rPr>
          <w:rFonts w:ascii="Times New Roman" w:hAnsi="Times New Roman" w:cs="Times New Roman"/>
          <w:noProof/>
          <w:sz w:val="28"/>
          <w:szCs w:val="28"/>
          <w:lang w:val="kk-KZ"/>
        </w:rPr>
        <w:t>63</w:t>
      </w:r>
      <w:r>
        <w:rPr>
          <w:rFonts w:ascii="Times New Roman" w:hAnsi="Times New Roman" w:cs="Times New Roman"/>
          <w:noProof/>
          <w:sz w:val="28"/>
          <w:szCs w:val="28"/>
          <w:lang w:val="en-US"/>
        </w:rPr>
        <w:t>.</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kk-KZ"/>
        </w:rPr>
      </w:pPr>
      <w:r>
        <w:rPr>
          <w:rFonts w:ascii="Times New Roman" w:hAnsi="Times New Roman" w:cs="Times New Roman"/>
          <w:noProof/>
          <w:sz w:val="28"/>
          <w:szCs w:val="28"/>
          <w:lang w:val="en-US"/>
        </w:rPr>
        <w:t>182.</w:t>
      </w:r>
      <w:r>
        <w:rPr>
          <w:rFonts w:ascii="Times New Roman" w:hAnsi="Times New Roman" w:cs="Times New Roman"/>
          <w:noProof/>
          <w:sz w:val="28"/>
          <w:szCs w:val="28"/>
          <w:lang w:val="en-US"/>
        </w:rPr>
        <w:tab/>
        <w:t xml:space="preserve">Zheng S. Associations of apolipoprotein B/apolipoprotein A-I ratio with pre-diabetes and diabetes risks: a cross-sectional study in Chinese adults // BMJ Open.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7 </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1</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 xml:space="preserve">. e014038.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P.</w:t>
      </w:r>
      <w:r>
        <w:rPr>
          <w:rFonts w:ascii="Times New Roman" w:hAnsi="Times New Roman" w:cs="Times New Roman"/>
          <w:noProof/>
          <w:sz w:val="28"/>
          <w:szCs w:val="28"/>
          <w:lang w:val="kk-KZ"/>
        </w:rPr>
        <w:t xml:space="preserve"> 1-8.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kk-KZ"/>
        </w:rPr>
      </w:pPr>
      <w:r>
        <w:rPr>
          <w:rFonts w:ascii="Times New Roman" w:hAnsi="Times New Roman" w:cs="Times New Roman"/>
          <w:noProof/>
          <w:sz w:val="28"/>
          <w:szCs w:val="28"/>
          <w:lang w:val="en-US"/>
        </w:rPr>
        <w:t>183.</w:t>
      </w:r>
      <w:r>
        <w:rPr>
          <w:rFonts w:ascii="Times New Roman" w:hAnsi="Times New Roman" w:cs="Times New Roman"/>
          <w:noProof/>
          <w:sz w:val="28"/>
          <w:szCs w:val="28"/>
          <w:lang w:val="en-US"/>
        </w:rPr>
        <w:tab/>
        <w:t xml:space="preserve">Mao Y., Xu Y., Lu L. The nonlinear association between apolipoprotein B to apolipoprotein A1 ratio and type 2 diabetes // Medicine (Baltimore).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2017. </w:t>
      </w: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en-US"/>
        </w:rPr>
        <w:t xml:space="preserve">Vol. 96 </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1</w:t>
      </w:r>
      <w:r>
        <w:rPr>
          <w:rFonts w:ascii="Times New Roman" w:hAnsi="Times New Roman" w:cs="Times New Roman"/>
          <w:noProof/>
          <w:sz w:val="28"/>
          <w:szCs w:val="28"/>
          <w:lang w:val="kk-KZ"/>
        </w:rPr>
        <w:t>)</w:t>
      </w:r>
      <w:r>
        <w:rPr>
          <w:rFonts w:ascii="Times New Roman" w:hAnsi="Times New Roman" w:cs="Times New Roman"/>
          <w:noProof/>
          <w:sz w:val="28"/>
          <w:szCs w:val="28"/>
          <w:lang w:val="en-US"/>
        </w:rPr>
        <w:t>. e5834.</w:t>
      </w:r>
      <w:r>
        <w:rPr>
          <w:rFonts w:ascii="Times New Roman" w:hAnsi="Times New Roman" w:cs="Times New Roman"/>
          <w:noProof/>
          <w:sz w:val="28"/>
          <w:szCs w:val="28"/>
          <w:lang w:val="kk-KZ"/>
        </w:rPr>
        <w:t xml:space="preserve"> - </w:t>
      </w:r>
      <w:r>
        <w:rPr>
          <w:rFonts w:ascii="Times New Roman" w:hAnsi="Times New Roman" w:cs="Times New Roman"/>
          <w:noProof/>
          <w:sz w:val="28"/>
          <w:szCs w:val="28"/>
          <w:lang w:val="en-US"/>
        </w:rPr>
        <w:t xml:space="preserve">P. </w:t>
      </w:r>
      <w:r>
        <w:rPr>
          <w:rFonts w:ascii="Times New Roman" w:hAnsi="Times New Roman" w:cs="Times New Roman"/>
          <w:noProof/>
          <w:sz w:val="28"/>
          <w:szCs w:val="28"/>
          <w:lang w:val="kk-KZ"/>
        </w:rPr>
        <w:t>1-4.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kk-KZ"/>
        </w:rPr>
      </w:pPr>
      <w:r>
        <w:rPr>
          <w:rFonts w:ascii="Times New Roman" w:hAnsi="Times New Roman" w:cs="Times New Roman"/>
          <w:noProof/>
          <w:sz w:val="28"/>
          <w:szCs w:val="28"/>
        </w:rPr>
        <w:t>184.</w:t>
      </w:r>
      <w:r>
        <w:rPr>
          <w:rFonts w:ascii="Times New Roman" w:hAnsi="Times New Roman" w:cs="Times New Roman"/>
          <w:noProof/>
          <w:sz w:val="28"/>
          <w:szCs w:val="28"/>
        </w:rPr>
        <w:tab/>
      </w:r>
      <w:r>
        <w:rPr>
          <w:rFonts w:ascii="Times New Roman" w:hAnsi="Times New Roman" w:cs="Times New Roman"/>
          <w:noProof/>
          <w:sz w:val="28"/>
          <w:szCs w:val="28"/>
          <w:lang w:val="kk-KZ"/>
        </w:rPr>
        <w:t xml:space="preserve">Пат. №2748034 Российской Федерации, МПК G01N 33/00. </w:t>
      </w:r>
      <w:r>
        <w:rPr>
          <w:rFonts w:ascii="Times New Roman" w:hAnsi="Times New Roman" w:cs="Times New Roman"/>
          <w:noProof/>
          <w:sz w:val="28"/>
          <w:szCs w:val="28"/>
          <w:lang w:val="en-US"/>
        </w:rPr>
        <w:t>G</w:t>
      </w:r>
      <w:r>
        <w:rPr>
          <w:rFonts w:ascii="Times New Roman" w:hAnsi="Times New Roman" w:cs="Times New Roman"/>
          <w:noProof/>
          <w:sz w:val="28"/>
          <w:szCs w:val="28"/>
        </w:rPr>
        <w:t>01</w:t>
      </w:r>
      <w:r>
        <w:rPr>
          <w:rFonts w:ascii="Times New Roman" w:hAnsi="Times New Roman" w:cs="Times New Roman"/>
          <w:noProof/>
          <w:sz w:val="28"/>
          <w:szCs w:val="28"/>
          <w:lang w:val="en-US"/>
        </w:rPr>
        <w:t>N</w:t>
      </w:r>
      <w:r>
        <w:rPr>
          <w:rFonts w:ascii="Times New Roman" w:hAnsi="Times New Roman" w:cs="Times New Roman"/>
          <w:noProof/>
          <w:sz w:val="28"/>
          <w:szCs w:val="28"/>
        </w:rPr>
        <w:t xml:space="preserve"> 33/48. Изобретение / Шаханова А.Т., Аукенов Н.Е., Нуртазина А</w:t>
      </w:r>
      <w:r w:rsidR="00B02740">
        <w:rPr>
          <w:rFonts w:ascii="Times New Roman" w:hAnsi="Times New Roman" w:cs="Times New Roman"/>
          <w:noProof/>
          <w:sz w:val="28"/>
          <w:szCs w:val="28"/>
        </w:rPr>
        <w:t>.</w:t>
      </w:r>
      <w:r>
        <w:rPr>
          <w:rFonts w:ascii="Times New Roman" w:hAnsi="Times New Roman" w:cs="Times New Roman"/>
          <w:noProof/>
          <w:sz w:val="28"/>
          <w:szCs w:val="28"/>
        </w:rPr>
        <w:t>У</w:t>
      </w:r>
      <w:r w:rsidR="00B02740">
        <w:rPr>
          <w:rFonts w:ascii="Times New Roman" w:hAnsi="Times New Roman" w:cs="Times New Roman"/>
          <w:noProof/>
          <w:sz w:val="28"/>
          <w:szCs w:val="28"/>
        </w:rPr>
        <w:t>.</w:t>
      </w:r>
      <w:r>
        <w:rPr>
          <w:rFonts w:ascii="Times New Roman" w:hAnsi="Times New Roman" w:cs="Times New Roman"/>
          <w:noProof/>
          <w:sz w:val="28"/>
          <w:szCs w:val="28"/>
        </w:rPr>
        <w:t xml:space="preserve">, Кожахметова Д.К.; заявитель и патентообладатель Шаханова А.Т.. - . 2019131484; заявл. </w:t>
      </w:r>
      <w:r w:rsidRPr="00066B4D">
        <w:rPr>
          <w:rFonts w:ascii="Times New Roman" w:hAnsi="Times New Roman" w:cs="Times New Roman"/>
          <w:noProof/>
          <w:sz w:val="28"/>
          <w:szCs w:val="28"/>
          <w:lang w:val="en-US"/>
        </w:rPr>
        <w:t xml:space="preserve">04.10.2019; </w:t>
      </w:r>
      <w:r>
        <w:rPr>
          <w:rFonts w:ascii="Times New Roman" w:hAnsi="Times New Roman" w:cs="Times New Roman"/>
          <w:noProof/>
          <w:sz w:val="28"/>
          <w:szCs w:val="28"/>
        </w:rPr>
        <w:t>опубл</w:t>
      </w:r>
      <w:r w:rsidRPr="00066B4D">
        <w:rPr>
          <w:rFonts w:ascii="Times New Roman" w:hAnsi="Times New Roman" w:cs="Times New Roman"/>
          <w:noProof/>
          <w:sz w:val="28"/>
          <w:szCs w:val="28"/>
          <w:lang w:val="en-US"/>
        </w:rPr>
        <w:t xml:space="preserve">. 19.05.2021, </w:t>
      </w:r>
      <w:r>
        <w:rPr>
          <w:rFonts w:ascii="Times New Roman" w:hAnsi="Times New Roman" w:cs="Times New Roman"/>
          <w:noProof/>
          <w:sz w:val="28"/>
          <w:szCs w:val="28"/>
        </w:rPr>
        <w:t>Бюл</w:t>
      </w:r>
      <w:r w:rsidRPr="00066B4D">
        <w:rPr>
          <w:rFonts w:ascii="Times New Roman" w:hAnsi="Times New Roman" w:cs="Times New Roman"/>
          <w:noProof/>
          <w:sz w:val="28"/>
          <w:szCs w:val="28"/>
          <w:lang w:val="en-US"/>
        </w:rPr>
        <w:t xml:space="preserve">. №14. - </w:t>
      </w:r>
      <w:r>
        <w:rPr>
          <w:rFonts w:ascii="Times New Roman" w:hAnsi="Times New Roman" w:cs="Times New Roman"/>
          <w:noProof/>
          <w:sz w:val="28"/>
          <w:szCs w:val="28"/>
        </w:rPr>
        <w:t>С</w:t>
      </w:r>
      <w:r w:rsidRPr="00066B4D">
        <w:rPr>
          <w:rFonts w:ascii="Times New Roman" w:hAnsi="Times New Roman" w:cs="Times New Roman"/>
          <w:noProof/>
          <w:sz w:val="28"/>
          <w:szCs w:val="28"/>
          <w:lang w:val="en-US"/>
        </w:rPr>
        <w:t>.1.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kk-KZ"/>
        </w:rPr>
        <w:t>185.</w:t>
      </w:r>
      <w:r>
        <w:rPr>
          <w:rFonts w:ascii="Times New Roman" w:hAnsi="Times New Roman" w:cs="Times New Roman"/>
          <w:noProof/>
          <w:sz w:val="28"/>
          <w:szCs w:val="28"/>
          <w:lang w:val="kk-KZ"/>
        </w:rPr>
        <w:tab/>
        <w:t>Li X. Interrelationships among common predictors of cardiovascular diseases in pati</w:t>
      </w:r>
      <w:r>
        <w:rPr>
          <w:rFonts w:ascii="Times New Roman" w:hAnsi="Times New Roman" w:cs="Times New Roman"/>
          <w:noProof/>
          <w:sz w:val="28"/>
          <w:szCs w:val="28"/>
          <w:lang w:val="en-US"/>
        </w:rPr>
        <w:t xml:space="preserve">ents of OSA: A large-scale observational study // Nutr. Metab. Cardiovasc. Dis. Elsevier B.V, </w:t>
      </w:r>
      <w:r w:rsidR="00B02740">
        <w:rPr>
          <w:rFonts w:ascii="Times New Roman" w:hAnsi="Times New Roman" w:cs="Times New Roman"/>
          <w:noProof/>
          <w:sz w:val="28"/>
          <w:szCs w:val="28"/>
        </w:rPr>
        <w:t xml:space="preserve">- </w:t>
      </w:r>
      <w:r>
        <w:rPr>
          <w:rFonts w:ascii="Times New Roman" w:hAnsi="Times New Roman" w:cs="Times New Roman"/>
          <w:noProof/>
          <w:sz w:val="28"/>
          <w:szCs w:val="28"/>
          <w:lang w:val="en-US"/>
        </w:rPr>
        <w:t xml:space="preserve">2020. </w:t>
      </w:r>
      <w:r w:rsidR="00B02740">
        <w:rPr>
          <w:rFonts w:ascii="Times New Roman" w:hAnsi="Times New Roman" w:cs="Times New Roman"/>
          <w:noProof/>
          <w:sz w:val="28"/>
          <w:szCs w:val="28"/>
        </w:rPr>
        <w:t xml:space="preserve">- </w:t>
      </w:r>
      <w:r>
        <w:rPr>
          <w:rFonts w:ascii="Times New Roman" w:hAnsi="Times New Roman" w:cs="Times New Roman"/>
          <w:noProof/>
          <w:sz w:val="28"/>
          <w:szCs w:val="28"/>
          <w:lang w:val="en-US"/>
        </w:rPr>
        <w:t>Vol. 30</w:t>
      </w:r>
      <w:r w:rsidRPr="0041189E">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1</w:t>
      </w:r>
      <w:r w:rsidRPr="0041189E">
        <w:rPr>
          <w:rFonts w:ascii="Times New Roman" w:hAnsi="Times New Roman" w:cs="Times New Roman"/>
          <w:noProof/>
          <w:sz w:val="28"/>
          <w:szCs w:val="28"/>
          <w:lang w:val="en-US"/>
        </w:rPr>
        <w:t>)</w:t>
      </w:r>
      <w:r>
        <w:rPr>
          <w:rFonts w:ascii="Times New Roman" w:hAnsi="Times New Roman" w:cs="Times New Roman"/>
          <w:noProof/>
          <w:sz w:val="28"/>
          <w:szCs w:val="28"/>
          <w:lang w:val="en-US"/>
        </w:rPr>
        <w:t xml:space="preserve">. </w:t>
      </w:r>
      <w:r w:rsidR="00B02740">
        <w:rPr>
          <w:rFonts w:ascii="Times New Roman" w:hAnsi="Times New Roman" w:cs="Times New Roman"/>
          <w:noProof/>
          <w:sz w:val="28"/>
          <w:szCs w:val="28"/>
        </w:rPr>
        <w:t xml:space="preserve">- </w:t>
      </w:r>
      <w:r>
        <w:rPr>
          <w:rFonts w:ascii="Times New Roman" w:hAnsi="Times New Roman" w:cs="Times New Roman"/>
          <w:noProof/>
          <w:sz w:val="28"/>
          <w:szCs w:val="28"/>
          <w:lang w:val="en-US"/>
        </w:rPr>
        <w:t>P. 23–32.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186.</w:t>
      </w:r>
      <w:r>
        <w:rPr>
          <w:rFonts w:ascii="Times New Roman" w:hAnsi="Times New Roman" w:cs="Times New Roman"/>
          <w:noProof/>
          <w:sz w:val="28"/>
          <w:szCs w:val="28"/>
          <w:lang w:val="en-US"/>
        </w:rPr>
        <w:tab/>
        <w:t xml:space="preserve">Li X. Association between the level of fasting blood glucose over 35-year-old and carotid intima-media thickness in Han, Uygur and Kazak population </w:t>
      </w:r>
      <w:r>
        <w:rPr>
          <w:rFonts w:ascii="Times New Roman" w:hAnsi="Times New Roman" w:cs="Times New Roman"/>
          <w:noProof/>
          <w:sz w:val="28"/>
          <w:szCs w:val="28"/>
          <w:lang w:val="en-US"/>
        </w:rPr>
        <w:lastRenderedPageBreak/>
        <w:t>from Xinjiang Uygur Autonomous Region from 2007 to 2010 // Chin J Prev Med. - 2014. - Vol. 48 (10). - P. 878–882.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187.</w:t>
      </w:r>
      <w:r>
        <w:rPr>
          <w:rFonts w:ascii="Times New Roman" w:hAnsi="Times New Roman" w:cs="Times New Roman"/>
          <w:noProof/>
          <w:sz w:val="28"/>
          <w:szCs w:val="28"/>
          <w:lang w:val="en-US"/>
        </w:rPr>
        <w:tab/>
        <w:t>Diaf M., Khaled B.M. Impact of corpulence parameters and haemoglobin A1c on metabolic control in type 2 diabetic patients: comparison of apolipoprotein B/A-I ratio with fasting and postprandial conventional lipid ratios // Libyan J. Med. - 2015. - Vol. 1. - P. 1–10.</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188.</w:t>
      </w:r>
      <w:r>
        <w:rPr>
          <w:rFonts w:ascii="Times New Roman" w:hAnsi="Times New Roman" w:cs="Times New Roman"/>
          <w:noProof/>
          <w:sz w:val="28"/>
          <w:szCs w:val="28"/>
          <w:lang w:val="en-US"/>
        </w:rPr>
        <w:tab/>
        <w:t>Nurtazina A. Apolipoprotein B/A1 Ratio as a Diagnostic Alternative to Triglycerides and HDL-Cholesterol for the Prediction of Metabolic Syndrome among Hypertensives in Kazakhstan // Diagnostics. - 2020. - Vol. 10 (510). - P. 1-13.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189.</w:t>
      </w:r>
      <w:r>
        <w:rPr>
          <w:rFonts w:ascii="Times New Roman" w:hAnsi="Times New Roman" w:cs="Times New Roman"/>
          <w:noProof/>
          <w:sz w:val="28"/>
          <w:szCs w:val="28"/>
          <w:lang w:val="en-US"/>
        </w:rPr>
        <w:tab/>
        <w:t>Lim H.H., Kim O.Y. Association of Serum Apolipoprotein B with the Increased Risk of Diabetes in Korean Men // Clin. Nutr. Res. - 2016. - Vol. 5 (3). - P. 204.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190.</w:t>
      </w:r>
      <w:r>
        <w:rPr>
          <w:rFonts w:ascii="Times New Roman" w:hAnsi="Times New Roman" w:cs="Times New Roman"/>
          <w:noProof/>
          <w:sz w:val="28"/>
          <w:szCs w:val="28"/>
          <w:lang w:val="en-US"/>
        </w:rPr>
        <w:tab/>
        <w:t>Ben Ali S. Postmenopausal hypertension, abdominal obesity, apolipoprotein and insulin resistance // Clinical and Experimental Hypertension. - 2016. - Vol. 38 (4). - P. 370–374.</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rPr>
        <w:t>191.</w:t>
      </w:r>
      <w:r>
        <w:rPr>
          <w:rFonts w:ascii="Times New Roman" w:hAnsi="Times New Roman" w:cs="Times New Roman"/>
          <w:noProof/>
          <w:sz w:val="28"/>
          <w:szCs w:val="28"/>
        </w:rPr>
        <w:tab/>
        <w:t>Шаханова А.Т.</w:t>
      </w:r>
      <w:r w:rsidR="00ED38B1">
        <w:rPr>
          <w:rFonts w:ascii="Times New Roman" w:hAnsi="Times New Roman" w:cs="Times New Roman"/>
          <w:noProof/>
          <w:sz w:val="28"/>
          <w:szCs w:val="28"/>
        </w:rPr>
        <w:t xml:space="preserve"> </w:t>
      </w:r>
      <w:r>
        <w:rPr>
          <w:rFonts w:ascii="Times New Roman" w:hAnsi="Times New Roman" w:cs="Times New Roman"/>
          <w:noProof/>
          <w:sz w:val="28"/>
          <w:szCs w:val="28"/>
        </w:rPr>
        <w:t>Распространенность гиперинсулинемии у казахов // Материалы XIV международной научно-практической конференции “Экология. Радиация</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rPr>
        <w:t>Здоровье</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rPr>
        <w:t>Семей</w:t>
      </w:r>
      <w:r>
        <w:rPr>
          <w:rFonts w:ascii="Times New Roman" w:hAnsi="Times New Roman" w:cs="Times New Roman"/>
          <w:noProof/>
          <w:sz w:val="28"/>
          <w:szCs w:val="28"/>
          <w:lang w:val="en-US"/>
        </w:rPr>
        <w:t xml:space="preserve">, </w:t>
      </w:r>
      <w:r>
        <w:rPr>
          <w:rFonts w:ascii="Times New Roman" w:hAnsi="Times New Roman" w:cs="Times New Roman"/>
          <w:noProof/>
          <w:sz w:val="28"/>
          <w:szCs w:val="28"/>
        </w:rPr>
        <w:t>Казахстан</w:t>
      </w:r>
      <w:r>
        <w:rPr>
          <w:rFonts w:ascii="Times New Roman" w:hAnsi="Times New Roman" w:cs="Times New Roman"/>
          <w:noProof/>
          <w:sz w:val="28"/>
          <w:szCs w:val="28"/>
          <w:lang w:val="en-US"/>
        </w:rPr>
        <w:t xml:space="preserve">: </w:t>
      </w:r>
      <w:r>
        <w:rPr>
          <w:rFonts w:ascii="Times New Roman" w:hAnsi="Times New Roman" w:cs="Times New Roman"/>
          <w:noProof/>
          <w:sz w:val="28"/>
          <w:szCs w:val="28"/>
        </w:rPr>
        <w:t>Наука</w:t>
      </w:r>
      <w:r>
        <w:rPr>
          <w:rFonts w:ascii="Times New Roman" w:hAnsi="Times New Roman" w:cs="Times New Roman"/>
          <w:noProof/>
          <w:sz w:val="28"/>
          <w:szCs w:val="28"/>
          <w:lang w:val="en-US"/>
        </w:rPr>
        <w:t xml:space="preserve"> </w:t>
      </w:r>
      <w:r>
        <w:rPr>
          <w:rFonts w:ascii="Times New Roman" w:hAnsi="Times New Roman" w:cs="Times New Roman"/>
          <w:noProof/>
          <w:sz w:val="28"/>
          <w:szCs w:val="28"/>
        </w:rPr>
        <w:t>и</w:t>
      </w:r>
      <w:r>
        <w:rPr>
          <w:rFonts w:ascii="Times New Roman" w:hAnsi="Times New Roman" w:cs="Times New Roman"/>
          <w:noProof/>
          <w:sz w:val="28"/>
          <w:szCs w:val="28"/>
          <w:lang w:val="en-US"/>
        </w:rPr>
        <w:t xml:space="preserve"> </w:t>
      </w:r>
      <w:r>
        <w:rPr>
          <w:rFonts w:ascii="Times New Roman" w:hAnsi="Times New Roman" w:cs="Times New Roman"/>
          <w:noProof/>
          <w:sz w:val="28"/>
          <w:szCs w:val="28"/>
        </w:rPr>
        <w:t>здравоохранение</w:t>
      </w:r>
      <w:r>
        <w:rPr>
          <w:rFonts w:ascii="Times New Roman" w:hAnsi="Times New Roman" w:cs="Times New Roman"/>
          <w:noProof/>
          <w:sz w:val="28"/>
          <w:szCs w:val="28"/>
          <w:lang w:val="en-US"/>
        </w:rPr>
        <w:t>, - 2019. - № 4 (</w:t>
      </w:r>
      <w:r>
        <w:rPr>
          <w:rFonts w:ascii="Times New Roman" w:hAnsi="Times New Roman" w:cs="Times New Roman"/>
          <w:noProof/>
          <w:sz w:val="28"/>
          <w:szCs w:val="28"/>
        </w:rPr>
        <w:t>І</w:t>
      </w:r>
      <w:r>
        <w:rPr>
          <w:rFonts w:ascii="Times New Roman" w:hAnsi="Times New Roman" w:cs="Times New Roman"/>
          <w:noProof/>
          <w:sz w:val="28"/>
          <w:szCs w:val="28"/>
          <w:lang w:val="en-US"/>
        </w:rPr>
        <w:t xml:space="preserve">). - </w:t>
      </w:r>
      <w:r>
        <w:rPr>
          <w:rFonts w:ascii="Times New Roman" w:hAnsi="Times New Roman" w:cs="Times New Roman"/>
          <w:noProof/>
          <w:sz w:val="28"/>
          <w:szCs w:val="28"/>
        </w:rPr>
        <w:t>С</w:t>
      </w:r>
      <w:r>
        <w:rPr>
          <w:rFonts w:ascii="Times New Roman" w:hAnsi="Times New Roman" w:cs="Times New Roman"/>
          <w:noProof/>
          <w:sz w:val="28"/>
          <w:szCs w:val="28"/>
          <w:lang w:val="en-US"/>
        </w:rPr>
        <w:t>. 177.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192.</w:t>
      </w:r>
      <w:r>
        <w:rPr>
          <w:rFonts w:ascii="Times New Roman" w:hAnsi="Times New Roman" w:cs="Times New Roman"/>
          <w:noProof/>
          <w:sz w:val="28"/>
          <w:szCs w:val="28"/>
          <w:lang w:val="en-US"/>
        </w:rPr>
        <w:tab/>
        <w:t>Santhanam P. Apolipoprotein B and Insulin Resistance in Hypertensive Compared With Normotensive Patients: An Epidemiological Study // J. Clin. Hypertens. - 2016. - Vol. 18 (1). - P. 79–80.</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rPr>
      </w:pPr>
      <w:r>
        <w:rPr>
          <w:rFonts w:ascii="Times New Roman" w:hAnsi="Times New Roman" w:cs="Times New Roman"/>
          <w:noProof/>
          <w:sz w:val="28"/>
          <w:szCs w:val="28"/>
          <w:lang w:val="en-US"/>
        </w:rPr>
        <w:t>193.</w:t>
      </w:r>
      <w:r>
        <w:rPr>
          <w:rFonts w:ascii="Times New Roman" w:hAnsi="Times New Roman" w:cs="Times New Roman"/>
          <w:noProof/>
          <w:sz w:val="28"/>
          <w:szCs w:val="28"/>
          <w:lang w:val="en-US"/>
        </w:rPr>
        <w:tab/>
        <w:t xml:space="preserve">Jwa H. Apolipoprotein B Is Related to Metabolic Syndrome Independently of Low Density Lipoprotein Cholesterol in Patients with Type 2 Diabetes // Endocrinol. </w:t>
      </w:r>
      <w:r>
        <w:rPr>
          <w:rFonts w:ascii="Times New Roman" w:hAnsi="Times New Roman" w:cs="Times New Roman"/>
          <w:noProof/>
          <w:sz w:val="28"/>
          <w:szCs w:val="28"/>
        </w:rPr>
        <w:t>Metab. - 2015. - Vol. 30 (2). - P. 208.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rPr>
      </w:pPr>
      <w:r>
        <w:rPr>
          <w:rFonts w:ascii="Times New Roman" w:hAnsi="Times New Roman" w:cs="Times New Roman"/>
          <w:noProof/>
          <w:sz w:val="28"/>
          <w:szCs w:val="28"/>
        </w:rPr>
        <w:t>194.</w:t>
      </w:r>
      <w:r>
        <w:rPr>
          <w:rFonts w:ascii="Times New Roman" w:hAnsi="Times New Roman" w:cs="Times New Roman"/>
          <w:noProof/>
          <w:sz w:val="28"/>
          <w:szCs w:val="28"/>
        </w:rPr>
        <w:tab/>
        <w:t>Шаханова А.Т. Анализ взаимосвязи гиперинсулинемии и дислипидемии у лиц казахской популяции // Вестник КазНМУ. - 2020. - № 1. - С. 494–498.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195.</w:t>
      </w:r>
      <w:r>
        <w:rPr>
          <w:rFonts w:ascii="Times New Roman" w:hAnsi="Times New Roman" w:cs="Times New Roman"/>
          <w:noProof/>
          <w:sz w:val="28"/>
          <w:szCs w:val="28"/>
          <w:lang w:val="en-US"/>
        </w:rPr>
        <w:tab/>
        <w:t>Wang Y. Different lipid profiles, insulin sensitivity, and insulin resistance among Han, Uygur, and Kazak men with normal glucose tolerance in Xinjiang, China // Lipids Health Dis. Lipids in Health and Disease. - 2018. - Vol. 17 (209). - P. 1–7.</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196.</w:t>
      </w:r>
      <w:r>
        <w:rPr>
          <w:rFonts w:ascii="Times New Roman" w:hAnsi="Times New Roman" w:cs="Times New Roman"/>
          <w:noProof/>
          <w:sz w:val="28"/>
          <w:szCs w:val="28"/>
          <w:lang w:val="en-US"/>
        </w:rPr>
        <w:tab/>
        <w:t>Yan Y. Association of Insulin Resistance with Glucose and Lipid Metabolism : Ethnic Heterogeneity in Far Western China // Mediat. In</w:t>
      </w:r>
      <w:r>
        <w:rPr>
          <w:rFonts w:ascii="Times New Roman" w:hAnsi="Times New Roman" w:cs="Times New Roman"/>
          <w:noProof/>
          <w:sz w:val="28"/>
          <w:szCs w:val="28"/>
        </w:rPr>
        <w:t>ﬂ</w:t>
      </w:r>
      <w:r>
        <w:rPr>
          <w:rFonts w:ascii="Times New Roman" w:hAnsi="Times New Roman" w:cs="Times New Roman"/>
          <w:noProof/>
          <w:sz w:val="28"/>
          <w:szCs w:val="28"/>
          <w:lang w:val="en-US"/>
        </w:rPr>
        <w:t xml:space="preserve">ammation. </w:t>
      </w:r>
      <w:r w:rsidRPr="0041189E">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 xml:space="preserve">2016. </w:t>
      </w:r>
      <w:r w:rsidRPr="0041189E">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 xml:space="preserve">Vol. 2016. </w:t>
      </w:r>
      <w:r w:rsidRPr="0041189E">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P. 1–8.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197.</w:t>
      </w:r>
      <w:r>
        <w:rPr>
          <w:rFonts w:ascii="Times New Roman" w:hAnsi="Times New Roman" w:cs="Times New Roman"/>
          <w:noProof/>
          <w:sz w:val="28"/>
          <w:szCs w:val="28"/>
          <w:lang w:val="en-US"/>
        </w:rPr>
        <w:tab/>
        <w:t>Makaridze Z., Giorgadze E., Asatiani K. Association of the Apolipoprotein B / Apolipoprotein A-I Ratio , Metabolic Syndrome Components , Total Cholesterol , and Low-Density Lipoprotein Cholesterol with Insulin Resistance in the Population of Georgia // Int. J. Endocrinol. Hindawi Publishing Corporation, - 2014. - Vol. 2014. - P. 1–8.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198.</w:t>
      </w:r>
      <w:r>
        <w:rPr>
          <w:rFonts w:ascii="Times New Roman" w:hAnsi="Times New Roman" w:cs="Times New Roman"/>
          <w:noProof/>
          <w:sz w:val="28"/>
          <w:szCs w:val="28"/>
          <w:lang w:val="en-US"/>
        </w:rPr>
        <w:tab/>
        <w:t>Yang T. Pathogenic mutations of the lipoprotein lipase gene in Chinese patients with hypertriglyceridemic type 2 diabetes // Hum. Mutat. - 2003. - Vol. 21 (4). - P. 453–453.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199.</w:t>
      </w:r>
      <w:r>
        <w:rPr>
          <w:rFonts w:ascii="Times New Roman" w:hAnsi="Times New Roman" w:cs="Times New Roman"/>
          <w:noProof/>
          <w:sz w:val="28"/>
          <w:szCs w:val="28"/>
          <w:lang w:val="en-US"/>
        </w:rPr>
        <w:tab/>
        <w:t xml:space="preserve">Shakhanova A. Association of polymorphism genes LPL, ADRB2, AGT and </w:t>
      </w:r>
      <w:r>
        <w:rPr>
          <w:rFonts w:ascii="Times New Roman" w:hAnsi="Times New Roman" w:cs="Times New Roman"/>
          <w:noProof/>
          <w:sz w:val="28"/>
          <w:szCs w:val="28"/>
          <w:lang w:val="en-US"/>
        </w:rPr>
        <w:lastRenderedPageBreak/>
        <w:t>AGTR1 with risk of hyperinsulinism and insulin resistance in the Kazakh population // Biomed. reports. - 2020. - Vol. 13 (5). - P. 1–10.</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200.</w:t>
      </w:r>
      <w:r>
        <w:rPr>
          <w:rFonts w:ascii="Times New Roman" w:hAnsi="Times New Roman" w:cs="Times New Roman"/>
          <w:noProof/>
          <w:sz w:val="28"/>
          <w:szCs w:val="28"/>
          <w:lang w:val="en-US"/>
        </w:rPr>
        <w:tab/>
        <w:t>Gonzalez Sanchez J.L. The glutamine 27 glutamic acid polymorphism of the beta2-adrenoceptor gene is associated with abdominal obesity and greater risk of impaired glucose tolerance in men but not in women: a population-based study in Spain // Clin. Endocrinol. (Oxf). - 2003. - Vol. 59 (4). - P. 476–481.</w:t>
      </w:r>
    </w:p>
    <w:p w:rsidR="00066B4D" w:rsidRP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201.</w:t>
      </w:r>
      <w:r>
        <w:rPr>
          <w:rFonts w:ascii="Times New Roman" w:hAnsi="Times New Roman" w:cs="Times New Roman"/>
          <w:noProof/>
          <w:sz w:val="28"/>
          <w:szCs w:val="28"/>
          <w:lang w:val="en-US"/>
        </w:rPr>
        <w:tab/>
        <w:t xml:space="preserve">Wang T. Synergistical action of the </w:t>
      </w:r>
      <w:r>
        <w:rPr>
          <w:rFonts w:ascii="Times New Roman" w:hAnsi="Times New Roman" w:cs="Times New Roman"/>
          <w:noProof/>
          <w:sz w:val="28"/>
          <w:szCs w:val="28"/>
        </w:rPr>
        <w:t>β</w:t>
      </w:r>
      <w:r>
        <w:rPr>
          <w:rFonts w:ascii="Times New Roman" w:hAnsi="Times New Roman" w:cs="Times New Roman"/>
          <w:noProof/>
          <w:sz w:val="28"/>
          <w:szCs w:val="28"/>
          <w:lang w:val="en-US"/>
        </w:rPr>
        <w:t xml:space="preserve">2 adrenoceptor and fatty acid binding protein 2 polymorphisms on the loss of glomerular filtration rate in Chinese patients with type 2 diabetic nephropathy // Int. </w:t>
      </w:r>
      <w:r w:rsidRPr="00066B4D">
        <w:rPr>
          <w:rFonts w:ascii="Times New Roman" w:hAnsi="Times New Roman" w:cs="Times New Roman"/>
          <w:noProof/>
          <w:sz w:val="28"/>
          <w:szCs w:val="28"/>
          <w:lang w:val="en-US"/>
        </w:rPr>
        <w:t>Urol. Nephrol. - 2018. - Vol. 50 (4). - P. 715–723.</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sidRPr="00066B4D">
        <w:rPr>
          <w:rFonts w:ascii="Times New Roman" w:hAnsi="Times New Roman" w:cs="Times New Roman"/>
          <w:noProof/>
          <w:sz w:val="28"/>
          <w:szCs w:val="28"/>
          <w:lang w:val="en-US"/>
        </w:rPr>
        <w:t>202.</w:t>
      </w:r>
      <w:r w:rsidRPr="00066B4D">
        <w:rPr>
          <w:rFonts w:ascii="Times New Roman" w:hAnsi="Times New Roman" w:cs="Times New Roman"/>
          <w:noProof/>
          <w:sz w:val="28"/>
          <w:szCs w:val="28"/>
          <w:lang w:val="en-US"/>
        </w:rPr>
        <w:tab/>
      </w:r>
      <w:r>
        <w:rPr>
          <w:rFonts w:ascii="Times New Roman" w:hAnsi="Times New Roman" w:cs="Times New Roman"/>
          <w:noProof/>
          <w:sz w:val="28"/>
          <w:szCs w:val="28"/>
        </w:rPr>
        <w:t>Пат</w:t>
      </w:r>
      <w:r w:rsidRPr="00066B4D">
        <w:rPr>
          <w:rFonts w:ascii="Times New Roman" w:hAnsi="Times New Roman" w:cs="Times New Roman"/>
          <w:noProof/>
          <w:sz w:val="28"/>
          <w:szCs w:val="28"/>
          <w:lang w:val="en-US"/>
        </w:rPr>
        <w:t xml:space="preserve">. №35154 </w:t>
      </w:r>
      <w:r>
        <w:rPr>
          <w:rFonts w:ascii="Times New Roman" w:hAnsi="Times New Roman" w:cs="Times New Roman"/>
          <w:noProof/>
          <w:sz w:val="28"/>
          <w:szCs w:val="28"/>
        </w:rPr>
        <w:t>Республики</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rPr>
        <w:t>Казахстан</w:t>
      </w:r>
      <w:r w:rsidRPr="00066B4D">
        <w:rPr>
          <w:rFonts w:ascii="Times New Roman" w:hAnsi="Times New Roman" w:cs="Times New Roman"/>
          <w:noProof/>
          <w:sz w:val="28"/>
          <w:szCs w:val="28"/>
          <w:lang w:val="en-US"/>
        </w:rPr>
        <w:t xml:space="preserve">, </w:t>
      </w:r>
      <w:r w:rsidRPr="004169B9">
        <w:rPr>
          <w:rStyle w:val="fontstyle01"/>
          <w:rFonts w:ascii="Times New Roman" w:hAnsi="Times New Roman" w:cs="Times New Roman"/>
          <w:b w:val="0"/>
          <w:lang w:val="en-US"/>
        </w:rPr>
        <w:t>A61B 5/00</w:t>
      </w:r>
      <w:r w:rsidRPr="00066B4D">
        <w:rPr>
          <w:rStyle w:val="fontstyle01"/>
          <w:rFonts w:ascii="Times New Roman" w:hAnsi="Times New Roman" w:cs="Times New Roman"/>
          <w:lang w:val="en-US"/>
        </w:rPr>
        <w:t xml:space="preserve"> </w:t>
      </w:r>
      <w:r w:rsidRPr="004169B9">
        <w:rPr>
          <w:rStyle w:val="fontstyle21"/>
          <w:rFonts w:ascii="Times New Roman" w:hAnsi="Times New Roman" w:cs="Times New Roman"/>
          <w:b w:val="0"/>
          <w:i w:val="0"/>
          <w:lang w:val="en-US"/>
        </w:rPr>
        <w:t>(2006.01)</w:t>
      </w:r>
      <w:r w:rsidRPr="00066B4D">
        <w:rPr>
          <w:rStyle w:val="fontstyle21"/>
          <w:rFonts w:ascii="Times New Roman" w:hAnsi="Times New Roman" w:cs="Times New Roman"/>
          <w:lang w:val="en-US"/>
        </w:rPr>
        <w:t xml:space="preserve">, </w:t>
      </w:r>
      <w:r w:rsidRPr="004169B9">
        <w:rPr>
          <w:rStyle w:val="fontstyle01"/>
          <w:rFonts w:ascii="Times New Roman" w:hAnsi="Times New Roman" w:cs="Times New Roman"/>
          <w:b w:val="0"/>
          <w:lang w:val="en-US"/>
        </w:rPr>
        <w:t>G01N 33/48</w:t>
      </w:r>
      <w:r w:rsidRPr="004169B9">
        <w:rPr>
          <w:rStyle w:val="fontstyle01"/>
          <w:rFonts w:ascii="Times New Roman" w:hAnsi="Times New Roman" w:cs="Times New Roman"/>
          <w:lang w:val="en-US"/>
        </w:rPr>
        <w:t xml:space="preserve"> </w:t>
      </w:r>
      <w:r w:rsidRPr="004169B9">
        <w:rPr>
          <w:rStyle w:val="fontstyle21"/>
          <w:rFonts w:ascii="Times New Roman" w:hAnsi="Times New Roman" w:cs="Times New Roman"/>
          <w:b w:val="0"/>
          <w:i w:val="0"/>
          <w:lang w:val="en-US"/>
        </w:rPr>
        <w:t>(2006.01)</w:t>
      </w:r>
      <w:r w:rsidRPr="004169B9">
        <w:rPr>
          <w:rStyle w:val="fontstyle21"/>
          <w:rFonts w:ascii="Times New Roman" w:hAnsi="Times New Roman" w:cs="Times New Roman"/>
          <w:i w:val="0"/>
          <w:lang w:val="en-US"/>
        </w:rPr>
        <w:t xml:space="preserve"> </w:t>
      </w:r>
      <w:r w:rsidRPr="004169B9">
        <w:rPr>
          <w:rStyle w:val="fontstyle01"/>
          <w:rFonts w:ascii="Times New Roman" w:hAnsi="Times New Roman" w:cs="Times New Roman"/>
          <w:b w:val="0"/>
          <w:lang w:val="en-US"/>
        </w:rPr>
        <w:t>C12Q</w:t>
      </w:r>
      <w:r w:rsidRPr="004169B9">
        <w:rPr>
          <w:rStyle w:val="fontstyle01"/>
          <w:rFonts w:ascii="Times New Roman" w:hAnsi="Times New Roman" w:cs="Times New Roman"/>
          <w:b w:val="0"/>
          <w:i/>
          <w:lang w:val="en-US"/>
        </w:rPr>
        <w:t xml:space="preserve"> </w:t>
      </w:r>
      <w:r w:rsidRPr="004169B9">
        <w:rPr>
          <w:rStyle w:val="fontstyle01"/>
          <w:rFonts w:ascii="Times New Roman" w:hAnsi="Times New Roman" w:cs="Times New Roman"/>
          <w:b w:val="0"/>
          <w:lang w:val="en-US"/>
        </w:rPr>
        <w:t>1/68</w:t>
      </w:r>
      <w:r w:rsidRPr="004169B9">
        <w:rPr>
          <w:rStyle w:val="fontstyle01"/>
          <w:rFonts w:ascii="Times New Roman" w:hAnsi="Times New Roman" w:cs="Times New Roman"/>
          <w:lang w:val="en-US"/>
        </w:rPr>
        <w:t xml:space="preserve"> </w:t>
      </w:r>
      <w:r w:rsidRPr="004169B9">
        <w:rPr>
          <w:rStyle w:val="fontstyle21"/>
          <w:rFonts w:ascii="Times New Roman" w:hAnsi="Times New Roman" w:cs="Times New Roman"/>
          <w:b w:val="0"/>
          <w:i w:val="0"/>
          <w:lang w:val="en-US"/>
        </w:rPr>
        <w:t xml:space="preserve">(2018.01), </w:t>
      </w:r>
      <w:r w:rsidRPr="004169B9">
        <w:rPr>
          <w:rStyle w:val="fontstyle01"/>
          <w:rFonts w:ascii="Times New Roman" w:hAnsi="Times New Roman" w:cs="Times New Roman"/>
          <w:b w:val="0"/>
          <w:lang w:val="en-US"/>
        </w:rPr>
        <w:t>C12Q</w:t>
      </w:r>
      <w:r w:rsidRPr="00066B4D">
        <w:rPr>
          <w:rStyle w:val="fontstyle01"/>
          <w:rFonts w:ascii="Times New Roman" w:hAnsi="Times New Roman" w:cs="Times New Roman"/>
          <w:b w:val="0"/>
          <w:i/>
          <w:lang w:val="en-US"/>
        </w:rPr>
        <w:t xml:space="preserve"> </w:t>
      </w:r>
      <w:r w:rsidRPr="004169B9">
        <w:rPr>
          <w:rStyle w:val="fontstyle01"/>
          <w:rFonts w:ascii="Times New Roman" w:hAnsi="Times New Roman" w:cs="Times New Roman"/>
          <w:b w:val="0"/>
          <w:lang w:val="en-US"/>
        </w:rPr>
        <w:t>1/6883</w:t>
      </w:r>
      <w:bookmarkStart w:id="1" w:name="_GoBack"/>
      <w:bookmarkEnd w:id="1"/>
      <w:r w:rsidRPr="00066B4D">
        <w:rPr>
          <w:rStyle w:val="fontstyle01"/>
          <w:rFonts w:ascii="Times New Roman" w:hAnsi="Times New Roman" w:cs="Times New Roman"/>
          <w:b w:val="0"/>
          <w:i/>
          <w:lang w:val="en-US"/>
        </w:rPr>
        <w:t xml:space="preserve"> </w:t>
      </w:r>
      <w:r w:rsidRPr="004169B9">
        <w:rPr>
          <w:rStyle w:val="fontstyle21"/>
          <w:rFonts w:ascii="Times New Roman" w:hAnsi="Times New Roman" w:cs="Times New Roman"/>
          <w:b w:val="0"/>
          <w:i w:val="0"/>
          <w:lang w:val="en-US"/>
        </w:rPr>
        <w:t>(2018.01)</w:t>
      </w:r>
      <w:r w:rsidRPr="004169B9">
        <w:rPr>
          <w:rFonts w:ascii="Times New Roman" w:hAnsi="Times New Roman" w:cs="Times New Roman"/>
          <w:b/>
          <w:i/>
          <w:noProof/>
          <w:sz w:val="28"/>
          <w:szCs w:val="28"/>
          <w:lang w:val="en-US"/>
        </w:rPr>
        <w:t>.</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rPr>
        <w:t xml:space="preserve">Изобретение / Шаханова А.Т., Аукенов Н.Е., Нуртазина А.У., Масабаева М.Р., Кожахметова Д.К.; заявитель и патентообладатель НАО Медицинский университет Семей. - № 2020/0129.1; заявл. </w:t>
      </w:r>
      <w:r w:rsidRPr="00066B4D">
        <w:rPr>
          <w:rFonts w:ascii="Times New Roman" w:hAnsi="Times New Roman" w:cs="Times New Roman"/>
          <w:noProof/>
          <w:sz w:val="28"/>
          <w:szCs w:val="28"/>
          <w:lang w:val="en-US"/>
        </w:rPr>
        <w:t xml:space="preserve">25.02.2020; </w:t>
      </w:r>
      <w:r>
        <w:rPr>
          <w:rFonts w:ascii="Times New Roman" w:hAnsi="Times New Roman" w:cs="Times New Roman"/>
          <w:noProof/>
          <w:sz w:val="28"/>
          <w:szCs w:val="28"/>
        </w:rPr>
        <w:t>опубл</w:t>
      </w:r>
      <w:r w:rsidRPr="00066B4D">
        <w:rPr>
          <w:rFonts w:ascii="Times New Roman" w:hAnsi="Times New Roman" w:cs="Times New Roman"/>
          <w:noProof/>
          <w:sz w:val="28"/>
          <w:szCs w:val="28"/>
          <w:lang w:val="en-US"/>
        </w:rPr>
        <w:t xml:space="preserve">. </w:t>
      </w:r>
      <w:r>
        <w:rPr>
          <w:rFonts w:ascii="Times New Roman" w:hAnsi="Times New Roman" w:cs="Times New Roman"/>
          <w:noProof/>
          <w:sz w:val="28"/>
          <w:szCs w:val="28"/>
          <w:lang w:val="en-US"/>
        </w:rPr>
        <w:t>25.06.2021.</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203.</w:t>
      </w:r>
      <w:r>
        <w:rPr>
          <w:rFonts w:ascii="Times New Roman" w:hAnsi="Times New Roman" w:cs="Times New Roman"/>
          <w:noProof/>
          <w:sz w:val="28"/>
          <w:szCs w:val="28"/>
          <w:lang w:val="en-US"/>
        </w:rPr>
        <w:tab/>
        <w:t>Procopciuc L.M. Renin angiotensin system polymorphisms in patients with metabolic syndrome (MetS). // European journal of internal medicine. - 2010. - Vol. 21 (5). - P. 414–418.</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204.</w:t>
      </w:r>
      <w:r>
        <w:rPr>
          <w:rFonts w:ascii="Times New Roman" w:hAnsi="Times New Roman" w:cs="Times New Roman"/>
          <w:noProof/>
          <w:sz w:val="28"/>
          <w:szCs w:val="28"/>
          <w:lang w:val="en-US"/>
        </w:rPr>
        <w:tab/>
        <w:t>Goulart A.C. Association of genetic variants with the metabolic syndrome in 20,806 white women: The women’s health genome study // Am. Heart J. - 2009. - Vol. 158 (2). - P. 257-262.</w:t>
      </w:r>
    </w:p>
    <w:p w:rsidR="00066B4D" w:rsidRDefault="00066B4D" w:rsidP="00066B4D">
      <w:pPr>
        <w:widowControl w:val="0"/>
        <w:autoSpaceDE w:val="0"/>
        <w:autoSpaceDN w:val="0"/>
        <w:adjustRightInd w:val="0"/>
        <w:spacing w:after="0" w:line="240" w:lineRule="auto"/>
        <w:ind w:left="640" w:hanging="640"/>
        <w:jc w:val="both"/>
        <w:rPr>
          <w:rFonts w:ascii="Times New Roman" w:hAnsi="Times New Roman" w:cs="Times New Roman"/>
          <w:noProof/>
          <w:sz w:val="28"/>
          <w:szCs w:val="28"/>
          <w:lang w:val="en-US"/>
        </w:rPr>
      </w:pPr>
      <w:r>
        <w:rPr>
          <w:rFonts w:ascii="Times New Roman" w:hAnsi="Times New Roman" w:cs="Times New Roman"/>
          <w:noProof/>
          <w:sz w:val="28"/>
          <w:szCs w:val="28"/>
          <w:lang w:val="en-US"/>
        </w:rPr>
        <w:t>205.</w:t>
      </w:r>
      <w:r>
        <w:rPr>
          <w:rFonts w:ascii="Times New Roman" w:hAnsi="Times New Roman" w:cs="Times New Roman"/>
          <w:noProof/>
          <w:sz w:val="28"/>
          <w:szCs w:val="28"/>
          <w:lang w:val="en-US"/>
        </w:rPr>
        <w:tab/>
        <w:t xml:space="preserve">Akasaka H. Effects of angiotensin II type 1 receptor gene polymorphisms on insulin resistance in a Japanese general population: the Tanno-Sobetsu study. // Hypertens. Res. </w:t>
      </w:r>
      <w:r>
        <w:rPr>
          <w:rFonts w:ascii="Times New Roman" w:hAnsi="Times New Roman" w:cs="Times New Roman"/>
          <w:noProof/>
          <w:sz w:val="28"/>
          <w:szCs w:val="28"/>
        </w:rPr>
        <w:t xml:space="preserve">- </w:t>
      </w:r>
      <w:r>
        <w:rPr>
          <w:rFonts w:ascii="Times New Roman" w:hAnsi="Times New Roman" w:cs="Times New Roman"/>
          <w:noProof/>
          <w:sz w:val="28"/>
          <w:szCs w:val="28"/>
          <w:lang w:val="en-US"/>
        </w:rPr>
        <w:t xml:space="preserve">2006. </w:t>
      </w:r>
      <w:r>
        <w:rPr>
          <w:rFonts w:ascii="Times New Roman" w:hAnsi="Times New Roman" w:cs="Times New Roman"/>
          <w:noProof/>
          <w:sz w:val="28"/>
          <w:szCs w:val="28"/>
        </w:rPr>
        <w:t xml:space="preserve">- </w:t>
      </w:r>
      <w:r>
        <w:rPr>
          <w:rFonts w:ascii="Times New Roman" w:hAnsi="Times New Roman" w:cs="Times New Roman"/>
          <w:noProof/>
          <w:sz w:val="28"/>
          <w:szCs w:val="28"/>
          <w:lang w:val="en-US"/>
        </w:rPr>
        <w:t>Vol. 29</w:t>
      </w:r>
      <w:r>
        <w:rPr>
          <w:rFonts w:ascii="Times New Roman" w:hAnsi="Times New Roman" w:cs="Times New Roman"/>
          <w:noProof/>
          <w:sz w:val="28"/>
          <w:szCs w:val="28"/>
        </w:rPr>
        <w:t xml:space="preserve"> (1</w:t>
      </w:r>
      <w:r>
        <w:rPr>
          <w:rFonts w:ascii="Times New Roman" w:hAnsi="Times New Roman" w:cs="Times New Roman"/>
          <w:noProof/>
          <w:sz w:val="28"/>
          <w:szCs w:val="28"/>
          <w:lang w:val="en-US"/>
        </w:rPr>
        <w:t>2</w:t>
      </w:r>
      <w:r>
        <w:rPr>
          <w:rFonts w:ascii="Times New Roman" w:hAnsi="Times New Roman" w:cs="Times New Roman"/>
          <w:noProof/>
          <w:sz w:val="28"/>
          <w:szCs w:val="28"/>
        </w:rPr>
        <w:t>)</w:t>
      </w:r>
      <w:r>
        <w:rPr>
          <w:rFonts w:ascii="Times New Roman" w:hAnsi="Times New Roman" w:cs="Times New Roman"/>
          <w:noProof/>
          <w:sz w:val="28"/>
          <w:szCs w:val="28"/>
          <w:lang w:val="en-US"/>
        </w:rPr>
        <w:t xml:space="preserve">. </w:t>
      </w:r>
      <w:r>
        <w:rPr>
          <w:rFonts w:ascii="Times New Roman" w:hAnsi="Times New Roman" w:cs="Times New Roman"/>
          <w:noProof/>
          <w:sz w:val="28"/>
          <w:szCs w:val="28"/>
        </w:rPr>
        <w:t xml:space="preserve">- </w:t>
      </w:r>
      <w:r>
        <w:rPr>
          <w:rFonts w:ascii="Times New Roman" w:hAnsi="Times New Roman" w:cs="Times New Roman"/>
          <w:noProof/>
          <w:sz w:val="28"/>
          <w:szCs w:val="28"/>
          <w:lang w:val="en-US"/>
        </w:rPr>
        <w:t>P. 961–967.</w:t>
      </w:r>
    </w:p>
    <w:p w:rsidR="00066B4D" w:rsidRDefault="00066B4D" w:rsidP="00066B4D">
      <w:pPr>
        <w:jc w:val="both"/>
        <w:rPr>
          <w:rFonts w:ascii="Times New Roman" w:hAnsi="Times New Roman" w:cs="Times New Roman"/>
          <w:sz w:val="28"/>
          <w:szCs w:val="28"/>
        </w:rPr>
      </w:pPr>
      <w:r>
        <w:rPr>
          <w:rFonts w:ascii="Times New Roman" w:hAnsi="Times New Roman" w:cs="Times New Roman"/>
          <w:sz w:val="28"/>
          <w:szCs w:val="28"/>
        </w:rPr>
        <w:fldChar w:fldCharType="end"/>
      </w:r>
    </w:p>
    <w:p w:rsidR="00066B4D" w:rsidRDefault="00066B4D"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AB12B3" w:rsidRDefault="00AB12B3" w:rsidP="009D40AC">
      <w:pPr>
        <w:widowControl w:val="0"/>
        <w:autoSpaceDE w:val="0"/>
        <w:autoSpaceDN w:val="0"/>
        <w:adjustRightInd w:val="0"/>
        <w:spacing w:after="0" w:line="240" w:lineRule="auto"/>
        <w:ind w:left="640" w:hanging="640"/>
        <w:rPr>
          <w:rFonts w:ascii="Times New Roman" w:hAnsi="Times New Roman" w:cs="Times New Roman"/>
          <w:sz w:val="28"/>
          <w:szCs w:val="28"/>
        </w:rPr>
      </w:pPr>
    </w:p>
    <w:p w:rsidR="00AB12B3" w:rsidRDefault="00AB12B3"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B1371C" w:rsidRDefault="00B1371C" w:rsidP="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sectPr w:rsidR="00B1371C" w:rsidSect="00CE7941">
          <w:pgSz w:w="11906" w:h="16838"/>
          <w:pgMar w:top="1134" w:right="850" w:bottom="1134" w:left="1701" w:header="708" w:footer="708" w:gutter="0"/>
          <w:cols w:space="708"/>
          <w:docGrid w:linePitch="360"/>
        </w:sectPr>
      </w:pPr>
    </w:p>
    <w:p w:rsidR="00BC3DC7" w:rsidRPr="0026270E" w:rsidRDefault="0026270E" w:rsidP="0026270E">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ПРИЛОЖЕНИЕ А</w:t>
      </w:r>
    </w:p>
    <w:p w:rsidR="0026270E" w:rsidRDefault="00EC70B1" w:rsidP="00B1371C">
      <w:pPr>
        <w:rPr>
          <w:rFonts w:ascii="Times New Roman" w:hAnsi="Times New Roman" w:cs="Times New Roman"/>
          <w:sz w:val="28"/>
          <w:szCs w:val="28"/>
        </w:rPr>
      </w:pPr>
      <w:r>
        <w:rPr>
          <w:noProof/>
        </w:rPr>
        <w:drawing>
          <wp:inline distT="0" distB="0" distL="0" distR="0" wp14:anchorId="2B9F87CD" wp14:editId="3B8653C9">
            <wp:extent cx="5433060" cy="789432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7841" t="13911" r="37319" b="21922"/>
                    <a:stretch/>
                  </pic:blipFill>
                  <pic:spPr bwMode="auto">
                    <a:xfrm>
                      <a:off x="0" y="0"/>
                      <a:ext cx="5437365" cy="7900576"/>
                    </a:xfrm>
                    <a:prstGeom prst="rect">
                      <a:avLst/>
                    </a:prstGeom>
                    <a:ln>
                      <a:noFill/>
                    </a:ln>
                    <a:extLst>
                      <a:ext uri="{53640926-AAD7-44D8-BBD7-CCE9431645EC}">
                        <a14:shadowObscured xmlns:a14="http://schemas.microsoft.com/office/drawing/2010/main"/>
                      </a:ext>
                    </a:extLst>
                  </pic:spPr>
                </pic:pic>
              </a:graphicData>
            </a:graphic>
          </wp:inline>
        </w:drawing>
      </w:r>
    </w:p>
    <w:p w:rsidR="00D45B78" w:rsidRDefault="00D45B78" w:rsidP="00B1371C">
      <w:pPr>
        <w:rPr>
          <w:rFonts w:ascii="Times New Roman" w:hAnsi="Times New Roman" w:cs="Times New Roman"/>
          <w:sz w:val="28"/>
          <w:szCs w:val="28"/>
        </w:rPr>
        <w:sectPr w:rsidR="00D45B78" w:rsidSect="00CE7941">
          <w:pgSz w:w="11906" w:h="16838"/>
          <w:pgMar w:top="1134" w:right="850" w:bottom="1134" w:left="1701" w:header="708" w:footer="708" w:gutter="0"/>
          <w:cols w:space="708"/>
          <w:docGrid w:linePitch="360"/>
        </w:sectPr>
      </w:pPr>
    </w:p>
    <w:p w:rsidR="0026270E" w:rsidRDefault="00C16F07" w:rsidP="00C16F07">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ПРИЛОЖЕНИЕ Б</w:t>
      </w:r>
    </w:p>
    <w:p w:rsidR="001F5B3C" w:rsidRDefault="00261C04" w:rsidP="00C16F07">
      <w:pPr>
        <w:jc w:val="center"/>
        <w:rPr>
          <w:rFonts w:ascii="Times New Roman" w:hAnsi="Times New Roman" w:cs="Times New Roman"/>
          <w:sz w:val="28"/>
          <w:szCs w:val="28"/>
          <w:lang w:val="kk-KZ"/>
        </w:rPr>
      </w:pPr>
      <w:r>
        <w:rPr>
          <w:noProof/>
        </w:rPr>
        <w:drawing>
          <wp:inline distT="0" distB="0" distL="0" distR="0" wp14:anchorId="078A7D81" wp14:editId="0FFDBE81">
            <wp:extent cx="5473267" cy="779526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7328" t="13227" r="37274" b="22462"/>
                    <a:stretch/>
                  </pic:blipFill>
                  <pic:spPr bwMode="auto">
                    <a:xfrm>
                      <a:off x="0" y="0"/>
                      <a:ext cx="5497153" cy="7829279"/>
                    </a:xfrm>
                    <a:prstGeom prst="rect">
                      <a:avLst/>
                    </a:prstGeom>
                    <a:ln>
                      <a:noFill/>
                    </a:ln>
                    <a:extLst>
                      <a:ext uri="{53640926-AAD7-44D8-BBD7-CCE9431645EC}">
                        <a14:shadowObscured xmlns:a14="http://schemas.microsoft.com/office/drawing/2010/main"/>
                      </a:ext>
                    </a:extLst>
                  </pic:spPr>
                </pic:pic>
              </a:graphicData>
            </a:graphic>
          </wp:inline>
        </w:drawing>
      </w:r>
    </w:p>
    <w:p w:rsidR="00261C04" w:rsidRDefault="00261C04" w:rsidP="00C16F07">
      <w:pPr>
        <w:jc w:val="center"/>
        <w:rPr>
          <w:rFonts w:ascii="Times New Roman" w:hAnsi="Times New Roman" w:cs="Times New Roman"/>
          <w:sz w:val="28"/>
          <w:szCs w:val="28"/>
          <w:lang w:val="kk-KZ"/>
        </w:rPr>
        <w:sectPr w:rsidR="00261C04" w:rsidSect="00CE7941">
          <w:pgSz w:w="11906" w:h="16838"/>
          <w:pgMar w:top="1134" w:right="850" w:bottom="1134" w:left="1701" w:header="708" w:footer="708" w:gutter="0"/>
          <w:cols w:space="708"/>
          <w:docGrid w:linePitch="360"/>
        </w:sectPr>
      </w:pPr>
    </w:p>
    <w:p w:rsidR="000777C5" w:rsidRDefault="000777C5" w:rsidP="000777C5">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ПРИЛОЖЕНИЕ В</w:t>
      </w:r>
    </w:p>
    <w:p w:rsidR="000777C5" w:rsidRDefault="000777C5" w:rsidP="00C16F07">
      <w:pPr>
        <w:jc w:val="center"/>
        <w:rPr>
          <w:rFonts w:ascii="Times New Roman" w:hAnsi="Times New Roman" w:cs="Times New Roman"/>
          <w:sz w:val="28"/>
          <w:szCs w:val="28"/>
          <w:lang w:val="kk-KZ"/>
        </w:rPr>
      </w:pPr>
    </w:p>
    <w:p w:rsidR="006C4DC9" w:rsidRDefault="006C4DC9" w:rsidP="00C16F07">
      <w:pPr>
        <w:jc w:val="center"/>
        <w:rPr>
          <w:rFonts w:ascii="Times New Roman" w:hAnsi="Times New Roman" w:cs="Times New Roman"/>
          <w:sz w:val="28"/>
          <w:szCs w:val="28"/>
          <w:lang w:val="kk-KZ"/>
        </w:rPr>
      </w:pPr>
      <w:r>
        <w:rPr>
          <w:noProof/>
        </w:rPr>
        <w:drawing>
          <wp:inline distT="0" distB="0" distL="0" distR="0" wp14:anchorId="50049F9E" wp14:editId="0DF34354">
            <wp:extent cx="4934193" cy="70256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3864" t="15051" r="34965" b="6043"/>
                    <a:stretch/>
                  </pic:blipFill>
                  <pic:spPr bwMode="auto">
                    <a:xfrm>
                      <a:off x="0" y="0"/>
                      <a:ext cx="4945604" cy="7041887"/>
                    </a:xfrm>
                    <a:prstGeom prst="rect">
                      <a:avLst/>
                    </a:prstGeom>
                    <a:ln>
                      <a:noFill/>
                    </a:ln>
                    <a:extLst>
                      <a:ext uri="{53640926-AAD7-44D8-BBD7-CCE9431645EC}">
                        <a14:shadowObscured xmlns:a14="http://schemas.microsoft.com/office/drawing/2010/main"/>
                      </a:ext>
                    </a:extLst>
                  </pic:spPr>
                </pic:pic>
              </a:graphicData>
            </a:graphic>
          </wp:inline>
        </w:drawing>
      </w:r>
    </w:p>
    <w:p w:rsidR="006C4DC9" w:rsidRDefault="006C4DC9" w:rsidP="00C16F07">
      <w:pPr>
        <w:jc w:val="center"/>
        <w:rPr>
          <w:rFonts w:ascii="Times New Roman" w:hAnsi="Times New Roman" w:cs="Times New Roman"/>
          <w:sz w:val="28"/>
          <w:szCs w:val="28"/>
          <w:lang w:val="kk-KZ"/>
        </w:rPr>
      </w:pPr>
    </w:p>
    <w:p w:rsidR="00554AA3" w:rsidRDefault="00554AA3" w:rsidP="00C16F07">
      <w:pPr>
        <w:jc w:val="center"/>
        <w:rPr>
          <w:rFonts w:ascii="Times New Roman" w:hAnsi="Times New Roman" w:cs="Times New Roman"/>
          <w:noProof/>
          <w:sz w:val="28"/>
          <w:szCs w:val="28"/>
        </w:rPr>
        <w:sectPr w:rsidR="00554AA3" w:rsidSect="00CE7941">
          <w:pgSz w:w="11906" w:h="16838"/>
          <w:pgMar w:top="1134" w:right="850" w:bottom="1134" w:left="1701" w:header="708" w:footer="708" w:gutter="0"/>
          <w:cols w:space="708"/>
          <w:docGrid w:linePitch="360"/>
        </w:sectPr>
      </w:pPr>
    </w:p>
    <w:p w:rsidR="00554AA3" w:rsidRDefault="00554AA3" w:rsidP="00C16F07">
      <w:pPr>
        <w:jc w:val="center"/>
        <w:rPr>
          <w:rFonts w:ascii="Times New Roman" w:hAnsi="Times New Roman" w:cs="Times New Roman"/>
          <w:sz w:val="28"/>
          <w:szCs w:val="28"/>
          <w:lang w:val="kk-KZ"/>
        </w:rPr>
      </w:pPr>
      <w:r>
        <w:rPr>
          <w:noProof/>
        </w:rPr>
        <w:lastRenderedPageBreak/>
        <w:drawing>
          <wp:inline distT="0" distB="0" distL="0" distR="0" wp14:anchorId="023A79B0" wp14:editId="7731B887">
            <wp:extent cx="5234940" cy="707489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2838" t="13911" r="33847" b="6044"/>
                    <a:stretch/>
                  </pic:blipFill>
                  <pic:spPr bwMode="auto">
                    <a:xfrm>
                      <a:off x="0" y="0"/>
                      <a:ext cx="5249314" cy="7094322"/>
                    </a:xfrm>
                    <a:prstGeom prst="rect">
                      <a:avLst/>
                    </a:prstGeom>
                    <a:ln>
                      <a:noFill/>
                    </a:ln>
                    <a:extLst>
                      <a:ext uri="{53640926-AAD7-44D8-BBD7-CCE9431645EC}">
                        <a14:shadowObscured xmlns:a14="http://schemas.microsoft.com/office/drawing/2010/main"/>
                      </a:ext>
                    </a:extLst>
                  </pic:spPr>
                </pic:pic>
              </a:graphicData>
            </a:graphic>
          </wp:inline>
        </w:drawing>
      </w:r>
    </w:p>
    <w:p w:rsidR="00B40F2F" w:rsidRDefault="00B40F2F" w:rsidP="00C16F07">
      <w:pPr>
        <w:jc w:val="center"/>
        <w:rPr>
          <w:rFonts w:ascii="Times New Roman" w:hAnsi="Times New Roman" w:cs="Times New Roman"/>
          <w:sz w:val="28"/>
          <w:szCs w:val="28"/>
          <w:lang w:val="kk-KZ"/>
        </w:rPr>
      </w:pPr>
    </w:p>
    <w:p w:rsidR="00B40F2F" w:rsidRDefault="00B40F2F" w:rsidP="00C16F07">
      <w:pPr>
        <w:jc w:val="center"/>
        <w:rPr>
          <w:rFonts w:ascii="Times New Roman" w:hAnsi="Times New Roman" w:cs="Times New Roman"/>
          <w:sz w:val="28"/>
          <w:szCs w:val="28"/>
          <w:lang w:val="kk-KZ"/>
        </w:rPr>
        <w:sectPr w:rsidR="00B40F2F" w:rsidSect="00CE7941">
          <w:pgSz w:w="11906" w:h="16838"/>
          <w:pgMar w:top="1134" w:right="850" w:bottom="1134" w:left="1701" w:header="708" w:footer="708" w:gutter="0"/>
          <w:cols w:space="708"/>
          <w:docGrid w:linePitch="360"/>
        </w:sectPr>
      </w:pPr>
    </w:p>
    <w:p w:rsidR="00B40F2F" w:rsidRDefault="00554AA3" w:rsidP="00C16F07">
      <w:pPr>
        <w:jc w:val="center"/>
        <w:rPr>
          <w:rFonts w:ascii="Times New Roman" w:hAnsi="Times New Roman" w:cs="Times New Roman"/>
          <w:sz w:val="28"/>
          <w:szCs w:val="28"/>
          <w:lang w:val="kk-KZ"/>
        </w:rPr>
      </w:pPr>
      <w:r>
        <w:rPr>
          <w:noProof/>
        </w:rPr>
        <w:lastRenderedPageBreak/>
        <w:drawing>
          <wp:inline distT="0" distB="0" distL="0" distR="0" wp14:anchorId="64773E8C" wp14:editId="1F912622">
            <wp:extent cx="5424311" cy="732282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2709" t="13454" r="33939" b="6500"/>
                    <a:stretch/>
                  </pic:blipFill>
                  <pic:spPr bwMode="auto">
                    <a:xfrm>
                      <a:off x="0" y="0"/>
                      <a:ext cx="5440918" cy="7345240"/>
                    </a:xfrm>
                    <a:prstGeom prst="rect">
                      <a:avLst/>
                    </a:prstGeom>
                    <a:ln>
                      <a:noFill/>
                    </a:ln>
                    <a:extLst>
                      <a:ext uri="{53640926-AAD7-44D8-BBD7-CCE9431645EC}">
                        <a14:shadowObscured xmlns:a14="http://schemas.microsoft.com/office/drawing/2010/main"/>
                      </a:ext>
                    </a:extLst>
                  </pic:spPr>
                </pic:pic>
              </a:graphicData>
            </a:graphic>
          </wp:inline>
        </w:drawing>
      </w:r>
    </w:p>
    <w:p w:rsidR="003F0FE0" w:rsidRDefault="003F0FE0" w:rsidP="00C16F07">
      <w:pPr>
        <w:jc w:val="center"/>
        <w:rPr>
          <w:rFonts w:ascii="Times New Roman" w:hAnsi="Times New Roman" w:cs="Times New Roman"/>
          <w:sz w:val="28"/>
          <w:szCs w:val="28"/>
          <w:lang w:val="kk-KZ"/>
        </w:rPr>
      </w:pPr>
    </w:p>
    <w:p w:rsidR="004E33E7" w:rsidRDefault="004E33E7" w:rsidP="00C16F07">
      <w:pPr>
        <w:jc w:val="center"/>
        <w:rPr>
          <w:rFonts w:ascii="Times New Roman" w:hAnsi="Times New Roman" w:cs="Times New Roman"/>
          <w:sz w:val="28"/>
          <w:szCs w:val="28"/>
          <w:lang w:val="kk-KZ"/>
        </w:rPr>
        <w:sectPr w:rsidR="004E33E7" w:rsidSect="00CE7941">
          <w:pgSz w:w="11906" w:h="16838"/>
          <w:pgMar w:top="1134" w:right="850" w:bottom="1134" w:left="1701" w:header="708" w:footer="708" w:gutter="0"/>
          <w:cols w:space="708"/>
          <w:docGrid w:linePitch="360"/>
        </w:sectPr>
      </w:pPr>
    </w:p>
    <w:p w:rsidR="003F0FE0" w:rsidRDefault="000641B4" w:rsidP="00C16F07">
      <w:pPr>
        <w:jc w:val="center"/>
        <w:rPr>
          <w:rFonts w:ascii="Times New Roman" w:hAnsi="Times New Roman" w:cs="Times New Roman"/>
          <w:sz w:val="28"/>
          <w:szCs w:val="28"/>
          <w:lang w:val="kk-KZ"/>
        </w:rPr>
      </w:pPr>
      <w:r>
        <w:rPr>
          <w:noProof/>
        </w:rPr>
        <w:lastRenderedPageBreak/>
        <w:drawing>
          <wp:inline distT="0" distB="0" distL="0" distR="0" wp14:anchorId="05206C84" wp14:editId="37EC169C">
            <wp:extent cx="5674226" cy="72771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2967" t="19384" r="33628" b="4447"/>
                    <a:stretch/>
                  </pic:blipFill>
                  <pic:spPr bwMode="auto">
                    <a:xfrm>
                      <a:off x="0" y="0"/>
                      <a:ext cx="5684082" cy="7289740"/>
                    </a:xfrm>
                    <a:prstGeom prst="rect">
                      <a:avLst/>
                    </a:prstGeom>
                    <a:ln>
                      <a:noFill/>
                    </a:ln>
                    <a:extLst>
                      <a:ext uri="{53640926-AAD7-44D8-BBD7-CCE9431645EC}">
                        <a14:shadowObscured xmlns:a14="http://schemas.microsoft.com/office/drawing/2010/main"/>
                      </a:ext>
                    </a:extLst>
                  </pic:spPr>
                </pic:pic>
              </a:graphicData>
            </a:graphic>
          </wp:inline>
        </w:drawing>
      </w:r>
    </w:p>
    <w:p w:rsidR="00214B14" w:rsidRDefault="00214B14" w:rsidP="00C16F07">
      <w:pPr>
        <w:jc w:val="center"/>
        <w:rPr>
          <w:rFonts w:ascii="Times New Roman" w:hAnsi="Times New Roman" w:cs="Times New Roman"/>
          <w:sz w:val="28"/>
          <w:szCs w:val="28"/>
          <w:lang w:val="kk-KZ"/>
        </w:rPr>
        <w:sectPr w:rsidR="00214B14" w:rsidSect="00CE7941">
          <w:pgSz w:w="11906" w:h="16838"/>
          <w:pgMar w:top="1134" w:right="850" w:bottom="1134" w:left="1701" w:header="708" w:footer="708" w:gutter="0"/>
          <w:cols w:space="708"/>
          <w:docGrid w:linePitch="360"/>
        </w:sectPr>
      </w:pPr>
    </w:p>
    <w:p w:rsidR="001B4421" w:rsidRDefault="000777C5" w:rsidP="00C16F07">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ПРИЛОЖЕНИЕ </w:t>
      </w:r>
      <w:r w:rsidR="006D5BCB">
        <w:rPr>
          <w:rFonts w:ascii="Times New Roman" w:hAnsi="Times New Roman" w:cs="Times New Roman"/>
          <w:sz w:val="28"/>
          <w:szCs w:val="28"/>
          <w:lang w:val="kk-KZ"/>
        </w:rPr>
        <w:t>Г</w:t>
      </w:r>
    </w:p>
    <w:p w:rsidR="00A734DE" w:rsidRDefault="00A734DE" w:rsidP="00C16F07">
      <w:pPr>
        <w:jc w:val="center"/>
        <w:rPr>
          <w:noProof/>
        </w:rPr>
      </w:pPr>
    </w:p>
    <w:p w:rsidR="00162591" w:rsidRDefault="00162591" w:rsidP="00C16F07">
      <w:pPr>
        <w:jc w:val="center"/>
        <w:rPr>
          <w:rFonts w:ascii="Times New Roman" w:hAnsi="Times New Roman" w:cs="Times New Roman"/>
          <w:sz w:val="28"/>
          <w:szCs w:val="28"/>
          <w:lang w:val="kk-KZ"/>
        </w:rPr>
        <w:sectPr w:rsidR="00162591" w:rsidSect="00CE7941">
          <w:pgSz w:w="11906" w:h="16838"/>
          <w:pgMar w:top="1134" w:right="850" w:bottom="1134" w:left="1701" w:header="708" w:footer="708" w:gutter="0"/>
          <w:cols w:space="708"/>
          <w:docGrid w:linePitch="360"/>
        </w:sectPr>
      </w:pPr>
      <w:r>
        <w:rPr>
          <w:noProof/>
        </w:rPr>
        <w:drawing>
          <wp:inline distT="0" distB="0" distL="0" distR="0" wp14:anchorId="78B10BC8" wp14:editId="0FBC0F01">
            <wp:extent cx="5335133" cy="7426037"/>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4607" t="9744" r="41460" b="6286"/>
                    <a:stretch/>
                  </pic:blipFill>
                  <pic:spPr bwMode="auto">
                    <a:xfrm>
                      <a:off x="0" y="0"/>
                      <a:ext cx="5362150" cy="7463642"/>
                    </a:xfrm>
                    <a:prstGeom prst="rect">
                      <a:avLst/>
                    </a:prstGeom>
                    <a:ln>
                      <a:noFill/>
                    </a:ln>
                    <a:extLst>
                      <a:ext uri="{53640926-AAD7-44D8-BBD7-CCE9431645EC}">
                        <a14:shadowObscured xmlns:a14="http://schemas.microsoft.com/office/drawing/2010/main"/>
                      </a:ext>
                    </a:extLst>
                  </pic:spPr>
                </pic:pic>
              </a:graphicData>
            </a:graphic>
          </wp:inline>
        </w:drawing>
      </w:r>
    </w:p>
    <w:p w:rsidR="00555A8A" w:rsidRDefault="00555A8A" w:rsidP="00C16F07">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ПРИЛОЖЕНИЕ Д</w:t>
      </w:r>
    </w:p>
    <w:p w:rsidR="00E15F1F" w:rsidRDefault="00EA6C73" w:rsidP="00C16F07">
      <w:pPr>
        <w:jc w:val="center"/>
        <w:rPr>
          <w:rFonts w:ascii="Times New Roman" w:hAnsi="Times New Roman" w:cs="Times New Roman"/>
          <w:sz w:val="28"/>
          <w:szCs w:val="28"/>
          <w:lang w:val="kk-KZ"/>
        </w:rPr>
      </w:pPr>
      <w:r>
        <w:rPr>
          <w:noProof/>
        </w:rPr>
        <w:drawing>
          <wp:inline distT="0" distB="0" distL="0" distR="0" wp14:anchorId="7B593198" wp14:editId="57494011">
            <wp:extent cx="5361297" cy="759142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3326" t="9330" r="33152" b="6282"/>
                    <a:stretch/>
                  </pic:blipFill>
                  <pic:spPr bwMode="auto">
                    <a:xfrm>
                      <a:off x="0" y="0"/>
                      <a:ext cx="5386705" cy="7627402"/>
                    </a:xfrm>
                    <a:prstGeom prst="rect">
                      <a:avLst/>
                    </a:prstGeom>
                    <a:ln>
                      <a:noFill/>
                    </a:ln>
                    <a:extLst>
                      <a:ext uri="{53640926-AAD7-44D8-BBD7-CCE9431645EC}">
                        <a14:shadowObscured xmlns:a14="http://schemas.microsoft.com/office/drawing/2010/main"/>
                      </a:ext>
                    </a:extLst>
                  </pic:spPr>
                </pic:pic>
              </a:graphicData>
            </a:graphic>
          </wp:inline>
        </w:drawing>
      </w:r>
    </w:p>
    <w:p w:rsidR="00E15F1F" w:rsidRDefault="00E15F1F" w:rsidP="00C16F07">
      <w:pPr>
        <w:jc w:val="center"/>
        <w:rPr>
          <w:rFonts w:ascii="Times New Roman" w:hAnsi="Times New Roman" w:cs="Times New Roman"/>
          <w:sz w:val="28"/>
          <w:szCs w:val="28"/>
          <w:lang w:val="kk-KZ"/>
        </w:rPr>
      </w:pPr>
    </w:p>
    <w:p w:rsidR="00EA6C73" w:rsidRDefault="00EA6C73" w:rsidP="00C16F07">
      <w:pPr>
        <w:jc w:val="center"/>
        <w:rPr>
          <w:rFonts w:ascii="Times New Roman" w:hAnsi="Times New Roman" w:cs="Times New Roman"/>
          <w:sz w:val="28"/>
          <w:szCs w:val="28"/>
          <w:lang w:val="kk-KZ"/>
        </w:rPr>
        <w:sectPr w:rsidR="00EA6C73" w:rsidSect="00CE7941">
          <w:pgSz w:w="11906" w:h="16838"/>
          <w:pgMar w:top="1134" w:right="850" w:bottom="1134" w:left="1701" w:header="708" w:footer="708" w:gutter="0"/>
          <w:cols w:space="708"/>
          <w:docGrid w:linePitch="360"/>
        </w:sectPr>
      </w:pPr>
    </w:p>
    <w:p w:rsidR="006D5BCB" w:rsidRDefault="006D5BCB" w:rsidP="005D082C">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ПРИЛОЖЕНИЕ</w:t>
      </w:r>
      <w:r w:rsidR="00555A8A">
        <w:rPr>
          <w:rFonts w:ascii="Times New Roman" w:hAnsi="Times New Roman" w:cs="Times New Roman"/>
          <w:sz w:val="28"/>
          <w:szCs w:val="28"/>
          <w:lang w:val="kk-KZ"/>
        </w:rPr>
        <w:t xml:space="preserve"> Е</w:t>
      </w:r>
    </w:p>
    <w:p w:rsidR="006D5BCB" w:rsidRDefault="006D5BCB" w:rsidP="00C16F07">
      <w:pPr>
        <w:jc w:val="center"/>
        <w:rPr>
          <w:rFonts w:ascii="Times New Roman" w:hAnsi="Times New Roman" w:cs="Times New Roman"/>
          <w:sz w:val="28"/>
          <w:szCs w:val="28"/>
          <w:lang w:val="kk-KZ"/>
        </w:rPr>
      </w:pPr>
      <w:r>
        <w:rPr>
          <w:rFonts w:ascii="Times New Roman" w:hAnsi="Times New Roman" w:cs="Times New Roman"/>
          <w:sz w:val="28"/>
          <w:szCs w:val="28"/>
          <w:lang w:val="kk-KZ"/>
        </w:rPr>
        <w:t>Акты внедрения</w:t>
      </w:r>
    </w:p>
    <w:p w:rsidR="00AA6E4B" w:rsidRDefault="00AA6E4B" w:rsidP="00C16F07">
      <w:pPr>
        <w:jc w:val="center"/>
        <w:rPr>
          <w:rFonts w:ascii="Times New Roman" w:hAnsi="Times New Roman" w:cs="Times New Roman"/>
          <w:sz w:val="28"/>
          <w:szCs w:val="28"/>
          <w:lang w:val="kk-KZ"/>
        </w:rPr>
      </w:pPr>
      <w:r>
        <w:rPr>
          <w:noProof/>
        </w:rPr>
        <w:drawing>
          <wp:inline distT="0" distB="0" distL="0" distR="0" wp14:anchorId="00189DD0" wp14:editId="2092BD17">
            <wp:extent cx="5364480" cy="7381188"/>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668" t="15278" r="37789" b="22236"/>
                    <a:stretch/>
                  </pic:blipFill>
                  <pic:spPr bwMode="auto">
                    <a:xfrm>
                      <a:off x="0" y="0"/>
                      <a:ext cx="5372754" cy="7392572"/>
                    </a:xfrm>
                    <a:prstGeom prst="rect">
                      <a:avLst/>
                    </a:prstGeom>
                    <a:ln>
                      <a:noFill/>
                    </a:ln>
                    <a:extLst>
                      <a:ext uri="{53640926-AAD7-44D8-BBD7-CCE9431645EC}">
                        <a14:shadowObscured xmlns:a14="http://schemas.microsoft.com/office/drawing/2010/main"/>
                      </a:ext>
                    </a:extLst>
                  </pic:spPr>
                </pic:pic>
              </a:graphicData>
            </a:graphic>
          </wp:inline>
        </w:drawing>
      </w:r>
    </w:p>
    <w:p w:rsidR="00AA6E4B" w:rsidRDefault="00AA6E4B" w:rsidP="00C16F07">
      <w:pPr>
        <w:jc w:val="center"/>
        <w:rPr>
          <w:rFonts w:ascii="Times New Roman" w:hAnsi="Times New Roman" w:cs="Times New Roman"/>
          <w:sz w:val="28"/>
          <w:szCs w:val="28"/>
          <w:lang w:val="kk-KZ"/>
        </w:rPr>
      </w:pPr>
    </w:p>
    <w:p w:rsidR="00AA6E4B" w:rsidRDefault="00AA6E4B" w:rsidP="00C16F07">
      <w:pPr>
        <w:jc w:val="center"/>
        <w:rPr>
          <w:rFonts w:ascii="Times New Roman" w:hAnsi="Times New Roman" w:cs="Times New Roman"/>
          <w:sz w:val="28"/>
          <w:szCs w:val="28"/>
          <w:lang w:val="kk-KZ"/>
        </w:rPr>
        <w:sectPr w:rsidR="00AA6E4B" w:rsidSect="00CE7941">
          <w:pgSz w:w="11906" w:h="16838"/>
          <w:pgMar w:top="1134" w:right="850" w:bottom="1134" w:left="1701" w:header="708" w:footer="708" w:gutter="0"/>
          <w:cols w:space="708"/>
          <w:docGrid w:linePitch="360"/>
        </w:sectPr>
      </w:pPr>
    </w:p>
    <w:p w:rsidR="00AA6E4B" w:rsidRDefault="0067326D" w:rsidP="00C16F07">
      <w:pPr>
        <w:jc w:val="center"/>
        <w:rPr>
          <w:rFonts w:ascii="Times New Roman" w:hAnsi="Times New Roman" w:cs="Times New Roman"/>
          <w:sz w:val="28"/>
          <w:szCs w:val="28"/>
          <w:lang w:val="kk-KZ"/>
        </w:rPr>
      </w:pPr>
      <w:r>
        <w:rPr>
          <w:noProof/>
        </w:rPr>
        <w:lastRenderedPageBreak/>
        <w:drawing>
          <wp:inline distT="0" distB="0" distL="0" distR="0" wp14:anchorId="78711759" wp14:editId="0BC3B086">
            <wp:extent cx="5227320" cy="7286566"/>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6815" t="27594" r="37787" b="9464"/>
                    <a:stretch/>
                  </pic:blipFill>
                  <pic:spPr bwMode="auto">
                    <a:xfrm>
                      <a:off x="0" y="0"/>
                      <a:ext cx="5238189" cy="7301717"/>
                    </a:xfrm>
                    <a:prstGeom prst="rect">
                      <a:avLst/>
                    </a:prstGeom>
                    <a:ln>
                      <a:noFill/>
                    </a:ln>
                    <a:extLst>
                      <a:ext uri="{53640926-AAD7-44D8-BBD7-CCE9431645EC}">
                        <a14:shadowObscured xmlns:a14="http://schemas.microsoft.com/office/drawing/2010/main"/>
                      </a:ext>
                    </a:extLst>
                  </pic:spPr>
                </pic:pic>
              </a:graphicData>
            </a:graphic>
          </wp:inline>
        </w:drawing>
      </w:r>
    </w:p>
    <w:p w:rsidR="00C807F4" w:rsidRDefault="00C807F4" w:rsidP="00C16F07">
      <w:pPr>
        <w:jc w:val="center"/>
        <w:rPr>
          <w:rFonts w:ascii="Times New Roman" w:hAnsi="Times New Roman" w:cs="Times New Roman"/>
          <w:sz w:val="28"/>
          <w:szCs w:val="28"/>
          <w:lang w:val="kk-KZ"/>
        </w:rPr>
      </w:pPr>
    </w:p>
    <w:p w:rsidR="00C807F4" w:rsidRDefault="00C807F4" w:rsidP="00C16F07">
      <w:pPr>
        <w:jc w:val="center"/>
        <w:rPr>
          <w:rFonts w:ascii="Times New Roman" w:hAnsi="Times New Roman" w:cs="Times New Roman"/>
          <w:sz w:val="28"/>
          <w:szCs w:val="28"/>
          <w:lang w:val="kk-KZ"/>
        </w:rPr>
        <w:sectPr w:rsidR="00C807F4" w:rsidSect="00CE7941">
          <w:pgSz w:w="11906" w:h="16838"/>
          <w:pgMar w:top="1134" w:right="850" w:bottom="1134" w:left="1701" w:header="708" w:footer="708" w:gutter="0"/>
          <w:cols w:space="708"/>
          <w:docGrid w:linePitch="360"/>
        </w:sectPr>
      </w:pPr>
    </w:p>
    <w:p w:rsidR="00C807F4" w:rsidRDefault="00C807F4" w:rsidP="00C16F07">
      <w:pPr>
        <w:jc w:val="center"/>
        <w:rPr>
          <w:rFonts w:ascii="Times New Roman" w:hAnsi="Times New Roman" w:cs="Times New Roman"/>
          <w:sz w:val="28"/>
          <w:szCs w:val="28"/>
          <w:lang w:val="kk-KZ"/>
        </w:rPr>
      </w:pPr>
      <w:r>
        <w:rPr>
          <w:noProof/>
        </w:rPr>
        <w:lastRenderedPageBreak/>
        <w:drawing>
          <wp:inline distT="0" distB="0" distL="0" distR="0" wp14:anchorId="685BCAD4" wp14:editId="1C3A6C2D">
            <wp:extent cx="5657960" cy="76962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6558" t="30237" r="37659" b="7412"/>
                    <a:stretch/>
                  </pic:blipFill>
                  <pic:spPr bwMode="auto">
                    <a:xfrm>
                      <a:off x="0" y="0"/>
                      <a:ext cx="5665819" cy="7706890"/>
                    </a:xfrm>
                    <a:prstGeom prst="rect">
                      <a:avLst/>
                    </a:prstGeom>
                    <a:ln>
                      <a:noFill/>
                    </a:ln>
                    <a:extLst>
                      <a:ext uri="{53640926-AAD7-44D8-BBD7-CCE9431645EC}">
                        <a14:shadowObscured xmlns:a14="http://schemas.microsoft.com/office/drawing/2010/main"/>
                      </a:ext>
                    </a:extLst>
                  </pic:spPr>
                </pic:pic>
              </a:graphicData>
            </a:graphic>
          </wp:inline>
        </w:drawing>
      </w:r>
    </w:p>
    <w:p w:rsidR="00FC1CF6" w:rsidRDefault="00FC1CF6" w:rsidP="00C16F07">
      <w:pPr>
        <w:jc w:val="center"/>
        <w:rPr>
          <w:rFonts w:ascii="Times New Roman" w:hAnsi="Times New Roman" w:cs="Times New Roman"/>
          <w:sz w:val="28"/>
          <w:szCs w:val="28"/>
          <w:lang w:val="kk-KZ"/>
        </w:rPr>
        <w:sectPr w:rsidR="00FC1CF6" w:rsidSect="00CE7941">
          <w:pgSz w:w="11906" w:h="16838"/>
          <w:pgMar w:top="1134" w:right="850" w:bottom="1134" w:left="1701" w:header="708" w:footer="708" w:gutter="0"/>
          <w:cols w:space="708"/>
          <w:docGrid w:linePitch="360"/>
        </w:sectPr>
      </w:pPr>
    </w:p>
    <w:p w:rsidR="00FC1CF6" w:rsidRDefault="00FC1CF6" w:rsidP="00C16F07">
      <w:pPr>
        <w:jc w:val="center"/>
        <w:rPr>
          <w:rFonts w:ascii="Times New Roman" w:hAnsi="Times New Roman" w:cs="Times New Roman"/>
          <w:sz w:val="28"/>
          <w:szCs w:val="28"/>
          <w:lang w:val="kk-KZ"/>
        </w:rPr>
      </w:pPr>
      <w:r>
        <w:rPr>
          <w:noProof/>
        </w:rPr>
        <w:lastRenderedPageBreak/>
        <w:drawing>
          <wp:inline distT="0" distB="0" distL="0" distR="0" wp14:anchorId="456CC1AC" wp14:editId="2D1BCF71">
            <wp:extent cx="5388708" cy="75057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7071" t="15964" r="37787" b="21779"/>
                    <a:stretch/>
                  </pic:blipFill>
                  <pic:spPr bwMode="auto">
                    <a:xfrm>
                      <a:off x="0" y="0"/>
                      <a:ext cx="5395090" cy="7514589"/>
                    </a:xfrm>
                    <a:prstGeom prst="rect">
                      <a:avLst/>
                    </a:prstGeom>
                    <a:ln>
                      <a:noFill/>
                    </a:ln>
                    <a:extLst>
                      <a:ext uri="{53640926-AAD7-44D8-BBD7-CCE9431645EC}">
                        <a14:shadowObscured xmlns:a14="http://schemas.microsoft.com/office/drawing/2010/main"/>
                      </a:ext>
                    </a:extLst>
                  </pic:spPr>
                </pic:pic>
              </a:graphicData>
            </a:graphic>
          </wp:inline>
        </w:drawing>
      </w:r>
    </w:p>
    <w:p w:rsidR="00534DF1" w:rsidRDefault="00534DF1" w:rsidP="00C16F07">
      <w:pPr>
        <w:jc w:val="center"/>
        <w:rPr>
          <w:rFonts w:ascii="Times New Roman" w:hAnsi="Times New Roman" w:cs="Times New Roman"/>
          <w:sz w:val="28"/>
          <w:szCs w:val="28"/>
          <w:lang w:val="kk-KZ"/>
        </w:rPr>
      </w:pPr>
    </w:p>
    <w:p w:rsidR="00534DF1" w:rsidRDefault="00534DF1" w:rsidP="00C16F07">
      <w:pPr>
        <w:jc w:val="center"/>
        <w:rPr>
          <w:rFonts w:ascii="Times New Roman" w:hAnsi="Times New Roman" w:cs="Times New Roman"/>
          <w:sz w:val="28"/>
          <w:szCs w:val="28"/>
          <w:lang w:val="kk-KZ"/>
        </w:rPr>
      </w:pPr>
    </w:p>
    <w:p w:rsidR="00534DF1" w:rsidRDefault="00534DF1" w:rsidP="00C16F07">
      <w:pPr>
        <w:jc w:val="center"/>
        <w:rPr>
          <w:rFonts w:ascii="Times New Roman" w:hAnsi="Times New Roman" w:cs="Times New Roman"/>
          <w:sz w:val="28"/>
          <w:szCs w:val="28"/>
          <w:lang w:val="kk-KZ"/>
        </w:rPr>
        <w:sectPr w:rsidR="00534DF1" w:rsidSect="00CE7941">
          <w:pgSz w:w="11906" w:h="16838"/>
          <w:pgMar w:top="1134" w:right="850" w:bottom="1134" w:left="1701" w:header="708" w:footer="708" w:gutter="0"/>
          <w:cols w:space="708"/>
          <w:docGrid w:linePitch="360"/>
        </w:sectPr>
      </w:pPr>
    </w:p>
    <w:p w:rsidR="00534DF1" w:rsidRDefault="00534DF1" w:rsidP="00C16F07">
      <w:pPr>
        <w:jc w:val="center"/>
        <w:rPr>
          <w:rFonts w:ascii="Times New Roman" w:hAnsi="Times New Roman" w:cs="Times New Roman"/>
          <w:sz w:val="28"/>
          <w:szCs w:val="28"/>
          <w:lang w:val="kk-KZ"/>
        </w:rPr>
      </w:pPr>
      <w:r>
        <w:rPr>
          <w:noProof/>
        </w:rPr>
        <w:lastRenderedPageBreak/>
        <w:drawing>
          <wp:inline distT="0" distB="0" distL="0" distR="0" wp14:anchorId="1503E120" wp14:editId="78745144">
            <wp:extent cx="5318760" cy="749034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6558" t="15473" r="37743" b="20183"/>
                    <a:stretch/>
                  </pic:blipFill>
                  <pic:spPr bwMode="auto">
                    <a:xfrm>
                      <a:off x="0" y="0"/>
                      <a:ext cx="5331230" cy="7507903"/>
                    </a:xfrm>
                    <a:prstGeom prst="rect">
                      <a:avLst/>
                    </a:prstGeom>
                    <a:ln>
                      <a:noFill/>
                    </a:ln>
                    <a:extLst>
                      <a:ext uri="{53640926-AAD7-44D8-BBD7-CCE9431645EC}">
                        <a14:shadowObscured xmlns:a14="http://schemas.microsoft.com/office/drawing/2010/main"/>
                      </a:ext>
                    </a:extLst>
                  </pic:spPr>
                </pic:pic>
              </a:graphicData>
            </a:graphic>
          </wp:inline>
        </w:drawing>
      </w:r>
    </w:p>
    <w:p w:rsidR="00991ADA" w:rsidRDefault="00991ADA" w:rsidP="00C16F07">
      <w:pPr>
        <w:jc w:val="center"/>
        <w:rPr>
          <w:rFonts w:ascii="Times New Roman" w:hAnsi="Times New Roman" w:cs="Times New Roman"/>
          <w:sz w:val="28"/>
          <w:szCs w:val="28"/>
          <w:lang w:val="kk-KZ"/>
        </w:rPr>
        <w:sectPr w:rsidR="00991ADA" w:rsidSect="00CE7941">
          <w:pgSz w:w="11906" w:h="16838"/>
          <w:pgMar w:top="1134" w:right="850" w:bottom="1134" w:left="1701" w:header="708" w:footer="708" w:gutter="0"/>
          <w:cols w:space="708"/>
          <w:docGrid w:linePitch="360"/>
        </w:sectPr>
      </w:pPr>
    </w:p>
    <w:p w:rsidR="00991ADA" w:rsidRDefault="00991ADA" w:rsidP="00C16F07">
      <w:pPr>
        <w:jc w:val="center"/>
        <w:rPr>
          <w:rFonts w:ascii="Times New Roman" w:hAnsi="Times New Roman" w:cs="Times New Roman"/>
          <w:sz w:val="28"/>
          <w:szCs w:val="28"/>
          <w:lang w:val="kk-KZ"/>
        </w:rPr>
      </w:pPr>
      <w:r>
        <w:rPr>
          <w:noProof/>
        </w:rPr>
        <w:lastRenderedPageBreak/>
        <w:drawing>
          <wp:inline distT="0" distB="0" distL="0" distR="0" wp14:anchorId="5A6CC833" wp14:editId="5B552979">
            <wp:extent cx="5745997" cy="80848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6686" t="14823" r="37787" b="21323"/>
                    <a:stretch/>
                  </pic:blipFill>
                  <pic:spPr bwMode="auto">
                    <a:xfrm>
                      <a:off x="0" y="0"/>
                      <a:ext cx="5759163" cy="8103345"/>
                    </a:xfrm>
                    <a:prstGeom prst="rect">
                      <a:avLst/>
                    </a:prstGeom>
                    <a:ln>
                      <a:noFill/>
                    </a:ln>
                    <a:extLst>
                      <a:ext uri="{53640926-AAD7-44D8-BBD7-CCE9431645EC}">
                        <a14:shadowObscured xmlns:a14="http://schemas.microsoft.com/office/drawing/2010/main"/>
                      </a:ext>
                    </a:extLst>
                  </pic:spPr>
                </pic:pic>
              </a:graphicData>
            </a:graphic>
          </wp:inline>
        </w:drawing>
      </w:r>
    </w:p>
    <w:p w:rsidR="00991ADA" w:rsidRDefault="00991ADA" w:rsidP="00C16F07">
      <w:pPr>
        <w:jc w:val="center"/>
        <w:rPr>
          <w:rFonts w:ascii="Times New Roman" w:hAnsi="Times New Roman" w:cs="Times New Roman"/>
          <w:sz w:val="28"/>
          <w:szCs w:val="28"/>
          <w:lang w:val="kk-KZ"/>
        </w:rPr>
        <w:sectPr w:rsidR="00991ADA" w:rsidSect="00CE7941">
          <w:pgSz w:w="11906" w:h="16838"/>
          <w:pgMar w:top="1134" w:right="850" w:bottom="1134" w:left="1701" w:header="708" w:footer="708" w:gutter="0"/>
          <w:cols w:space="708"/>
          <w:docGrid w:linePitch="360"/>
        </w:sectPr>
      </w:pPr>
    </w:p>
    <w:p w:rsidR="00991ADA" w:rsidRDefault="004A6887" w:rsidP="00C16F07">
      <w:pPr>
        <w:jc w:val="center"/>
        <w:rPr>
          <w:rFonts w:ascii="Times New Roman" w:hAnsi="Times New Roman" w:cs="Times New Roman"/>
          <w:sz w:val="28"/>
          <w:szCs w:val="28"/>
          <w:lang w:val="kk-KZ"/>
        </w:rPr>
      </w:pPr>
      <w:r>
        <w:rPr>
          <w:noProof/>
        </w:rPr>
        <w:lastRenderedPageBreak/>
        <w:drawing>
          <wp:inline distT="0" distB="0" distL="0" distR="0" wp14:anchorId="7D43CF49" wp14:editId="6D26C639">
            <wp:extent cx="5488049" cy="76009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6686" t="16192" r="37659" b="20638"/>
                    <a:stretch/>
                  </pic:blipFill>
                  <pic:spPr bwMode="auto">
                    <a:xfrm>
                      <a:off x="0" y="0"/>
                      <a:ext cx="5505122" cy="7624596"/>
                    </a:xfrm>
                    <a:prstGeom prst="rect">
                      <a:avLst/>
                    </a:prstGeom>
                    <a:ln>
                      <a:noFill/>
                    </a:ln>
                    <a:extLst>
                      <a:ext uri="{53640926-AAD7-44D8-BBD7-CCE9431645EC}">
                        <a14:shadowObscured xmlns:a14="http://schemas.microsoft.com/office/drawing/2010/main"/>
                      </a:ext>
                    </a:extLst>
                  </pic:spPr>
                </pic:pic>
              </a:graphicData>
            </a:graphic>
          </wp:inline>
        </w:drawing>
      </w:r>
    </w:p>
    <w:p w:rsidR="00D24783" w:rsidRDefault="00D24783" w:rsidP="00C16F07">
      <w:pPr>
        <w:jc w:val="center"/>
        <w:rPr>
          <w:rFonts w:ascii="Times New Roman" w:hAnsi="Times New Roman" w:cs="Times New Roman"/>
          <w:sz w:val="28"/>
          <w:szCs w:val="28"/>
          <w:lang w:val="kk-KZ"/>
        </w:rPr>
        <w:sectPr w:rsidR="00D24783" w:rsidSect="00CE7941">
          <w:pgSz w:w="11906" w:h="16838"/>
          <w:pgMar w:top="1134" w:right="850" w:bottom="1134" w:left="1701" w:header="708" w:footer="708" w:gutter="0"/>
          <w:cols w:space="708"/>
          <w:docGrid w:linePitch="360"/>
        </w:sectPr>
      </w:pPr>
    </w:p>
    <w:p w:rsidR="00D24783" w:rsidRDefault="00D24783" w:rsidP="00C16F07">
      <w:pPr>
        <w:jc w:val="center"/>
        <w:rPr>
          <w:rFonts w:ascii="Times New Roman" w:hAnsi="Times New Roman" w:cs="Times New Roman"/>
          <w:sz w:val="28"/>
          <w:szCs w:val="28"/>
          <w:lang w:val="kk-KZ"/>
        </w:rPr>
      </w:pPr>
      <w:r>
        <w:rPr>
          <w:noProof/>
        </w:rPr>
        <w:lastRenderedPageBreak/>
        <w:drawing>
          <wp:inline distT="0" distB="0" distL="0" distR="0" wp14:anchorId="3D451CB1" wp14:editId="441B0E92">
            <wp:extent cx="5559628" cy="7839075"/>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6558" t="15508" r="37787" b="20182"/>
                    <a:stretch/>
                  </pic:blipFill>
                  <pic:spPr bwMode="auto">
                    <a:xfrm>
                      <a:off x="0" y="0"/>
                      <a:ext cx="5564726" cy="7846263"/>
                    </a:xfrm>
                    <a:prstGeom prst="rect">
                      <a:avLst/>
                    </a:prstGeom>
                    <a:ln>
                      <a:noFill/>
                    </a:ln>
                    <a:extLst>
                      <a:ext uri="{53640926-AAD7-44D8-BBD7-CCE9431645EC}">
                        <a14:shadowObscured xmlns:a14="http://schemas.microsoft.com/office/drawing/2010/main"/>
                      </a:ext>
                    </a:extLst>
                  </pic:spPr>
                </pic:pic>
              </a:graphicData>
            </a:graphic>
          </wp:inline>
        </w:drawing>
      </w:r>
    </w:p>
    <w:p w:rsidR="00643721" w:rsidRDefault="00643721" w:rsidP="00C16F07">
      <w:pPr>
        <w:jc w:val="center"/>
        <w:rPr>
          <w:rFonts w:ascii="Times New Roman" w:hAnsi="Times New Roman" w:cs="Times New Roman"/>
          <w:sz w:val="28"/>
          <w:szCs w:val="28"/>
          <w:lang w:val="kk-KZ"/>
        </w:rPr>
      </w:pPr>
    </w:p>
    <w:p w:rsidR="00643721" w:rsidRDefault="00643721" w:rsidP="00C16F07">
      <w:pPr>
        <w:jc w:val="center"/>
        <w:rPr>
          <w:rFonts w:ascii="Times New Roman" w:hAnsi="Times New Roman" w:cs="Times New Roman"/>
          <w:sz w:val="28"/>
          <w:szCs w:val="28"/>
          <w:lang w:val="kk-KZ"/>
        </w:rPr>
        <w:sectPr w:rsidR="00643721" w:rsidSect="00CE7941">
          <w:pgSz w:w="11906" w:h="16838"/>
          <w:pgMar w:top="1134" w:right="850" w:bottom="1134" w:left="1701" w:header="708" w:footer="708" w:gutter="0"/>
          <w:cols w:space="708"/>
          <w:docGrid w:linePitch="360"/>
        </w:sectPr>
      </w:pPr>
    </w:p>
    <w:p w:rsidR="00643721" w:rsidRDefault="00643721" w:rsidP="00C16F07">
      <w:pPr>
        <w:jc w:val="center"/>
        <w:rPr>
          <w:rFonts w:ascii="Times New Roman" w:hAnsi="Times New Roman" w:cs="Times New Roman"/>
          <w:sz w:val="28"/>
          <w:szCs w:val="28"/>
          <w:lang w:val="kk-KZ"/>
        </w:rPr>
      </w:pPr>
      <w:r>
        <w:rPr>
          <w:noProof/>
        </w:rPr>
        <w:lastRenderedPageBreak/>
        <w:drawing>
          <wp:inline distT="0" distB="0" distL="0" distR="0" wp14:anchorId="63A52053" wp14:editId="6F1E977E">
            <wp:extent cx="5257800" cy="763315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7071" t="15736" r="37659" b="19042"/>
                    <a:stretch/>
                  </pic:blipFill>
                  <pic:spPr bwMode="auto">
                    <a:xfrm>
                      <a:off x="0" y="0"/>
                      <a:ext cx="5261157" cy="7638025"/>
                    </a:xfrm>
                    <a:prstGeom prst="rect">
                      <a:avLst/>
                    </a:prstGeom>
                    <a:ln>
                      <a:noFill/>
                    </a:ln>
                    <a:extLst>
                      <a:ext uri="{53640926-AAD7-44D8-BBD7-CCE9431645EC}">
                        <a14:shadowObscured xmlns:a14="http://schemas.microsoft.com/office/drawing/2010/main"/>
                      </a:ext>
                    </a:extLst>
                  </pic:spPr>
                </pic:pic>
              </a:graphicData>
            </a:graphic>
          </wp:inline>
        </w:drawing>
      </w:r>
    </w:p>
    <w:p w:rsidR="001720FC" w:rsidRDefault="001720FC" w:rsidP="00C16F07">
      <w:pPr>
        <w:jc w:val="center"/>
        <w:rPr>
          <w:rFonts w:ascii="Times New Roman" w:hAnsi="Times New Roman" w:cs="Times New Roman"/>
          <w:sz w:val="28"/>
          <w:szCs w:val="28"/>
          <w:lang w:val="kk-KZ"/>
        </w:rPr>
      </w:pPr>
    </w:p>
    <w:p w:rsidR="001720FC" w:rsidRDefault="001720FC" w:rsidP="00C16F07">
      <w:pPr>
        <w:jc w:val="center"/>
        <w:rPr>
          <w:rFonts w:ascii="Times New Roman" w:hAnsi="Times New Roman" w:cs="Times New Roman"/>
          <w:sz w:val="28"/>
          <w:szCs w:val="28"/>
          <w:lang w:val="kk-KZ"/>
        </w:rPr>
        <w:sectPr w:rsidR="001720FC" w:rsidSect="00CE7941">
          <w:pgSz w:w="11906" w:h="16838"/>
          <w:pgMar w:top="1134" w:right="850" w:bottom="1134" w:left="1701" w:header="708" w:footer="708" w:gutter="0"/>
          <w:cols w:space="708"/>
          <w:docGrid w:linePitch="360"/>
        </w:sectPr>
      </w:pPr>
    </w:p>
    <w:p w:rsidR="001720FC" w:rsidRDefault="001720FC" w:rsidP="00C16F07">
      <w:pPr>
        <w:jc w:val="center"/>
        <w:rPr>
          <w:rFonts w:ascii="Times New Roman" w:hAnsi="Times New Roman" w:cs="Times New Roman"/>
          <w:sz w:val="28"/>
          <w:szCs w:val="28"/>
          <w:lang w:val="kk-KZ"/>
        </w:rPr>
      </w:pPr>
      <w:r>
        <w:rPr>
          <w:noProof/>
        </w:rPr>
        <w:lastRenderedPageBreak/>
        <w:drawing>
          <wp:inline distT="0" distB="0" distL="0" distR="0" wp14:anchorId="2539278D" wp14:editId="160E563B">
            <wp:extent cx="4973755" cy="709422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6814" t="15736" r="37915" b="20183"/>
                    <a:stretch/>
                  </pic:blipFill>
                  <pic:spPr bwMode="auto">
                    <a:xfrm>
                      <a:off x="0" y="0"/>
                      <a:ext cx="4985758" cy="7111340"/>
                    </a:xfrm>
                    <a:prstGeom prst="rect">
                      <a:avLst/>
                    </a:prstGeom>
                    <a:ln>
                      <a:noFill/>
                    </a:ln>
                    <a:extLst>
                      <a:ext uri="{53640926-AAD7-44D8-BBD7-CCE9431645EC}">
                        <a14:shadowObscured xmlns:a14="http://schemas.microsoft.com/office/drawing/2010/main"/>
                      </a:ext>
                    </a:extLst>
                  </pic:spPr>
                </pic:pic>
              </a:graphicData>
            </a:graphic>
          </wp:inline>
        </w:drawing>
      </w:r>
    </w:p>
    <w:sectPr w:rsidR="001720FC" w:rsidSect="00CE794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5EAE" w:rsidRDefault="00525EAE" w:rsidP="00F9362C">
      <w:pPr>
        <w:spacing w:after="0" w:line="240" w:lineRule="auto"/>
      </w:pPr>
      <w:r>
        <w:separator/>
      </w:r>
    </w:p>
  </w:endnote>
  <w:endnote w:type="continuationSeparator" w:id="0">
    <w:p w:rsidR="00525EAE" w:rsidRDefault="00525EAE" w:rsidP="00F936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BoldMT">
    <w:altName w:val="Times New Roman"/>
    <w:panose1 w:val="00000000000000000000"/>
    <w:charset w:val="00"/>
    <w:family w:val="roman"/>
    <w:notTrueType/>
    <w:pitch w:val="default"/>
    <w:sig w:usb0="00000003" w:usb1="00000000" w:usb2="00000000" w:usb3="00000000" w:csb0="00000001" w:csb1="00000000"/>
  </w:font>
  <w:font w:name="Arial-BoldItalicMT">
    <w:altName w:val="Times New Roman"/>
    <w:panose1 w:val="00000000000000000000"/>
    <w:charset w:val="00"/>
    <w:family w:val="roman"/>
    <w:notTrueType/>
    <w:pitch w:val="default"/>
    <w:sig w:usb0="00000003" w:usb1="00000000" w:usb2="00000000" w:usb3="00000000" w:csb0="00000001" w:csb1="00000000"/>
  </w:font>
  <w:font w:name="ArialMT">
    <w:altName w:val="MS Gothic"/>
    <w:panose1 w:val="00000000000000000000"/>
    <w:charset w:val="80"/>
    <w:family w:val="auto"/>
    <w:notTrueType/>
    <w:pitch w:val="default"/>
    <w:sig w:usb0="00000000" w:usb1="08070000" w:usb2="00000010" w:usb3="00000000" w:csb0="00020000" w:csb1="00000000"/>
  </w:font>
  <w:font w:name="Times-Italic, 'Times New Roman'">
    <w:altName w:val="Times New Roman"/>
    <w:charset w:val="00"/>
    <w:family w:val="auto"/>
    <w:pitch w:val="variable"/>
    <w:sig w:usb0="00000003" w:usb1="00000000" w:usb2="00000000" w:usb3="00000000" w:csb0="00000007"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libri-Bold">
    <w:charset w:val="00"/>
    <w:family w:val="auto"/>
    <w:pitch w:val="variable"/>
    <w:sig w:usb0="E00002FF" w:usb1="4000ACFF" w:usb2="00000001" w:usb3="00000000" w:csb0="0000019F" w:csb1="00000000"/>
  </w:font>
  <w:font w:name="MyriadPro-BoldCond">
    <w:altName w:val="Times New Roman"/>
    <w:panose1 w:val="00000000000000000000"/>
    <w:charset w:val="00"/>
    <w:family w:val="roman"/>
    <w:notTrueType/>
    <w:pitch w:val="default"/>
    <w:sig w:usb0="00000003" w:usb1="00000000" w:usb2="00000000" w:usb3="00000000" w:csb0="00000001" w:csb1="00000000"/>
  </w:font>
  <w:font w:name="Century">
    <w:panose1 w:val="02040604050505020304"/>
    <w:charset w:val="CC"/>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2415207"/>
    </w:sdtPr>
    <w:sdtEndPr/>
    <w:sdtContent>
      <w:p w:rsidR="0041189E" w:rsidRDefault="0041189E">
        <w:pPr>
          <w:pStyle w:val="ac"/>
          <w:jc w:val="center"/>
        </w:pPr>
        <w:r>
          <w:fldChar w:fldCharType="begin"/>
        </w:r>
        <w:r>
          <w:instrText>PAGE   \* MERGEFORMAT</w:instrText>
        </w:r>
        <w:r>
          <w:fldChar w:fldCharType="separate"/>
        </w:r>
        <w:r w:rsidR="004169B9">
          <w:rPr>
            <w:noProof/>
          </w:rPr>
          <w:t>132</w:t>
        </w:r>
        <w:r>
          <w:rPr>
            <w:noProof/>
          </w:rPr>
          <w:fldChar w:fldCharType="end"/>
        </w:r>
      </w:p>
    </w:sdtContent>
  </w:sdt>
  <w:p w:rsidR="0041189E" w:rsidRDefault="0041189E">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5EAE" w:rsidRDefault="00525EAE" w:rsidP="00F9362C">
      <w:pPr>
        <w:spacing w:after="0" w:line="240" w:lineRule="auto"/>
      </w:pPr>
      <w:r>
        <w:separator/>
      </w:r>
    </w:p>
  </w:footnote>
  <w:footnote w:type="continuationSeparator" w:id="0">
    <w:p w:rsidR="00525EAE" w:rsidRDefault="00525EAE" w:rsidP="00F9362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A7EBE"/>
    <w:multiLevelType w:val="hybridMultilevel"/>
    <w:tmpl w:val="7CF8A694"/>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nsid w:val="1164631A"/>
    <w:multiLevelType w:val="hybridMultilevel"/>
    <w:tmpl w:val="52CE10B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16AE3CDC"/>
    <w:multiLevelType w:val="hybridMultilevel"/>
    <w:tmpl w:val="F594CCFC"/>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1B681D28"/>
    <w:multiLevelType w:val="hybridMultilevel"/>
    <w:tmpl w:val="8EDCF682"/>
    <w:lvl w:ilvl="0" w:tplc="F0628E62">
      <w:start w:val="5"/>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1FC677B"/>
    <w:multiLevelType w:val="hybridMultilevel"/>
    <w:tmpl w:val="92DEEC46"/>
    <w:lvl w:ilvl="0" w:tplc="DF38109C">
      <w:start w:val="3"/>
      <w:numFmt w:val="decimal"/>
      <w:lvlText w:val="%1."/>
      <w:lvlJc w:val="left"/>
      <w:pPr>
        <w:ind w:left="720" w:hanging="360"/>
      </w:pPr>
      <w:rPr>
        <w:rFonts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2F7267C"/>
    <w:multiLevelType w:val="hybridMultilevel"/>
    <w:tmpl w:val="59CE98DE"/>
    <w:lvl w:ilvl="0" w:tplc="F0628E62">
      <w:start w:val="5"/>
      <w:numFmt w:val="bullet"/>
      <w:lvlText w:val="-"/>
      <w:lvlJc w:val="left"/>
      <w:pPr>
        <w:ind w:left="720" w:hanging="360"/>
      </w:pPr>
      <w:rPr>
        <w:rFonts w:ascii="Times New Roman" w:eastAsiaTheme="minorEastAsia"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2D3A3BA4"/>
    <w:multiLevelType w:val="hybridMultilevel"/>
    <w:tmpl w:val="901CEF3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355C396D"/>
    <w:multiLevelType w:val="hybridMultilevel"/>
    <w:tmpl w:val="F466B778"/>
    <w:lvl w:ilvl="0" w:tplc="FBACB890">
      <w:start w:val="3"/>
      <w:numFmt w:val="decimal"/>
      <w:lvlText w:val="%1"/>
      <w:lvlJc w:val="left"/>
      <w:pPr>
        <w:ind w:left="1080" w:hanging="360"/>
      </w:pPr>
      <w:rPr>
        <w:rFonts w:cstheme="minorBid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44F93C45"/>
    <w:multiLevelType w:val="hybridMultilevel"/>
    <w:tmpl w:val="E5268BE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9">
    <w:nsid w:val="4990626D"/>
    <w:multiLevelType w:val="hybridMultilevel"/>
    <w:tmpl w:val="6BCCD152"/>
    <w:lvl w:ilvl="0" w:tplc="041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D644796"/>
    <w:multiLevelType w:val="hybridMultilevel"/>
    <w:tmpl w:val="FCDE63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E8E59D4"/>
    <w:multiLevelType w:val="hybridMultilevel"/>
    <w:tmpl w:val="C6AE971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nsid w:val="5B202A40"/>
    <w:multiLevelType w:val="hybridMultilevel"/>
    <w:tmpl w:val="52CE10B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nsid w:val="5C992801"/>
    <w:multiLevelType w:val="hybridMultilevel"/>
    <w:tmpl w:val="FE9C309C"/>
    <w:lvl w:ilvl="0" w:tplc="1FDE02CE">
      <w:start w:val="5"/>
      <w:numFmt w:val="decimal"/>
      <w:lvlText w:val="%1"/>
      <w:lvlJc w:val="left"/>
      <w:pPr>
        <w:ind w:left="1080" w:hanging="360"/>
      </w:pPr>
      <w:rPr>
        <w:rFonts w:cstheme="minorBid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61FF2FFB"/>
    <w:multiLevelType w:val="hybridMultilevel"/>
    <w:tmpl w:val="F3BE7DBC"/>
    <w:lvl w:ilvl="0" w:tplc="EC8AEC4E">
      <w:start w:val="1"/>
      <w:numFmt w:val="decimal"/>
      <w:lvlText w:val="%1."/>
      <w:lvlJc w:val="left"/>
      <w:pPr>
        <w:ind w:left="106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628E1B90"/>
    <w:multiLevelType w:val="hybridMultilevel"/>
    <w:tmpl w:val="112C3A38"/>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6CAD6F8D"/>
    <w:multiLevelType w:val="multilevel"/>
    <w:tmpl w:val="60E82386"/>
    <w:lvl w:ilvl="0">
      <w:start w:val="2"/>
      <w:numFmt w:val="decimal"/>
      <w:lvlText w:val="%1"/>
      <w:lvlJc w:val="left"/>
      <w:pPr>
        <w:ind w:left="927" w:hanging="360"/>
      </w:pPr>
    </w:lvl>
    <w:lvl w:ilvl="1">
      <w:start w:val="1"/>
      <w:numFmt w:val="decimal"/>
      <w:isLgl/>
      <w:lvlText w:val="%1.%2."/>
      <w:lvlJc w:val="left"/>
      <w:pPr>
        <w:ind w:left="1357" w:hanging="720"/>
      </w:pPr>
    </w:lvl>
    <w:lvl w:ilvl="2">
      <w:start w:val="1"/>
      <w:numFmt w:val="decimal"/>
      <w:isLgl/>
      <w:lvlText w:val="%1.%2.%3."/>
      <w:lvlJc w:val="left"/>
      <w:pPr>
        <w:ind w:left="1427" w:hanging="720"/>
      </w:pPr>
    </w:lvl>
    <w:lvl w:ilvl="3">
      <w:start w:val="1"/>
      <w:numFmt w:val="decimal"/>
      <w:isLgl/>
      <w:lvlText w:val="%1.%2.%3.%4."/>
      <w:lvlJc w:val="left"/>
      <w:pPr>
        <w:ind w:left="1857" w:hanging="1080"/>
      </w:pPr>
    </w:lvl>
    <w:lvl w:ilvl="4">
      <w:start w:val="1"/>
      <w:numFmt w:val="decimal"/>
      <w:isLgl/>
      <w:lvlText w:val="%1.%2.%3.%4.%5."/>
      <w:lvlJc w:val="left"/>
      <w:pPr>
        <w:ind w:left="1927" w:hanging="1080"/>
      </w:pPr>
    </w:lvl>
    <w:lvl w:ilvl="5">
      <w:start w:val="1"/>
      <w:numFmt w:val="decimal"/>
      <w:isLgl/>
      <w:lvlText w:val="%1.%2.%3.%4.%5.%6."/>
      <w:lvlJc w:val="left"/>
      <w:pPr>
        <w:ind w:left="2357" w:hanging="1440"/>
      </w:pPr>
    </w:lvl>
    <w:lvl w:ilvl="6">
      <w:start w:val="1"/>
      <w:numFmt w:val="decimal"/>
      <w:isLgl/>
      <w:lvlText w:val="%1.%2.%3.%4.%5.%6.%7."/>
      <w:lvlJc w:val="left"/>
      <w:pPr>
        <w:ind w:left="2787" w:hanging="1800"/>
      </w:pPr>
    </w:lvl>
    <w:lvl w:ilvl="7">
      <w:start w:val="1"/>
      <w:numFmt w:val="decimal"/>
      <w:isLgl/>
      <w:lvlText w:val="%1.%2.%3.%4.%5.%6.%7.%8."/>
      <w:lvlJc w:val="left"/>
      <w:pPr>
        <w:ind w:left="2857" w:hanging="1800"/>
      </w:pPr>
    </w:lvl>
    <w:lvl w:ilvl="8">
      <w:start w:val="1"/>
      <w:numFmt w:val="decimal"/>
      <w:isLgl/>
      <w:lvlText w:val="%1.%2.%3.%4.%5.%6.%7.%8.%9."/>
      <w:lvlJc w:val="left"/>
      <w:pPr>
        <w:ind w:left="3287" w:hanging="2160"/>
      </w:pPr>
    </w:lvl>
  </w:abstractNum>
  <w:abstractNum w:abstractNumId="17">
    <w:nsid w:val="7D5D28DF"/>
    <w:multiLevelType w:val="hybridMultilevel"/>
    <w:tmpl w:val="BA7CC6B2"/>
    <w:lvl w:ilvl="0" w:tplc="F0628E62">
      <w:start w:val="5"/>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num>
  <w:num w:numId="4">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num>
  <w:num w:numId="8">
    <w:abstractNumId w:val="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num>
  <w:num w:numId="12">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num>
  <w:num w:numId="14">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num>
  <w:num w:numId="18">
    <w:abstractNumId w:val="9"/>
  </w:num>
  <w:num w:numId="19">
    <w:abstractNumId w:val="12"/>
  </w:num>
  <w:num w:numId="20">
    <w:abstractNumId w:val="10"/>
  </w:num>
  <w:num w:numId="21">
    <w:abstractNumId w:val="8"/>
  </w:num>
  <w:num w:numId="22">
    <w:abstractNumId w:val="7"/>
  </w:num>
  <w:num w:numId="23">
    <w:abstractNumId w:val="13"/>
  </w:num>
  <w:num w:numId="24">
    <w:abstractNumId w:val="17"/>
  </w:num>
  <w:num w:numId="25">
    <w:abstractNumId w:val="3"/>
  </w:num>
  <w:num w:numId="2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12B3"/>
    <w:rsid w:val="0000038A"/>
    <w:rsid w:val="00000B49"/>
    <w:rsid w:val="000014F3"/>
    <w:rsid w:val="00001FB9"/>
    <w:rsid w:val="000021AB"/>
    <w:rsid w:val="000023F4"/>
    <w:rsid w:val="0000285F"/>
    <w:rsid w:val="00002FA6"/>
    <w:rsid w:val="000045D0"/>
    <w:rsid w:val="00004A2B"/>
    <w:rsid w:val="00005D34"/>
    <w:rsid w:val="00007839"/>
    <w:rsid w:val="00007E54"/>
    <w:rsid w:val="000104B1"/>
    <w:rsid w:val="00010B0A"/>
    <w:rsid w:val="00010D4C"/>
    <w:rsid w:val="0001290E"/>
    <w:rsid w:val="00012D1C"/>
    <w:rsid w:val="00013129"/>
    <w:rsid w:val="000134EF"/>
    <w:rsid w:val="0001363A"/>
    <w:rsid w:val="00013853"/>
    <w:rsid w:val="00013865"/>
    <w:rsid w:val="0001389D"/>
    <w:rsid w:val="000143DC"/>
    <w:rsid w:val="00014A95"/>
    <w:rsid w:val="000156A2"/>
    <w:rsid w:val="00015C53"/>
    <w:rsid w:val="0001633C"/>
    <w:rsid w:val="0001648C"/>
    <w:rsid w:val="0001649C"/>
    <w:rsid w:val="00016DFA"/>
    <w:rsid w:val="0001703F"/>
    <w:rsid w:val="00017C63"/>
    <w:rsid w:val="00020904"/>
    <w:rsid w:val="000210EF"/>
    <w:rsid w:val="0002182C"/>
    <w:rsid w:val="000219C4"/>
    <w:rsid w:val="00021B71"/>
    <w:rsid w:val="00022836"/>
    <w:rsid w:val="00022FAB"/>
    <w:rsid w:val="000237E7"/>
    <w:rsid w:val="00023C22"/>
    <w:rsid w:val="000256D0"/>
    <w:rsid w:val="0002623A"/>
    <w:rsid w:val="00027CCF"/>
    <w:rsid w:val="00027D70"/>
    <w:rsid w:val="0003196B"/>
    <w:rsid w:val="00031984"/>
    <w:rsid w:val="00031AA9"/>
    <w:rsid w:val="00032F9B"/>
    <w:rsid w:val="00033102"/>
    <w:rsid w:val="00033DD0"/>
    <w:rsid w:val="00034306"/>
    <w:rsid w:val="00034556"/>
    <w:rsid w:val="0003483E"/>
    <w:rsid w:val="00034F86"/>
    <w:rsid w:val="000362E0"/>
    <w:rsid w:val="0003756F"/>
    <w:rsid w:val="0003799D"/>
    <w:rsid w:val="000403C4"/>
    <w:rsid w:val="000403EC"/>
    <w:rsid w:val="000415A2"/>
    <w:rsid w:val="00043FE2"/>
    <w:rsid w:val="00044781"/>
    <w:rsid w:val="00044C26"/>
    <w:rsid w:val="00045CC1"/>
    <w:rsid w:val="00045EBD"/>
    <w:rsid w:val="00046915"/>
    <w:rsid w:val="00046EEE"/>
    <w:rsid w:val="00047333"/>
    <w:rsid w:val="000516F2"/>
    <w:rsid w:val="00051EB3"/>
    <w:rsid w:val="00051F4F"/>
    <w:rsid w:val="00055771"/>
    <w:rsid w:val="00055B48"/>
    <w:rsid w:val="00055E2A"/>
    <w:rsid w:val="000603B9"/>
    <w:rsid w:val="000606EF"/>
    <w:rsid w:val="00060C2F"/>
    <w:rsid w:val="000624A8"/>
    <w:rsid w:val="00063F56"/>
    <w:rsid w:val="000641B4"/>
    <w:rsid w:val="00064278"/>
    <w:rsid w:val="00064313"/>
    <w:rsid w:val="0006483D"/>
    <w:rsid w:val="0006539A"/>
    <w:rsid w:val="00066543"/>
    <w:rsid w:val="00066B4D"/>
    <w:rsid w:val="00067EBA"/>
    <w:rsid w:val="000708BB"/>
    <w:rsid w:val="00070B75"/>
    <w:rsid w:val="0007185D"/>
    <w:rsid w:val="0007195E"/>
    <w:rsid w:val="0007390D"/>
    <w:rsid w:val="00073BDE"/>
    <w:rsid w:val="000751E7"/>
    <w:rsid w:val="0007544B"/>
    <w:rsid w:val="0007599E"/>
    <w:rsid w:val="000763D9"/>
    <w:rsid w:val="000777C5"/>
    <w:rsid w:val="00077C79"/>
    <w:rsid w:val="000806D3"/>
    <w:rsid w:val="00080915"/>
    <w:rsid w:val="00080FBF"/>
    <w:rsid w:val="00082F3C"/>
    <w:rsid w:val="00083382"/>
    <w:rsid w:val="000835BD"/>
    <w:rsid w:val="000837AF"/>
    <w:rsid w:val="00084228"/>
    <w:rsid w:val="000845EA"/>
    <w:rsid w:val="0008506B"/>
    <w:rsid w:val="000869D6"/>
    <w:rsid w:val="0008725B"/>
    <w:rsid w:val="000875F4"/>
    <w:rsid w:val="000877F5"/>
    <w:rsid w:val="0009205B"/>
    <w:rsid w:val="000929A4"/>
    <w:rsid w:val="00092FB3"/>
    <w:rsid w:val="00093027"/>
    <w:rsid w:val="000932A3"/>
    <w:rsid w:val="0009597C"/>
    <w:rsid w:val="0009646A"/>
    <w:rsid w:val="00096567"/>
    <w:rsid w:val="00096F75"/>
    <w:rsid w:val="000970C1"/>
    <w:rsid w:val="000973F4"/>
    <w:rsid w:val="000A188B"/>
    <w:rsid w:val="000A1C4E"/>
    <w:rsid w:val="000A1C53"/>
    <w:rsid w:val="000A2140"/>
    <w:rsid w:val="000A4926"/>
    <w:rsid w:val="000A5EC9"/>
    <w:rsid w:val="000A6036"/>
    <w:rsid w:val="000A67D5"/>
    <w:rsid w:val="000A72A3"/>
    <w:rsid w:val="000A7671"/>
    <w:rsid w:val="000B1022"/>
    <w:rsid w:val="000B2CC5"/>
    <w:rsid w:val="000B4405"/>
    <w:rsid w:val="000B4752"/>
    <w:rsid w:val="000B4CD0"/>
    <w:rsid w:val="000B5C4C"/>
    <w:rsid w:val="000B5C57"/>
    <w:rsid w:val="000B7A79"/>
    <w:rsid w:val="000C114E"/>
    <w:rsid w:val="000C1807"/>
    <w:rsid w:val="000C1B9C"/>
    <w:rsid w:val="000C1CBB"/>
    <w:rsid w:val="000C25BF"/>
    <w:rsid w:val="000C31DA"/>
    <w:rsid w:val="000C34CA"/>
    <w:rsid w:val="000C34E3"/>
    <w:rsid w:val="000C3814"/>
    <w:rsid w:val="000C4660"/>
    <w:rsid w:val="000C4ACF"/>
    <w:rsid w:val="000C512C"/>
    <w:rsid w:val="000C5A58"/>
    <w:rsid w:val="000C64CF"/>
    <w:rsid w:val="000C6D38"/>
    <w:rsid w:val="000C6E30"/>
    <w:rsid w:val="000D16F2"/>
    <w:rsid w:val="000D1DEE"/>
    <w:rsid w:val="000D2A3B"/>
    <w:rsid w:val="000D2D67"/>
    <w:rsid w:val="000D45BB"/>
    <w:rsid w:val="000D616E"/>
    <w:rsid w:val="000D6CBD"/>
    <w:rsid w:val="000D6DBA"/>
    <w:rsid w:val="000D7436"/>
    <w:rsid w:val="000E082D"/>
    <w:rsid w:val="000E25AB"/>
    <w:rsid w:val="000E3FAD"/>
    <w:rsid w:val="000E4E3F"/>
    <w:rsid w:val="000E60AA"/>
    <w:rsid w:val="000E7D8E"/>
    <w:rsid w:val="000F200C"/>
    <w:rsid w:val="000F33A6"/>
    <w:rsid w:val="000F39D1"/>
    <w:rsid w:val="000F3DC9"/>
    <w:rsid w:val="000F3E17"/>
    <w:rsid w:val="000F42BD"/>
    <w:rsid w:val="000F5A49"/>
    <w:rsid w:val="000F60C5"/>
    <w:rsid w:val="000F6525"/>
    <w:rsid w:val="000F6BFB"/>
    <w:rsid w:val="001009B7"/>
    <w:rsid w:val="001016A2"/>
    <w:rsid w:val="0010306D"/>
    <w:rsid w:val="001033F7"/>
    <w:rsid w:val="00103D43"/>
    <w:rsid w:val="00105E91"/>
    <w:rsid w:val="00106E07"/>
    <w:rsid w:val="0010721F"/>
    <w:rsid w:val="0011104A"/>
    <w:rsid w:val="001114C6"/>
    <w:rsid w:val="0011198C"/>
    <w:rsid w:val="00112500"/>
    <w:rsid w:val="00112EB4"/>
    <w:rsid w:val="0011306B"/>
    <w:rsid w:val="00113EE8"/>
    <w:rsid w:val="001144F1"/>
    <w:rsid w:val="001166B8"/>
    <w:rsid w:val="00116798"/>
    <w:rsid w:val="00116F7E"/>
    <w:rsid w:val="0012074C"/>
    <w:rsid w:val="001225A2"/>
    <w:rsid w:val="00122696"/>
    <w:rsid w:val="00123429"/>
    <w:rsid w:val="00123CFA"/>
    <w:rsid w:val="0012447A"/>
    <w:rsid w:val="00124AD0"/>
    <w:rsid w:val="00125A62"/>
    <w:rsid w:val="0012646D"/>
    <w:rsid w:val="001270BB"/>
    <w:rsid w:val="00127244"/>
    <w:rsid w:val="0012767F"/>
    <w:rsid w:val="00127ABC"/>
    <w:rsid w:val="00127D44"/>
    <w:rsid w:val="00127DCD"/>
    <w:rsid w:val="00130632"/>
    <w:rsid w:val="001307A9"/>
    <w:rsid w:val="00132A90"/>
    <w:rsid w:val="00132CF3"/>
    <w:rsid w:val="0013454D"/>
    <w:rsid w:val="0013464A"/>
    <w:rsid w:val="00134704"/>
    <w:rsid w:val="00134BDD"/>
    <w:rsid w:val="0013544B"/>
    <w:rsid w:val="00135E16"/>
    <w:rsid w:val="00135FC8"/>
    <w:rsid w:val="001406E1"/>
    <w:rsid w:val="001407E8"/>
    <w:rsid w:val="0014080D"/>
    <w:rsid w:val="001410FA"/>
    <w:rsid w:val="0014178A"/>
    <w:rsid w:val="00141B8E"/>
    <w:rsid w:val="00141D37"/>
    <w:rsid w:val="001420EF"/>
    <w:rsid w:val="00142622"/>
    <w:rsid w:val="00143806"/>
    <w:rsid w:val="00143985"/>
    <w:rsid w:val="00144304"/>
    <w:rsid w:val="0014539C"/>
    <w:rsid w:val="001456FD"/>
    <w:rsid w:val="0014686D"/>
    <w:rsid w:val="001503DF"/>
    <w:rsid w:val="00150B5F"/>
    <w:rsid w:val="00151037"/>
    <w:rsid w:val="001515DA"/>
    <w:rsid w:val="00152178"/>
    <w:rsid w:val="00152444"/>
    <w:rsid w:val="00154419"/>
    <w:rsid w:val="00154D81"/>
    <w:rsid w:val="00162439"/>
    <w:rsid w:val="00162472"/>
    <w:rsid w:val="00162591"/>
    <w:rsid w:val="001630DC"/>
    <w:rsid w:val="001638C2"/>
    <w:rsid w:val="00167852"/>
    <w:rsid w:val="00171E76"/>
    <w:rsid w:val="001720FC"/>
    <w:rsid w:val="001722EE"/>
    <w:rsid w:val="00173868"/>
    <w:rsid w:val="001741D8"/>
    <w:rsid w:val="0017577F"/>
    <w:rsid w:val="00175867"/>
    <w:rsid w:val="00176136"/>
    <w:rsid w:val="001769A5"/>
    <w:rsid w:val="00177BE3"/>
    <w:rsid w:val="00181452"/>
    <w:rsid w:val="00183718"/>
    <w:rsid w:val="00185070"/>
    <w:rsid w:val="00185A93"/>
    <w:rsid w:val="00185C07"/>
    <w:rsid w:val="00185EBC"/>
    <w:rsid w:val="001870FC"/>
    <w:rsid w:val="0019167D"/>
    <w:rsid w:val="0019214B"/>
    <w:rsid w:val="00192534"/>
    <w:rsid w:val="00192647"/>
    <w:rsid w:val="001928F8"/>
    <w:rsid w:val="0019290C"/>
    <w:rsid w:val="00196B81"/>
    <w:rsid w:val="001975BE"/>
    <w:rsid w:val="001A0E27"/>
    <w:rsid w:val="001A1027"/>
    <w:rsid w:val="001A1D8A"/>
    <w:rsid w:val="001A23CE"/>
    <w:rsid w:val="001A3DD5"/>
    <w:rsid w:val="001A5F21"/>
    <w:rsid w:val="001A77E9"/>
    <w:rsid w:val="001B191E"/>
    <w:rsid w:val="001B268E"/>
    <w:rsid w:val="001B2B2B"/>
    <w:rsid w:val="001B2CBF"/>
    <w:rsid w:val="001B4015"/>
    <w:rsid w:val="001B4421"/>
    <w:rsid w:val="001B5018"/>
    <w:rsid w:val="001B5411"/>
    <w:rsid w:val="001B5BD3"/>
    <w:rsid w:val="001B6470"/>
    <w:rsid w:val="001C1A63"/>
    <w:rsid w:val="001C26B0"/>
    <w:rsid w:val="001C31A0"/>
    <w:rsid w:val="001C365E"/>
    <w:rsid w:val="001C543A"/>
    <w:rsid w:val="001C5C0B"/>
    <w:rsid w:val="001C6C54"/>
    <w:rsid w:val="001C719B"/>
    <w:rsid w:val="001D0575"/>
    <w:rsid w:val="001D2A1C"/>
    <w:rsid w:val="001D2DDE"/>
    <w:rsid w:val="001D35B0"/>
    <w:rsid w:val="001D5C49"/>
    <w:rsid w:val="001D6902"/>
    <w:rsid w:val="001D7ED1"/>
    <w:rsid w:val="001D7F90"/>
    <w:rsid w:val="001E0BFB"/>
    <w:rsid w:val="001E14FE"/>
    <w:rsid w:val="001E17CF"/>
    <w:rsid w:val="001E1C46"/>
    <w:rsid w:val="001E1F9B"/>
    <w:rsid w:val="001E243C"/>
    <w:rsid w:val="001E3413"/>
    <w:rsid w:val="001E4D3C"/>
    <w:rsid w:val="001E5E8C"/>
    <w:rsid w:val="001E6E30"/>
    <w:rsid w:val="001E7525"/>
    <w:rsid w:val="001E7708"/>
    <w:rsid w:val="001F10AC"/>
    <w:rsid w:val="001F19C8"/>
    <w:rsid w:val="001F24FC"/>
    <w:rsid w:val="001F310C"/>
    <w:rsid w:val="001F5B3C"/>
    <w:rsid w:val="001F6DE1"/>
    <w:rsid w:val="00200846"/>
    <w:rsid w:val="00201760"/>
    <w:rsid w:val="00201AC5"/>
    <w:rsid w:val="00202273"/>
    <w:rsid w:val="002029EC"/>
    <w:rsid w:val="002030EE"/>
    <w:rsid w:val="0020409B"/>
    <w:rsid w:val="0020418D"/>
    <w:rsid w:val="00204BFD"/>
    <w:rsid w:val="0020566D"/>
    <w:rsid w:val="002056A4"/>
    <w:rsid w:val="002058A3"/>
    <w:rsid w:val="00205C5B"/>
    <w:rsid w:val="00205E35"/>
    <w:rsid w:val="002076CB"/>
    <w:rsid w:val="00210241"/>
    <w:rsid w:val="00210428"/>
    <w:rsid w:val="00210ED6"/>
    <w:rsid w:val="00214141"/>
    <w:rsid w:val="0021493F"/>
    <w:rsid w:val="00214B14"/>
    <w:rsid w:val="002150DC"/>
    <w:rsid w:val="00215842"/>
    <w:rsid w:val="00216191"/>
    <w:rsid w:val="002174E4"/>
    <w:rsid w:val="00217A22"/>
    <w:rsid w:val="002212A7"/>
    <w:rsid w:val="00222279"/>
    <w:rsid w:val="00222427"/>
    <w:rsid w:val="00224447"/>
    <w:rsid w:val="0022513F"/>
    <w:rsid w:val="0023004F"/>
    <w:rsid w:val="00230231"/>
    <w:rsid w:val="00230452"/>
    <w:rsid w:val="00230C4D"/>
    <w:rsid w:val="00231038"/>
    <w:rsid w:val="002312BD"/>
    <w:rsid w:val="00232511"/>
    <w:rsid w:val="00232E6D"/>
    <w:rsid w:val="00233471"/>
    <w:rsid w:val="00233C5A"/>
    <w:rsid w:val="00233FC0"/>
    <w:rsid w:val="002340A9"/>
    <w:rsid w:val="0023544D"/>
    <w:rsid w:val="002367CE"/>
    <w:rsid w:val="00236895"/>
    <w:rsid w:val="00240270"/>
    <w:rsid w:val="002405E3"/>
    <w:rsid w:val="0024174C"/>
    <w:rsid w:val="00242D9B"/>
    <w:rsid w:val="002432C4"/>
    <w:rsid w:val="002435A3"/>
    <w:rsid w:val="002439D5"/>
    <w:rsid w:val="002445C8"/>
    <w:rsid w:val="0024483A"/>
    <w:rsid w:val="0024503B"/>
    <w:rsid w:val="002455AF"/>
    <w:rsid w:val="00246991"/>
    <w:rsid w:val="00247682"/>
    <w:rsid w:val="0024776D"/>
    <w:rsid w:val="00250354"/>
    <w:rsid w:val="0025087F"/>
    <w:rsid w:val="00251226"/>
    <w:rsid w:val="0025184B"/>
    <w:rsid w:val="002529C4"/>
    <w:rsid w:val="00252BD6"/>
    <w:rsid w:val="002530CD"/>
    <w:rsid w:val="002532A8"/>
    <w:rsid w:val="002532E3"/>
    <w:rsid w:val="00261721"/>
    <w:rsid w:val="00261A10"/>
    <w:rsid w:val="00261C04"/>
    <w:rsid w:val="00262572"/>
    <w:rsid w:val="0026270E"/>
    <w:rsid w:val="00265AB0"/>
    <w:rsid w:val="00265B17"/>
    <w:rsid w:val="00265E70"/>
    <w:rsid w:val="0026610D"/>
    <w:rsid w:val="0026715C"/>
    <w:rsid w:val="0026771C"/>
    <w:rsid w:val="0026780B"/>
    <w:rsid w:val="002706AB"/>
    <w:rsid w:val="002743A0"/>
    <w:rsid w:val="00274532"/>
    <w:rsid w:val="00276A5E"/>
    <w:rsid w:val="00276AC6"/>
    <w:rsid w:val="0028046B"/>
    <w:rsid w:val="00280475"/>
    <w:rsid w:val="00280783"/>
    <w:rsid w:val="002807F2"/>
    <w:rsid w:val="0028082A"/>
    <w:rsid w:val="00281CD0"/>
    <w:rsid w:val="002830FB"/>
    <w:rsid w:val="00283A43"/>
    <w:rsid w:val="00285254"/>
    <w:rsid w:val="00285ED6"/>
    <w:rsid w:val="00285F68"/>
    <w:rsid w:val="00286464"/>
    <w:rsid w:val="00286F1A"/>
    <w:rsid w:val="00287995"/>
    <w:rsid w:val="00287D65"/>
    <w:rsid w:val="002908CE"/>
    <w:rsid w:val="00290CA4"/>
    <w:rsid w:val="002937F7"/>
    <w:rsid w:val="00294025"/>
    <w:rsid w:val="002940CC"/>
    <w:rsid w:val="00294BFC"/>
    <w:rsid w:val="00294FD5"/>
    <w:rsid w:val="002961BA"/>
    <w:rsid w:val="0029784F"/>
    <w:rsid w:val="002A1E02"/>
    <w:rsid w:val="002A39B0"/>
    <w:rsid w:val="002A48A7"/>
    <w:rsid w:val="002A5F9F"/>
    <w:rsid w:val="002A7163"/>
    <w:rsid w:val="002A7F04"/>
    <w:rsid w:val="002B00D6"/>
    <w:rsid w:val="002B0180"/>
    <w:rsid w:val="002B0344"/>
    <w:rsid w:val="002B28ED"/>
    <w:rsid w:val="002B2F7A"/>
    <w:rsid w:val="002B32CA"/>
    <w:rsid w:val="002B47B7"/>
    <w:rsid w:val="002B4C2C"/>
    <w:rsid w:val="002B50C0"/>
    <w:rsid w:val="002B56F4"/>
    <w:rsid w:val="002B5817"/>
    <w:rsid w:val="002B590F"/>
    <w:rsid w:val="002B67AB"/>
    <w:rsid w:val="002C0F16"/>
    <w:rsid w:val="002C14ED"/>
    <w:rsid w:val="002C26A4"/>
    <w:rsid w:val="002C2E93"/>
    <w:rsid w:val="002C4374"/>
    <w:rsid w:val="002C4A75"/>
    <w:rsid w:val="002C4BB9"/>
    <w:rsid w:val="002C6F1D"/>
    <w:rsid w:val="002C7E3C"/>
    <w:rsid w:val="002D000A"/>
    <w:rsid w:val="002D076B"/>
    <w:rsid w:val="002D1825"/>
    <w:rsid w:val="002D3B7C"/>
    <w:rsid w:val="002D3E23"/>
    <w:rsid w:val="002D47DA"/>
    <w:rsid w:val="002D5440"/>
    <w:rsid w:val="002D6D08"/>
    <w:rsid w:val="002D7DF7"/>
    <w:rsid w:val="002D7FFC"/>
    <w:rsid w:val="002E0206"/>
    <w:rsid w:val="002E0B5F"/>
    <w:rsid w:val="002E19B0"/>
    <w:rsid w:val="002E1DD5"/>
    <w:rsid w:val="002E24AD"/>
    <w:rsid w:val="002E32A9"/>
    <w:rsid w:val="002E395F"/>
    <w:rsid w:val="002E3D15"/>
    <w:rsid w:val="002E491D"/>
    <w:rsid w:val="002E6077"/>
    <w:rsid w:val="002E73E3"/>
    <w:rsid w:val="002F312D"/>
    <w:rsid w:val="002F320B"/>
    <w:rsid w:val="002F43CD"/>
    <w:rsid w:val="002F44A4"/>
    <w:rsid w:val="002F5748"/>
    <w:rsid w:val="003000F5"/>
    <w:rsid w:val="003005C7"/>
    <w:rsid w:val="0030126A"/>
    <w:rsid w:val="00305C31"/>
    <w:rsid w:val="00306B6D"/>
    <w:rsid w:val="00306C79"/>
    <w:rsid w:val="00307755"/>
    <w:rsid w:val="00311220"/>
    <w:rsid w:val="00313304"/>
    <w:rsid w:val="00313A40"/>
    <w:rsid w:val="00314406"/>
    <w:rsid w:val="00314936"/>
    <w:rsid w:val="00315731"/>
    <w:rsid w:val="003168CC"/>
    <w:rsid w:val="00316C00"/>
    <w:rsid w:val="00320436"/>
    <w:rsid w:val="00321FF9"/>
    <w:rsid w:val="00323617"/>
    <w:rsid w:val="00323BAB"/>
    <w:rsid w:val="00323D0F"/>
    <w:rsid w:val="00324DB3"/>
    <w:rsid w:val="0032592C"/>
    <w:rsid w:val="00325F93"/>
    <w:rsid w:val="0032644B"/>
    <w:rsid w:val="003264AA"/>
    <w:rsid w:val="00326BD4"/>
    <w:rsid w:val="003275EE"/>
    <w:rsid w:val="00327855"/>
    <w:rsid w:val="0033112F"/>
    <w:rsid w:val="00331D7E"/>
    <w:rsid w:val="00332561"/>
    <w:rsid w:val="00332BD3"/>
    <w:rsid w:val="00332DB0"/>
    <w:rsid w:val="00333326"/>
    <w:rsid w:val="00334814"/>
    <w:rsid w:val="003358C2"/>
    <w:rsid w:val="00335D02"/>
    <w:rsid w:val="0033631C"/>
    <w:rsid w:val="003422CB"/>
    <w:rsid w:val="00343032"/>
    <w:rsid w:val="00343CF7"/>
    <w:rsid w:val="003441A2"/>
    <w:rsid w:val="003449C6"/>
    <w:rsid w:val="003451C5"/>
    <w:rsid w:val="003474A5"/>
    <w:rsid w:val="00347D73"/>
    <w:rsid w:val="003501E7"/>
    <w:rsid w:val="00350366"/>
    <w:rsid w:val="003518B7"/>
    <w:rsid w:val="00351BA4"/>
    <w:rsid w:val="00352147"/>
    <w:rsid w:val="00352802"/>
    <w:rsid w:val="00352ECD"/>
    <w:rsid w:val="0035300D"/>
    <w:rsid w:val="003530DE"/>
    <w:rsid w:val="00353343"/>
    <w:rsid w:val="00353389"/>
    <w:rsid w:val="00353A56"/>
    <w:rsid w:val="003541C1"/>
    <w:rsid w:val="00354EDE"/>
    <w:rsid w:val="003551E1"/>
    <w:rsid w:val="00355419"/>
    <w:rsid w:val="00355CB7"/>
    <w:rsid w:val="00355E8D"/>
    <w:rsid w:val="003572A6"/>
    <w:rsid w:val="00362C5D"/>
    <w:rsid w:val="0036498A"/>
    <w:rsid w:val="003654AE"/>
    <w:rsid w:val="003655FF"/>
    <w:rsid w:val="00365FD4"/>
    <w:rsid w:val="0036637B"/>
    <w:rsid w:val="003675E7"/>
    <w:rsid w:val="00367B10"/>
    <w:rsid w:val="003708E2"/>
    <w:rsid w:val="00370AF4"/>
    <w:rsid w:val="0037303D"/>
    <w:rsid w:val="003731B0"/>
    <w:rsid w:val="00373B7B"/>
    <w:rsid w:val="003748AD"/>
    <w:rsid w:val="00374D04"/>
    <w:rsid w:val="00375015"/>
    <w:rsid w:val="003751BA"/>
    <w:rsid w:val="00375D69"/>
    <w:rsid w:val="003767CE"/>
    <w:rsid w:val="00376FAD"/>
    <w:rsid w:val="00377F71"/>
    <w:rsid w:val="00380F60"/>
    <w:rsid w:val="00382045"/>
    <w:rsid w:val="00383BAA"/>
    <w:rsid w:val="003855FD"/>
    <w:rsid w:val="00385AAC"/>
    <w:rsid w:val="00386E6E"/>
    <w:rsid w:val="00387EA8"/>
    <w:rsid w:val="00390CBD"/>
    <w:rsid w:val="00390F34"/>
    <w:rsid w:val="00391306"/>
    <w:rsid w:val="00391718"/>
    <w:rsid w:val="003918DF"/>
    <w:rsid w:val="00392780"/>
    <w:rsid w:val="00394A5A"/>
    <w:rsid w:val="003954AB"/>
    <w:rsid w:val="003955DC"/>
    <w:rsid w:val="003956E7"/>
    <w:rsid w:val="003956FD"/>
    <w:rsid w:val="00396149"/>
    <w:rsid w:val="00396227"/>
    <w:rsid w:val="003973B5"/>
    <w:rsid w:val="003A1146"/>
    <w:rsid w:val="003A2096"/>
    <w:rsid w:val="003A20F7"/>
    <w:rsid w:val="003A227A"/>
    <w:rsid w:val="003A255D"/>
    <w:rsid w:val="003A264A"/>
    <w:rsid w:val="003A3D74"/>
    <w:rsid w:val="003A42C2"/>
    <w:rsid w:val="003A46D8"/>
    <w:rsid w:val="003A4703"/>
    <w:rsid w:val="003A500E"/>
    <w:rsid w:val="003A530C"/>
    <w:rsid w:val="003A57A1"/>
    <w:rsid w:val="003A78D0"/>
    <w:rsid w:val="003A7932"/>
    <w:rsid w:val="003A7A03"/>
    <w:rsid w:val="003B0AF8"/>
    <w:rsid w:val="003B1723"/>
    <w:rsid w:val="003B3134"/>
    <w:rsid w:val="003B32A7"/>
    <w:rsid w:val="003B3D51"/>
    <w:rsid w:val="003B3E17"/>
    <w:rsid w:val="003B6C0A"/>
    <w:rsid w:val="003B76A2"/>
    <w:rsid w:val="003B7AD0"/>
    <w:rsid w:val="003C0955"/>
    <w:rsid w:val="003C0BEF"/>
    <w:rsid w:val="003C0E88"/>
    <w:rsid w:val="003C1733"/>
    <w:rsid w:val="003C2535"/>
    <w:rsid w:val="003C2772"/>
    <w:rsid w:val="003C31E0"/>
    <w:rsid w:val="003C34AC"/>
    <w:rsid w:val="003C5E64"/>
    <w:rsid w:val="003C60C2"/>
    <w:rsid w:val="003C71D4"/>
    <w:rsid w:val="003C753F"/>
    <w:rsid w:val="003D0106"/>
    <w:rsid w:val="003D046B"/>
    <w:rsid w:val="003D1CF6"/>
    <w:rsid w:val="003D2CC9"/>
    <w:rsid w:val="003D3044"/>
    <w:rsid w:val="003D3C5A"/>
    <w:rsid w:val="003D3E9F"/>
    <w:rsid w:val="003D483D"/>
    <w:rsid w:val="003D6192"/>
    <w:rsid w:val="003D6C43"/>
    <w:rsid w:val="003E11D9"/>
    <w:rsid w:val="003E28F6"/>
    <w:rsid w:val="003E4670"/>
    <w:rsid w:val="003E66F3"/>
    <w:rsid w:val="003E7A9D"/>
    <w:rsid w:val="003F0171"/>
    <w:rsid w:val="003F042C"/>
    <w:rsid w:val="003F0FE0"/>
    <w:rsid w:val="003F211D"/>
    <w:rsid w:val="003F244B"/>
    <w:rsid w:val="003F3034"/>
    <w:rsid w:val="003F34E3"/>
    <w:rsid w:val="003F37A5"/>
    <w:rsid w:val="003F489B"/>
    <w:rsid w:val="003F5159"/>
    <w:rsid w:val="003F5499"/>
    <w:rsid w:val="003F5615"/>
    <w:rsid w:val="003F5EBF"/>
    <w:rsid w:val="003F68E0"/>
    <w:rsid w:val="003F6ABC"/>
    <w:rsid w:val="003F6F8D"/>
    <w:rsid w:val="003F7FB6"/>
    <w:rsid w:val="004005AB"/>
    <w:rsid w:val="00401FC2"/>
    <w:rsid w:val="004024CE"/>
    <w:rsid w:val="00402E58"/>
    <w:rsid w:val="00402EB6"/>
    <w:rsid w:val="004030A2"/>
    <w:rsid w:val="0040435E"/>
    <w:rsid w:val="00404B8C"/>
    <w:rsid w:val="00404F96"/>
    <w:rsid w:val="00407D56"/>
    <w:rsid w:val="004109A3"/>
    <w:rsid w:val="00410CA7"/>
    <w:rsid w:val="0041189E"/>
    <w:rsid w:val="00412A8D"/>
    <w:rsid w:val="00413ACB"/>
    <w:rsid w:val="00413BDF"/>
    <w:rsid w:val="00413CAD"/>
    <w:rsid w:val="004143F2"/>
    <w:rsid w:val="00414849"/>
    <w:rsid w:val="004169B9"/>
    <w:rsid w:val="00417027"/>
    <w:rsid w:val="0041734E"/>
    <w:rsid w:val="004175AB"/>
    <w:rsid w:val="004179BB"/>
    <w:rsid w:val="00417A52"/>
    <w:rsid w:val="0042326A"/>
    <w:rsid w:val="00423F3F"/>
    <w:rsid w:val="004249C9"/>
    <w:rsid w:val="00426455"/>
    <w:rsid w:val="00427898"/>
    <w:rsid w:val="004278BF"/>
    <w:rsid w:val="00427FE7"/>
    <w:rsid w:val="004305CD"/>
    <w:rsid w:val="004318B9"/>
    <w:rsid w:val="00431CB3"/>
    <w:rsid w:val="004321AA"/>
    <w:rsid w:val="004323BF"/>
    <w:rsid w:val="0043275E"/>
    <w:rsid w:val="00432771"/>
    <w:rsid w:val="00434B50"/>
    <w:rsid w:val="0043525B"/>
    <w:rsid w:val="0043587E"/>
    <w:rsid w:val="004374D8"/>
    <w:rsid w:val="00440306"/>
    <w:rsid w:val="004405F4"/>
    <w:rsid w:val="00440ED9"/>
    <w:rsid w:val="00441318"/>
    <w:rsid w:val="004417F4"/>
    <w:rsid w:val="00442EE0"/>
    <w:rsid w:val="004436C0"/>
    <w:rsid w:val="00443BFC"/>
    <w:rsid w:val="00443CFC"/>
    <w:rsid w:val="004447B4"/>
    <w:rsid w:val="00445D21"/>
    <w:rsid w:val="0044637F"/>
    <w:rsid w:val="00446DEF"/>
    <w:rsid w:val="004470F6"/>
    <w:rsid w:val="00450707"/>
    <w:rsid w:val="00451AC6"/>
    <w:rsid w:val="00454138"/>
    <w:rsid w:val="00454E80"/>
    <w:rsid w:val="0045657B"/>
    <w:rsid w:val="0045704C"/>
    <w:rsid w:val="00457392"/>
    <w:rsid w:val="004608CA"/>
    <w:rsid w:val="00460F9E"/>
    <w:rsid w:val="0046162C"/>
    <w:rsid w:val="004618ED"/>
    <w:rsid w:val="004621D6"/>
    <w:rsid w:val="00463ECE"/>
    <w:rsid w:val="0046456F"/>
    <w:rsid w:val="004656EC"/>
    <w:rsid w:val="00465ABE"/>
    <w:rsid w:val="00465B5B"/>
    <w:rsid w:val="004663F0"/>
    <w:rsid w:val="00466689"/>
    <w:rsid w:val="0046670F"/>
    <w:rsid w:val="00466715"/>
    <w:rsid w:val="004668B3"/>
    <w:rsid w:val="004669DD"/>
    <w:rsid w:val="00467D0F"/>
    <w:rsid w:val="0047009C"/>
    <w:rsid w:val="00470301"/>
    <w:rsid w:val="0047081C"/>
    <w:rsid w:val="004721E7"/>
    <w:rsid w:val="004735C2"/>
    <w:rsid w:val="00473926"/>
    <w:rsid w:val="00473F98"/>
    <w:rsid w:val="004744F5"/>
    <w:rsid w:val="0047514F"/>
    <w:rsid w:val="0047536B"/>
    <w:rsid w:val="004816C4"/>
    <w:rsid w:val="004825EC"/>
    <w:rsid w:val="00482A91"/>
    <w:rsid w:val="00483789"/>
    <w:rsid w:val="00486DA3"/>
    <w:rsid w:val="00487950"/>
    <w:rsid w:val="00487ADB"/>
    <w:rsid w:val="00487DC6"/>
    <w:rsid w:val="00490086"/>
    <w:rsid w:val="0049014B"/>
    <w:rsid w:val="00490706"/>
    <w:rsid w:val="004913FB"/>
    <w:rsid w:val="00491F5A"/>
    <w:rsid w:val="00491FF6"/>
    <w:rsid w:val="00492CA9"/>
    <w:rsid w:val="00493C38"/>
    <w:rsid w:val="00494758"/>
    <w:rsid w:val="004956EB"/>
    <w:rsid w:val="00496BE2"/>
    <w:rsid w:val="00496FC6"/>
    <w:rsid w:val="00497DF9"/>
    <w:rsid w:val="004A0049"/>
    <w:rsid w:val="004A05AA"/>
    <w:rsid w:val="004A2628"/>
    <w:rsid w:val="004A27E2"/>
    <w:rsid w:val="004A2C0A"/>
    <w:rsid w:val="004A3CF1"/>
    <w:rsid w:val="004A3F5F"/>
    <w:rsid w:val="004A4B12"/>
    <w:rsid w:val="004A5CD2"/>
    <w:rsid w:val="004A6887"/>
    <w:rsid w:val="004A68B2"/>
    <w:rsid w:val="004A70CF"/>
    <w:rsid w:val="004A720D"/>
    <w:rsid w:val="004A72DF"/>
    <w:rsid w:val="004B004E"/>
    <w:rsid w:val="004B08F6"/>
    <w:rsid w:val="004B09AD"/>
    <w:rsid w:val="004B12FB"/>
    <w:rsid w:val="004B20C1"/>
    <w:rsid w:val="004B4DE2"/>
    <w:rsid w:val="004B5905"/>
    <w:rsid w:val="004B59C4"/>
    <w:rsid w:val="004B6868"/>
    <w:rsid w:val="004B6FB7"/>
    <w:rsid w:val="004B759F"/>
    <w:rsid w:val="004B7DC4"/>
    <w:rsid w:val="004B7EB8"/>
    <w:rsid w:val="004C0D08"/>
    <w:rsid w:val="004C1109"/>
    <w:rsid w:val="004C324F"/>
    <w:rsid w:val="004C3355"/>
    <w:rsid w:val="004C3F14"/>
    <w:rsid w:val="004C43C7"/>
    <w:rsid w:val="004C46D6"/>
    <w:rsid w:val="004C5B4A"/>
    <w:rsid w:val="004C5DC6"/>
    <w:rsid w:val="004C6F83"/>
    <w:rsid w:val="004D046B"/>
    <w:rsid w:val="004D076D"/>
    <w:rsid w:val="004D1046"/>
    <w:rsid w:val="004D1657"/>
    <w:rsid w:val="004D1AED"/>
    <w:rsid w:val="004D1D65"/>
    <w:rsid w:val="004D4003"/>
    <w:rsid w:val="004D40F3"/>
    <w:rsid w:val="004D60F1"/>
    <w:rsid w:val="004D61AE"/>
    <w:rsid w:val="004D670B"/>
    <w:rsid w:val="004D75AA"/>
    <w:rsid w:val="004D7E8E"/>
    <w:rsid w:val="004D7F74"/>
    <w:rsid w:val="004E2958"/>
    <w:rsid w:val="004E33E7"/>
    <w:rsid w:val="004E3CF0"/>
    <w:rsid w:val="004E3D87"/>
    <w:rsid w:val="004E4715"/>
    <w:rsid w:val="004E5109"/>
    <w:rsid w:val="004E5C23"/>
    <w:rsid w:val="004E7049"/>
    <w:rsid w:val="004E7459"/>
    <w:rsid w:val="004E7E8D"/>
    <w:rsid w:val="004F1E50"/>
    <w:rsid w:val="004F2982"/>
    <w:rsid w:val="004F4D77"/>
    <w:rsid w:val="004F525C"/>
    <w:rsid w:val="004F6489"/>
    <w:rsid w:val="004F650B"/>
    <w:rsid w:val="004F650F"/>
    <w:rsid w:val="004F6D46"/>
    <w:rsid w:val="004F7D40"/>
    <w:rsid w:val="00500B45"/>
    <w:rsid w:val="00501FB5"/>
    <w:rsid w:val="0050291F"/>
    <w:rsid w:val="00502F0C"/>
    <w:rsid w:val="00504343"/>
    <w:rsid w:val="0050494C"/>
    <w:rsid w:val="00504C58"/>
    <w:rsid w:val="00505C2B"/>
    <w:rsid w:val="00507863"/>
    <w:rsid w:val="005109BB"/>
    <w:rsid w:val="005115C1"/>
    <w:rsid w:val="00511DD2"/>
    <w:rsid w:val="0051248D"/>
    <w:rsid w:val="00512501"/>
    <w:rsid w:val="00512E36"/>
    <w:rsid w:val="00513277"/>
    <w:rsid w:val="00513BA8"/>
    <w:rsid w:val="00514329"/>
    <w:rsid w:val="00514FE4"/>
    <w:rsid w:val="00515B27"/>
    <w:rsid w:val="00516357"/>
    <w:rsid w:val="00517B59"/>
    <w:rsid w:val="00517B9B"/>
    <w:rsid w:val="00520F2C"/>
    <w:rsid w:val="0052229B"/>
    <w:rsid w:val="00523509"/>
    <w:rsid w:val="00524137"/>
    <w:rsid w:val="005244AF"/>
    <w:rsid w:val="00524560"/>
    <w:rsid w:val="005245A8"/>
    <w:rsid w:val="00524A45"/>
    <w:rsid w:val="00524D8D"/>
    <w:rsid w:val="0052559E"/>
    <w:rsid w:val="00525EAE"/>
    <w:rsid w:val="00526A7B"/>
    <w:rsid w:val="00527732"/>
    <w:rsid w:val="00527739"/>
    <w:rsid w:val="00530DB1"/>
    <w:rsid w:val="00530FB8"/>
    <w:rsid w:val="00533255"/>
    <w:rsid w:val="00533515"/>
    <w:rsid w:val="00534666"/>
    <w:rsid w:val="0053468F"/>
    <w:rsid w:val="005346D6"/>
    <w:rsid w:val="00534DF1"/>
    <w:rsid w:val="00534E98"/>
    <w:rsid w:val="00534F98"/>
    <w:rsid w:val="00535167"/>
    <w:rsid w:val="00535D57"/>
    <w:rsid w:val="005361C6"/>
    <w:rsid w:val="00536976"/>
    <w:rsid w:val="005375A5"/>
    <w:rsid w:val="00540D96"/>
    <w:rsid w:val="00542BA9"/>
    <w:rsid w:val="00542DF3"/>
    <w:rsid w:val="0054412C"/>
    <w:rsid w:val="00547013"/>
    <w:rsid w:val="00547B1D"/>
    <w:rsid w:val="00550FD2"/>
    <w:rsid w:val="00550FE7"/>
    <w:rsid w:val="00551194"/>
    <w:rsid w:val="00551731"/>
    <w:rsid w:val="00551A70"/>
    <w:rsid w:val="00552C11"/>
    <w:rsid w:val="00554341"/>
    <w:rsid w:val="005548D3"/>
    <w:rsid w:val="00554AA3"/>
    <w:rsid w:val="00554F52"/>
    <w:rsid w:val="00555A8A"/>
    <w:rsid w:val="0055678B"/>
    <w:rsid w:val="00556DB3"/>
    <w:rsid w:val="00561261"/>
    <w:rsid w:val="0056135E"/>
    <w:rsid w:val="00561FFD"/>
    <w:rsid w:val="00562F81"/>
    <w:rsid w:val="00563A97"/>
    <w:rsid w:val="00563F90"/>
    <w:rsid w:val="005641DE"/>
    <w:rsid w:val="00564368"/>
    <w:rsid w:val="00565D32"/>
    <w:rsid w:val="005703FF"/>
    <w:rsid w:val="00571369"/>
    <w:rsid w:val="00571553"/>
    <w:rsid w:val="00571C1D"/>
    <w:rsid w:val="00572463"/>
    <w:rsid w:val="0057274E"/>
    <w:rsid w:val="00573127"/>
    <w:rsid w:val="005737E6"/>
    <w:rsid w:val="00573846"/>
    <w:rsid w:val="00573F7C"/>
    <w:rsid w:val="005743D4"/>
    <w:rsid w:val="005756A7"/>
    <w:rsid w:val="005756EB"/>
    <w:rsid w:val="00576FF0"/>
    <w:rsid w:val="00577D6C"/>
    <w:rsid w:val="0058054C"/>
    <w:rsid w:val="00580DB2"/>
    <w:rsid w:val="00581984"/>
    <w:rsid w:val="0058264D"/>
    <w:rsid w:val="00583895"/>
    <w:rsid w:val="00584451"/>
    <w:rsid w:val="0058477E"/>
    <w:rsid w:val="00584D11"/>
    <w:rsid w:val="0058586B"/>
    <w:rsid w:val="00585ED3"/>
    <w:rsid w:val="00585F0D"/>
    <w:rsid w:val="00586042"/>
    <w:rsid w:val="00590D2A"/>
    <w:rsid w:val="00592A99"/>
    <w:rsid w:val="00593243"/>
    <w:rsid w:val="00594F62"/>
    <w:rsid w:val="00597191"/>
    <w:rsid w:val="0059778D"/>
    <w:rsid w:val="005A0263"/>
    <w:rsid w:val="005A08E8"/>
    <w:rsid w:val="005A2912"/>
    <w:rsid w:val="005A363A"/>
    <w:rsid w:val="005A4AFA"/>
    <w:rsid w:val="005A5834"/>
    <w:rsid w:val="005A6728"/>
    <w:rsid w:val="005A67EC"/>
    <w:rsid w:val="005A7C00"/>
    <w:rsid w:val="005B0263"/>
    <w:rsid w:val="005B088A"/>
    <w:rsid w:val="005B0F31"/>
    <w:rsid w:val="005B0F7D"/>
    <w:rsid w:val="005B1090"/>
    <w:rsid w:val="005B1C0D"/>
    <w:rsid w:val="005B2942"/>
    <w:rsid w:val="005B2CBC"/>
    <w:rsid w:val="005B2D17"/>
    <w:rsid w:val="005B3D03"/>
    <w:rsid w:val="005B4182"/>
    <w:rsid w:val="005B4688"/>
    <w:rsid w:val="005B4D7C"/>
    <w:rsid w:val="005B630D"/>
    <w:rsid w:val="005B730B"/>
    <w:rsid w:val="005B7E9A"/>
    <w:rsid w:val="005C1FBD"/>
    <w:rsid w:val="005C2327"/>
    <w:rsid w:val="005C3D12"/>
    <w:rsid w:val="005C3EB0"/>
    <w:rsid w:val="005C4418"/>
    <w:rsid w:val="005C60CB"/>
    <w:rsid w:val="005C6231"/>
    <w:rsid w:val="005C67E7"/>
    <w:rsid w:val="005C75E5"/>
    <w:rsid w:val="005C7EB9"/>
    <w:rsid w:val="005C7F0E"/>
    <w:rsid w:val="005D01BC"/>
    <w:rsid w:val="005D056A"/>
    <w:rsid w:val="005D082C"/>
    <w:rsid w:val="005D0DFE"/>
    <w:rsid w:val="005D2663"/>
    <w:rsid w:val="005D282C"/>
    <w:rsid w:val="005D3277"/>
    <w:rsid w:val="005D550D"/>
    <w:rsid w:val="005D5D2F"/>
    <w:rsid w:val="005D61C3"/>
    <w:rsid w:val="005D62CB"/>
    <w:rsid w:val="005D64C6"/>
    <w:rsid w:val="005D660D"/>
    <w:rsid w:val="005D6CBA"/>
    <w:rsid w:val="005E0B55"/>
    <w:rsid w:val="005E17D7"/>
    <w:rsid w:val="005E19B8"/>
    <w:rsid w:val="005E1D88"/>
    <w:rsid w:val="005E281E"/>
    <w:rsid w:val="005E2A50"/>
    <w:rsid w:val="005E3186"/>
    <w:rsid w:val="005E38B1"/>
    <w:rsid w:val="005E3DAE"/>
    <w:rsid w:val="005E5299"/>
    <w:rsid w:val="005E579A"/>
    <w:rsid w:val="005E6256"/>
    <w:rsid w:val="005E6531"/>
    <w:rsid w:val="005E7BE7"/>
    <w:rsid w:val="005F0879"/>
    <w:rsid w:val="005F16DA"/>
    <w:rsid w:val="005F19CF"/>
    <w:rsid w:val="005F1C0F"/>
    <w:rsid w:val="005F2D82"/>
    <w:rsid w:val="005F3744"/>
    <w:rsid w:val="005F3E9E"/>
    <w:rsid w:val="005F53B1"/>
    <w:rsid w:val="005F5D71"/>
    <w:rsid w:val="005F65D4"/>
    <w:rsid w:val="005F7510"/>
    <w:rsid w:val="005F753C"/>
    <w:rsid w:val="006006A5"/>
    <w:rsid w:val="006013C5"/>
    <w:rsid w:val="0060240D"/>
    <w:rsid w:val="00602A0A"/>
    <w:rsid w:val="00602DA4"/>
    <w:rsid w:val="00603296"/>
    <w:rsid w:val="0060490D"/>
    <w:rsid w:val="006074AE"/>
    <w:rsid w:val="0060770F"/>
    <w:rsid w:val="006110A8"/>
    <w:rsid w:val="00611F52"/>
    <w:rsid w:val="00612476"/>
    <w:rsid w:val="00612B61"/>
    <w:rsid w:val="00614531"/>
    <w:rsid w:val="00614BCC"/>
    <w:rsid w:val="00615095"/>
    <w:rsid w:val="00615C21"/>
    <w:rsid w:val="0061627E"/>
    <w:rsid w:val="006163FD"/>
    <w:rsid w:val="0061717E"/>
    <w:rsid w:val="006179C7"/>
    <w:rsid w:val="00621744"/>
    <w:rsid w:val="00621EA1"/>
    <w:rsid w:val="00622DBB"/>
    <w:rsid w:val="00623510"/>
    <w:rsid w:val="00624769"/>
    <w:rsid w:val="006249B4"/>
    <w:rsid w:val="0062516B"/>
    <w:rsid w:val="00625DFB"/>
    <w:rsid w:val="00627914"/>
    <w:rsid w:val="00630283"/>
    <w:rsid w:val="006304A3"/>
    <w:rsid w:val="006311E5"/>
    <w:rsid w:val="00631348"/>
    <w:rsid w:val="0063166D"/>
    <w:rsid w:val="0063200B"/>
    <w:rsid w:val="006333DA"/>
    <w:rsid w:val="006334C2"/>
    <w:rsid w:val="0063359B"/>
    <w:rsid w:val="006338D0"/>
    <w:rsid w:val="00633B23"/>
    <w:rsid w:val="00634364"/>
    <w:rsid w:val="00634A91"/>
    <w:rsid w:val="00635993"/>
    <w:rsid w:val="00635AEF"/>
    <w:rsid w:val="0063665C"/>
    <w:rsid w:val="00637461"/>
    <w:rsid w:val="0064145B"/>
    <w:rsid w:val="00641791"/>
    <w:rsid w:val="00643721"/>
    <w:rsid w:val="0064385D"/>
    <w:rsid w:val="00643F28"/>
    <w:rsid w:val="00644AE3"/>
    <w:rsid w:val="00644EC3"/>
    <w:rsid w:val="00644F08"/>
    <w:rsid w:val="00645E62"/>
    <w:rsid w:val="00645FFE"/>
    <w:rsid w:val="006464DA"/>
    <w:rsid w:val="00647C0E"/>
    <w:rsid w:val="006510A9"/>
    <w:rsid w:val="00652576"/>
    <w:rsid w:val="00652DD9"/>
    <w:rsid w:val="006541A4"/>
    <w:rsid w:val="006543D0"/>
    <w:rsid w:val="006545B2"/>
    <w:rsid w:val="006562FD"/>
    <w:rsid w:val="006564D4"/>
    <w:rsid w:val="00657641"/>
    <w:rsid w:val="006629AC"/>
    <w:rsid w:val="00664764"/>
    <w:rsid w:val="0066587A"/>
    <w:rsid w:val="0066665D"/>
    <w:rsid w:val="0066775B"/>
    <w:rsid w:val="00667C2E"/>
    <w:rsid w:val="0067013C"/>
    <w:rsid w:val="00670968"/>
    <w:rsid w:val="00670C7D"/>
    <w:rsid w:val="00671A3B"/>
    <w:rsid w:val="00672755"/>
    <w:rsid w:val="006729C7"/>
    <w:rsid w:val="0067326D"/>
    <w:rsid w:val="006757AD"/>
    <w:rsid w:val="00676E10"/>
    <w:rsid w:val="00676F3B"/>
    <w:rsid w:val="00681CD5"/>
    <w:rsid w:val="00682131"/>
    <w:rsid w:val="00682B05"/>
    <w:rsid w:val="00683101"/>
    <w:rsid w:val="0068327E"/>
    <w:rsid w:val="006832E9"/>
    <w:rsid w:val="006839E4"/>
    <w:rsid w:val="00683E17"/>
    <w:rsid w:val="00684F3C"/>
    <w:rsid w:val="00685F18"/>
    <w:rsid w:val="0068637C"/>
    <w:rsid w:val="00686EAD"/>
    <w:rsid w:val="00687D85"/>
    <w:rsid w:val="00694494"/>
    <w:rsid w:val="00694F5D"/>
    <w:rsid w:val="0069510F"/>
    <w:rsid w:val="006952DB"/>
    <w:rsid w:val="006956A7"/>
    <w:rsid w:val="00695E00"/>
    <w:rsid w:val="00695E10"/>
    <w:rsid w:val="00697248"/>
    <w:rsid w:val="0069759E"/>
    <w:rsid w:val="00697BE4"/>
    <w:rsid w:val="006A06EF"/>
    <w:rsid w:val="006A169E"/>
    <w:rsid w:val="006A1D0A"/>
    <w:rsid w:val="006A1E6B"/>
    <w:rsid w:val="006A326F"/>
    <w:rsid w:val="006A3D29"/>
    <w:rsid w:val="006A5DEA"/>
    <w:rsid w:val="006A69F8"/>
    <w:rsid w:val="006A7C2E"/>
    <w:rsid w:val="006B01E3"/>
    <w:rsid w:val="006B03D2"/>
    <w:rsid w:val="006B04BF"/>
    <w:rsid w:val="006B1264"/>
    <w:rsid w:val="006B1AE3"/>
    <w:rsid w:val="006B29FC"/>
    <w:rsid w:val="006B4256"/>
    <w:rsid w:val="006B4547"/>
    <w:rsid w:val="006B4FEE"/>
    <w:rsid w:val="006B61B7"/>
    <w:rsid w:val="006B701F"/>
    <w:rsid w:val="006C145E"/>
    <w:rsid w:val="006C27C7"/>
    <w:rsid w:val="006C2CD2"/>
    <w:rsid w:val="006C3383"/>
    <w:rsid w:val="006C34D7"/>
    <w:rsid w:val="006C4690"/>
    <w:rsid w:val="006C4A99"/>
    <w:rsid w:val="006C4DC9"/>
    <w:rsid w:val="006C5D79"/>
    <w:rsid w:val="006C7A63"/>
    <w:rsid w:val="006C7F8C"/>
    <w:rsid w:val="006D18C4"/>
    <w:rsid w:val="006D1A10"/>
    <w:rsid w:val="006D1C2E"/>
    <w:rsid w:val="006D25A1"/>
    <w:rsid w:val="006D2A99"/>
    <w:rsid w:val="006D45A8"/>
    <w:rsid w:val="006D4B13"/>
    <w:rsid w:val="006D50F0"/>
    <w:rsid w:val="006D5BCB"/>
    <w:rsid w:val="006D6525"/>
    <w:rsid w:val="006D7BE7"/>
    <w:rsid w:val="006D7E91"/>
    <w:rsid w:val="006E01DF"/>
    <w:rsid w:val="006E0EA0"/>
    <w:rsid w:val="006E111D"/>
    <w:rsid w:val="006E14E4"/>
    <w:rsid w:val="006E2318"/>
    <w:rsid w:val="006E3890"/>
    <w:rsid w:val="006E3980"/>
    <w:rsid w:val="006E472E"/>
    <w:rsid w:val="006E5064"/>
    <w:rsid w:val="006E698D"/>
    <w:rsid w:val="006E6ECC"/>
    <w:rsid w:val="006F00E2"/>
    <w:rsid w:val="006F086A"/>
    <w:rsid w:val="006F0933"/>
    <w:rsid w:val="006F1F6C"/>
    <w:rsid w:val="006F206A"/>
    <w:rsid w:val="006F26C9"/>
    <w:rsid w:val="006F31FB"/>
    <w:rsid w:val="006F3878"/>
    <w:rsid w:val="006F3F97"/>
    <w:rsid w:val="006F4436"/>
    <w:rsid w:val="006F45D3"/>
    <w:rsid w:val="006F4AD9"/>
    <w:rsid w:val="006F4C6C"/>
    <w:rsid w:val="006F4F27"/>
    <w:rsid w:val="006F5758"/>
    <w:rsid w:val="006F682E"/>
    <w:rsid w:val="00700361"/>
    <w:rsid w:val="00701FB5"/>
    <w:rsid w:val="00702835"/>
    <w:rsid w:val="007030C9"/>
    <w:rsid w:val="00703725"/>
    <w:rsid w:val="00703E86"/>
    <w:rsid w:val="007046A1"/>
    <w:rsid w:val="007046FE"/>
    <w:rsid w:val="007050A7"/>
    <w:rsid w:val="0070789F"/>
    <w:rsid w:val="00710A18"/>
    <w:rsid w:val="007114E7"/>
    <w:rsid w:val="00712C45"/>
    <w:rsid w:val="00712C96"/>
    <w:rsid w:val="00713162"/>
    <w:rsid w:val="0071359F"/>
    <w:rsid w:val="00714D8F"/>
    <w:rsid w:val="0071514E"/>
    <w:rsid w:val="00720AF7"/>
    <w:rsid w:val="00721288"/>
    <w:rsid w:val="007224D7"/>
    <w:rsid w:val="0072422F"/>
    <w:rsid w:val="0072458F"/>
    <w:rsid w:val="00724BF5"/>
    <w:rsid w:val="007256CD"/>
    <w:rsid w:val="007264B7"/>
    <w:rsid w:val="00726D05"/>
    <w:rsid w:val="007279D4"/>
    <w:rsid w:val="00730C03"/>
    <w:rsid w:val="00731EF4"/>
    <w:rsid w:val="00733181"/>
    <w:rsid w:val="00733F51"/>
    <w:rsid w:val="007341CA"/>
    <w:rsid w:val="00734CB3"/>
    <w:rsid w:val="0073581F"/>
    <w:rsid w:val="00740435"/>
    <w:rsid w:val="00740878"/>
    <w:rsid w:val="00741B3E"/>
    <w:rsid w:val="00742541"/>
    <w:rsid w:val="00743923"/>
    <w:rsid w:val="00743C81"/>
    <w:rsid w:val="00743EE4"/>
    <w:rsid w:val="007441EA"/>
    <w:rsid w:val="0074437A"/>
    <w:rsid w:val="00744BC8"/>
    <w:rsid w:val="00745EE7"/>
    <w:rsid w:val="00746F1C"/>
    <w:rsid w:val="00746F31"/>
    <w:rsid w:val="00747242"/>
    <w:rsid w:val="00747CA5"/>
    <w:rsid w:val="0075007A"/>
    <w:rsid w:val="0075054A"/>
    <w:rsid w:val="00751696"/>
    <w:rsid w:val="0075407C"/>
    <w:rsid w:val="00754442"/>
    <w:rsid w:val="0075451C"/>
    <w:rsid w:val="00756AB9"/>
    <w:rsid w:val="007600B9"/>
    <w:rsid w:val="00762925"/>
    <w:rsid w:val="00762C69"/>
    <w:rsid w:val="00762D11"/>
    <w:rsid w:val="00763F91"/>
    <w:rsid w:val="00764067"/>
    <w:rsid w:val="00764880"/>
    <w:rsid w:val="00765262"/>
    <w:rsid w:val="00766DEC"/>
    <w:rsid w:val="00770B87"/>
    <w:rsid w:val="00771599"/>
    <w:rsid w:val="0077173E"/>
    <w:rsid w:val="007719FE"/>
    <w:rsid w:val="00772306"/>
    <w:rsid w:val="00772589"/>
    <w:rsid w:val="00773C68"/>
    <w:rsid w:val="00773EF1"/>
    <w:rsid w:val="00776067"/>
    <w:rsid w:val="00780468"/>
    <w:rsid w:val="00781E19"/>
    <w:rsid w:val="00781F8F"/>
    <w:rsid w:val="00782FB8"/>
    <w:rsid w:val="0078318F"/>
    <w:rsid w:val="00783482"/>
    <w:rsid w:val="00783D88"/>
    <w:rsid w:val="007843B2"/>
    <w:rsid w:val="0078475D"/>
    <w:rsid w:val="00790F5F"/>
    <w:rsid w:val="00791B16"/>
    <w:rsid w:val="00792B6C"/>
    <w:rsid w:val="007937FF"/>
    <w:rsid w:val="00794356"/>
    <w:rsid w:val="00794852"/>
    <w:rsid w:val="00794D21"/>
    <w:rsid w:val="00794DB2"/>
    <w:rsid w:val="00795AB0"/>
    <w:rsid w:val="0079633E"/>
    <w:rsid w:val="00797CD6"/>
    <w:rsid w:val="00797E04"/>
    <w:rsid w:val="007A1671"/>
    <w:rsid w:val="007A1B24"/>
    <w:rsid w:val="007A1E76"/>
    <w:rsid w:val="007A33AD"/>
    <w:rsid w:val="007A5258"/>
    <w:rsid w:val="007A52BD"/>
    <w:rsid w:val="007A5580"/>
    <w:rsid w:val="007A5C59"/>
    <w:rsid w:val="007A689A"/>
    <w:rsid w:val="007A716B"/>
    <w:rsid w:val="007A7C87"/>
    <w:rsid w:val="007B0642"/>
    <w:rsid w:val="007B14FF"/>
    <w:rsid w:val="007B16AF"/>
    <w:rsid w:val="007B1C93"/>
    <w:rsid w:val="007B2083"/>
    <w:rsid w:val="007B25CE"/>
    <w:rsid w:val="007B4B2D"/>
    <w:rsid w:val="007B5148"/>
    <w:rsid w:val="007B682D"/>
    <w:rsid w:val="007B6A5A"/>
    <w:rsid w:val="007B6B94"/>
    <w:rsid w:val="007B6F15"/>
    <w:rsid w:val="007B7CD4"/>
    <w:rsid w:val="007C0860"/>
    <w:rsid w:val="007C0F57"/>
    <w:rsid w:val="007C1BCF"/>
    <w:rsid w:val="007C1EFC"/>
    <w:rsid w:val="007C27E2"/>
    <w:rsid w:val="007C2924"/>
    <w:rsid w:val="007C2BD1"/>
    <w:rsid w:val="007C3322"/>
    <w:rsid w:val="007C3CBA"/>
    <w:rsid w:val="007C47EA"/>
    <w:rsid w:val="007C7D00"/>
    <w:rsid w:val="007D0631"/>
    <w:rsid w:val="007D0CBE"/>
    <w:rsid w:val="007D210C"/>
    <w:rsid w:val="007D41F2"/>
    <w:rsid w:val="007D5152"/>
    <w:rsid w:val="007D5492"/>
    <w:rsid w:val="007E0ABB"/>
    <w:rsid w:val="007E2A9C"/>
    <w:rsid w:val="007E2DFC"/>
    <w:rsid w:val="007E353B"/>
    <w:rsid w:val="007E3B72"/>
    <w:rsid w:val="007E3BBE"/>
    <w:rsid w:val="007E3CD0"/>
    <w:rsid w:val="007E486A"/>
    <w:rsid w:val="007E5263"/>
    <w:rsid w:val="007E591F"/>
    <w:rsid w:val="007E6F6B"/>
    <w:rsid w:val="007E7001"/>
    <w:rsid w:val="007E713D"/>
    <w:rsid w:val="007E7AE2"/>
    <w:rsid w:val="007F04F0"/>
    <w:rsid w:val="007F0947"/>
    <w:rsid w:val="007F248D"/>
    <w:rsid w:val="007F2CD9"/>
    <w:rsid w:val="007F36FA"/>
    <w:rsid w:val="007F405F"/>
    <w:rsid w:val="007F43F7"/>
    <w:rsid w:val="007F4D29"/>
    <w:rsid w:val="007F6A01"/>
    <w:rsid w:val="007F706C"/>
    <w:rsid w:val="007F7546"/>
    <w:rsid w:val="007F796D"/>
    <w:rsid w:val="007F7DC3"/>
    <w:rsid w:val="0080095F"/>
    <w:rsid w:val="00800BDE"/>
    <w:rsid w:val="008011E5"/>
    <w:rsid w:val="00801CDC"/>
    <w:rsid w:val="008024F3"/>
    <w:rsid w:val="008031D9"/>
    <w:rsid w:val="00803832"/>
    <w:rsid w:val="00807078"/>
    <w:rsid w:val="0080708D"/>
    <w:rsid w:val="00810647"/>
    <w:rsid w:val="00811716"/>
    <w:rsid w:val="008150A0"/>
    <w:rsid w:val="00815790"/>
    <w:rsid w:val="00815B7D"/>
    <w:rsid w:val="00816916"/>
    <w:rsid w:val="008171E8"/>
    <w:rsid w:val="0081748B"/>
    <w:rsid w:val="00820530"/>
    <w:rsid w:val="00820533"/>
    <w:rsid w:val="00820B73"/>
    <w:rsid w:val="00820E65"/>
    <w:rsid w:val="00821452"/>
    <w:rsid w:val="008223EB"/>
    <w:rsid w:val="008224E9"/>
    <w:rsid w:val="008230B3"/>
    <w:rsid w:val="0082399B"/>
    <w:rsid w:val="00823CE0"/>
    <w:rsid w:val="00825017"/>
    <w:rsid w:val="008250A6"/>
    <w:rsid w:val="0082608C"/>
    <w:rsid w:val="00826F7B"/>
    <w:rsid w:val="008272C3"/>
    <w:rsid w:val="00827FB6"/>
    <w:rsid w:val="00831615"/>
    <w:rsid w:val="00834EFF"/>
    <w:rsid w:val="00836191"/>
    <w:rsid w:val="00840C36"/>
    <w:rsid w:val="0084388F"/>
    <w:rsid w:val="00845FDC"/>
    <w:rsid w:val="0084724F"/>
    <w:rsid w:val="00847338"/>
    <w:rsid w:val="00847BD3"/>
    <w:rsid w:val="00851E4E"/>
    <w:rsid w:val="00851EF8"/>
    <w:rsid w:val="00851F0C"/>
    <w:rsid w:val="00852AE4"/>
    <w:rsid w:val="00852C48"/>
    <w:rsid w:val="0085325A"/>
    <w:rsid w:val="00853E07"/>
    <w:rsid w:val="00853E0E"/>
    <w:rsid w:val="00854903"/>
    <w:rsid w:val="00854AD0"/>
    <w:rsid w:val="008552E6"/>
    <w:rsid w:val="0085610C"/>
    <w:rsid w:val="00856390"/>
    <w:rsid w:val="0085640D"/>
    <w:rsid w:val="00856DAE"/>
    <w:rsid w:val="0086030A"/>
    <w:rsid w:val="00860EFE"/>
    <w:rsid w:val="008639B2"/>
    <w:rsid w:val="00864718"/>
    <w:rsid w:val="00864C8F"/>
    <w:rsid w:val="008658D2"/>
    <w:rsid w:val="008679F9"/>
    <w:rsid w:val="00867DC6"/>
    <w:rsid w:val="008704FD"/>
    <w:rsid w:val="00870AD7"/>
    <w:rsid w:val="0087125A"/>
    <w:rsid w:val="008718C2"/>
    <w:rsid w:val="00871A00"/>
    <w:rsid w:val="00871AD0"/>
    <w:rsid w:val="008731EE"/>
    <w:rsid w:val="00873391"/>
    <w:rsid w:val="00873CC4"/>
    <w:rsid w:val="008756E9"/>
    <w:rsid w:val="00875A87"/>
    <w:rsid w:val="00876339"/>
    <w:rsid w:val="008802F8"/>
    <w:rsid w:val="008803CC"/>
    <w:rsid w:val="00880A20"/>
    <w:rsid w:val="00880D6A"/>
    <w:rsid w:val="00882293"/>
    <w:rsid w:val="0088378F"/>
    <w:rsid w:val="008842D1"/>
    <w:rsid w:val="00884B60"/>
    <w:rsid w:val="0088523F"/>
    <w:rsid w:val="00887323"/>
    <w:rsid w:val="00890D64"/>
    <w:rsid w:val="00890DBA"/>
    <w:rsid w:val="00894FD1"/>
    <w:rsid w:val="008965B9"/>
    <w:rsid w:val="008A1358"/>
    <w:rsid w:val="008A18D3"/>
    <w:rsid w:val="008A1AFE"/>
    <w:rsid w:val="008A2E6B"/>
    <w:rsid w:val="008A2F73"/>
    <w:rsid w:val="008A2FEE"/>
    <w:rsid w:val="008A39AB"/>
    <w:rsid w:val="008A5284"/>
    <w:rsid w:val="008A587F"/>
    <w:rsid w:val="008A59FA"/>
    <w:rsid w:val="008A6545"/>
    <w:rsid w:val="008A6E17"/>
    <w:rsid w:val="008A7291"/>
    <w:rsid w:val="008B07F6"/>
    <w:rsid w:val="008B0B37"/>
    <w:rsid w:val="008B0C95"/>
    <w:rsid w:val="008B183E"/>
    <w:rsid w:val="008B1A47"/>
    <w:rsid w:val="008B2255"/>
    <w:rsid w:val="008B26CF"/>
    <w:rsid w:val="008B2E77"/>
    <w:rsid w:val="008B3D0E"/>
    <w:rsid w:val="008B5E99"/>
    <w:rsid w:val="008B7007"/>
    <w:rsid w:val="008B7716"/>
    <w:rsid w:val="008C088E"/>
    <w:rsid w:val="008C105F"/>
    <w:rsid w:val="008C17A9"/>
    <w:rsid w:val="008C3ACF"/>
    <w:rsid w:val="008C4769"/>
    <w:rsid w:val="008C5AF5"/>
    <w:rsid w:val="008C6095"/>
    <w:rsid w:val="008C6E59"/>
    <w:rsid w:val="008D0060"/>
    <w:rsid w:val="008D0550"/>
    <w:rsid w:val="008D16EB"/>
    <w:rsid w:val="008D20A5"/>
    <w:rsid w:val="008D27FE"/>
    <w:rsid w:val="008D29DF"/>
    <w:rsid w:val="008D2EFD"/>
    <w:rsid w:val="008D34FF"/>
    <w:rsid w:val="008D4D18"/>
    <w:rsid w:val="008D539F"/>
    <w:rsid w:val="008D584B"/>
    <w:rsid w:val="008D5E7C"/>
    <w:rsid w:val="008D68E8"/>
    <w:rsid w:val="008D7C28"/>
    <w:rsid w:val="008E0926"/>
    <w:rsid w:val="008E155C"/>
    <w:rsid w:val="008E1C9A"/>
    <w:rsid w:val="008E1F5D"/>
    <w:rsid w:val="008E29AE"/>
    <w:rsid w:val="008E46CF"/>
    <w:rsid w:val="008E5501"/>
    <w:rsid w:val="008E551E"/>
    <w:rsid w:val="008E6760"/>
    <w:rsid w:val="008E7998"/>
    <w:rsid w:val="008E7B4F"/>
    <w:rsid w:val="008F00DC"/>
    <w:rsid w:val="008F0C4A"/>
    <w:rsid w:val="008F3270"/>
    <w:rsid w:val="008F43E4"/>
    <w:rsid w:val="008F44CE"/>
    <w:rsid w:val="008F5D40"/>
    <w:rsid w:val="008F7723"/>
    <w:rsid w:val="0090004F"/>
    <w:rsid w:val="009005F0"/>
    <w:rsid w:val="00900A1F"/>
    <w:rsid w:val="009019D8"/>
    <w:rsid w:val="00902CA5"/>
    <w:rsid w:val="00902F0A"/>
    <w:rsid w:val="00903A53"/>
    <w:rsid w:val="00904F65"/>
    <w:rsid w:val="0090592C"/>
    <w:rsid w:val="00905C77"/>
    <w:rsid w:val="00905F06"/>
    <w:rsid w:val="00905F83"/>
    <w:rsid w:val="00906D94"/>
    <w:rsid w:val="00906EEE"/>
    <w:rsid w:val="00914FEE"/>
    <w:rsid w:val="00915C63"/>
    <w:rsid w:val="00920C90"/>
    <w:rsid w:val="009211C3"/>
    <w:rsid w:val="00921775"/>
    <w:rsid w:val="00921A91"/>
    <w:rsid w:val="00921CFE"/>
    <w:rsid w:val="00923EDF"/>
    <w:rsid w:val="00924108"/>
    <w:rsid w:val="00924E7E"/>
    <w:rsid w:val="00925389"/>
    <w:rsid w:val="00926B49"/>
    <w:rsid w:val="00926E8E"/>
    <w:rsid w:val="009313CF"/>
    <w:rsid w:val="0093167F"/>
    <w:rsid w:val="0093181D"/>
    <w:rsid w:val="00932300"/>
    <w:rsid w:val="00932335"/>
    <w:rsid w:val="00932595"/>
    <w:rsid w:val="0093450D"/>
    <w:rsid w:val="00936309"/>
    <w:rsid w:val="009365F7"/>
    <w:rsid w:val="00936863"/>
    <w:rsid w:val="00936AA9"/>
    <w:rsid w:val="00936CD9"/>
    <w:rsid w:val="00936F60"/>
    <w:rsid w:val="00936FB8"/>
    <w:rsid w:val="00937B31"/>
    <w:rsid w:val="00937C90"/>
    <w:rsid w:val="00937E0A"/>
    <w:rsid w:val="009400A7"/>
    <w:rsid w:val="00941E7B"/>
    <w:rsid w:val="0094349D"/>
    <w:rsid w:val="0094752F"/>
    <w:rsid w:val="00947F5B"/>
    <w:rsid w:val="009502B9"/>
    <w:rsid w:val="009504C7"/>
    <w:rsid w:val="00954246"/>
    <w:rsid w:val="00955447"/>
    <w:rsid w:val="00957E02"/>
    <w:rsid w:val="00960F80"/>
    <w:rsid w:val="009620E4"/>
    <w:rsid w:val="00962255"/>
    <w:rsid w:val="00962CE1"/>
    <w:rsid w:val="009644F9"/>
    <w:rsid w:val="009654A2"/>
    <w:rsid w:val="009655E9"/>
    <w:rsid w:val="00965DD2"/>
    <w:rsid w:val="0096608C"/>
    <w:rsid w:val="00966D70"/>
    <w:rsid w:val="009677AB"/>
    <w:rsid w:val="0097097C"/>
    <w:rsid w:val="009726ED"/>
    <w:rsid w:val="00972760"/>
    <w:rsid w:val="00973435"/>
    <w:rsid w:val="00973BD5"/>
    <w:rsid w:val="00973C39"/>
    <w:rsid w:val="0098045F"/>
    <w:rsid w:val="00982650"/>
    <w:rsid w:val="00983550"/>
    <w:rsid w:val="00983DDE"/>
    <w:rsid w:val="00983EFE"/>
    <w:rsid w:val="009842DE"/>
    <w:rsid w:val="0098579D"/>
    <w:rsid w:val="00985E93"/>
    <w:rsid w:val="00991ADA"/>
    <w:rsid w:val="00992067"/>
    <w:rsid w:val="00992813"/>
    <w:rsid w:val="00994774"/>
    <w:rsid w:val="0099555F"/>
    <w:rsid w:val="009966EC"/>
    <w:rsid w:val="00997475"/>
    <w:rsid w:val="00997560"/>
    <w:rsid w:val="009A01BA"/>
    <w:rsid w:val="009A0C3B"/>
    <w:rsid w:val="009A13A5"/>
    <w:rsid w:val="009A15AC"/>
    <w:rsid w:val="009A1A8B"/>
    <w:rsid w:val="009A232B"/>
    <w:rsid w:val="009A2590"/>
    <w:rsid w:val="009A2D51"/>
    <w:rsid w:val="009A2F6E"/>
    <w:rsid w:val="009A3495"/>
    <w:rsid w:val="009A3A37"/>
    <w:rsid w:val="009A4D90"/>
    <w:rsid w:val="009A5492"/>
    <w:rsid w:val="009A5561"/>
    <w:rsid w:val="009A610E"/>
    <w:rsid w:val="009A72AC"/>
    <w:rsid w:val="009A794A"/>
    <w:rsid w:val="009B0BBA"/>
    <w:rsid w:val="009B1FED"/>
    <w:rsid w:val="009B213A"/>
    <w:rsid w:val="009B2F35"/>
    <w:rsid w:val="009B392A"/>
    <w:rsid w:val="009B4103"/>
    <w:rsid w:val="009B45F4"/>
    <w:rsid w:val="009B5D19"/>
    <w:rsid w:val="009B60C5"/>
    <w:rsid w:val="009B75B6"/>
    <w:rsid w:val="009C1087"/>
    <w:rsid w:val="009C1490"/>
    <w:rsid w:val="009C2387"/>
    <w:rsid w:val="009C2663"/>
    <w:rsid w:val="009C2F63"/>
    <w:rsid w:val="009C35C2"/>
    <w:rsid w:val="009C62CD"/>
    <w:rsid w:val="009C67E7"/>
    <w:rsid w:val="009C70D7"/>
    <w:rsid w:val="009C714A"/>
    <w:rsid w:val="009D1D05"/>
    <w:rsid w:val="009D2E44"/>
    <w:rsid w:val="009D3251"/>
    <w:rsid w:val="009D36FB"/>
    <w:rsid w:val="009D3FE4"/>
    <w:rsid w:val="009D40AC"/>
    <w:rsid w:val="009D5975"/>
    <w:rsid w:val="009D5AB7"/>
    <w:rsid w:val="009D71B0"/>
    <w:rsid w:val="009D7FAF"/>
    <w:rsid w:val="009E00DA"/>
    <w:rsid w:val="009E0564"/>
    <w:rsid w:val="009E21A1"/>
    <w:rsid w:val="009E32B4"/>
    <w:rsid w:val="009E3817"/>
    <w:rsid w:val="009E5213"/>
    <w:rsid w:val="009E5B35"/>
    <w:rsid w:val="009E78E7"/>
    <w:rsid w:val="009F0C9C"/>
    <w:rsid w:val="009F0DC9"/>
    <w:rsid w:val="009F11BE"/>
    <w:rsid w:val="009F1B63"/>
    <w:rsid w:val="009F435E"/>
    <w:rsid w:val="009F4AE5"/>
    <w:rsid w:val="009F4BB0"/>
    <w:rsid w:val="009F6A77"/>
    <w:rsid w:val="00A00820"/>
    <w:rsid w:val="00A017C4"/>
    <w:rsid w:val="00A01E9F"/>
    <w:rsid w:val="00A02384"/>
    <w:rsid w:val="00A03027"/>
    <w:rsid w:val="00A03807"/>
    <w:rsid w:val="00A04708"/>
    <w:rsid w:val="00A055C2"/>
    <w:rsid w:val="00A05851"/>
    <w:rsid w:val="00A05F36"/>
    <w:rsid w:val="00A071C5"/>
    <w:rsid w:val="00A07CD8"/>
    <w:rsid w:val="00A10564"/>
    <w:rsid w:val="00A1214E"/>
    <w:rsid w:val="00A13C36"/>
    <w:rsid w:val="00A13EC3"/>
    <w:rsid w:val="00A13FCE"/>
    <w:rsid w:val="00A14708"/>
    <w:rsid w:val="00A14FE0"/>
    <w:rsid w:val="00A160E7"/>
    <w:rsid w:val="00A1729C"/>
    <w:rsid w:val="00A172E3"/>
    <w:rsid w:val="00A2067A"/>
    <w:rsid w:val="00A206FC"/>
    <w:rsid w:val="00A20F0C"/>
    <w:rsid w:val="00A218F0"/>
    <w:rsid w:val="00A21E5E"/>
    <w:rsid w:val="00A225ED"/>
    <w:rsid w:val="00A22DD8"/>
    <w:rsid w:val="00A237CF"/>
    <w:rsid w:val="00A24CEF"/>
    <w:rsid w:val="00A25D6B"/>
    <w:rsid w:val="00A26290"/>
    <w:rsid w:val="00A264F7"/>
    <w:rsid w:val="00A26712"/>
    <w:rsid w:val="00A26D43"/>
    <w:rsid w:val="00A271C1"/>
    <w:rsid w:val="00A27430"/>
    <w:rsid w:val="00A279BD"/>
    <w:rsid w:val="00A30E7B"/>
    <w:rsid w:val="00A31BDF"/>
    <w:rsid w:val="00A31DB2"/>
    <w:rsid w:val="00A329EB"/>
    <w:rsid w:val="00A34AB5"/>
    <w:rsid w:val="00A3517C"/>
    <w:rsid w:val="00A35A2A"/>
    <w:rsid w:val="00A36C68"/>
    <w:rsid w:val="00A37B94"/>
    <w:rsid w:val="00A40F57"/>
    <w:rsid w:val="00A41A78"/>
    <w:rsid w:val="00A42355"/>
    <w:rsid w:val="00A4367E"/>
    <w:rsid w:val="00A467D3"/>
    <w:rsid w:val="00A5022B"/>
    <w:rsid w:val="00A5054A"/>
    <w:rsid w:val="00A527C4"/>
    <w:rsid w:val="00A56643"/>
    <w:rsid w:val="00A5745A"/>
    <w:rsid w:val="00A5784C"/>
    <w:rsid w:val="00A601D6"/>
    <w:rsid w:val="00A60A06"/>
    <w:rsid w:val="00A60BC4"/>
    <w:rsid w:val="00A60E1D"/>
    <w:rsid w:val="00A61290"/>
    <w:rsid w:val="00A6234D"/>
    <w:rsid w:val="00A634DD"/>
    <w:rsid w:val="00A64F94"/>
    <w:rsid w:val="00A65666"/>
    <w:rsid w:val="00A6620D"/>
    <w:rsid w:val="00A70117"/>
    <w:rsid w:val="00A70340"/>
    <w:rsid w:val="00A71803"/>
    <w:rsid w:val="00A71BD7"/>
    <w:rsid w:val="00A729AF"/>
    <w:rsid w:val="00A72BDF"/>
    <w:rsid w:val="00A72F5B"/>
    <w:rsid w:val="00A731E0"/>
    <w:rsid w:val="00A734DE"/>
    <w:rsid w:val="00A73D68"/>
    <w:rsid w:val="00A75D36"/>
    <w:rsid w:val="00A75F06"/>
    <w:rsid w:val="00A778BE"/>
    <w:rsid w:val="00A77BCC"/>
    <w:rsid w:val="00A83113"/>
    <w:rsid w:val="00A841D4"/>
    <w:rsid w:val="00A8438A"/>
    <w:rsid w:val="00A8488E"/>
    <w:rsid w:val="00A84F0B"/>
    <w:rsid w:val="00A857CF"/>
    <w:rsid w:val="00A8695C"/>
    <w:rsid w:val="00A90200"/>
    <w:rsid w:val="00A905F5"/>
    <w:rsid w:val="00A90F82"/>
    <w:rsid w:val="00A919E4"/>
    <w:rsid w:val="00A925A4"/>
    <w:rsid w:val="00A93B35"/>
    <w:rsid w:val="00A950D5"/>
    <w:rsid w:val="00A95BC3"/>
    <w:rsid w:val="00A96C1E"/>
    <w:rsid w:val="00A97495"/>
    <w:rsid w:val="00AA0C9E"/>
    <w:rsid w:val="00AA10F6"/>
    <w:rsid w:val="00AA17B0"/>
    <w:rsid w:val="00AA23CB"/>
    <w:rsid w:val="00AA249C"/>
    <w:rsid w:val="00AA25BE"/>
    <w:rsid w:val="00AA47A9"/>
    <w:rsid w:val="00AA48D2"/>
    <w:rsid w:val="00AA535C"/>
    <w:rsid w:val="00AA5491"/>
    <w:rsid w:val="00AA56DD"/>
    <w:rsid w:val="00AA652E"/>
    <w:rsid w:val="00AA676F"/>
    <w:rsid w:val="00AA6CD7"/>
    <w:rsid w:val="00AA6E4B"/>
    <w:rsid w:val="00AB12B3"/>
    <w:rsid w:val="00AB17E9"/>
    <w:rsid w:val="00AB17F1"/>
    <w:rsid w:val="00AB1968"/>
    <w:rsid w:val="00AB19E9"/>
    <w:rsid w:val="00AB2494"/>
    <w:rsid w:val="00AB2636"/>
    <w:rsid w:val="00AB46E9"/>
    <w:rsid w:val="00AB50A8"/>
    <w:rsid w:val="00AB67EC"/>
    <w:rsid w:val="00AB6AEE"/>
    <w:rsid w:val="00AB7C52"/>
    <w:rsid w:val="00AC031E"/>
    <w:rsid w:val="00AC051E"/>
    <w:rsid w:val="00AC0BFB"/>
    <w:rsid w:val="00AC1702"/>
    <w:rsid w:val="00AC1F65"/>
    <w:rsid w:val="00AC343B"/>
    <w:rsid w:val="00AC39D8"/>
    <w:rsid w:val="00AC4168"/>
    <w:rsid w:val="00AC501F"/>
    <w:rsid w:val="00AC5639"/>
    <w:rsid w:val="00AC5ED8"/>
    <w:rsid w:val="00AC65F1"/>
    <w:rsid w:val="00AC6DCE"/>
    <w:rsid w:val="00AC7295"/>
    <w:rsid w:val="00AC751E"/>
    <w:rsid w:val="00AD02A6"/>
    <w:rsid w:val="00AD0CC7"/>
    <w:rsid w:val="00AD1011"/>
    <w:rsid w:val="00AD11CD"/>
    <w:rsid w:val="00AD2AB2"/>
    <w:rsid w:val="00AD36ED"/>
    <w:rsid w:val="00AD4E36"/>
    <w:rsid w:val="00AD4E75"/>
    <w:rsid w:val="00AD5571"/>
    <w:rsid w:val="00AD583F"/>
    <w:rsid w:val="00AD6A7F"/>
    <w:rsid w:val="00AD6D17"/>
    <w:rsid w:val="00AD770F"/>
    <w:rsid w:val="00AD783E"/>
    <w:rsid w:val="00AD7F8A"/>
    <w:rsid w:val="00AE197A"/>
    <w:rsid w:val="00AE249E"/>
    <w:rsid w:val="00AE2A1E"/>
    <w:rsid w:val="00AE3389"/>
    <w:rsid w:val="00AE4680"/>
    <w:rsid w:val="00AE4DBE"/>
    <w:rsid w:val="00AE4F01"/>
    <w:rsid w:val="00AE5193"/>
    <w:rsid w:val="00AE58FC"/>
    <w:rsid w:val="00AE5FAF"/>
    <w:rsid w:val="00AE6F3B"/>
    <w:rsid w:val="00AE7BE0"/>
    <w:rsid w:val="00AF05D9"/>
    <w:rsid w:val="00AF09BE"/>
    <w:rsid w:val="00AF19A6"/>
    <w:rsid w:val="00AF28F9"/>
    <w:rsid w:val="00AF30FA"/>
    <w:rsid w:val="00AF343A"/>
    <w:rsid w:val="00AF4A5D"/>
    <w:rsid w:val="00AF5297"/>
    <w:rsid w:val="00AF5BC4"/>
    <w:rsid w:val="00AF6783"/>
    <w:rsid w:val="00AF6F0F"/>
    <w:rsid w:val="00AF701C"/>
    <w:rsid w:val="00AF7369"/>
    <w:rsid w:val="00AF7C95"/>
    <w:rsid w:val="00AF7D40"/>
    <w:rsid w:val="00B00038"/>
    <w:rsid w:val="00B00E5B"/>
    <w:rsid w:val="00B01F89"/>
    <w:rsid w:val="00B02740"/>
    <w:rsid w:val="00B030CC"/>
    <w:rsid w:val="00B03454"/>
    <w:rsid w:val="00B03640"/>
    <w:rsid w:val="00B06C06"/>
    <w:rsid w:val="00B07071"/>
    <w:rsid w:val="00B10AF4"/>
    <w:rsid w:val="00B1190A"/>
    <w:rsid w:val="00B12573"/>
    <w:rsid w:val="00B136D7"/>
    <w:rsid w:val="00B1371C"/>
    <w:rsid w:val="00B13773"/>
    <w:rsid w:val="00B13C0B"/>
    <w:rsid w:val="00B14DFB"/>
    <w:rsid w:val="00B156F5"/>
    <w:rsid w:val="00B16E66"/>
    <w:rsid w:val="00B205ED"/>
    <w:rsid w:val="00B21754"/>
    <w:rsid w:val="00B219CA"/>
    <w:rsid w:val="00B227E6"/>
    <w:rsid w:val="00B258D4"/>
    <w:rsid w:val="00B27DCF"/>
    <w:rsid w:val="00B27FF5"/>
    <w:rsid w:val="00B30421"/>
    <w:rsid w:val="00B3170E"/>
    <w:rsid w:val="00B3172A"/>
    <w:rsid w:val="00B319E7"/>
    <w:rsid w:val="00B324BD"/>
    <w:rsid w:val="00B32A19"/>
    <w:rsid w:val="00B32A38"/>
    <w:rsid w:val="00B32A90"/>
    <w:rsid w:val="00B32B04"/>
    <w:rsid w:val="00B32C5A"/>
    <w:rsid w:val="00B32F48"/>
    <w:rsid w:val="00B33741"/>
    <w:rsid w:val="00B357C7"/>
    <w:rsid w:val="00B35C47"/>
    <w:rsid w:val="00B36702"/>
    <w:rsid w:val="00B369B1"/>
    <w:rsid w:val="00B37070"/>
    <w:rsid w:val="00B40D2C"/>
    <w:rsid w:val="00B40F2F"/>
    <w:rsid w:val="00B42CE3"/>
    <w:rsid w:val="00B42FD1"/>
    <w:rsid w:val="00B43734"/>
    <w:rsid w:val="00B43E35"/>
    <w:rsid w:val="00B44053"/>
    <w:rsid w:val="00B449CD"/>
    <w:rsid w:val="00B45089"/>
    <w:rsid w:val="00B50456"/>
    <w:rsid w:val="00B526A8"/>
    <w:rsid w:val="00B52B9F"/>
    <w:rsid w:val="00B53051"/>
    <w:rsid w:val="00B53DFA"/>
    <w:rsid w:val="00B54E01"/>
    <w:rsid w:val="00B553A9"/>
    <w:rsid w:val="00B57B43"/>
    <w:rsid w:val="00B60573"/>
    <w:rsid w:val="00B6072E"/>
    <w:rsid w:val="00B60DFB"/>
    <w:rsid w:val="00B6180D"/>
    <w:rsid w:val="00B61A9D"/>
    <w:rsid w:val="00B61D8F"/>
    <w:rsid w:val="00B6399D"/>
    <w:rsid w:val="00B648CF"/>
    <w:rsid w:val="00B64ED0"/>
    <w:rsid w:val="00B6595B"/>
    <w:rsid w:val="00B67A0E"/>
    <w:rsid w:val="00B67EA5"/>
    <w:rsid w:val="00B71C67"/>
    <w:rsid w:val="00B7218C"/>
    <w:rsid w:val="00B729AB"/>
    <w:rsid w:val="00B73BAA"/>
    <w:rsid w:val="00B74664"/>
    <w:rsid w:val="00B766E6"/>
    <w:rsid w:val="00B767DB"/>
    <w:rsid w:val="00B76894"/>
    <w:rsid w:val="00B76ACC"/>
    <w:rsid w:val="00B76FB4"/>
    <w:rsid w:val="00B779E4"/>
    <w:rsid w:val="00B8006E"/>
    <w:rsid w:val="00B802E3"/>
    <w:rsid w:val="00B80ACA"/>
    <w:rsid w:val="00B80FEE"/>
    <w:rsid w:val="00B81D2C"/>
    <w:rsid w:val="00B81F64"/>
    <w:rsid w:val="00B8344E"/>
    <w:rsid w:val="00B851E4"/>
    <w:rsid w:val="00B916DD"/>
    <w:rsid w:val="00B9288A"/>
    <w:rsid w:val="00B9451A"/>
    <w:rsid w:val="00B94EAE"/>
    <w:rsid w:val="00B96631"/>
    <w:rsid w:val="00B96E35"/>
    <w:rsid w:val="00B97183"/>
    <w:rsid w:val="00BA047D"/>
    <w:rsid w:val="00BA1F5D"/>
    <w:rsid w:val="00BA2381"/>
    <w:rsid w:val="00BA4D79"/>
    <w:rsid w:val="00BA6295"/>
    <w:rsid w:val="00BA67A6"/>
    <w:rsid w:val="00BA67AC"/>
    <w:rsid w:val="00BA7096"/>
    <w:rsid w:val="00BA7206"/>
    <w:rsid w:val="00BA7830"/>
    <w:rsid w:val="00BB0E09"/>
    <w:rsid w:val="00BB22A0"/>
    <w:rsid w:val="00BB291E"/>
    <w:rsid w:val="00BB30B7"/>
    <w:rsid w:val="00BB3CB4"/>
    <w:rsid w:val="00BB3D32"/>
    <w:rsid w:val="00BB55AE"/>
    <w:rsid w:val="00BB636A"/>
    <w:rsid w:val="00BB711D"/>
    <w:rsid w:val="00BB71C8"/>
    <w:rsid w:val="00BB7743"/>
    <w:rsid w:val="00BC0508"/>
    <w:rsid w:val="00BC09A9"/>
    <w:rsid w:val="00BC340E"/>
    <w:rsid w:val="00BC35F5"/>
    <w:rsid w:val="00BC3DC7"/>
    <w:rsid w:val="00BC41D5"/>
    <w:rsid w:val="00BC5496"/>
    <w:rsid w:val="00BD08FB"/>
    <w:rsid w:val="00BD096F"/>
    <w:rsid w:val="00BD1793"/>
    <w:rsid w:val="00BD269C"/>
    <w:rsid w:val="00BD2A83"/>
    <w:rsid w:val="00BD3B69"/>
    <w:rsid w:val="00BD4973"/>
    <w:rsid w:val="00BD5AE6"/>
    <w:rsid w:val="00BD5FC5"/>
    <w:rsid w:val="00BD61F8"/>
    <w:rsid w:val="00BD7111"/>
    <w:rsid w:val="00BE0ADC"/>
    <w:rsid w:val="00BE0C44"/>
    <w:rsid w:val="00BE270B"/>
    <w:rsid w:val="00BE286E"/>
    <w:rsid w:val="00BE3A3C"/>
    <w:rsid w:val="00BE43F0"/>
    <w:rsid w:val="00BE55D4"/>
    <w:rsid w:val="00BE5C54"/>
    <w:rsid w:val="00BE658D"/>
    <w:rsid w:val="00BE6662"/>
    <w:rsid w:val="00BE70D9"/>
    <w:rsid w:val="00BE7DF0"/>
    <w:rsid w:val="00BE7EE4"/>
    <w:rsid w:val="00BF0639"/>
    <w:rsid w:val="00BF0828"/>
    <w:rsid w:val="00BF1491"/>
    <w:rsid w:val="00BF16C6"/>
    <w:rsid w:val="00BF4040"/>
    <w:rsid w:val="00BF4C5D"/>
    <w:rsid w:val="00BF5296"/>
    <w:rsid w:val="00BF5E46"/>
    <w:rsid w:val="00BF6257"/>
    <w:rsid w:val="00BF68CD"/>
    <w:rsid w:val="00C0051B"/>
    <w:rsid w:val="00C007F6"/>
    <w:rsid w:val="00C0266F"/>
    <w:rsid w:val="00C02D9D"/>
    <w:rsid w:val="00C037CC"/>
    <w:rsid w:val="00C0442C"/>
    <w:rsid w:val="00C0570C"/>
    <w:rsid w:val="00C101AB"/>
    <w:rsid w:val="00C10FB5"/>
    <w:rsid w:val="00C114BE"/>
    <w:rsid w:val="00C12EA5"/>
    <w:rsid w:val="00C142CE"/>
    <w:rsid w:val="00C14556"/>
    <w:rsid w:val="00C16F07"/>
    <w:rsid w:val="00C172D2"/>
    <w:rsid w:val="00C17374"/>
    <w:rsid w:val="00C20187"/>
    <w:rsid w:val="00C218CF"/>
    <w:rsid w:val="00C21DD0"/>
    <w:rsid w:val="00C2362F"/>
    <w:rsid w:val="00C2537F"/>
    <w:rsid w:val="00C26742"/>
    <w:rsid w:val="00C26FB4"/>
    <w:rsid w:val="00C307ED"/>
    <w:rsid w:val="00C311CC"/>
    <w:rsid w:val="00C31403"/>
    <w:rsid w:val="00C31836"/>
    <w:rsid w:val="00C335EB"/>
    <w:rsid w:val="00C3785C"/>
    <w:rsid w:val="00C37EEB"/>
    <w:rsid w:val="00C40A98"/>
    <w:rsid w:val="00C410CA"/>
    <w:rsid w:val="00C41415"/>
    <w:rsid w:val="00C42CA2"/>
    <w:rsid w:val="00C435ED"/>
    <w:rsid w:val="00C44422"/>
    <w:rsid w:val="00C45147"/>
    <w:rsid w:val="00C4555D"/>
    <w:rsid w:val="00C45964"/>
    <w:rsid w:val="00C46EF4"/>
    <w:rsid w:val="00C46F2C"/>
    <w:rsid w:val="00C47247"/>
    <w:rsid w:val="00C4794B"/>
    <w:rsid w:val="00C523F7"/>
    <w:rsid w:val="00C52AFD"/>
    <w:rsid w:val="00C53133"/>
    <w:rsid w:val="00C5353F"/>
    <w:rsid w:val="00C53B18"/>
    <w:rsid w:val="00C55712"/>
    <w:rsid w:val="00C568F2"/>
    <w:rsid w:val="00C56FE5"/>
    <w:rsid w:val="00C5701E"/>
    <w:rsid w:val="00C57064"/>
    <w:rsid w:val="00C60453"/>
    <w:rsid w:val="00C605BB"/>
    <w:rsid w:val="00C620E0"/>
    <w:rsid w:val="00C62DEE"/>
    <w:rsid w:val="00C6325F"/>
    <w:rsid w:val="00C634DB"/>
    <w:rsid w:val="00C66360"/>
    <w:rsid w:val="00C67129"/>
    <w:rsid w:val="00C67F46"/>
    <w:rsid w:val="00C70584"/>
    <w:rsid w:val="00C708E3"/>
    <w:rsid w:val="00C71B50"/>
    <w:rsid w:val="00C73FCC"/>
    <w:rsid w:val="00C7427E"/>
    <w:rsid w:val="00C742E0"/>
    <w:rsid w:val="00C807F4"/>
    <w:rsid w:val="00C810BD"/>
    <w:rsid w:val="00C834C6"/>
    <w:rsid w:val="00C8429F"/>
    <w:rsid w:val="00C84F5B"/>
    <w:rsid w:val="00C854EC"/>
    <w:rsid w:val="00C85F1C"/>
    <w:rsid w:val="00C85F4E"/>
    <w:rsid w:val="00C860AA"/>
    <w:rsid w:val="00C868EC"/>
    <w:rsid w:val="00C874E2"/>
    <w:rsid w:val="00C8752A"/>
    <w:rsid w:val="00C8755F"/>
    <w:rsid w:val="00C91494"/>
    <w:rsid w:val="00C92942"/>
    <w:rsid w:val="00C93469"/>
    <w:rsid w:val="00C93557"/>
    <w:rsid w:val="00C94015"/>
    <w:rsid w:val="00C9468B"/>
    <w:rsid w:val="00C94F85"/>
    <w:rsid w:val="00C9565B"/>
    <w:rsid w:val="00C97924"/>
    <w:rsid w:val="00CA12BD"/>
    <w:rsid w:val="00CA1DA3"/>
    <w:rsid w:val="00CA2358"/>
    <w:rsid w:val="00CA2F32"/>
    <w:rsid w:val="00CA32FD"/>
    <w:rsid w:val="00CA55EA"/>
    <w:rsid w:val="00CA5C07"/>
    <w:rsid w:val="00CA6AB4"/>
    <w:rsid w:val="00CA7C03"/>
    <w:rsid w:val="00CB0D80"/>
    <w:rsid w:val="00CB176B"/>
    <w:rsid w:val="00CB1FE9"/>
    <w:rsid w:val="00CB4692"/>
    <w:rsid w:val="00CB65A7"/>
    <w:rsid w:val="00CC1ADB"/>
    <w:rsid w:val="00CC1C93"/>
    <w:rsid w:val="00CC2D9F"/>
    <w:rsid w:val="00CC2ECF"/>
    <w:rsid w:val="00CC3109"/>
    <w:rsid w:val="00CC34DC"/>
    <w:rsid w:val="00CC4358"/>
    <w:rsid w:val="00CC4CD0"/>
    <w:rsid w:val="00CC5D83"/>
    <w:rsid w:val="00CD0115"/>
    <w:rsid w:val="00CD22E4"/>
    <w:rsid w:val="00CD4077"/>
    <w:rsid w:val="00CD4263"/>
    <w:rsid w:val="00CD51BD"/>
    <w:rsid w:val="00CD53D8"/>
    <w:rsid w:val="00CD625E"/>
    <w:rsid w:val="00CD6849"/>
    <w:rsid w:val="00CD6A2F"/>
    <w:rsid w:val="00CD6A9B"/>
    <w:rsid w:val="00CE11C8"/>
    <w:rsid w:val="00CE12A4"/>
    <w:rsid w:val="00CE2566"/>
    <w:rsid w:val="00CE2C2C"/>
    <w:rsid w:val="00CE3AA2"/>
    <w:rsid w:val="00CE542B"/>
    <w:rsid w:val="00CE5B3D"/>
    <w:rsid w:val="00CE6463"/>
    <w:rsid w:val="00CE68B4"/>
    <w:rsid w:val="00CE7363"/>
    <w:rsid w:val="00CE7638"/>
    <w:rsid w:val="00CE7941"/>
    <w:rsid w:val="00CF05DD"/>
    <w:rsid w:val="00CF1568"/>
    <w:rsid w:val="00CF24ED"/>
    <w:rsid w:val="00CF3976"/>
    <w:rsid w:val="00CF5304"/>
    <w:rsid w:val="00D006D8"/>
    <w:rsid w:val="00D014DE"/>
    <w:rsid w:val="00D01590"/>
    <w:rsid w:val="00D016B0"/>
    <w:rsid w:val="00D01F4B"/>
    <w:rsid w:val="00D02AF3"/>
    <w:rsid w:val="00D02C62"/>
    <w:rsid w:val="00D02C73"/>
    <w:rsid w:val="00D0332E"/>
    <w:rsid w:val="00D04249"/>
    <w:rsid w:val="00D0474A"/>
    <w:rsid w:val="00D058C8"/>
    <w:rsid w:val="00D05FE3"/>
    <w:rsid w:val="00D079B3"/>
    <w:rsid w:val="00D07B5B"/>
    <w:rsid w:val="00D07F24"/>
    <w:rsid w:val="00D1057A"/>
    <w:rsid w:val="00D10848"/>
    <w:rsid w:val="00D10894"/>
    <w:rsid w:val="00D10CE3"/>
    <w:rsid w:val="00D112C4"/>
    <w:rsid w:val="00D119CE"/>
    <w:rsid w:val="00D11CE9"/>
    <w:rsid w:val="00D12C3E"/>
    <w:rsid w:val="00D14CC4"/>
    <w:rsid w:val="00D150AE"/>
    <w:rsid w:val="00D15376"/>
    <w:rsid w:val="00D17260"/>
    <w:rsid w:val="00D20528"/>
    <w:rsid w:val="00D21F99"/>
    <w:rsid w:val="00D24783"/>
    <w:rsid w:val="00D25BAA"/>
    <w:rsid w:val="00D262F4"/>
    <w:rsid w:val="00D26917"/>
    <w:rsid w:val="00D27643"/>
    <w:rsid w:val="00D27E69"/>
    <w:rsid w:val="00D312A5"/>
    <w:rsid w:val="00D31C94"/>
    <w:rsid w:val="00D33B7E"/>
    <w:rsid w:val="00D33D08"/>
    <w:rsid w:val="00D33FE8"/>
    <w:rsid w:val="00D3504E"/>
    <w:rsid w:val="00D35427"/>
    <w:rsid w:val="00D36018"/>
    <w:rsid w:val="00D40E5E"/>
    <w:rsid w:val="00D414E2"/>
    <w:rsid w:val="00D429B3"/>
    <w:rsid w:val="00D44E92"/>
    <w:rsid w:val="00D456FE"/>
    <w:rsid w:val="00D458DE"/>
    <w:rsid w:val="00D45B78"/>
    <w:rsid w:val="00D46AA6"/>
    <w:rsid w:val="00D46BA1"/>
    <w:rsid w:val="00D5019F"/>
    <w:rsid w:val="00D50B45"/>
    <w:rsid w:val="00D53E48"/>
    <w:rsid w:val="00D56131"/>
    <w:rsid w:val="00D5661D"/>
    <w:rsid w:val="00D57289"/>
    <w:rsid w:val="00D5769D"/>
    <w:rsid w:val="00D57F9D"/>
    <w:rsid w:val="00D603D6"/>
    <w:rsid w:val="00D63ECF"/>
    <w:rsid w:val="00D64272"/>
    <w:rsid w:val="00D64D11"/>
    <w:rsid w:val="00D64D3B"/>
    <w:rsid w:val="00D66622"/>
    <w:rsid w:val="00D66A76"/>
    <w:rsid w:val="00D675F2"/>
    <w:rsid w:val="00D678B1"/>
    <w:rsid w:val="00D678E4"/>
    <w:rsid w:val="00D70EA4"/>
    <w:rsid w:val="00D7361B"/>
    <w:rsid w:val="00D74367"/>
    <w:rsid w:val="00D744FC"/>
    <w:rsid w:val="00D74D84"/>
    <w:rsid w:val="00D771F6"/>
    <w:rsid w:val="00D803A8"/>
    <w:rsid w:val="00D80E88"/>
    <w:rsid w:val="00D81098"/>
    <w:rsid w:val="00D8252C"/>
    <w:rsid w:val="00D835B3"/>
    <w:rsid w:val="00D849E4"/>
    <w:rsid w:val="00D850E7"/>
    <w:rsid w:val="00D86C75"/>
    <w:rsid w:val="00D879BA"/>
    <w:rsid w:val="00D9020D"/>
    <w:rsid w:val="00D913DD"/>
    <w:rsid w:val="00D91690"/>
    <w:rsid w:val="00D922A9"/>
    <w:rsid w:val="00D923B7"/>
    <w:rsid w:val="00D92967"/>
    <w:rsid w:val="00D92FB9"/>
    <w:rsid w:val="00D95651"/>
    <w:rsid w:val="00D96BDB"/>
    <w:rsid w:val="00D97DDA"/>
    <w:rsid w:val="00DA15C9"/>
    <w:rsid w:val="00DA18D9"/>
    <w:rsid w:val="00DA3D72"/>
    <w:rsid w:val="00DA4067"/>
    <w:rsid w:val="00DA472A"/>
    <w:rsid w:val="00DA7FB6"/>
    <w:rsid w:val="00DB0D0E"/>
    <w:rsid w:val="00DB1055"/>
    <w:rsid w:val="00DB1D79"/>
    <w:rsid w:val="00DB1E7B"/>
    <w:rsid w:val="00DB2A91"/>
    <w:rsid w:val="00DB419F"/>
    <w:rsid w:val="00DB4303"/>
    <w:rsid w:val="00DB438F"/>
    <w:rsid w:val="00DB43C3"/>
    <w:rsid w:val="00DB455B"/>
    <w:rsid w:val="00DB4B55"/>
    <w:rsid w:val="00DB5225"/>
    <w:rsid w:val="00DB6197"/>
    <w:rsid w:val="00DB7824"/>
    <w:rsid w:val="00DC0D82"/>
    <w:rsid w:val="00DC1516"/>
    <w:rsid w:val="00DC187A"/>
    <w:rsid w:val="00DC1BB6"/>
    <w:rsid w:val="00DC272B"/>
    <w:rsid w:val="00DC3F71"/>
    <w:rsid w:val="00DC4470"/>
    <w:rsid w:val="00DC4BF7"/>
    <w:rsid w:val="00DC5287"/>
    <w:rsid w:val="00DC7917"/>
    <w:rsid w:val="00DC7CE3"/>
    <w:rsid w:val="00DD10A0"/>
    <w:rsid w:val="00DD291C"/>
    <w:rsid w:val="00DD2E72"/>
    <w:rsid w:val="00DD358C"/>
    <w:rsid w:val="00DD3BE5"/>
    <w:rsid w:val="00DD56A2"/>
    <w:rsid w:val="00DD5D7E"/>
    <w:rsid w:val="00DE0006"/>
    <w:rsid w:val="00DE0B0F"/>
    <w:rsid w:val="00DE0E94"/>
    <w:rsid w:val="00DE10AC"/>
    <w:rsid w:val="00DE4B6C"/>
    <w:rsid w:val="00DE5C85"/>
    <w:rsid w:val="00DE6C7D"/>
    <w:rsid w:val="00DE70B6"/>
    <w:rsid w:val="00DF24B0"/>
    <w:rsid w:val="00DF3E85"/>
    <w:rsid w:val="00DF4E3A"/>
    <w:rsid w:val="00DF547D"/>
    <w:rsid w:val="00DF7DD8"/>
    <w:rsid w:val="00DF7DED"/>
    <w:rsid w:val="00E00A6C"/>
    <w:rsid w:val="00E02420"/>
    <w:rsid w:val="00E029D1"/>
    <w:rsid w:val="00E037AE"/>
    <w:rsid w:val="00E068BB"/>
    <w:rsid w:val="00E10B01"/>
    <w:rsid w:val="00E129D1"/>
    <w:rsid w:val="00E1345A"/>
    <w:rsid w:val="00E148A3"/>
    <w:rsid w:val="00E14C51"/>
    <w:rsid w:val="00E15BF8"/>
    <w:rsid w:val="00E15F1F"/>
    <w:rsid w:val="00E1763C"/>
    <w:rsid w:val="00E20BEF"/>
    <w:rsid w:val="00E2178A"/>
    <w:rsid w:val="00E2261E"/>
    <w:rsid w:val="00E2359E"/>
    <w:rsid w:val="00E2451D"/>
    <w:rsid w:val="00E24A4F"/>
    <w:rsid w:val="00E251BE"/>
    <w:rsid w:val="00E251E4"/>
    <w:rsid w:val="00E320F0"/>
    <w:rsid w:val="00E32439"/>
    <w:rsid w:val="00E33A6C"/>
    <w:rsid w:val="00E35BCC"/>
    <w:rsid w:val="00E363B0"/>
    <w:rsid w:val="00E3665A"/>
    <w:rsid w:val="00E36FE7"/>
    <w:rsid w:val="00E3705B"/>
    <w:rsid w:val="00E37B12"/>
    <w:rsid w:val="00E400E6"/>
    <w:rsid w:val="00E41AC9"/>
    <w:rsid w:val="00E42A0B"/>
    <w:rsid w:val="00E4780C"/>
    <w:rsid w:val="00E50D76"/>
    <w:rsid w:val="00E51D8D"/>
    <w:rsid w:val="00E51F0F"/>
    <w:rsid w:val="00E547CE"/>
    <w:rsid w:val="00E54BE0"/>
    <w:rsid w:val="00E54C32"/>
    <w:rsid w:val="00E54CAA"/>
    <w:rsid w:val="00E5773C"/>
    <w:rsid w:val="00E6013D"/>
    <w:rsid w:val="00E6085A"/>
    <w:rsid w:val="00E61584"/>
    <w:rsid w:val="00E61C54"/>
    <w:rsid w:val="00E635DC"/>
    <w:rsid w:val="00E63B36"/>
    <w:rsid w:val="00E64C7B"/>
    <w:rsid w:val="00E6510F"/>
    <w:rsid w:val="00E6595E"/>
    <w:rsid w:val="00E65A19"/>
    <w:rsid w:val="00E65AD3"/>
    <w:rsid w:val="00E65C23"/>
    <w:rsid w:val="00E67902"/>
    <w:rsid w:val="00E67D0D"/>
    <w:rsid w:val="00E700B2"/>
    <w:rsid w:val="00E70EF7"/>
    <w:rsid w:val="00E71204"/>
    <w:rsid w:val="00E730F3"/>
    <w:rsid w:val="00E73357"/>
    <w:rsid w:val="00E74A8F"/>
    <w:rsid w:val="00E75A37"/>
    <w:rsid w:val="00E75AE0"/>
    <w:rsid w:val="00E77068"/>
    <w:rsid w:val="00E8081B"/>
    <w:rsid w:val="00E81566"/>
    <w:rsid w:val="00E81722"/>
    <w:rsid w:val="00E82176"/>
    <w:rsid w:val="00E82395"/>
    <w:rsid w:val="00E82B91"/>
    <w:rsid w:val="00E83A54"/>
    <w:rsid w:val="00E83CEF"/>
    <w:rsid w:val="00E83EC1"/>
    <w:rsid w:val="00E83EC5"/>
    <w:rsid w:val="00E84C7A"/>
    <w:rsid w:val="00E84E4D"/>
    <w:rsid w:val="00E8638C"/>
    <w:rsid w:val="00E8646B"/>
    <w:rsid w:val="00E9076B"/>
    <w:rsid w:val="00E91B3D"/>
    <w:rsid w:val="00E922AA"/>
    <w:rsid w:val="00E93A53"/>
    <w:rsid w:val="00E93F68"/>
    <w:rsid w:val="00E94CC1"/>
    <w:rsid w:val="00E94E76"/>
    <w:rsid w:val="00E95A03"/>
    <w:rsid w:val="00E95E7F"/>
    <w:rsid w:val="00E96C08"/>
    <w:rsid w:val="00EA0E64"/>
    <w:rsid w:val="00EA1275"/>
    <w:rsid w:val="00EA185D"/>
    <w:rsid w:val="00EA1D22"/>
    <w:rsid w:val="00EA1F37"/>
    <w:rsid w:val="00EA21E0"/>
    <w:rsid w:val="00EA23EE"/>
    <w:rsid w:val="00EA265A"/>
    <w:rsid w:val="00EA3722"/>
    <w:rsid w:val="00EA3961"/>
    <w:rsid w:val="00EA3D0C"/>
    <w:rsid w:val="00EA4BFC"/>
    <w:rsid w:val="00EA4ED8"/>
    <w:rsid w:val="00EA5587"/>
    <w:rsid w:val="00EA59D5"/>
    <w:rsid w:val="00EA634D"/>
    <w:rsid w:val="00EA6C73"/>
    <w:rsid w:val="00EB3C1E"/>
    <w:rsid w:val="00EB4E6D"/>
    <w:rsid w:val="00EB6566"/>
    <w:rsid w:val="00EB6FAB"/>
    <w:rsid w:val="00EB787A"/>
    <w:rsid w:val="00EC0553"/>
    <w:rsid w:val="00EC11A4"/>
    <w:rsid w:val="00EC1432"/>
    <w:rsid w:val="00EC1AF1"/>
    <w:rsid w:val="00EC3B40"/>
    <w:rsid w:val="00EC4CA3"/>
    <w:rsid w:val="00EC5F45"/>
    <w:rsid w:val="00EC6B86"/>
    <w:rsid w:val="00EC70B1"/>
    <w:rsid w:val="00EC7987"/>
    <w:rsid w:val="00EC7B7A"/>
    <w:rsid w:val="00EC7DA0"/>
    <w:rsid w:val="00ED0D78"/>
    <w:rsid w:val="00ED38A0"/>
    <w:rsid w:val="00ED38B1"/>
    <w:rsid w:val="00ED46BF"/>
    <w:rsid w:val="00ED4798"/>
    <w:rsid w:val="00ED4B47"/>
    <w:rsid w:val="00ED5ACE"/>
    <w:rsid w:val="00ED5E26"/>
    <w:rsid w:val="00ED619D"/>
    <w:rsid w:val="00ED6B4D"/>
    <w:rsid w:val="00EE0E3D"/>
    <w:rsid w:val="00EE0F23"/>
    <w:rsid w:val="00EE177C"/>
    <w:rsid w:val="00EE1DC0"/>
    <w:rsid w:val="00EE2654"/>
    <w:rsid w:val="00EE2BD6"/>
    <w:rsid w:val="00EE4011"/>
    <w:rsid w:val="00EE4108"/>
    <w:rsid w:val="00EE465C"/>
    <w:rsid w:val="00EE60A9"/>
    <w:rsid w:val="00EE6777"/>
    <w:rsid w:val="00EE7BE0"/>
    <w:rsid w:val="00EF00D9"/>
    <w:rsid w:val="00EF11DD"/>
    <w:rsid w:val="00EF17ED"/>
    <w:rsid w:val="00EF3874"/>
    <w:rsid w:val="00EF39D9"/>
    <w:rsid w:val="00EF3CBF"/>
    <w:rsid w:val="00EF3D68"/>
    <w:rsid w:val="00EF4ADF"/>
    <w:rsid w:val="00EF5323"/>
    <w:rsid w:val="00EF538D"/>
    <w:rsid w:val="00EF5705"/>
    <w:rsid w:val="00EF5AEB"/>
    <w:rsid w:val="00EF6B4C"/>
    <w:rsid w:val="00F002CB"/>
    <w:rsid w:val="00F0031B"/>
    <w:rsid w:val="00F00C93"/>
    <w:rsid w:val="00F01142"/>
    <w:rsid w:val="00F02584"/>
    <w:rsid w:val="00F02C21"/>
    <w:rsid w:val="00F031F9"/>
    <w:rsid w:val="00F03F76"/>
    <w:rsid w:val="00F041D8"/>
    <w:rsid w:val="00F05058"/>
    <w:rsid w:val="00F051BC"/>
    <w:rsid w:val="00F051E1"/>
    <w:rsid w:val="00F053CB"/>
    <w:rsid w:val="00F05B5D"/>
    <w:rsid w:val="00F06987"/>
    <w:rsid w:val="00F074AF"/>
    <w:rsid w:val="00F11F29"/>
    <w:rsid w:val="00F12C91"/>
    <w:rsid w:val="00F134A0"/>
    <w:rsid w:val="00F143A7"/>
    <w:rsid w:val="00F14602"/>
    <w:rsid w:val="00F15002"/>
    <w:rsid w:val="00F158D7"/>
    <w:rsid w:val="00F15B4D"/>
    <w:rsid w:val="00F15E06"/>
    <w:rsid w:val="00F20CD8"/>
    <w:rsid w:val="00F20E4E"/>
    <w:rsid w:val="00F220F2"/>
    <w:rsid w:val="00F23506"/>
    <w:rsid w:val="00F24A8C"/>
    <w:rsid w:val="00F265D1"/>
    <w:rsid w:val="00F26E63"/>
    <w:rsid w:val="00F26EDD"/>
    <w:rsid w:val="00F273C8"/>
    <w:rsid w:val="00F30F89"/>
    <w:rsid w:val="00F31F18"/>
    <w:rsid w:val="00F325E7"/>
    <w:rsid w:val="00F32D91"/>
    <w:rsid w:val="00F33524"/>
    <w:rsid w:val="00F33530"/>
    <w:rsid w:val="00F3401C"/>
    <w:rsid w:val="00F35E08"/>
    <w:rsid w:val="00F36CD3"/>
    <w:rsid w:val="00F37997"/>
    <w:rsid w:val="00F37AF8"/>
    <w:rsid w:val="00F42DB8"/>
    <w:rsid w:val="00F42E59"/>
    <w:rsid w:val="00F432CD"/>
    <w:rsid w:val="00F43486"/>
    <w:rsid w:val="00F43693"/>
    <w:rsid w:val="00F43B66"/>
    <w:rsid w:val="00F4475F"/>
    <w:rsid w:val="00F44932"/>
    <w:rsid w:val="00F4532B"/>
    <w:rsid w:val="00F456E5"/>
    <w:rsid w:val="00F45AF4"/>
    <w:rsid w:val="00F45C3E"/>
    <w:rsid w:val="00F45D8F"/>
    <w:rsid w:val="00F467D5"/>
    <w:rsid w:val="00F479EC"/>
    <w:rsid w:val="00F47EFE"/>
    <w:rsid w:val="00F51E39"/>
    <w:rsid w:val="00F51F5A"/>
    <w:rsid w:val="00F52A56"/>
    <w:rsid w:val="00F52CB3"/>
    <w:rsid w:val="00F53112"/>
    <w:rsid w:val="00F533BB"/>
    <w:rsid w:val="00F545C8"/>
    <w:rsid w:val="00F5495C"/>
    <w:rsid w:val="00F54C48"/>
    <w:rsid w:val="00F54EE4"/>
    <w:rsid w:val="00F607B1"/>
    <w:rsid w:val="00F61FF7"/>
    <w:rsid w:val="00F62123"/>
    <w:rsid w:val="00F62D48"/>
    <w:rsid w:val="00F62FCC"/>
    <w:rsid w:val="00F664DF"/>
    <w:rsid w:val="00F66CAF"/>
    <w:rsid w:val="00F7034E"/>
    <w:rsid w:val="00F718AE"/>
    <w:rsid w:val="00F740B1"/>
    <w:rsid w:val="00F74418"/>
    <w:rsid w:val="00F751CE"/>
    <w:rsid w:val="00F7759F"/>
    <w:rsid w:val="00F77664"/>
    <w:rsid w:val="00F80113"/>
    <w:rsid w:val="00F810B5"/>
    <w:rsid w:val="00F820CF"/>
    <w:rsid w:val="00F82B71"/>
    <w:rsid w:val="00F830F9"/>
    <w:rsid w:val="00F831BF"/>
    <w:rsid w:val="00F83FA9"/>
    <w:rsid w:val="00F843CA"/>
    <w:rsid w:val="00F851B7"/>
    <w:rsid w:val="00F85392"/>
    <w:rsid w:val="00F8690F"/>
    <w:rsid w:val="00F87DB7"/>
    <w:rsid w:val="00F9129F"/>
    <w:rsid w:val="00F91780"/>
    <w:rsid w:val="00F91A27"/>
    <w:rsid w:val="00F9362C"/>
    <w:rsid w:val="00F94A64"/>
    <w:rsid w:val="00F972BA"/>
    <w:rsid w:val="00FA0279"/>
    <w:rsid w:val="00FA10DA"/>
    <w:rsid w:val="00FA1235"/>
    <w:rsid w:val="00FA135A"/>
    <w:rsid w:val="00FA3EEC"/>
    <w:rsid w:val="00FA458F"/>
    <w:rsid w:val="00FA4A2F"/>
    <w:rsid w:val="00FA4EF1"/>
    <w:rsid w:val="00FA6708"/>
    <w:rsid w:val="00FB406A"/>
    <w:rsid w:val="00FB68BE"/>
    <w:rsid w:val="00FB7251"/>
    <w:rsid w:val="00FB7C64"/>
    <w:rsid w:val="00FC1CF6"/>
    <w:rsid w:val="00FC1FB6"/>
    <w:rsid w:val="00FC26AB"/>
    <w:rsid w:val="00FC2F34"/>
    <w:rsid w:val="00FC3260"/>
    <w:rsid w:val="00FC46A8"/>
    <w:rsid w:val="00FC474A"/>
    <w:rsid w:val="00FC5F8C"/>
    <w:rsid w:val="00FC6D9C"/>
    <w:rsid w:val="00FC752F"/>
    <w:rsid w:val="00FD1C0A"/>
    <w:rsid w:val="00FD3961"/>
    <w:rsid w:val="00FD4372"/>
    <w:rsid w:val="00FD64A1"/>
    <w:rsid w:val="00FE0519"/>
    <w:rsid w:val="00FE0796"/>
    <w:rsid w:val="00FE0964"/>
    <w:rsid w:val="00FE0B57"/>
    <w:rsid w:val="00FE1678"/>
    <w:rsid w:val="00FE18B8"/>
    <w:rsid w:val="00FE1E9A"/>
    <w:rsid w:val="00FE28DE"/>
    <w:rsid w:val="00FE3854"/>
    <w:rsid w:val="00FE5AC8"/>
    <w:rsid w:val="00FE5AEF"/>
    <w:rsid w:val="00FF0B13"/>
    <w:rsid w:val="00FF0D95"/>
    <w:rsid w:val="00FF174B"/>
    <w:rsid w:val="00FF1A6C"/>
    <w:rsid w:val="00FF2D46"/>
    <w:rsid w:val="00FF2E23"/>
    <w:rsid w:val="00FF6964"/>
    <w:rsid w:val="00FF7BB7"/>
    <w:rsid w:val="00FF7E4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3C22"/>
  </w:style>
  <w:style w:type="paragraph" w:styleId="1">
    <w:name w:val="heading 1"/>
    <w:basedOn w:val="a"/>
    <w:link w:val="10"/>
    <w:uiPriority w:val="9"/>
    <w:qFormat/>
    <w:rsid w:val="00AB12B3"/>
    <w:pPr>
      <w:spacing w:before="100" w:beforeAutospacing="1" w:after="100" w:afterAutospacing="1" w:line="240" w:lineRule="auto"/>
      <w:outlineLvl w:val="0"/>
    </w:pPr>
    <w:rPr>
      <w:rFonts w:ascii="Times New Roman" w:eastAsia="Calibri" w:hAnsi="Times New Roman" w:cs="Times New Roman"/>
      <w:b/>
      <w:bCs/>
      <w:kern w:val="36"/>
      <w:sz w:val="48"/>
      <w:szCs w:val="48"/>
    </w:rPr>
  </w:style>
  <w:style w:type="paragraph" w:styleId="2">
    <w:name w:val="heading 2"/>
    <w:basedOn w:val="a"/>
    <w:next w:val="a"/>
    <w:link w:val="20"/>
    <w:uiPriority w:val="9"/>
    <w:semiHidden/>
    <w:unhideWhenUsed/>
    <w:qFormat/>
    <w:rsid w:val="00AB12B3"/>
    <w:pPr>
      <w:keepNext/>
      <w:keepLines/>
      <w:spacing w:before="200" w:after="0"/>
      <w:outlineLvl w:val="1"/>
    </w:pPr>
    <w:rPr>
      <w:rFonts w:ascii="Cambria" w:eastAsia="Times New Roman" w:hAnsi="Cambria" w:cs="Times New Roman"/>
      <w:b/>
      <w:bCs/>
      <w:color w:val="4F81BD"/>
      <w:sz w:val="26"/>
      <w:szCs w:val="26"/>
    </w:rPr>
  </w:style>
  <w:style w:type="paragraph" w:styleId="3">
    <w:name w:val="heading 3"/>
    <w:basedOn w:val="a"/>
    <w:next w:val="a"/>
    <w:link w:val="30"/>
    <w:uiPriority w:val="9"/>
    <w:semiHidden/>
    <w:unhideWhenUsed/>
    <w:qFormat/>
    <w:rsid w:val="00AB12B3"/>
    <w:pPr>
      <w:keepNext/>
      <w:keepLines/>
      <w:spacing w:before="200" w:after="0" w:line="240" w:lineRule="auto"/>
      <w:outlineLvl w:val="2"/>
    </w:pPr>
    <w:rPr>
      <w:rFonts w:asciiTheme="majorHAnsi" w:eastAsiaTheme="majorEastAsia" w:hAnsiTheme="majorHAnsi" w:cstheme="majorBidi"/>
      <w:b/>
      <w:bCs/>
      <w:color w:val="4F81BD" w:themeColor="accent1"/>
      <w:sz w:val="24"/>
      <w:szCs w:val="24"/>
      <w:lang w:val="en-US"/>
    </w:rPr>
  </w:style>
  <w:style w:type="paragraph" w:styleId="5">
    <w:name w:val="heading 5"/>
    <w:basedOn w:val="a"/>
    <w:next w:val="a"/>
    <w:link w:val="50"/>
    <w:uiPriority w:val="9"/>
    <w:semiHidden/>
    <w:unhideWhenUsed/>
    <w:qFormat/>
    <w:rsid w:val="00AB12B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B12B3"/>
    <w:rPr>
      <w:rFonts w:ascii="Times New Roman" w:eastAsia="Calibri" w:hAnsi="Times New Roman" w:cs="Times New Roman"/>
      <w:b/>
      <w:bCs/>
      <w:kern w:val="36"/>
      <w:sz w:val="48"/>
      <w:szCs w:val="48"/>
      <w:lang w:eastAsia="ru-RU"/>
    </w:rPr>
  </w:style>
  <w:style w:type="character" w:customStyle="1" w:styleId="20">
    <w:name w:val="Заголовок 2 Знак"/>
    <w:basedOn w:val="a0"/>
    <w:link w:val="2"/>
    <w:uiPriority w:val="9"/>
    <w:semiHidden/>
    <w:rsid w:val="00AB12B3"/>
    <w:rPr>
      <w:rFonts w:ascii="Cambria" w:eastAsia="Times New Roman" w:hAnsi="Cambria" w:cs="Times New Roman"/>
      <w:b/>
      <w:bCs/>
      <w:color w:val="4F81BD"/>
      <w:sz w:val="26"/>
      <w:szCs w:val="26"/>
    </w:rPr>
  </w:style>
  <w:style w:type="character" w:customStyle="1" w:styleId="30">
    <w:name w:val="Заголовок 3 Знак"/>
    <w:basedOn w:val="a0"/>
    <w:link w:val="3"/>
    <w:uiPriority w:val="9"/>
    <w:semiHidden/>
    <w:rsid w:val="00AB12B3"/>
    <w:rPr>
      <w:rFonts w:asciiTheme="majorHAnsi" w:eastAsiaTheme="majorEastAsia" w:hAnsiTheme="majorHAnsi" w:cstheme="majorBidi"/>
      <w:b/>
      <w:bCs/>
      <w:color w:val="4F81BD" w:themeColor="accent1"/>
      <w:sz w:val="24"/>
      <w:szCs w:val="24"/>
      <w:lang w:val="en-US"/>
    </w:rPr>
  </w:style>
  <w:style w:type="character" w:customStyle="1" w:styleId="50">
    <w:name w:val="Заголовок 5 Знак"/>
    <w:basedOn w:val="a0"/>
    <w:link w:val="5"/>
    <w:uiPriority w:val="9"/>
    <w:semiHidden/>
    <w:rsid w:val="00AB12B3"/>
    <w:rPr>
      <w:rFonts w:asciiTheme="majorHAnsi" w:eastAsiaTheme="majorEastAsia" w:hAnsiTheme="majorHAnsi" w:cstheme="majorBidi"/>
      <w:color w:val="243F60" w:themeColor="accent1" w:themeShade="7F"/>
    </w:rPr>
  </w:style>
  <w:style w:type="character" w:styleId="a3">
    <w:name w:val="Hyperlink"/>
    <w:basedOn w:val="a0"/>
    <w:uiPriority w:val="99"/>
    <w:unhideWhenUsed/>
    <w:rsid w:val="00AB12B3"/>
    <w:rPr>
      <w:color w:val="0000FF" w:themeColor="hyperlink"/>
      <w:u w:val="single"/>
    </w:rPr>
  </w:style>
  <w:style w:type="character" w:styleId="a4">
    <w:name w:val="FollowedHyperlink"/>
    <w:uiPriority w:val="99"/>
    <w:semiHidden/>
    <w:unhideWhenUsed/>
    <w:rsid w:val="00AB12B3"/>
    <w:rPr>
      <w:color w:val="800080"/>
      <w:u w:val="single"/>
    </w:rPr>
  </w:style>
  <w:style w:type="paragraph" w:styleId="HTML">
    <w:name w:val="HTML Preformatted"/>
    <w:basedOn w:val="a"/>
    <w:link w:val="HTML0"/>
    <w:uiPriority w:val="99"/>
    <w:semiHidden/>
    <w:unhideWhenUsed/>
    <w:rsid w:val="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AB12B3"/>
    <w:rPr>
      <w:rFonts w:ascii="Courier New" w:eastAsia="Times New Roman" w:hAnsi="Courier New" w:cs="Courier New"/>
      <w:sz w:val="20"/>
      <w:szCs w:val="20"/>
      <w:lang w:eastAsia="ru-RU"/>
    </w:rPr>
  </w:style>
  <w:style w:type="paragraph" w:styleId="a5">
    <w:name w:val="Normal (Web)"/>
    <w:basedOn w:val="a"/>
    <w:uiPriority w:val="99"/>
    <w:semiHidden/>
    <w:unhideWhenUsed/>
    <w:rsid w:val="00AB12B3"/>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footnote text"/>
    <w:basedOn w:val="a"/>
    <w:link w:val="a7"/>
    <w:uiPriority w:val="99"/>
    <w:semiHidden/>
    <w:unhideWhenUsed/>
    <w:rsid w:val="00AB12B3"/>
    <w:pPr>
      <w:spacing w:after="0" w:line="240" w:lineRule="auto"/>
    </w:pPr>
    <w:rPr>
      <w:sz w:val="20"/>
      <w:szCs w:val="20"/>
    </w:rPr>
  </w:style>
  <w:style w:type="character" w:customStyle="1" w:styleId="a7">
    <w:name w:val="Текст сноски Знак"/>
    <w:basedOn w:val="a0"/>
    <w:link w:val="a6"/>
    <w:uiPriority w:val="99"/>
    <w:semiHidden/>
    <w:rsid w:val="00AB12B3"/>
    <w:rPr>
      <w:rFonts w:eastAsiaTheme="minorEastAsia"/>
      <w:sz w:val="20"/>
      <w:szCs w:val="20"/>
      <w:lang w:eastAsia="ru-RU"/>
    </w:rPr>
  </w:style>
  <w:style w:type="paragraph" w:styleId="a8">
    <w:name w:val="annotation text"/>
    <w:basedOn w:val="a"/>
    <w:link w:val="a9"/>
    <w:uiPriority w:val="99"/>
    <w:unhideWhenUsed/>
    <w:rsid w:val="00AB12B3"/>
    <w:pPr>
      <w:spacing w:line="240" w:lineRule="auto"/>
    </w:pPr>
    <w:rPr>
      <w:rFonts w:ascii="Calibri" w:eastAsia="Calibri" w:hAnsi="Calibri" w:cs="Times New Roman"/>
      <w:sz w:val="24"/>
      <w:szCs w:val="24"/>
    </w:rPr>
  </w:style>
  <w:style w:type="character" w:customStyle="1" w:styleId="a9">
    <w:name w:val="Текст примечания Знак"/>
    <w:basedOn w:val="a0"/>
    <w:link w:val="a8"/>
    <w:uiPriority w:val="99"/>
    <w:rsid w:val="00AB12B3"/>
    <w:rPr>
      <w:rFonts w:ascii="Calibri" w:eastAsia="Calibri" w:hAnsi="Calibri" w:cs="Times New Roman"/>
      <w:sz w:val="24"/>
      <w:szCs w:val="24"/>
    </w:rPr>
  </w:style>
  <w:style w:type="paragraph" w:styleId="aa">
    <w:name w:val="header"/>
    <w:basedOn w:val="a"/>
    <w:link w:val="ab"/>
    <w:uiPriority w:val="99"/>
    <w:unhideWhenUsed/>
    <w:rsid w:val="00AB12B3"/>
    <w:pPr>
      <w:tabs>
        <w:tab w:val="center" w:pos="4677"/>
        <w:tab w:val="right" w:pos="9355"/>
      </w:tabs>
      <w:spacing w:after="0" w:line="240" w:lineRule="auto"/>
    </w:pPr>
    <w:rPr>
      <w:rFonts w:ascii="Calibri" w:eastAsia="Times New Roman" w:hAnsi="Calibri" w:cs="Times New Roman"/>
      <w:sz w:val="20"/>
      <w:szCs w:val="20"/>
    </w:rPr>
  </w:style>
  <w:style w:type="character" w:customStyle="1" w:styleId="ab">
    <w:name w:val="Верхний колонтитул Знак"/>
    <w:basedOn w:val="a0"/>
    <w:link w:val="aa"/>
    <w:uiPriority w:val="99"/>
    <w:rsid w:val="00AB12B3"/>
    <w:rPr>
      <w:rFonts w:ascii="Calibri" w:eastAsia="Times New Roman" w:hAnsi="Calibri" w:cs="Times New Roman"/>
      <w:sz w:val="20"/>
      <w:szCs w:val="20"/>
    </w:rPr>
  </w:style>
  <w:style w:type="paragraph" w:styleId="ac">
    <w:name w:val="footer"/>
    <w:basedOn w:val="a"/>
    <w:link w:val="ad"/>
    <w:uiPriority w:val="99"/>
    <w:unhideWhenUsed/>
    <w:rsid w:val="00AB12B3"/>
    <w:pPr>
      <w:tabs>
        <w:tab w:val="center" w:pos="4677"/>
        <w:tab w:val="right" w:pos="9355"/>
      </w:tabs>
      <w:spacing w:after="0" w:line="240" w:lineRule="auto"/>
    </w:pPr>
    <w:rPr>
      <w:rFonts w:ascii="Calibri" w:eastAsia="Times New Roman" w:hAnsi="Calibri" w:cs="Times New Roman"/>
      <w:sz w:val="20"/>
      <w:szCs w:val="20"/>
    </w:rPr>
  </w:style>
  <w:style w:type="character" w:customStyle="1" w:styleId="ad">
    <w:name w:val="Нижний колонтитул Знак"/>
    <w:basedOn w:val="a0"/>
    <w:link w:val="ac"/>
    <w:uiPriority w:val="99"/>
    <w:rsid w:val="00AB12B3"/>
    <w:rPr>
      <w:rFonts w:ascii="Calibri" w:eastAsia="Times New Roman" w:hAnsi="Calibri" w:cs="Times New Roman"/>
      <w:sz w:val="20"/>
      <w:szCs w:val="20"/>
    </w:rPr>
  </w:style>
  <w:style w:type="paragraph" w:styleId="ae">
    <w:name w:val="annotation subject"/>
    <w:basedOn w:val="a8"/>
    <w:next w:val="a8"/>
    <w:link w:val="af"/>
    <w:uiPriority w:val="99"/>
    <w:semiHidden/>
    <w:unhideWhenUsed/>
    <w:rsid w:val="00AB12B3"/>
    <w:rPr>
      <w:rFonts w:asciiTheme="minorHAnsi" w:eastAsiaTheme="minorEastAsia" w:hAnsiTheme="minorHAnsi" w:cstheme="minorBidi"/>
      <w:b/>
      <w:bCs/>
      <w:sz w:val="20"/>
      <w:szCs w:val="20"/>
    </w:rPr>
  </w:style>
  <w:style w:type="character" w:customStyle="1" w:styleId="af">
    <w:name w:val="Тема примечания Знак"/>
    <w:basedOn w:val="a9"/>
    <w:link w:val="ae"/>
    <w:uiPriority w:val="99"/>
    <w:semiHidden/>
    <w:rsid w:val="00AB12B3"/>
    <w:rPr>
      <w:rFonts w:ascii="Calibri" w:eastAsiaTheme="minorEastAsia" w:hAnsi="Calibri" w:cs="Times New Roman"/>
      <w:b/>
      <w:bCs/>
      <w:sz w:val="20"/>
      <w:szCs w:val="20"/>
      <w:lang w:eastAsia="ru-RU"/>
    </w:rPr>
  </w:style>
  <w:style w:type="paragraph" w:styleId="af0">
    <w:name w:val="Balloon Text"/>
    <w:basedOn w:val="a"/>
    <w:link w:val="af1"/>
    <w:uiPriority w:val="99"/>
    <w:semiHidden/>
    <w:unhideWhenUsed/>
    <w:rsid w:val="00AB12B3"/>
    <w:pPr>
      <w:spacing w:after="0" w:line="240" w:lineRule="auto"/>
    </w:pPr>
    <w:rPr>
      <w:rFonts w:ascii="Tahoma" w:eastAsia="Calibri" w:hAnsi="Tahoma" w:cs="Tahoma"/>
      <w:sz w:val="16"/>
      <w:szCs w:val="16"/>
    </w:rPr>
  </w:style>
  <w:style w:type="character" w:customStyle="1" w:styleId="af1">
    <w:name w:val="Текст выноски Знак"/>
    <w:basedOn w:val="a0"/>
    <w:link w:val="af0"/>
    <w:uiPriority w:val="99"/>
    <w:semiHidden/>
    <w:rsid w:val="00AB12B3"/>
    <w:rPr>
      <w:rFonts w:ascii="Tahoma" w:eastAsia="Calibri" w:hAnsi="Tahoma" w:cs="Tahoma"/>
      <w:sz w:val="16"/>
      <w:szCs w:val="16"/>
    </w:rPr>
  </w:style>
  <w:style w:type="character" w:customStyle="1" w:styleId="af2">
    <w:name w:val="Без интервала Знак"/>
    <w:link w:val="af3"/>
    <w:locked/>
    <w:rsid w:val="00AB12B3"/>
    <w:rPr>
      <w:rFonts w:ascii="Calibri" w:eastAsia="Calibri" w:hAnsi="Calibri" w:cs="Times New Roman"/>
    </w:rPr>
  </w:style>
  <w:style w:type="paragraph" w:styleId="af3">
    <w:name w:val="No Spacing"/>
    <w:link w:val="af2"/>
    <w:qFormat/>
    <w:rsid w:val="00AB12B3"/>
    <w:pPr>
      <w:spacing w:after="0" w:line="240" w:lineRule="auto"/>
    </w:pPr>
    <w:rPr>
      <w:rFonts w:ascii="Calibri" w:eastAsia="Calibri" w:hAnsi="Calibri" w:cs="Times New Roman"/>
    </w:rPr>
  </w:style>
  <w:style w:type="paragraph" w:styleId="af4">
    <w:name w:val="List Paragraph"/>
    <w:basedOn w:val="a"/>
    <w:uiPriority w:val="34"/>
    <w:qFormat/>
    <w:rsid w:val="00AB12B3"/>
    <w:pPr>
      <w:ind w:left="720"/>
      <w:contextualSpacing/>
    </w:pPr>
  </w:style>
  <w:style w:type="paragraph" w:customStyle="1" w:styleId="Default">
    <w:name w:val="Default"/>
    <w:uiPriority w:val="99"/>
    <w:rsid w:val="00AB12B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ext05">
    <w:name w:val="Text_05"/>
    <w:basedOn w:val="5"/>
    <w:uiPriority w:val="99"/>
    <w:rsid w:val="00AB12B3"/>
    <w:pPr>
      <w:keepNext w:val="0"/>
      <w:keepLines w:val="0"/>
      <w:widowControl w:val="0"/>
      <w:numPr>
        <w:ilvl w:val="12"/>
      </w:numPr>
      <w:suppressAutoHyphens/>
      <w:overflowPunct w:val="0"/>
      <w:autoSpaceDE w:val="0"/>
      <w:autoSpaceDN w:val="0"/>
      <w:adjustRightInd w:val="0"/>
      <w:spacing w:before="80" w:after="40" w:line="240" w:lineRule="auto"/>
      <w:jc w:val="both"/>
    </w:pPr>
    <w:rPr>
      <w:rFonts w:ascii="Times New Roman" w:eastAsia="Times New Roman" w:hAnsi="Times New Roman" w:cs="Times New Roman"/>
      <w:color w:val="000000"/>
      <w:sz w:val="24"/>
      <w:lang w:eastAsia="ar-SA"/>
    </w:rPr>
  </w:style>
  <w:style w:type="paragraph" w:customStyle="1" w:styleId="rtecenter">
    <w:name w:val="rtecenter"/>
    <w:basedOn w:val="a"/>
    <w:uiPriority w:val="99"/>
    <w:rsid w:val="00AB12B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user">
    <w:name w:val="Standard (user)"/>
    <w:uiPriority w:val="99"/>
    <w:rsid w:val="00AB12B3"/>
    <w:pPr>
      <w:suppressAutoHyphens/>
      <w:autoSpaceDN w:val="0"/>
      <w:spacing w:after="0" w:line="240" w:lineRule="auto"/>
    </w:pPr>
    <w:rPr>
      <w:rFonts w:ascii="Times New Roman" w:eastAsia="Times New Roman" w:hAnsi="Times New Roman" w:cs="Times New Roman"/>
      <w:color w:val="000000"/>
      <w:kern w:val="3"/>
      <w:lang w:eastAsia="zh-CN"/>
    </w:rPr>
  </w:style>
  <w:style w:type="character" w:styleId="af5">
    <w:name w:val="footnote reference"/>
    <w:basedOn w:val="a0"/>
    <w:uiPriority w:val="99"/>
    <w:semiHidden/>
    <w:unhideWhenUsed/>
    <w:rsid w:val="00AB12B3"/>
    <w:rPr>
      <w:vertAlign w:val="superscript"/>
    </w:rPr>
  </w:style>
  <w:style w:type="character" w:styleId="af6">
    <w:name w:val="annotation reference"/>
    <w:basedOn w:val="a0"/>
    <w:uiPriority w:val="99"/>
    <w:semiHidden/>
    <w:unhideWhenUsed/>
    <w:rsid w:val="00AB12B3"/>
    <w:rPr>
      <w:sz w:val="16"/>
      <w:szCs w:val="16"/>
    </w:rPr>
  </w:style>
  <w:style w:type="character" w:customStyle="1" w:styleId="apple-converted-space">
    <w:name w:val="apple-converted-space"/>
    <w:rsid w:val="00AB12B3"/>
    <w:rPr>
      <w:rFonts w:ascii="Times New Roman" w:hAnsi="Times New Roman" w:cs="Times New Roman" w:hint="default"/>
    </w:rPr>
  </w:style>
  <w:style w:type="character" w:customStyle="1" w:styleId="fontstyle01">
    <w:name w:val="fontstyle01"/>
    <w:rsid w:val="00AB12B3"/>
    <w:rPr>
      <w:rFonts w:ascii="Arial-BoldMT" w:hAnsi="Arial-BoldMT" w:hint="default"/>
      <w:b/>
      <w:bCs/>
      <w:i w:val="0"/>
      <w:iCs w:val="0"/>
      <w:color w:val="000000"/>
      <w:sz w:val="28"/>
      <w:szCs w:val="28"/>
    </w:rPr>
  </w:style>
  <w:style w:type="character" w:customStyle="1" w:styleId="fontstyle21">
    <w:name w:val="fontstyle21"/>
    <w:rsid w:val="00AB12B3"/>
    <w:rPr>
      <w:rFonts w:ascii="Arial-BoldItalicMT" w:hAnsi="Arial-BoldItalicMT" w:hint="default"/>
      <w:b/>
      <w:bCs/>
      <w:i/>
      <w:iCs/>
      <w:color w:val="000000"/>
      <w:sz w:val="28"/>
      <w:szCs w:val="28"/>
    </w:rPr>
  </w:style>
  <w:style w:type="character" w:customStyle="1" w:styleId="fontstyle31">
    <w:name w:val="fontstyle31"/>
    <w:rsid w:val="00AB12B3"/>
    <w:rPr>
      <w:rFonts w:ascii="ArialMT" w:eastAsia="ArialMT" w:hAnsi="ArialMT" w:hint="eastAsia"/>
      <w:b w:val="0"/>
      <w:bCs w:val="0"/>
      <w:i w:val="0"/>
      <w:iCs w:val="0"/>
      <w:color w:val="000000"/>
      <w:sz w:val="20"/>
      <w:szCs w:val="20"/>
    </w:rPr>
  </w:style>
  <w:style w:type="character" w:customStyle="1" w:styleId="s0">
    <w:name w:val="s0"/>
    <w:rsid w:val="00AB12B3"/>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w">
    <w:name w:val="w"/>
    <w:basedOn w:val="a0"/>
    <w:rsid w:val="00AB12B3"/>
  </w:style>
  <w:style w:type="character" w:customStyle="1" w:styleId="fontstyle11">
    <w:name w:val="fontstyle11"/>
    <w:rsid w:val="00AB12B3"/>
    <w:rPr>
      <w:rFonts w:ascii="Times-Italic, 'Times New Roman'" w:hAnsi="Times-Italic, 'Times New Roman'" w:cs="Times-Italic, 'Times New Roman'" w:hint="default"/>
      <w:b w:val="0"/>
      <w:bCs w:val="0"/>
      <w:i/>
      <w:iCs/>
      <w:color w:val="231F20"/>
      <w:sz w:val="20"/>
      <w:szCs w:val="20"/>
    </w:rPr>
  </w:style>
  <w:style w:type="character" w:customStyle="1" w:styleId="fontstyle41">
    <w:name w:val="fontstyle41"/>
    <w:basedOn w:val="a0"/>
    <w:rsid w:val="00AB12B3"/>
    <w:rPr>
      <w:rFonts w:ascii="TimesNewRomanPSMT" w:hAnsi="TimesNewRomanPSMT" w:cs="TimesNewRomanPSMT" w:hint="default"/>
      <w:b w:val="0"/>
      <w:bCs w:val="0"/>
      <w:i w:val="0"/>
      <w:iCs w:val="0"/>
      <w:color w:val="242021"/>
      <w:sz w:val="24"/>
      <w:szCs w:val="24"/>
    </w:rPr>
  </w:style>
  <w:style w:type="character" w:customStyle="1" w:styleId="fontstyle51">
    <w:name w:val="fontstyle51"/>
    <w:basedOn w:val="a0"/>
    <w:rsid w:val="00AB12B3"/>
    <w:rPr>
      <w:rFonts w:ascii="Calibri-Bold" w:hAnsi="Calibri-Bold" w:hint="default"/>
      <w:b/>
      <w:bCs/>
      <w:i w:val="0"/>
      <w:iCs w:val="0"/>
      <w:color w:val="242021"/>
      <w:sz w:val="24"/>
      <w:szCs w:val="24"/>
    </w:rPr>
  </w:style>
  <w:style w:type="character" w:customStyle="1" w:styleId="fontstyle61">
    <w:name w:val="fontstyle61"/>
    <w:basedOn w:val="a0"/>
    <w:rsid w:val="00AB12B3"/>
    <w:rPr>
      <w:rFonts w:ascii="MyriadPro-BoldCond" w:hAnsi="MyriadPro-BoldCond" w:hint="default"/>
      <w:b/>
      <w:bCs/>
      <w:i w:val="0"/>
      <w:iCs w:val="0"/>
      <w:color w:val="59595B"/>
      <w:sz w:val="54"/>
      <w:szCs w:val="54"/>
    </w:rPr>
  </w:style>
  <w:style w:type="character" w:customStyle="1" w:styleId="fontstyle71">
    <w:name w:val="fontstyle71"/>
    <w:basedOn w:val="a0"/>
    <w:rsid w:val="00AB12B3"/>
    <w:rPr>
      <w:rFonts w:ascii="Calibri" w:hAnsi="Calibri" w:hint="default"/>
      <w:b w:val="0"/>
      <w:bCs w:val="0"/>
      <w:i w:val="0"/>
      <w:iCs w:val="0"/>
      <w:color w:val="242021"/>
      <w:sz w:val="24"/>
      <w:szCs w:val="24"/>
    </w:rPr>
  </w:style>
  <w:style w:type="table" w:styleId="af7">
    <w:name w:val="Table Grid"/>
    <w:basedOn w:val="a1"/>
    <w:uiPriority w:val="59"/>
    <w:rsid w:val="00AB12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Таблица простая 21"/>
    <w:basedOn w:val="a1"/>
    <w:uiPriority w:val="42"/>
    <w:rsid w:val="00AB12B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af8">
    <w:name w:val="line number"/>
    <w:basedOn w:val="a0"/>
    <w:uiPriority w:val="99"/>
    <w:semiHidden/>
    <w:unhideWhenUsed/>
    <w:rsid w:val="00F9362C"/>
  </w:style>
  <w:style w:type="character" w:customStyle="1" w:styleId="11">
    <w:name w:val="Неразрешенное упоминание1"/>
    <w:basedOn w:val="a0"/>
    <w:uiPriority w:val="99"/>
    <w:semiHidden/>
    <w:unhideWhenUsed/>
    <w:rsid w:val="00C7427E"/>
    <w:rPr>
      <w:color w:val="605E5C"/>
      <w:shd w:val="clear" w:color="auto" w:fill="E1DFDD"/>
    </w:rPr>
  </w:style>
  <w:style w:type="character" w:styleId="af9">
    <w:name w:val="Emphasis"/>
    <w:basedOn w:val="a0"/>
    <w:uiPriority w:val="20"/>
    <w:qFormat/>
    <w:rsid w:val="00066B4D"/>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3C22"/>
  </w:style>
  <w:style w:type="paragraph" w:styleId="1">
    <w:name w:val="heading 1"/>
    <w:basedOn w:val="a"/>
    <w:link w:val="10"/>
    <w:uiPriority w:val="9"/>
    <w:qFormat/>
    <w:rsid w:val="00AB12B3"/>
    <w:pPr>
      <w:spacing w:before="100" w:beforeAutospacing="1" w:after="100" w:afterAutospacing="1" w:line="240" w:lineRule="auto"/>
      <w:outlineLvl w:val="0"/>
    </w:pPr>
    <w:rPr>
      <w:rFonts w:ascii="Times New Roman" w:eastAsia="Calibri" w:hAnsi="Times New Roman" w:cs="Times New Roman"/>
      <w:b/>
      <w:bCs/>
      <w:kern w:val="36"/>
      <w:sz w:val="48"/>
      <w:szCs w:val="48"/>
    </w:rPr>
  </w:style>
  <w:style w:type="paragraph" w:styleId="2">
    <w:name w:val="heading 2"/>
    <w:basedOn w:val="a"/>
    <w:next w:val="a"/>
    <w:link w:val="20"/>
    <w:uiPriority w:val="9"/>
    <w:semiHidden/>
    <w:unhideWhenUsed/>
    <w:qFormat/>
    <w:rsid w:val="00AB12B3"/>
    <w:pPr>
      <w:keepNext/>
      <w:keepLines/>
      <w:spacing w:before="200" w:after="0"/>
      <w:outlineLvl w:val="1"/>
    </w:pPr>
    <w:rPr>
      <w:rFonts w:ascii="Cambria" w:eastAsia="Times New Roman" w:hAnsi="Cambria" w:cs="Times New Roman"/>
      <w:b/>
      <w:bCs/>
      <w:color w:val="4F81BD"/>
      <w:sz w:val="26"/>
      <w:szCs w:val="26"/>
    </w:rPr>
  </w:style>
  <w:style w:type="paragraph" w:styleId="3">
    <w:name w:val="heading 3"/>
    <w:basedOn w:val="a"/>
    <w:next w:val="a"/>
    <w:link w:val="30"/>
    <w:uiPriority w:val="9"/>
    <w:semiHidden/>
    <w:unhideWhenUsed/>
    <w:qFormat/>
    <w:rsid w:val="00AB12B3"/>
    <w:pPr>
      <w:keepNext/>
      <w:keepLines/>
      <w:spacing w:before="200" w:after="0" w:line="240" w:lineRule="auto"/>
      <w:outlineLvl w:val="2"/>
    </w:pPr>
    <w:rPr>
      <w:rFonts w:asciiTheme="majorHAnsi" w:eastAsiaTheme="majorEastAsia" w:hAnsiTheme="majorHAnsi" w:cstheme="majorBidi"/>
      <w:b/>
      <w:bCs/>
      <w:color w:val="4F81BD" w:themeColor="accent1"/>
      <w:sz w:val="24"/>
      <w:szCs w:val="24"/>
      <w:lang w:val="en-US"/>
    </w:rPr>
  </w:style>
  <w:style w:type="paragraph" w:styleId="5">
    <w:name w:val="heading 5"/>
    <w:basedOn w:val="a"/>
    <w:next w:val="a"/>
    <w:link w:val="50"/>
    <w:uiPriority w:val="9"/>
    <w:semiHidden/>
    <w:unhideWhenUsed/>
    <w:qFormat/>
    <w:rsid w:val="00AB12B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B12B3"/>
    <w:rPr>
      <w:rFonts w:ascii="Times New Roman" w:eastAsia="Calibri" w:hAnsi="Times New Roman" w:cs="Times New Roman"/>
      <w:b/>
      <w:bCs/>
      <w:kern w:val="36"/>
      <w:sz w:val="48"/>
      <w:szCs w:val="48"/>
      <w:lang w:eastAsia="ru-RU"/>
    </w:rPr>
  </w:style>
  <w:style w:type="character" w:customStyle="1" w:styleId="20">
    <w:name w:val="Заголовок 2 Знак"/>
    <w:basedOn w:val="a0"/>
    <w:link w:val="2"/>
    <w:uiPriority w:val="9"/>
    <w:semiHidden/>
    <w:rsid w:val="00AB12B3"/>
    <w:rPr>
      <w:rFonts w:ascii="Cambria" w:eastAsia="Times New Roman" w:hAnsi="Cambria" w:cs="Times New Roman"/>
      <w:b/>
      <w:bCs/>
      <w:color w:val="4F81BD"/>
      <w:sz w:val="26"/>
      <w:szCs w:val="26"/>
    </w:rPr>
  </w:style>
  <w:style w:type="character" w:customStyle="1" w:styleId="30">
    <w:name w:val="Заголовок 3 Знак"/>
    <w:basedOn w:val="a0"/>
    <w:link w:val="3"/>
    <w:uiPriority w:val="9"/>
    <w:semiHidden/>
    <w:rsid w:val="00AB12B3"/>
    <w:rPr>
      <w:rFonts w:asciiTheme="majorHAnsi" w:eastAsiaTheme="majorEastAsia" w:hAnsiTheme="majorHAnsi" w:cstheme="majorBidi"/>
      <w:b/>
      <w:bCs/>
      <w:color w:val="4F81BD" w:themeColor="accent1"/>
      <w:sz w:val="24"/>
      <w:szCs w:val="24"/>
      <w:lang w:val="en-US"/>
    </w:rPr>
  </w:style>
  <w:style w:type="character" w:customStyle="1" w:styleId="50">
    <w:name w:val="Заголовок 5 Знак"/>
    <w:basedOn w:val="a0"/>
    <w:link w:val="5"/>
    <w:uiPriority w:val="9"/>
    <w:semiHidden/>
    <w:rsid w:val="00AB12B3"/>
    <w:rPr>
      <w:rFonts w:asciiTheme="majorHAnsi" w:eastAsiaTheme="majorEastAsia" w:hAnsiTheme="majorHAnsi" w:cstheme="majorBidi"/>
      <w:color w:val="243F60" w:themeColor="accent1" w:themeShade="7F"/>
    </w:rPr>
  </w:style>
  <w:style w:type="character" w:styleId="a3">
    <w:name w:val="Hyperlink"/>
    <w:basedOn w:val="a0"/>
    <w:uiPriority w:val="99"/>
    <w:unhideWhenUsed/>
    <w:rsid w:val="00AB12B3"/>
    <w:rPr>
      <w:color w:val="0000FF" w:themeColor="hyperlink"/>
      <w:u w:val="single"/>
    </w:rPr>
  </w:style>
  <w:style w:type="character" w:styleId="a4">
    <w:name w:val="FollowedHyperlink"/>
    <w:uiPriority w:val="99"/>
    <w:semiHidden/>
    <w:unhideWhenUsed/>
    <w:rsid w:val="00AB12B3"/>
    <w:rPr>
      <w:color w:val="800080"/>
      <w:u w:val="single"/>
    </w:rPr>
  </w:style>
  <w:style w:type="paragraph" w:styleId="HTML">
    <w:name w:val="HTML Preformatted"/>
    <w:basedOn w:val="a"/>
    <w:link w:val="HTML0"/>
    <w:uiPriority w:val="99"/>
    <w:semiHidden/>
    <w:unhideWhenUsed/>
    <w:rsid w:val="00AB12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AB12B3"/>
    <w:rPr>
      <w:rFonts w:ascii="Courier New" w:eastAsia="Times New Roman" w:hAnsi="Courier New" w:cs="Courier New"/>
      <w:sz w:val="20"/>
      <w:szCs w:val="20"/>
      <w:lang w:eastAsia="ru-RU"/>
    </w:rPr>
  </w:style>
  <w:style w:type="paragraph" w:styleId="a5">
    <w:name w:val="Normal (Web)"/>
    <w:basedOn w:val="a"/>
    <w:uiPriority w:val="99"/>
    <w:semiHidden/>
    <w:unhideWhenUsed/>
    <w:rsid w:val="00AB12B3"/>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footnote text"/>
    <w:basedOn w:val="a"/>
    <w:link w:val="a7"/>
    <w:uiPriority w:val="99"/>
    <w:semiHidden/>
    <w:unhideWhenUsed/>
    <w:rsid w:val="00AB12B3"/>
    <w:pPr>
      <w:spacing w:after="0" w:line="240" w:lineRule="auto"/>
    </w:pPr>
    <w:rPr>
      <w:sz w:val="20"/>
      <w:szCs w:val="20"/>
    </w:rPr>
  </w:style>
  <w:style w:type="character" w:customStyle="1" w:styleId="a7">
    <w:name w:val="Текст сноски Знак"/>
    <w:basedOn w:val="a0"/>
    <w:link w:val="a6"/>
    <w:uiPriority w:val="99"/>
    <w:semiHidden/>
    <w:rsid w:val="00AB12B3"/>
    <w:rPr>
      <w:rFonts w:eastAsiaTheme="minorEastAsia"/>
      <w:sz w:val="20"/>
      <w:szCs w:val="20"/>
      <w:lang w:eastAsia="ru-RU"/>
    </w:rPr>
  </w:style>
  <w:style w:type="paragraph" w:styleId="a8">
    <w:name w:val="annotation text"/>
    <w:basedOn w:val="a"/>
    <w:link w:val="a9"/>
    <w:uiPriority w:val="99"/>
    <w:unhideWhenUsed/>
    <w:rsid w:val="00AB12B3"/>
    <w:pPr>
      <w:spacing w:line="240" w:lineRule="auto"/>
    </w:pPr>
    <w:rPr>
      <w:rFonts w:ascii="Calibri" w:eastAsia="Calibri" w:hAnsi="Calibri" w:cs="Times New Roman"/>
      <w:sz w:val="24"/>
      <w:szCs w:val="24"/>
    </w:rPr>
  </w:style>
  <w:style w:type="character" w:customStyle="1" w:styleId="a9">
    <w:name w:val="Текст примечания Знак"/>
    <w:basedOn w:val="a0"/>
    <w:link w:val="a8"/>
    <w:uiPriority w:val="99"/>
    <w:rsid w:val="00AB12B3"/>
    <w:rPr>
      <w:rFonts w:ascii="Calibri" w:eastAsia="Calibri" w:hAnsi="Calibri" w:cs="Times New Roman"/>
      <w:sz w:val="24"/>
      <w:szCs w:val="24"/>
    </w:rPr>
  </w:style>
  <w:style w:type="paragraph" w:styleId="aa">
    <w:name w:val="header"/>
    <w:basedOn w:val="a"/>
    <w:link w:val="ab"/>
    <w:uiPriority w:val="99"/>
    <w:unhideWhenUsed/>
    <w:rsid w:val="00AB12B3"/>
    <w:pPr>
      <w:tabs>
        <w:tab w:val="center" w:pos="4677"/>
        <w:tab w:val="right" w:pos="9355"/>
      </w:tabs>
      <w:spacing w:after="0" w:line="240" w:lineRule="auto"/>
    </w:pPr>
    <w:rPr>
      <w:rFonts w:ascii="Calibri" w:eastAsia="Times New Roman" w:hAnsi="Calibri" w:cs="Times New Roman"/>
      <w:sz w:val="20"/>
      <w:szCs w:val="20"/>
    </w:rPr>
  </w:style>
  <w:style w:type="character" w:customStyle="1" w:styleId="ab">
    <w:name w:val="Верхний колонтитул Знак"/>
    <w:basedOn w:val="a0"/>
    <w:link w:val="aa"/>
    <w:uiPriority w:val="99"/>
    <w:rsid w:val="00AB12B3"/>
    <w:rPr>
      <w:rFonts w:ascii="Calibri" w:eastAsia="Times New Roman" w:hAnsi="Calibri" w:cs="Times New Roman"/>
      <w:sz w:val="20"/>
      <w:szCs w:val="20"/>
    </w:rPr>
  </w:style>
  <w:style w:type="paragraph" w:styleId="ac">
    <w:name w:val="footer"/>
    <w:basedOn w:val="a"/>
    <w:link w:val="ad"/>
    <w:uiPriority w:val="99"/>
    <w:unhideWhenUsed/>
    <w:rsid w:val="00AB12B3"/>
    <w:pPr>
      <w:tabs>
        <w:tab w:val="center" w:pos="4677"/>
        <w:tab w:val="right" w:pos="9355"/>
      </w:tabs>
      <w:spacing w:after="0" w:line="240" w:lineRule="auto"/>
    </w:pPr>
    <w:rPr>
      <w:rFonts w:ascii="Calibri" w:eastAsia="Times New Roman" w:hAnsi="Calibri" w:cs="Times New Roman"/>
      <w:sz w:val="20"/>
      <w:szCs w:val="20"/>
    </w:rPr>
  </w:style>
  <w:style w:type="character" w:customStyle="1" w:styleId="ad">
    <w:name w:val="Нижний колонтитул Знак"/>
    <w:basedOn w:val="a0"/>
    <w:link w:val="ac"/>
    <w:uiPriority w:val="99"/>
    <w:rsid w:val="00AB12B3"/>
    <w:rPr>
      <w:rFonts w:ascii="Calibri" w:eastAsia="Times New Roman" w:hAnsi="Calibri" w:cs="Times New Roman"/>
      <w:sz w:val="20"/>
      <w:szCs w:val="20"/>
    </w:rPr>
  </w:style>
  <w:style w:type="paragraph" w:styleId="ae">
    <w:name w:val="annotation subject"/>
    <w:basedOn w:val="a8"/>
    <w:next w:val="a8"/>
    <w:link w:val="af"/>
    <w:uiPriority w:val="99"/>
    <w:semiHidden/>
    <w:unhideWhenUsed/>
    <w:rsid w:val="00AB12B3"/>
    <w:rPr>
      <w:rFonts w:asciiTheme="minorHAnsi" w:eastAsiaTheme="minorEastAsia" w:hAnsiTheme="minorHAnsi" w:cstheme="minorBidi"/>
      <w:b/>
      <w:bCs/>
      <w:sz w:val="20"/>
      <w:szCs w:val="20"/>
    </w:rPr>
  </w:style>
  <w:style w:type="character" w:customStyle="1" w:styleId="af">
    <w:name w:val="Тема примечания Знак"/>
    <w:basedOn w:val="a9"/>
    <w:link w:val="ae"/>
    <w:uiPriority w:val="99"/>
    <w:semiHidden/>
    <w:rsid w:val="00AB12B3"/>
    <w:rPr>
      <w:rFonts w:ascii="Calibri" w:eastAsiaTheme="minorEastAsia" w:hAnsi="Calibri" w:cs="Times New Roman"/>
      <w:b/>
      <w:bCs/>
      <w:sz w:val="20"/>
      <w:szCs w:val="20"/>
      <w:lang w:eastAsia="ru-RU"/>
    </w:rPr>
  </w:style>
  <w:style w:type="paragraph" w:styleId="af0">
    <w:name w:val="Balloon Text"/>
    <w:basedOn w:val="a"/>
    <w:link w:val="af1"/>
    <w:uiPriority w:val="99"/>
    <w:semiHidden/>
    <w:unhideWhenUsed/>
    <w:rsid w:val="00AB12B3"/>
    <w:pPr>
      <w:spacing w:after="0" w:line="240" w:lineRule="auto"/>
    </w:pPr>
    <w:rPr>
      <w:rFonts w:ascii="Tahoma" w:eastAsia="Calibri" w:hAnsi="Tahoma" w:cs="Tahoma"/>
      <w:sz w:val="16"/>
      <w:szCs w:val="16"/>
    </w:rPr>
  </w:style>
  <w:style w:type="character" w:customStyle="1" w:styleId="af1">
    <w:name w:val="Текст выноски Знак"/>
    <w:basedOn w:val="a0"/>
    <w:link w:val="af0"/>
    <w:uiPriority w:val="99"/>
    <w:semiHidden/>
    <w:rsid w:val="00AB12B3"/>
    <w:rPr>
      <w:rFonts w:ascii="Tahoma" w:eastAsia="Calibri" w:hAnsi="Tahoma" w:cs="Tahoma"/>
      <w:sz w:val="16"/>
      <w:szCs w:val="16"/>
    </w:rPr>
  </w:style>
  <w:style w:type="character" w:customStyle="1" w:styleId="af2">
    <w:name w:val="Без интервала Знак"/>
    <w:link w:val="af3"/>
    <w:locked/>
    <w:rsid w:val="00AB12B3"/>
    <w:rPr>
      <w:rFonts w:ascii="Calibri" w:eastAsia="Calibri" w:hAnsi="Calibri" w:cs="Times New Roman"/>
    </w:rPr>
  </w:style>
  <w:style w:type="paragraph" w:styleId="af3">
    <w:name w:val="No Spacing"/>
    <w:link w:val="af2"/>
    <w:qFormat/>
    <w:rsid w:val="00AB12B3"/>
    <w:pPr>
      <w:spacing w:after="0" w:line="240" w:lineRule="auto"/>
    </w:pPr>
    <w:rPr>
      <w:rFonts w:ascii="Calibri" w:eastAsia="Calibri" w:hAnsi="Calibri" w:cs="Times New Roman"/>
    </w:rPr>
  </w:style>
  <w:style w:type="paragraph" w:styleId="af4">
    <w:name w:val="List Paragraph"/>
    <w:basedOn w:val="a"/>
    <w:uiPriority w:val="34"/>
    <w:qFormat/>
    <w:rsid w:val="00AB12B3"/>
    <w:pPr>
      <w:ind w:left="720"/>
      <w:contextualSpacing/>
    </w:pPr>
  </w:style>
  <w:style w:type="paragraph" w:customStyle="1" w:styleId="Default">
    <w:name w:val="Default"/>
    <w:uiPriority w:val="99"/>
    <w:rsid w:val="00AB12B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ext05">
    <w:name w:val="Text_05"/>
    <w:basedOn w:val="5"/>
    <w:uiPriority w:val="99"/>
    <w:rsid w:val="00AB12B3"/>
    <w:pPr>
      <w:keepNext w:val="0"/>
      <w:keepLines w:val="0"/>
      <w:widowControl w:val="0"/>
      <w:numPr>
        <w:ilvl w:val="12"/>
      </w:numPr>
      <w:suppressAutoHyphens/>
      <w:overflowPunct w:val="0"/>
      <w:autoSpaceDE w:val="0"/>
      <w:autoSpaceDN w:val="0"/>
      <w:adjustRightInd w:val="0"/>
      <w:spacing w:before="80" w:after="40" w:line="240" w:lineRule="auto"/>
      <w:jc w:val="both"/>
    </w:pPr>
    <w:rPr>
      <w:rFonts w:ascii="Times New Roman" w:eastAsia="Times New Roman" w:hAnsi="Times New Roman" w:cs="Times New Roman"/>
      <w:color w:val="000000"/>
      <w:sz w:val="24"/>
      <w:lang w:eastAsia="ar-SA"/>
    </w:rPr>
  </w:style>
  <w:style w:type="paragraph" w:customStyle="1" w:styleId="rtecenter">
    <w:name w:val="rtecenter"/>
    <w:basedOn w:val="a"/>
    <w:uiPriority w:val="99"/>
    <w:rsid w:val="00AB12B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user">
    <w:name w:val="Standard (user)"/>
    <w:uiPriority w:val="99"/>
    <w:rsid w:val="00AB12B3"/>
    <w:pPr>
      <w:suppressAutoHyphens/>
      <w:autoSpaceDN w:val="0"/>
      <w:spacing w:after="0" w:line="240" w:lineRule="auto"/>
    </w:pPr>
    <w:rPr>
      <w:rFonts w:ascii="Times New Roman" w:eastAsia="Times New Roman" w:hAnsi="Times New Roman" w:cs="Times New Roman"/>
      <w:color w:val="000000"/>
      <w:kern w:val="3"/>
      <w:lang w:eastAsia="zh-CN"/>
    </w:rPr>
  </w:style>
  <w:style w:type="character" w:styleId="af5">
    <w:name w:val="footnote reference"/>
    <w:basedOn w:val="a0"/>
    <w:uiPriority w:val="99"/>
    <w:semiHidden/>
    <w:unhideWhenUsed/>
    <w:rsid w:val="00AB12B3"/>
    <w:rPr>
      <w:vertAlign w:val="superscript"/>
    </w:rPr>
  </w:style>
  <w:style w:type="character" w:styleId="af6">
    <w:name w:val="annotation reference"/>
    <w:basedOn w:val="a0"/>
    <w:uiPriority w:val="99"/>
    <w:semiHidden/>
    <w:unhideWhenUsed/>
    <w:rsid w:val="00AB12B3"/>
    <w:rPr>
      <w:sz w:val="16"/>
      <w:szCs w:val="16"/>
    </w:rPr>
  </w:style>
  <w:style w:type="character" w:customStyle="1" w:styleId="apple-converted-space">
    <w:name w:val="apple-converted-space"/>
    <w:rsid w:val="00AB12B3"/>
    <w:rPr>
      <w:rFonts w:ascii="Times New Roman" w:hAnsi="Times New Roman" w:cs="Times New Roman" w:hint="default"/>
    </w:rPr>
  </w:style>
  <w:style w:type="character" w:customStyle="1" w:styleId="fontstyle01">
    <w:name w:val="fontstyle01"/>
    <w:rsid w:val="00AB12B3"/>
    <w:rPr>
      <w:rFonts w:ascii="Arial-BoldMT" w:hAnsi="Arial-BoldMT" w:hint="default"/>
      <w:b/>
      <w:bCs/>
      <w:i w:val="0"/>
      <w:iCs w:val="0"/>
      <w:color w:val="000000"/>
      <w:sz w:val="28"/>
      <w:szCs w:val="28"/>
    </w:rPr>
  </w:style>
  <w:style w:type="character" w:customStyle="1" w:styleId="fontstyle21">
    <w:name w:val="fontstyle21"/>
    <w:rsid w:val="00AB12B3"/>
    <w:rPr>
      <w:rFonts w:ascii="Arial-BoldItalicMT" w:hAnsi="Arial-BoldItalicMT" w:hint="default"/>
      <w:b/>
      <w:bCs/>
      <w:i/>
      <w:iCs/>
      <w:color w:val="000000"/>
      <w:sz w:val="28"/>
      <w:szCs w:val="28"/>
    </w:rPr>
  </w:style>
  <w:style w:type="character" w:customStyle="1" w:styleId="fontstyle31">
    <w:name w:val="fontstyle31"/>
    <w:rsid w:val="00AB12B3"/>
    <w:rPr>
      <w:rFonts w:ascii="ArialMT" w:eastAsia="ArialMT" w:hAnsi="ArialMT" w:hint="eastAsia"/>
      <w:b w:val="0"/>
      <w:bCs w:val="0"/>
      <w:i w:val="0"/>
      <w:iCs w:val="0"/>
      <w:color w:val="000000"/>
      <w:sz w:val="20"/>
      <w:szCs w:val="20"/>
    </w:rPr>
  </w:style>
  <w:style w:type="character" w:customStyle="1" w:styleId="s0">
    <w:name w:val="s0"/>
    <w:rsid w:val="00AB12B3"/>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w">
    <w:name w:val="w"/>
    <w:basedOn w:val="a0"/>
    <w:rsid w:val="00AB12B3"/>
  </w:style>
  <w:style w:type="character" w:customStyle="1" w:styleId="fontstyle11">
    <w:name w:val="fontstyle11"/>
    <w:rsid w:val="00AB12B3"/>
    <w:rPr>
      <w:rFonts w:ascii="Times-Italic, 'Times New Roman'" w:hAnsi="Times-Italic, 'Times New Roman'" w:cs="Times-Italic, 'Times New Roman'" w:hint="default"/>
      <w:b w:val="0"/>
      <w:bCs w:val="0"/>
      <w:i/>
      <w:iCs/>
      <w:color w:val="231F20"/>
      <w:sz w:val="20"/>
      <w:szCs w:val="20"/>
    </w:rPr>
  </w:style>
  <w:style w:type="character" w:customStyle="1" w:styleId="fontstyle41">
    <w:name w:val="fontstyle41"/>
    <w:basedOn w:val="a0"/>
    <w:rsid w:val="00AB12B3"/>
    <w:rPr>
      <w:rFonts w:ascii="TimesNewRomanPSMT" w:hAnsi="TimesNewRomanPSMT" w:cs="TimesNewRomanPSMT" w:hint="default"/>
      <w:b w:val="0"/>
      <w:bCs w:val="0"/>
      <w:i w:val="0"/>
      <w:iCs w:val="0"/>
      <w:color w:val="242021"/>
      <w:sz w:val="24"/>
      <w:szCs w:val="24"/>
    </w:rPr>
  </w:style>
  <w:style w:type="character" w:customStyle="1" w:styleId="fontstyle51">
    <w:name w:val="fontstyle51"/>
    <w:basedOn w:val="a0"/>
    <w:rsid w:val="00AB12B3"/>
    <w:rPr>
      <w:rFonts w:ascii="Calibri-Bold" w:hAnsi="Calibri-Bold" w:hint="default"/>
      <w:b/>
      <w:bCs/>
      <w:i w:val="0"/>
      <w:iCs w:val="0"/>
      <w:color w:val="242021"/>
      <w:sz w:val="24"/>
      <w:szCs w:val="24"/>
    </w:rPr>
  </w:style>
  <w:style w:type="character" w:customStyle="1" w:styleId="fontstyle61">
    <w:name w:val="fontstyle61"/>
    <w:basedOn w:val="a0"/>
    <w:rsid w:val="00AB12B3"/>
    <w:rPr>
      <w:rFonts w:ascii="MyriadPro-BoldCond" w:hAnsi="MyriadPro-BoldCond" w:hint="default"/>
      <w:b/>
      <w:bCs/>
      <w:i w:val="0"/>
      <w:iCs w:val="0"/>
      <w:color w:val="59595B"/>
      <w:sz w:val="54"/>
      <w:szCs w:val="54"/>
    </w:rPr>
  </w:style>
  <w:style w:type="character" w:customStyle="1" w:styleId="fontstyle71">
    <w:name w:val="fontstyle71"/>
    <w:basedOn w:val="a0"/>
    <w:rsid w:val="00AB12B3"/>
    <w:rPr>
      <w:rFonts w:ascii="Calibri" w:hAnsi="Calibri" w:hint="default"/>
      <w:b w:val="0"/>
      <w:bCs w:val="0"/>
      <w:i w:val="0"/>
      <w:iCs w:val="0"/>
      <w:color w:val="242021"/>
      <w:sz w:val="24"/>
      <w:szCs w:val="24"/>
    </w:rPr>
  </w:style>
  <w:style w:type="table" w:styleId="af7">
    <w:name w:val="Table Grid"/>
    <w:basedOn w:val="a1"/>
    <w:uiPriority w:val="59"/>
    <w:rsid w:val="00AB12B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Таблица простая 21"/>
    <w:basedOn w:val="a1"/>
    <w:uiPriority w:val="42"/>
    <w:rsid w:val="00AB12B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af8">
    <w:name w:val="line number"/>
    <w:basedOn w:val="a0"/>
    <w:uiPriority w:val="99"/>
    <w:semiHidden/>
    <w:unhideWhenUsed/>
    <w:rsid w:val="00F9362C"/>
  </w:style>
  <w:style w:type="character" w:customStyle="1" w:styleId="11">
    <w:name w:val="Неразрешенное упоминание1"/>
    <w:basedOn w:val="a0"/>
    <w:uiPriority w:val="99"/>
    <w:semiHidden/>
    <w:unhideWhenUsed/>
    <w:rsid w:val="00C7427E"/>
    <w:rPr>
      <w:color w:val="605E5C"/>
      <w:shd w:val="clear" w:color="auto" w:fill="E1DFDD"/>
    </w:rPr>
  </w:style>
  <w:style w:type="character" w:styleId="af9">
    <w:name w:val="Emphasis"/>
    <w:basedOn w:val="a0"/>
    <w:uiPriority w:val="20"/>
    <w:qFormat/>
    <w:rsid w:val="00066B4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2121350">
      <w:bodyDiv w:val="1"/>
      <w:marLeft w:val="0"/>
      <w:marRight w:val="0"/>
      <w:marTop w:val="0"/>
      <w:marBottom w:val="0"/>
      <w:divBdr>
        <w:top w:val="none" w:sz="0" w:space="0" w:color="auto"/>
        <w:left w:val="none" w:sz="0" w:space="0" w:color="auto"/>
        <w:bottom w:val="none" w:sz="0" w:space="0" w:color="auto"/>
        <w:right w:val="none" w:sz="0" w:space="0" w:color="auto"/>
      </w:divBdr>
    </w:div>
    <w:div w:id="632951448">
      <w:bodyDiv w:val="1"/>
      <w:marLeft w:val="0"/>
      <w:marRight w:val="0"/>
      <w:marTop w:val="0"/>
      <w:marBottom w:val="0"/>
      <w:divBdr>
        <w:top w:val="none" w:sz="0" w:space="0" w:color="auto"/>
        <w:left w:val="none" w:sz="0" w:space="0" w:color="auto"/>
        <w:bottom w:val="none" w:sz="0" w:space="0" w:color="auto"/>
        <w:right w:val="none" w:sz="0" w:space="0" w:color="auto"/>
      </w:divBdr>
    </w:div>
    <w:div w:id="867379616">
      <w:bodyDiv w:val="1"/>
      <w:marLeft w:val="0"/>
      <w:marRight w:val="0"/>
      <w:marTop w:val="0"/>
      <w:marBottom w:val="0"/>
      <w:divBdr>
        <w:top w:val="none" w:sz="0" w:space="0" w:color="auto"/>
        <w:left w:val="none" w:sz="0" w:space="0" w:color="auto"/>
        <w:bottom w:val="none" w:sz="0" w:space="0" w:color="auto"/>
        <w:right w:val="none" w:sz="0" w:space="0" w:color="auto"/>
      </w:divBdr>
    </w:div>
    <w:div w:id="1226531654">
      <w:bodyDiv w:val="1"/>
      <w:marLeft w:val="0"/>
      <w:marRight w:val="0"/>
      <w:marTop w:val="0"/>
      <w:marBottom w:val="0"/>
      <w:divBdr>
        <w:top w:val="none" w:sz="0" w:space="0" w:color="auto"/>
        <w:left w:val="none" w:sz="0" w:space="0" w:color="auto"/>
        <w:bottom w:val="none" w:sz="0" w:space="0" w:color="auto"/>
        <w:right w:val="none" w:sz="0" w:space="0" w:color="auto"/>
      </w:divBdr>
    </w:div>
    <w:div w:id="1243417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npstats.net/start.htm" TargetMode="External"/><Relationship Id="rId18" Type="http://schemas.openxmlformats.org/officeDocument/2006/relationships/hyperlink" Target="http://www.ccs.ca/en/guidelines/guideline-resources" TargetMode="External"/><Relationship Id="rId26" Type="http://schemas.openxmlformats.org/officeDocument/2006/relationships/hyperlink" Target="https://asia.ensembl.org/Homo_sapiens/Variation/Explore?db=core;r=5:148826410-148827410;v=CM970061;vdb=variation;vf=703240892" TargetMode="External"/><Relationship Id="rId39"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yperlink" Target="https://www.snpstats.net/start.htm" TargetMode="External"/><Relationship Id="rId34" Type="http://schemas.openxmlformats.org/officeDocument/2006/relationships/image" Target="media/image5.png"/><Relationship Id="rId42" Type="http://schemas.openxmlformats.org/officeDocument/2006/relationships/image" Target="media/image13.png"/><Relationship Id="rId47" Type="http://schemas.openxmlformats.org/officeDocument/2006/relationships/image" Target="media/image18.pn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gender.stat.gov.kz" TargetMode="External"/><Relationship Id="rId17" Type="http://schemas.openxmlformats.org/officeDocument/2006/relationships/hyperlink" Target="http://www.chiprehab.com" TargetMode="External"/><Relationship Id="rId25" Type="http://schemas.openxmlformats.org/officeDocument/2006/relationships/hyperlink" Target="https://asia.ensembl.org/Homo_sapiens/Location/View?contigviewbottom=variation_feature_variation%3Dnormal%2Cseq%3Dnormal;db=core;r=5:148826860-148826960;source=dbSNP;v=rs1042714;vdb=variation;vf=50039858" TargetMode="External"/><Relationship Id="rId33" Type="http://schemas.openxmlformats.org/officeDocument/2006/relationships/image" Target="media/image4.png"/><Relationship Id="rId38" Type="http://schemas.openxmlformats.org/officeDocument/2006/relationships/image" Target="media/image9.png"/><Relationship Id="rId46"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hyperlink" Target="http://www.HeartScore.org" TargetMode="External"/><Relationship Id="rId20" Type="http://schemas.openxmlformats.org/officeDocument/2006/relationships/hyperlink" Target="https://www.ncbi.nlm.nih.gov/" TargetMode="External"/><Relationship Id="rId29" Type="http://schemas.openxmlformats.org/officeDocument/2006/relationships/hyperlink" Target="https://asia.ensembl.org/Homo_sapiens/Variation/Explore?db=core;r=3:148741701-148742701;v=CR941553;vdb=variation;vf=703241294" TargetMode="External"/><Relationship Id="rId41"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gender.stat.gov.kz" TargetMode="External"/><Relationship Id="rId24" Type="http://schemas.openxmlformats.org/officeDocument/2006/relationships/hyperlink" Target="https://www.ncbi.nlm.nih.gov" TargetMode="External"/><Relationship Id="rId32" Type="http://schemas.openxmlformats.org/officeDocument/2006/relationships/image" Target="media/image3.png"/><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hyperlink" Target="http://www.heartscore.org" TargetMode="External"/><Relationship Id="rId23" Type="http://schemas.openxmlformats.org/officeDocument/2006/relationships/hyperlink" Target="http://www.megasoftware.net" TargetMode="External"/><Relationship Id="rId28" Type="http://schemas.openxmlformats.org/officeDocument/2006/relationships/hyperlink" Target="https://asia.ensembl.org/Homo_sapiens/Variation/Explore?db=core;r=1:230709731-230710731;v=CM920009;vdb=variation;vf=703241271" TargetMode="External"/><Relationship Id="rId36" Type="http://schemas.openxmlformats.org/officeDocument/2006/relationships/image" Target="media/image7.png"/><Relationship Id="rId49" Type="http://schemas.openxmlformats.org/officeDocument/2006/relationships/image" Target="media/image20.png"/><Relationship Id="rId10" Type="http://schemas.openxmlformats.org/officeDocument/2006/relationships/hyperlink" Target="http://www.gender.stat.gov.kz" TargetMode="External"/><Relationship Id="rId19" Type="http://schemas.openxmlformats.org/officeDocument/2006/relationships/hyperlink" Target="https://www.snpstats.net/start.htm" TargetMode="External"/><Relationship Id="rId31" Type="http://schemas.openxmlformats.org/officeDocument/2006/relationships/image" Target="media/image2.png"/><Relationship Id="rId44" Type="http://schemas.openxmlformats.org/officeDocument/2006/relationships/image" Target="media/image15.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s://www1.fips.ru/ofpstorage/BULLETIN/IZPM/2021/05/20/INDEX_RU.HTM" TargetMode="External"/><Relationship Id="rId22" Type="http://schemas.openxmlformats.org/officeDocument/2006/relationships/hyperlink" Target="http://www.med.kagawa-u.ac.jp/~genomelb/takezaki/poptreew/index.html" TargetMode="External"/><Relationship Id="rId27" Type="http://schemas.openxmlformats.org/officeDocument/2006/relationships/hyperlink" Target="https://asia.ensembl.org/Homo_sapiens/Location/View?contigviewbottom=variation_feature_variation%3Dnormal%2Cseq%3Dnormal;db=core;r=1:230710181-230710281;source=dbSNP;v=rs4762;vdb=variation;vf=3432" TargetMode="External"/><Relationship Id="rId30" Type="http://schemas.openxmlformats.org/officeDocument/2006/relationships/image" Target="media/image1.png"/><Relationship Id="rId35" Type="http://schemas.openxmlformats.org/officeDocument/2006/relationships/image" Target="media/image6.png"/><Relationship Id="rId43" Type="http://schemas.openxmlformats.org/officeDocument/2006/relationships/image" Target="media/image14.png"/><Relationship Id="rId48" Type="http://schemas.openxmlformats.org/officeDocument/2006/relationships/image" Target="media/image19.png"/><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5B04B0-07EE-45A6-A1BA-B19C152309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150</Pages>
  <Words>238182</Words>
  <Characters>1357639</Characters>
  <Application>Microsoft Office Word</Application>
  <DocSecurity>0</DocSecurity>
  <Lines>11313</Lines>
  <Paragraphs>3185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1592636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Пользователь</cp:lastModifiedBy>
  <cp:revision>46</cp:revision>
  <dcterms:created xsi:type="dcterms:W3CDTF">2021-10-22T04:43:00Z</dcterms:created>
  <dcterms:modified xsi:type="dcterms:W3CDTF">2021-10-22T15:31:00Z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http://www.zotero.org/styles/gost-r-7-0-5-2008-numeric</vt:lpwstr>
  </property>
  <property fmtid="{D5CDD505-2E9C-101B-9397-08002B2CF9AE}" pid="21" name="Mendeley Recent Style Name 9_1">
    <vt:lpwstr>Russian GOST R 7.0.5-2008 (numeric)</vt:lpwstr>
  </property>
  <property fmtid="{D5CDD505-2E9C-101B-9397-08002B2CF9AE}" pid="22" name="Mendeley Document_1">
    <vt:lpwstr>True</vt:lpwstr>
  </property>
  <property fmtid="{D5CDD505-2E9C-101B-9397-08002B2CF9AE}" pid="23" name="Mendeley Unique User Id_1">
    <vt:lpwstr>a677f1ca-e361-3364-a6a3-ff44e9a5a129</vt:lpwstr>
  </property>
  <property fmtid="{D5CDD505-2E9C-101B-9397-08002B2CF9AE}" pid="24" name="Mendeley Citation Style_1">
    <vt:lpwstr>http://www.zotero.org/styles/gost-r-7-0-5-2008-numeric</vt:lpwstr>
  </property>
</Properties>
</file>