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A957A4">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bookmarkStart w:id="0" w:name="_Hlk163541405"/>
      <w:r>
        <w:rPr>
          <w:rFonts w:ascii="Times New Roman" w:hAnsi="Times New Roman" w:eastAsia="Times New Roman" w:cs="Times New Roman"/>
          <w:sz w:val="28"/>
          <w:szCs w:val="28"/>
          <w:lang w:eastAsia="ru-RU"/>
        </w:rPr>
        <w:t>«ҚАРАҒАНДЫ</w:t>
      </w:r>
      <w:bookmarkEnd w:id="0"/>
      <w:r>
        <w:rPr>
          <w:rFonts w:ascii="Times New Roman" w:hAnsi="Times New Roman" w:eastAsia="Times New Roman" w:cs="Times New Roman"/>
          <w:sz w:val="28"/>
          <w:szCs w:val="28"/>
          <w:lang w:eastAsia="ru-RU"/>
        </w:rPr>
        <w:t xml:space="preserve"> МЕДИЦИНА УНИВЕРСИТЕТІ» КеАҚ</w:t>
      </w:r>
    </w:p>
    <w:p w14:paraId="7B93DB4F">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72515065">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ӘОЖ: 618.2–06:616–056.52:616.155.194–07–085  қолжазба құқығында                   </w:t>
      </w:r>
    </w:p>
    <w:p w14:paraId="3486313F">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1B1C0FC9">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sz w:val="28"/>
          <w:szCs w:val="28"/>
          <w:lang w:eastAsia="ru-RU"/>
        </w:rPr>
      </w:pPr>
    </w:p>
    <w:p w14:paraId="1E9659F4">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РҮСТЕМБЕКҚЫЗЫ ЖАНСАЯ</w:t>
      </w:r>
    </w:p>
    <w:p w14:paraId="0905A782">
      <w:pPr>
        <w:widowControl w:val="0"/>
        <w:autoSpaceDE w:val="0"/>
        <w:autoSpaceDN w:val="0"/>
        <w:spacing w:before="100" w:beforeAutospacing="1" w:after="100" w:afterAutospacing="1" w:line="276" w:lineRule="auto"/>
        <w:ind w:firstLine="709"/>
        <w:jc w:val="center"/>
        <w:outlineLvl w:val="0"/>
        <w:rPr>
          <w:rFonts w:ascii="Times New Roman" w:hAnsi="Times New Roman" w:eastAsia="Times New Roman" w:cs="Times New Roman"/>
          <w:b/>
          <w:bCs/>
          <w:kern w:val="36"/>
          <w:sz w:val="28"/>
          <w:szCs w:val="28"/>
          <w:lang w:eastAsia="ru-RU"/>
        </w:rPr>
      </w:pPr>
      <w:bookmarkStart w:id="1" w:name="_Hlk164594377"/>
      <w:bookmarkEnd w:id="1"/>
      <w:r>
        <w:rPr>
          <w:rFonts w:ascii="Times New Roman" w:hAnsi="Times New Roman" w:eastAsia="Times New Roman" w:cs="Times New Roman"/>
          <w:b/>
          <w:bCs/>
          <w:kern w:val="36"/>
          <w:sz w:val="28"/>
          <w:szCs w:val="28"/>
          <w:lang w:eastAsia="ru-RU"/>
        </w:rPr>
        <w:t>Жүктілік алдындағы семіздікпен ауыратын жүкті әйелдерде қабыну медиаторлары мен темір алмасуының молекул</w:t>
      </w:r>
      <w:r>
        <w:rPr>
          <w:rFonts w:ascii="Times New Roman" w:hAnsi="Times New Roman" w:eastAsia="Times New Roman" w:cs="Times New Roman"/>
          <w:b/>
          <w:bCs/>
          <w:kern w:val="36"/>
          <w:sz w:val="28"/>
          <w:szCs w:val="28"/>
          <w:lang w:val="kk-KZ" w:eastAsia="ru-RU"/>
        </w:rPr>
        <w:t>а</w:t>
      </w:r>
      <w:r>
        <w:rPr>
          <w:rFonts w:ascii="Times New Roman" w:hAnsi="Times New Roman" w:eastAsia="Times New Roman" w:cs="Times New Roman"/>
          <w:b/>
          <w:bCs/>
          <w:kern w:val="36"/>
          <w:sz w:val="28"/>
          <w:szCs w:val="28"/>
          <w:lang w:eastAsia="ru-RU"/>
        </w:rPr>
        <w:t>лық маркерлерінің қауымдастығы</w:t>
      </w:r>
    </w:p>
    <w:p w14:paraId="38F7CCBE">
      <w:pPr>
        <w:widowControl w:val="0"/>
        <w:autoSpaceDE w:val="0"/>
        <w:autoSpaceDN w:val="0"/>
        <w:spacing w:before="100" w:beforeAutospacing="1" w:after="100" w:afterAutospacing="1" w:line="276" w:lineRule="auto"/>
        <w:ind w:firstLine="709"/>
        <w:outlineLvl w:val="0"/>
        <w:rPr>
          <w:rFonts w:ascii="Times New Roman" w:hAnsi="Times New Roman" w:eastAsia="Times New Roman" w:cs="Times New Roman"/>
          <w:bCs/>
          <w:kern w:val="36"/>
          <w:sz w:val="28"/>
          <w:szCs w:val="28"/>
          <w:lang w:eastAsia="ru-RU"/>
        </w:rPr>
      </w:pPr>
      <w:r>
        <w:rPr>
          <w:rFonts w:ascii="Times New Roman" w:hAnsi="Times New Roman" w:eastAsia="Times New Roman" w:cs="Times New Roman"/>
          <w:bCs/>
          <w:kern w:val="36"/>
          <w:sz w:val="28"/>
          <w:szCs w:val="28"/>
          <w:lang w:val="en-US" w:eastAsia="ru-RU"/>
        </w:rPr>
        <w:t xml:space="preserve">                                       </w:t>
      </w:r>
      <w:r>
        <w:rPr>
          <w:rFonts w:ascii="Times New Roman" w:hAnsi="Times New Roman" w:eastAsia="Times New Roman" w:cs="Times New Roman"/>
          <w:bCs/>
          <w:kern w:val="36"/>
          <w:sz w:val="28"/>
          <w:szCs w:val="28"/>
          <w:lang w:eastAsia="ru-RU"/>
        </w:rPr>
        <w:t>8D10100 – Медицина</w:t>
      </w:r>
    </w:p>
    <w:p w14:paraId="15765670">
      <w:pPr>
        <w:widowControl w:val="0"/>
        <w:autoSpaceDE w:val="0"/>
        <w:autoSpaceDN w:val="0"/>
        <w:spacing w:before="100" w:beforeAutospacing="1" w:after="100" w:afterAutospacing="1" w:line="276" w:lineRule="auto"/>
        <w:ind w:firstLine="709"/>
        <w:jc w:val="center"/>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Филосовфия докторы (РhD) академиялық дәрежесін алуға арналған диссертация</w:t>
      </w:r>
      <w:bookmarkStart w:id="8" w:name="_GoBack"/>
      <w:bookmarkEnd w:id="8"/>
    </w:p>
    <w:p w14:paraId="77DED01D">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39E2E90A">
      <w:pPr>
        <w:widowControl w:val="0"/>
        <w:autoSpaceDE w:val="0"/>
        <w:autoSpaceDN w:val="0"/>
        <w:spacing w:after="0" w:line="300" w:lineRule="auto"/>
        <w:ind w:firstLine="709"/>
        <w:jc w:val="right"/>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Ғылыми жетекшілер: Тайжанова Дана Жумагалиевна,</w:t>
      </w:r>
      <w:r>
        <w:rPr>
          <w:rFonts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eastAsia="ru-RU"/>
        </w:rPr>
        <w:t>м.ғ.д</w:t>
      </w:r>
    </w:p>
    <w:p w14:paraId="5112EBE4">
      <w:pPr>
        <w:widowControl w:val="0"/>
        <w:autoSpaceDE w:val="0"/>
        <w:autoSpaceDN w:val="0"/>
        <w:spacing w:after="0" w:line="300" w:lineRule="auto"/>
        <w:ind w:firstLine="709"/>
        <w:jc w:val="right"/>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«ҚМУ»</w:t>
      </w: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sz w:val="28"/>
          <w:szCs w:val="28"/>
          <w:lang w:val="kk-KZ" w:eastAsia="ru-RU"/>
        </w:rPr>
        <w:t>КеАҚ</w:t>
      </w: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sz w:val="28"/>
          <w:szCs w:val="28"/>
          <w:lang w:val="kk-KZ" w:eastAsia="ru-RU"/>
        </w:rPr>
        <w:t>ішкі аурулар кафедрасының</w:t>
      </w:r>
      <w:r>
        <w:rPr>
          <w:rFonts w:ascii="Times New Roman" w:hAnsi="Times New Roman" w:eastAsia="Times New Roman" w:cs="Times New Roman"/>
          <w:sz w:val="28"/>
          <w:szCs w:val="28"/>
          <w:lang w:eastAsia="ru-RU"/>
        </w:rPr>
        <w:t xml:space="preserve"> профессор</w:t>
      </w:r>
      <w:r>
        <w:rPr>
          <w:rFonts w:ascii="Times New Roman" w:hAnsi="Times New Roman" w:eastAsia="Times New Roman" w:cs="Times New Roman"/>
          <w:sz w:val="28"/>
          <w:szCs w:val="28"/>
          <w:lang w:val="kk-KZ" w:eastAsia="ru-RU"/>
        </w:rPr>
        <w:t xml:space="preserve">ы, </w:t>
      </w:r>
    </w:p>
    <w:p w14:paraId="5DF059B3">
      <w:pPr>
        <w:widowControl w:val="0"/>
        <w:autoSpaceDE w:val="0"/>
        <w:autoSpaceDN w:val="0"/>
        <w:spacing w:after="0" w:line="300" w:lineRule="auto"/>
        <w:ind w:firstLine="709"/>
        <w:jc w:val="right"/>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Қарағанды қ., Қазақстан</w:t>
      </w:r>
    </w:p>
    <w:p w14:paraId="68AE19FE">
      <w:pPr>
        <w:widowControl w:val="0"/>
        <w:autoSpaceDE w:val="0"/>
        <w:autoSpaceDN w:val="0"/>
        <w:spacing w:after="0" w:line="300" w:lineRule="auto"/>
        <w:ind w:firstLine="709"/>
        <w:jc w:val="right"/>
        <w:outlineLvl w:val="0"/>
        <w:rPr>
          <w:rFonts w:ascii="Times New Roman" w:hAnsi="Times New Roman" w:cs="Times New Roman"/>
          <w:sz w:val="28"/>
          <w:szCs w:val="28"/>
          <w:lang w:val="kk-KZ"/>
        </w:rPr>
      </w:pPr>
      <w:r>
        <w:rPr>
          <w:rFonts w:ascii="Times New Roman" w:hAnsi="Times New Roman" w:eastAsia="Times New Roman" w:cs="Times New Roman"/>
          <w:sz w:val="28"/>
          <w:szCs w:val="28"/>
          <w:lang w:val="kk-KZ" w:eastAsia="ru-RU"/>
        </w:rPr>
        <w:t xml:space="preserve">Комличенко Эдуард Владимирович, </w:t>
      </w:r>
      <w:r>
        <w:rPr>
          <w:rFonts w:ascii="Times New Roman" w:hAnsi="Times New Roman" w:cs="Times New Roman"/>
          <w:sz w:val="28"/>
          <w:szCs w:val="28"/>
          <w:lang w:val="kk-KZ"/>
        </w:rPr>
        <w:t xml:space="preserve">м.ғ.д., Медициналық білім беру институтының денсаулық сақтауды ұйымдастыру және қоғамдық денсаулық кафедрасының профессоры, Санкт-Петербург мемлекеттік университетінің акушерлік, гинекология және репродуктология кафедрасының доценті, </w:t>
      </w:r>
    </w:p>
    <w:p w14:paraId="7A2809AD">
      <w:pPr>
        <w:widowControl w:val="0"/>
        <w:autoSpaceDE w:val="0"/>
        <w:autoSpaceDN w:val="0"/>
        <w:spacing w:after="0" w:line="300" w:lineRule="auto"/>
        <w:ind w:firstLine="709"/>
        <w:jc w:val="right"/>
        <w:outlineLvl w:val="0"/>
        <w:rPr>
          <w:rFonts w:ascii="Times New Roman" w:hAnsi="Times New Roman" w:eastAsia="Times New Roman" w:cs="Times New Roman"/>
          <w:sz w:val="28"/>
          <w:szCs w:val="28"/>
          <w:lang w:val="kk-KZ" w:eastAsia="ru-RU"/>
        </w:rPr>
      </w:pPr>
      <w:r>
        <w:rPr>
          <w:rFonts w:ascii="Times New Roman" w:hAnsi="Times New Roman" w:cs="Times New Roman"/>
          <w:sz w:val="28"/>
          <w:szCs w:val="28"/>
          <w:lang w:val="kk-KZ"/>
        </w:rPr>
        <w:t>Санкт-Петербург қ., Ресей Федерациясы</w:t>
      </w:r>
    </w:p>
    <w:p w14:paraId="6D081AF8">
      <w:pPr>
        <w:widowControl w:val="0"/>
        <w:autoSpaceDE w:val="0"/>
        <w:autoSpaceDN w:val="0"/>
        <w:spacing w:after="0" w:line="240" w:lineRule="auto"/>
        <w:ind w:firstLine="709"/>
        <w:jc w:val="both"/>
        <w:outlineLvl w:val="0"/>
        <w:rPr>
          <w:rFonts w:ascii="Times New Roman" w:hAnsi="Times New Roman" w:eastAsia="Times New Roman" w:cs="Times New Roman"/>
          <w:sz w:val="28"/>
          <w:szCs w:val="28"/>
          <w:lang w:val="kk-KZ" w:eastAsia="ru-RU"/>
        </w:rPr>
      </w:pPr>
    </w:p>
    <w:p w14:paraId="6AFF964D">
      <w:pPr>
        <w:widowControl w:val="0"/>
        <w:autoSpaceDE w:val="0"/>
        <w:autoSpaceDN w:val="0"/>
        <w:spacing w:after="0" w:line="240" w:lineRule="auto"/>
        <w:ind w:firstLine="709"/>
        <w:jc w:val="both"/>
        <w:outlineLvl w:val="0"/>
        <w:rPr>
          <w:rFonts w:ascii="Times New Roman" w:hAnsi="Times New Roman" w:eastAsia="Times New Roman" w:cs="Times New Roman"/>
          <w:sz w:val="28"/>
          <w:szCs w:val="28"/>
          <w:lang w:val="kk-KZ" w:eastAsia="ru-RU"/>
        </w:rPr>
      </w:pPr>
    </w:p>
    <w:p w14:paraId="6A35EBB3">
      <w:pPr>
        <w:widowControl w:val="0"/>
        <w:autoSpaceDE w:val="0"/>
        <w:autoSpaceDN w:val="0"/>
        <w:spacing w:after="0" w:line="240" w:lineRule="auto"/>
        <w:ind w:firstLine="709"/>
        <w:jc w:val="both"/>
        <w:outlineLvl w:val="0"/>
        <w:rPr>
          <w:rFonts w:ascii="Times New Roman" w:hAnsi="Times New Roman" w:eastAsia="Times New Roman" w:cs="Times New Roman"/>
          <w:sz w:val="28"/>
          <w:szCs w:val="28"/>
          <w:lang w:val="kk-KZ" w:eastAsia="ru-RU"/>
        </w:rPr>
      </w:pPr>
    </w:p>
    <w:p w14:paraId="31A0293D">
      <w:pPr>
        <w:widowControl w:val="0"/>
        <w:autoSpaceDE w:val="0"/>
        <w:autoSpaceDN w:val="0"/>
        <w:spacing w:after="0" w:line="240" w:lineRule="auto"/>
        <w:ind w:firstLine="709"/>
        <w:jc w:val="both"/>
        <w:outlineLvl w:val="0"/>
        <w:rPr>
          <w:rFonts w:ascii="Times New Roman" w:hAnsi="Times New Roman" w:eastAsia="Times New Roman" w:cs="Times New Roman"/>
          <w:sz w:val="28"/>
          <w:szCs w:val="28"/>
          <w:lang w:val="kk-KZ" w:eastAsia="ru-RU"/>
        </w:rPr>
      </w:pPr>
    </w:p>
    <w:p w14:paraId="685AE29F">
      <w:pPr>
        <w:widowControl w:val="0"/>
        <w:autoSpaceDE w:val="0"/>
        <w:autoSpaceDN w:val="0"/>
        <w:spacing w:after="0" w:line="240" w:lineRule="auto"/>
        <w:ind w:firstLine="709"/>
        <w:jc w:val="both"/>
        <w:outlineLvl w:val="0"/>
        <w:rPr>
          <w:rFonts w:ascii="Times New Roman" w:hAnsi="Times New Roman" w:eastAsia="Times New Roman" w:cs="Times New Roman"/>
          <w:sz w:val="28"/>
          <w:szCs w:val="28"/>
          <w:lang w:val="kk-KZ" w:eastAsia="ru-RU"/>
        </w:rPr>
      </w:pPr>
    </w:p>
    <w:p w14:paraId="01B4E953">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eastAsia="ru-RU"/>
        </w:rPr>
        <w:t>Қазақстан Республикасы Қарағанды, 2025ж</w:t>
      </w:r>
    </w:p>
    <w:p w14:paraId="1467B66C">
      <w:pPr>
        <w:spacing w:before="100" w:beforeAutospacing="1" w:after="100" w:afterAutospacing="1" w:line="276" w:lineRule="auto"/>
        <w:ind w:firstLine="709"/>
        <w:jc w:val="both"/>
        <w:outlineLvl w:val="0"/>
        <w:rPr>
          <w:rFonts w:ascii="Times New Roman" w:hAnsi="Times New Roman" w:eastAsia="Times New Roman" w:cs="Times New Roman"/>
          <w:sz w:val="28"/>
          <w:szCs w:val="28"/>
          <w:lang w:eastAsia="ru-RU"/>
        </w:rPr>
        <w:sectPr>
          <w:footerReference r:id="rId5" w:type="default"/>
          <w:pgSz w:w="12240" w:h="15840"/>
          <w:pgMar w:top="1134" w:right="850" w:bottom="1134" w:left="1701" w:header="720" w:footer="720" w:gutter="0"/>
          <w:cols w:space="720" w:num="1"/>
        </w:sectPr>
      </w:pPr>
    </w:p>
    <w:tbl>
      <w:tblPr>
        <w:tblStyle w:val="22"/>
        <w:tblW w:w="9862" w:type="dxa"/>
        <w:tblInd w:w="0" w:type="dxa"/>
        <w:tblLayout w:type="fixed"/>
        <w:tblCellMar>
          <w:top w:w="15" w:type="dxa"/>
          <w:left w:w="15" w:type="dxa"/>
          <w:bottom w:w="15" w:type="dxa"/>
          <w:right w:w="15" w:type="dxa"/>
        </w:tblCellMar>
      </w:tblPr>
      <w:tblGrid>
        <w:gridCol w:w="900"/>
        <w:gridCol w:w="8167"/>
        <w:gridCol w:w="795"/>
      </w:tblGrid>
      <w:tr w14:paraId="7B2C6EE7">
        <w:tblPrEx>
          <w:tblCellMar>
            <w:top w:w="15" w:type="dxa"/>
            <w:left w:w="15" w:type="dxa"/>
            <w:bottom w:w="15" w:type="dxa"/>
            <w:right w:w="15" w:type="dxa"/>
          </w:tblCellMar>
        </w:tblPrEx>
        <w:trPr>
          <w:trHeight w:val="430" w:hRule="atLeast"/>
        </w:trPr>
        <w:tc>
          <w:tcPr>
            <w:tcW w:w="900" w:type="dxa"/>
          </w:tcPr>
          <w:p w14:paraId="69CE1996">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p>
        </w:tc>
        <w:tc>
          <w:tcPr>
            <w:tcW w:w="8167" w:type="dxa"/>
          </w:tcPr>
          <w:p w14:paraId="22B883DC">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МАЗМҰНЫ</w:t>
            </w:r>
          </w:p>
        </w:tc>
        <w:tc>
          <w:tcPr>
            <w:tcW w:w="795" w:type="dxa"/>
          </w:tcPr>
          <w:p w14:paraId="1BA745C6">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en-US" w:eastAsia="ru-RU"/>
              </w:rPr>
            </w:pPr>
          </w:p>
        </w:tc>
      </w:tr>
      <w:tr w14:paraId="39A42965">
        <w:tblPrEx>
          <w:tblCellMar>
            <w:top w:w="15" w:type="dxa"/>
            <w:left w:w="15" w:type="dxa"/>
            <w:bottom w:w="15" w:type="dxa"/>
            <w:right w:w="15" w:type="dxa"/>
          </w:tblCellMar>
        </w:tblPrEx>
        <w:tc>
          <w:tcPr>
            <w:tcW w:w="9067" w:type="dxa"/>
            <w:gridSpan w:val="2"/>
          </w:tcPr>
          <w:p w14:paraId="72A79A09">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НОРМАТИВТІ СІЛТЕМЕЛЕР</w:t>
            </w:r>
          </w:p>
        </w:tc>
        <w:tc>
          <w:tcPr>
            <w:tcW w:w="795" w:type="dxa"/>
            <w:shd w:val="clear" w:color="auto" w:fill="FFFFFF" w:themeFill="background1"/>
          </w:tcPr>
          <w:p w14:paraId="22CD50DE">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5</w:t>
            </w:r>
          </w:p>
        </w:tc>
      </w:tr>
      <w:tr w14:paraId="07757E42">
        <w:tblPrEx>
          <w:tblCellMar>
            <w:top w:w="15" w:type="dxa"/>
            <w:left w:w="15" w:type="dxa"/>
            <w:bottom w:w="15" w:type="dxa"/>
            <w:right w:w="15" w:type="dxa"/>
          </w:tblCellMar>
        </w:tblPrEx>
        <w:tc>
          <w:tcPr>
            <w:tcW w:w="9067" w:type="dxa"/>
            <w:gridSpan w:val="2"/>
          </w:tcPr>
          <w:p w14:paraId="69D4CBE0">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b/>
                <w:bCs/>
                <w:sz w:val="28"/>
                <w:szCs w:val="28"/>
                <w:lang w:val="en-US" w:eastAsia="ru-RU"/>
              </w:rPr>
              <w:t>ҚЫСҚАРТУЛАР ЖӘНЕ МАҒЫНАСЫ</w:t>
            </w:r>
          </w:p>
        </w:tc>
        <w:tc>
          <w:tcPr>
            <w:tcW w:w="795" w:type="dxa"/>
            <w:shd w:val="clear" w:color="auto" w:fill="FFFFFF" w:themeFill="background1"/>
          </w:tcPr>
          <w:p w14:paraId="239E3575">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6</w:t>
            </w:r>
          </w:p>
        </w:tc>
      </w:tr>
      <w:tr w14:paraId="440F17F3">
        <w:tblPrEx>
          <w:tblCellMar>
            <w:top w:w="15" w:type="dxa"/>
            <w:left w:w="15" w:type="dxa"/>
            <w:bottom w:w="15" w:type="dxa"/>
            <w:right w:w="15" w:type="dxa"/>
          </w:tblCellMar>
        </w:tblPrEx>
        <w:tc>
          <w:tcPr>
            <w:tcW w:w="9067" w:type="dxa"/>
            <w:gridSpan w:val="2"/>
          </w:tcPr>
          <w:p w14:paraId="417958A8">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 xml:space="preserve">КІРІСПЕ </w:t>
            </w:r>
          </w:p>
        </w:tc>
        <w:tc>
          <w:tcPr>
            <w:tcW w:w="795" w:type="dxa"/>
            <w:shd w:val="clear" w:color="auto" w:fill="FFFFFF" w:themeFill="background1"/>
          </w:tcPr>
          <w:p w14:paraId="674B0516">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7</w:t>
            </w:r>
          </w:p>
        </w:tc>
      </w:tr>
      <w:tr w14:paraId="7A9FEF61">
        <w:tblPrEx>
          <w:tblCellMar>
            <w:top w:w="15" w:type="dxa"/>
            <w:left w:w="15" w:type="dxa"/>
            <w:bottom w:w="15" w:type="dxa"/>
            <w:right w:w="15" w:type="dxa"/>
          </w:tblCellMar>
        </w:tblPrEx>
        <w:tc>
          <w:tcPr>
            <w:tcW w:w="9067" w:type="dxa"/>
            <w:gridSpan w:val="2"/>
          </w:tcPr>
          <w:p w14:paraId="1216A1E4">
            <w:pPr>
              <w:widowControl w:val="0"/>
              <w:autoSpaceDE w:val="0"/>
              <w:autoSpaceDN w:val="0"/>
              <w:spacing w:after="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БӨЛІМ 1. Әдеби шолу</w:t>
            </w:r>
          </w:p>
        </w:tc>
        <w:tc>
          <w:tcPr>
            <w:tcW w:w="795" w:type="dxa"/>
            <w:shd w:val="clear" w:color="auto" w:fill="FFFFFF" w:themeFill="background1"/>
          </w:tcPr>
          <w:p w14:paraId="094D6ECA">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kk-KZ" w:eastAsia="ru-RU"/>
              </w:rPr>
              <w:t>3</w:t>
            </w:r>
          </w:p>
        </w:tc>
      </w:tr>
      <w:tr w14:paraId="1C2D21C9">
        <w:tblPrEx>
          <w:tblCellMar>
            <w:top w:w="15" w:type="dxa"/>
            <w:left w:w="15" w:type="dxa"/>
            <w:bottom w:w="15" w:type="dxa"/>
            <w:right w:w="15" w:type="dxa"/>
          </w:tblCellMar>
        </w:tblPrEx>
        <w:tc>
          <w:tcPr>
            <w:tcW w:w="900" w:type="dxa"/>
          </w:tcPr>
          <w:p w14:paraId="64AF5EB0">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1.1.</w:t>
            </w:r>
          </w:p>
        </w:tc>
        <w:tc>
          <w:tcPr>
            <w:tcW w:w="8167" w:type="dxa"/>
          </w:tcPr>
          <w:p w14:paraId="36D068EB">
            <w:pPr>
              <w:widowControl w:val="0"/>
              <w:autoSpaceDE w:val="0"/>
              <w:autoSpaceDN w:val="0"/>
              <w:spacing w:after="0" w:line="300" w:lineRule="auto"/>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Жүктілердегі анемия жайында негізгі түсініктер……………………</w:t>
            </w:r>
            <w:r>
              <w:rPr>
                <w:rFonts w:ascii="Times New Roman" w:hAnsi="Times New Roman" w:eastAsia="Times New Roman" w:cs="Times New Roman"/>
                <w:sz w:val="28"/>
                <w:szCs w:val="28"/>
                <w:lang w:val="kk-KZ" w:eastAsia="ru-RU"/>
              </w:rPr>
              <w:t>.</w:t>
            </w:r>
          </w:p>
        </w:tc>
        <w:tc>
          <w:tcPr>
            <w:tcW w:w="795" w:type="dxa"/>
            <w:shd w:val="clear" w:color="auto" w:fill="FFFFFF" w:themeFill="background1"/>
          </w:tcPr>
          <w:p w14:paraId="7455D72F">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kk-KZ" w:eastAsia="ru-RU"/>
              </w:rPr>
              <w:t>3</w:t>
            </w:r>
          </w:p>
        </w:tc>
      </w:tr>
      <w:tr w14:paraId="01C1AED3">
        <w:tblPrEx>
          <w:tblCellMar>
            <w:top w:w="15" w:type="dxa"/>
            <w:left w:w="15" w:type="dxa"/>
            <w:bottom w:w="15" w:type="dxa"/>
            <w:right w:w="15" w:type="dxa"/>
          </w:tblCellMar>
        </w:tblPrEx>
        <w:tc>
          <w:tcPr>
            <w:tcW w:w="900" w:type="dxa"/>
          </w:tcPr>
          <w:p w14:paraId="0A75CB4E">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1.2.</w:t>
            </w:r>
          </w:p>
        </w:tc>
        <w:tc>
          <w:tcPr>
            <w:tcW w:w="8167" w:type="dxa"/>
          </w:tcPr>
          <w:p w14:paraId="6405140D">
            <w:pPr>
              <w:widowControl w:val="0"/>
              <w:autoSpaceDE w:val="0"/>
              <w:autoSpaceDN w:val="0"/>
              <w:spacing w:after="0" w:line="300"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 xml:space="preserve">Жүктілік кезіндегі семіздік патологияның және </w:t>
            </w:r>
          </w:p>
          <w:p w14:paraId="31DF10B6">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color w:val="000000"/>
                <w:sz w:val="28"/>
                <w:szCs w:val="28"/>
                <w:lang w:val="en-US" w:eastAsia="ru-RU"/>
              </w:rPr>
              <w:t>ықтимал асқынулардың қауіп факторы ретінде………………………</w:t>
            </w:r>
          </w:p>
        </w:tc>
        <w:tc>
          <w:tcPr>
            <w:tcW w:w="795" w:type="dxa"/>
            <w:shd w:val="clear" w:color="auto" w:fill="FFFFFF" w:themeFill="background1"/>
          </w:tcPr>
          <w:p w14:paraId="5590F5BA">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352FB1B8">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kk-KZ" w:eastAsia="ru-RU"/>
              </w:rPr>
              <w:t>4</w:t>
            </w:r>
          </w:p>
        </w:tc>
      </w:tr>
      <w:tr w14:paraId="0ACD8A0F">
        <w:tblPrEx>
          <w:tblCellMar>
            <w:top w:w="15" w:type="dxa"/>
            <w:left w:w="15" w:type="dxa"/>
            <w:bottom w:w="15" w:type="dxa"/>
            <w:right w:w="15" w:type="dxa"/>
          </w:tblCellMar>
        </w:tblPrEx>
        <w:tc>
          <w:tcPr>
            <w:tcW w:w="900" w:type="dxa"/>
          </w:tcPr>
          <w:p w14:paraId="7E5C72FF">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1.3.</w:t>
            </w:r>
          </w:p>
        </w:tc>
        <w:tc>
          <w:tcPr>
            <w:tcW w:w="8167" w:type="dxa"/>
          </w:tcPr>
          <w:p w14:paraId="3BB49022">
            <w:pPr>
              <w:widowControl w:val="0"/>
              <w:autoSpaceDE w:val="0"/>
              <w:autoSpaceDN w:val="0"/>
              <w:spacing w:after="0" w:line="300"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 xml:space="preserve">Семіздікке және темір тапшылығы мен темір </w:t>
            </w:r>
          </w:p>
          <w:p w14:paraId="190A3DB3">
            <w:pPr>
              <w:widowControl w:val="0"/>
              <w:autoSpaceDE w:val="0"/>
              <w:autoSpaceDN w:val="0"/>
              <w:spacing w:after="0" w:line="300"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 xml:space="preserve">тапшылығы анемиясының дамуына байланысты қабыну </w:t>
            </w:r>
          </w:p>
          <w:p w14:paraId="38EDAB3C">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color w:val="000000"/>
                <w:sz w:val="28"/>
                <w:szCs w:val="28"/>
                <w:lang w:val="en-US" w:eastAsia="ru-RU"/>
              </w:rPr>
              <w:t>маркерлері……………………………………………………………….</w:t>
            </w:r>
          </w:p>
        </w:tc>
        <w:tc>
          <w:tcPr>
            <w:tcW w:w="795" w:type="dxa"/>
            <w:shd w:val="clear" w:color="auto" w:fill="FFFFFF" w:themeFill="background1"/>
          </w:tcPr>
          <w:p w14:paraId="10CEE0E9">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6B970264">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1B439591">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kk-KZ" w:eastAsia="ru-RU"/>
              </w:rPr>
              <w:t>5</w:t>
            </w:r>
          </w:p>
        </w:tc>
      </w:tr>
      <w:tr w14:paraId="7FF5A88C">
        <w:tblPrEx>
          <w:tblCellMar>
            <w:top w:w="15" w:type="dxa"/>
            <w:left w:w="15" w:type="dxa"/>
            <w:bottom w:w="15" w:type="dxa"/>
            <w:right w:w="15" w:type="dxa"/>
          </w:tblCellMar>
        </w:tblPrEx>
        <w:tc>
          <w:tcPr>
            <w:tcW w:w="900" w:type="dxa"/>
          </w:tcPr>
          <w:p w14:paraId="0A3625A3">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1.4.</w:t>
            </w:r>
          </w:p>
        </w:tc>
        <w:tc>
          <w:tcPr>
            <w:tcW w:w="8167" w:type="dxa"/>
          </w:tcPr>
          <w:p w14:paraId="5A4E9CEE">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Жүктілік кезіндегі анемияның семіздікпен байланысын </w:t>
            </w:r>
          </w:p>
          <w:p w14:paraId="14E73194">
            <w:pPr>
              <w:widowControl w:val="0"/>
              <w:autoSpaceDE w:val="0"/>
              <w:autoSpaceDN w:val="0"/>
              <w:spacing w:after="0" w:line="300" w:lineRule="auto"/>
              <w:outlineLvl w:val="0"/>
              <w:rPr>
                <w:rFonts w:ascii="Times New Roman" w:hAnsi="Times New Roman" w:eastAsia="Times New Roman" w:cs="Times New Roman"/>
                <w:strike/>
                <w:sz w:val="28"/>
                <w:szCs w:val="28"/>
                <w:lang w:val="en-US" w:eastAsia="ru-RU"/>
              </w:rPr>
            </w:pPr>
            <w:r>
              <w:rPr>
                <w:rFonts w:ascii="Times New Roman" w:hAnsi="Times New Roman" w:eastAsia="Times New Roman" w:cs="Times New Roman"/>
                <w:sz w:val="28"/>
                <w:szCs w:val="28"/>
                <w:lang w:val="en-US" w:eastAsia="ru-RU"/>
              </w:rPr>
              <w:t>көрсететін патогенетикалық механизм………………………………..</w:t>
            </w:r>
          </w:p>
        </w:tc>
        <w:tc>
          <w:tcPr>
            <w:tcW w:w="795" w:type="dxa"/>
            <w:shd w:val="clear" w:color="auto" w:fill="FFFFFF" w:themeFill="background1"/>
          </w:tcPr>
          <w:p w14:paraId="0465A97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4B225A79">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17</w:t>
            </w:r>
          </w:p>
        </w:tc>
      </w:tr>
      <w:tr w14:paraId="7B56365A">
        <w:tblPrEx>
          <w:tblCellMar>
            <w:top w:w="15" w:type="dxa"/>
            <w:left w:w="15" w:type="dxa"/>
            <w:bottom w:w="15" w:type="dxa"/>
            <w:right w:w="15" w:type="dxa"/>
          </w:tblCellMar>
        </w:tblPrEx>
        <w:tc>
          <w:tcPr>
            <w:tcW w:w="900" w:type="dxa"/>
          </w:tcPr>
          <w:p w14:paraId="0E5005D6">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1.5.</w:t>
            </w:r>
          </w:p>
        </w:tc>
        <w:tc>
          <w:tcPr>
            <w:tcW w:w="8167" w:type="dxa"/>
          </w:tcPr>
          <w:p w14:paraId="2EFCA9B3">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Әйелдердегі предгестациялық артық салмақ пен </w:t>
            </w:r>
          </w:p>
          <w:p w14:paraId="2E071264">
            <w:pPr>
              <w:widowControl w:val="0"/>
              <w:autoSpaceDE w:val="0"/>
              <w:autoSpaceDN w:val="0"/>
              <w:spacing w:after="0" w:line="300" w:lineRule="auto"/>
              <w:outlineLvl w:val="0"/>
              <w:rPr>
                <w:rFonts w:ascii="Times New Roman" w:hAnsi="Times New Roman" w:eastAsia="Times New Roman" w:cs="Times New Roman"/>
                <w:strike/>
                <w:sz w:val="28"/>
                <w:szCs w:val="28"/>
                <w:lang w:val="en-US" w:eastAsia="ru-RU"/>
              </w:rPr>
            </w:pPr>
            <w:r>
              <w:rPr>
                <w:rFonts w:ascii="Times New Roman" w:hAnsi="Times New Roman" w:eastAsia="Times New Roman" w:cs="Times New Roman"/>
                <w:sz w:val="28"/>
                <w:szCs w:val="28"/>
                <w:lang w:val="en-US" w:eastAsia="ru-RU"/>
              </w:rPr>
              <w:t>семіздіктің нәрестелердің темір статусына әсері……………………..</w:t>
            </w:r>
          </w:p>
        </w:tc>
        <w:tc>
          <w:tcPr>
            <w:tcW w:w="795" w:type="dxa"/>
            <w:shd w:val="clear" w:color="auto" w:fill="FFFFFF" w:themeFill="background1"/>
          </w:tcPr>
          <w:p w14:paraId="6059626A">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60215F69">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2</w:t>
            </w:r>
            <w:r>
              <w:rPr>
                <w:rFonts w:ascii="Times New Roman" w:hAnsi="Times New Roman" w:eastAsia="Times New Roman" w:cs="Times New Roman"/>
                <w:sz w:val="28"/>
                <w:szCs w:val="28"/>
                <w:lang w:val="kk-KZ" w:eastAsia="ru-RU"/>
              </w:rPr>
              <w:t>2</w:t>
            </w:r>
          </w:p>
        </w:tc>
      </w:tr>
      <w:tr w14:paraId="1F96CC3F">
        <w:tblPrEx>
          <w:tblCellMar>
            <w:top w:w="15" w:type="dxa"/>
            <w:left w:w="15" w:type="dxa"/>
            <w:bottom w:w="15" w:type="dxa"/>
            <w:right w:w="15" w:type="dxa"/>
          </w:tblCellMar>
        </w:tblPrEx>
        <w:tc>
          <w:tcPr>
            <w:tcW w:w="900" w:type="dxa"/>
          </w:tcPr>
          <w:p w14:paraId="35701A86">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1.6. </w:t>
            </w:r>
          </w:p>
        </w:tc>
        <w:tc>
          <w:tcPr>
            <w:tcW w:w="8167" w:type="dxa"/>
          </w:tcPr>
          <w:p w14:paraId="28B65C06">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color w:val="000000"/>
                <w:sz w:val="28"/>
                <w:szCs w:val="28"/>
                <w:lang w:val="en-US" w:eastAsia="ru-RU"/>
              </w:rPr>
              <w:t>Семіздігі бар ж</w:t>
            </w:r>
            <w:r>
              <w:rPr>
                <w:rFonts w:ascii="Times New Roman" w:hAnsi="Times New Roman" w:eastAsia="Times New Roman" w:cs="Times New Roman"/>
                <w:sz w:val="28"/>
                <w:szCs w:val="28"/>
                <w:lang w:val="en-US" w:eastAsia="ru-RU"/>
              </w:rPr>
              <w:t xml:space="preserve">үктілілердің темір статусының </w:t>
            </w:r>
          </w:p>
          <w:p w14:paraId="76F527BF">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параметрлеріне диеталық араласулар мен темір қоспаларының </w:t>
            </w:r>
          </w:p>
          <w:p w14:paraId="3602B4DC">
            <w:pPr>
              <w:widowControl w:val="0"/>
              <w:autoSpaceDE w:val="0"/>
              <w:autoSpaceDN w:val="0"/>
              <w:spacing w:after="0" w:line="300"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әсері……………………………………………………………………...</w:t>
            </w:r>
          </w:p>
        </w:tc>
        <w:tc>
          <w:tcPr>
            <w:tcW w:w="795" w:type="dxa"/>
            <w:shd w:val="clear" w:color="auto" w:fill="FFFFFF" w:themeFill="background1"/>
          </w:tcPr>
          <w:p w14:paraId="20E13A1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7B7F0402">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52C9B7A3">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2</w:t>
            </w:r>
            <w:r>
              <w:rPr>
                <w:rFonts w:ascii="Times New Roman" w:hAnsi="Times New Roman" w:eastAsia="Times New Roman" w:cs="Times New Roman"/>
                <w:sz w:val="28"/>
                <w:szCs w:val="28"/>
                <w:lang w:val="kk-KZ" w:eastAsia="ru-RU"/>
              </w:rPr>
              <w:t>3</w:t>
            </w:r>
          </w:p>
        </w:tc>
      </w:tr>
      <w:tr w14:paraId="2A8DD922">
        <w:tblPrEx>
          <w:tblCellMar>
            <w:top w:w="15" w:type="dxa"/>
            <w:left w:w="15" w:type="dxa"/>
            <w:bottom w:w="15" w:type="dxa"/>
            <w:right w:w="15" w:type="dxa"/>
          </w:tblCellMar>
        </w:tblPrEx>
        <w:tc>
          <w:tcPr>
            <w:tcW w:w="9067" w:type="dxa"/>
            <w:gridSpan w:val="2"/>
          </w:tcPr>
          <w:p w14:paraId="7726532B">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b/>
                <w:sz w:val="28"/>
                <w:szCs w:val="28"/>
                <w:lang w:val="en-US" w:eastAsia="ru-RU"/>
              </w:rPr>
            </w:pPr>
          </w:p>
          <w:p w14:paraId="14518100">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БӨЛІМ 2. НАУҚАСТАРДЫҢ КЛИНИКАЛЫҚ СИПАТТАМАЛАРЫ МЕН ЗЕРТТЕУ ӘДІСТЕРІ</w:t>
            </w:r>
          </w:p>
        </w:tc>
        <w:tc>
          <w:tcPr>
            <w:tcW w:w="795" w:type="dxa"/>
            <w:shd w:val="clear" w:color="auto" w:fill="FFFFFF" w:themeFill="background1"/>
          </w:tcPr>
          <w:p w14:paraId="15CE9187">
            <w:pPr>
              <w:widowControl w:val="0"/>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en-US" w:eastAsia="ru-RU"/>
              </w:rPr>
            </w:pPr>
          </w:p>
          <w:p w14:paraId="30B1A82F">
            <w:pPr>
              <w:widowControl w:val="0"/>
              <w:autoSpaceDE w:val="0"/>
              <w:autoSpaceDN w:val="0"/>
              <w:spacing w:before="100" w:beforeAutospacing="1" w:after="100" w:afterAutospacing="1"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2</w:t>
            </w:r>
            <w:r>
              <w:rPr>
                <w:rFonts w:hint="default" w:ascii="Times New Roman" w:hAnsi="Times New Roman" w:eastAsia="Times New Roman" w:cs="Times New Roman"/>
                <w:sz w:val="28"/>
                <w:szCs w:val="28"/>
                <w:lang w:val="kk-KZ" w:eastAsia="ru-RU"/>
              </w:rPr>
              <w:t>6</w:t>
            </w:r>
          </w:p>
        </w:tc>
      </w:tr>
      <w:tr w14:paraId="44592252">
        <w:tblPrEx>
          <w:tblCellMar>
            <w:top w:w="15" w:type="dxa"/>
            <w:left w:w="15" w:type="dxa"/>
            <w:bottom w:w="15" w:type="dxa"/>
            <w:right w:w="15" w:type="dxa"/>
          </w:tblCellMar>
        </w:tblPrEx>
        <w:tc>
          <w:tcPr>
            <w:tcW w:w="900" w:type="dxa"/>
          </w:tcPr>
          <w:p w14:paraId="1ECFC0D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2.1</w:t>
            </w:r>
          </w:p>
        </w:tc>
        <w:tc>
          <w:tcPr>
            <w:tcW w:w="8167" w:type="dxa"/>
          </w:tcPr>
          <w:p w14:paraId="23251F78">
            <w:pPr>
              <w:widowControl w:val="0"/>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Зерттеу барысының жалпы сипаттамалары және </w:t>
            </w:r>
          </w:p>
          <w:p w14:paraId="6234F6A3">
            <w:pPr>
              <w:widowControl w:val="0"/>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EVOLIS құрылғысы жайлы…………………………………………….</w:t>
            </w:r>
          </w:p>
        </w:tc>
        <w:tc>
          <w:tcPr>
            <w:tcW w:w="795" w:type="dxa"/>
            <w:shd w:val="clear" w:color="auto" w:fill="FFFFFF" w:themeFill="background1"/>
          </w:tcPr>
          <w:p w14:paraId="24E6C65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44532256">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2</w:t>
            </w:r>
            <w:r>
              <w:rPr>
                <w:rFonts w:hint="default" w:ascii="Times New Roman" w:hAnsi="Times New Roman" w:eastAsia="Times New Roman" w:cs="Times New Roman"/>
                <w:sz w:val="28"/>
                <w:szCs w:val="28"/>
                <w:lang w:val="kk-KZ" w:eastAsia="ru-RU"/>
              </w:rPr>
              <w:t>6</w:t>
            </w:r>
          </w:p>
        </w:tc>
      </w:tr>
      <w:tr w14:paraId="0CB7CB32">
        <w:tblPrEx>
          <w:tblCellMar>
            <w:top w:w="15" w:type="dxa"/>
            <w:left w:w="15" w:type="dxa"/>
            <w:bottom w:w="15" w:type="dxa"/>
            <w:right w:w="15" w:type="dxa"/>
          </w:tblCellMar>
        </w:tblPrEx>
        <w:tc>
          <w:tcPr>
            <w:tcW w:w="900" w:type="dxa"/>
          </w:tcPr>
          <w:p w14:paraId="2A867EE7">
            <w:pPr>
              <w:widowControl w:val="0"/>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2.2</w:t>
            </w:r>
          </w:p>
        </w:tc>
        <w:tc>
          <w:tcPr>
            <w:tcW w:w="8167" w:type="dxa"/>
          </w:tcPr>
          <w:p w14:paraId="04BF38F7">
            <w:pPr>
              <w:widowControl w:val="0"/>
              <w:autoSpaceDE w:val="0"/>
              <w:autoSpaceDN w:val="0"/>
              <w:spacing w:after="0" w:line="276"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Зерттеуге қатысқан науқастардың жалпы сипаттамасы……………..</w:t>
            </w:r>
          </w:p>
        </w:tc>
        <w:tc>
          <w:tcPr>
            <w:tcW w:w="795" w:type="dxa"/>
            <w:shd w:val="clear" w:color="auto" w:fill="FFFFFF" w:themeFill="background1"/>
          </w:tcPr>
          <w:p w14:paraId="36F9156D">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2</w:t>
            </w:r>
            <w:r>
              <w:rPr>
                <w:rFonts w:hint="default" w:ascii="Times New Roman" w:hAnsi="Times New Roman" w:eastAsia="Times New Roman" w:cs="Times New Roman"/>
                <w:sz w:val="28"/>
                <w:szCs w:val="28"/>
                <w:lang w:val="kk-KZ" w:eastAsia="ru-RU"/>
              </w:rPr>
              <w:t>8</w:t>
            </w:r>
          </w:p>
        </w:tc>
      </w:tr>
      <w:tr w14:paraId="6D47BD4E">
        <w:tblPrEx>
          <w:tblCellMar>
            <w:top w:w="15" w:type="dxa"/>
            <w:left w:w="15" w:type="dxa"/>
            <w:bottom w:w="15" w:type="dxa"/>
            <w:right w:w="15" w:type="dxa"/>
          </w:tblCellMar>
        </w:tblPrEx>
        <w:tc>
          <w:tcPr>
            <w:tcW w:w="900" w:type="dxa"/>
          </w:tcPr>
          <w:p w14:paraId="01FAF36B">
            <w:pPr>
              <w:widowControl w:val="0"/>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2.3</w:t>
            </w:r>
          </w:p>
        </w:tc>
        <w:tc>
          <w:tcPr>
            <w:tcW w:w="8167" w:type="dxa"/>
          </w:tcPr>
          <w:p w14:paraId="1358F078">
            <w:pPr>
              <w:widowControl w:val="0"/>
              <w:autoSpaceDE w:val="0"/>
              <w:autoSpaceDN w:val="0"/>
              <w:spacing w:after="0" w:line="276"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Зерттеуге қажетті материалдар және зерттеуді жүргізу әдістері……</w:t>
            </w:r>
          </w:p>
        </w:tc>
        <w:tc>
          <w:tcPr>
            <w:tcW w:w="795" w:type="dxa"/>
            <w:shd w:val="clear" w:color="auto" w:fill="FFFFFF" w:themeFill="background1"/>
          </w:tcPr>
          <w:p w14:paraId="560DDF98">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hint="default" w:ascii="Times New Roman" w:hAnsi="Times New Roman" w:eastAsia="Times New Roman" w:cs="Times New Roman"/>
                <w:sz w:val="28"/>
                <w:szCs w:val="28"/>
                <w:lang w:val="kk-KZ" w:eastAsia="ru-RU"/>
              </w:rPr>
              <w:t>29</w:t>
            </w:r>
          </w:p>
        </w:tc>
      </w:tr>
      <w:tr w14:paraId="368CA875">
        <w:tblPrEx>
          <w:tblCellMar>
            <w:top w:w="15" w:type="dxa"/>
            <w:left w:w="15" w:type="dxa"/>
            <w:bottom w:w="15" w:type="dxa"/>
            <w:right w:w="15" w:type="dxa"/>
          </w:tblCellMar>
        </w:tblPrEx>
        <w:tc>
          <w:tcPr>
            <w:tcW w:w="900" w:type="dxa"/>
          </w:tcPr>
          <w:p w14:paraId="74365989">
            <w:pPr>
              <w:widowControl w:val="0"/>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2.3.1</w:t>
            </w:r>
          </w:p>
        </w:tc>
        <w:tc>
          <w:tcPr>
            <w:tcW w:w="8167" w:type="dxa"/>
          </w:tcPr>
          <w:p w14:paraId="6415D4E1">
            <w:pPr>
              <w:widowControl w:val="0"/>
              <w:autoSpaceDE w:val="0"/>
              <w:autoSpaceDN w:val="0"/>
              <w:spacing w:after="0" w:line="276"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 xml:space="preserve">Зеттеуге қатысқан жүктілерге сауалнама толтыруыды </w:t>
            </w:r>
          </w:p>
          <w:p w14:paraId="34949C2C">
            <w:pPr>
              <w:widowControl w:val="0"/>
              <w:autoSpaceDE w:val="0"/>
              <w:autoSpaceDN w:val="0"/>
              <w:spacing w:after="0" w:line="276"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жүргізу барысы………………………………………………………….</w:t>
            </w:r>
          </w:p>
        </w:tc>
        <w:tc>
          <w:tcPr>
            <w:tcW w:w="795" w:type="dxa"/>
            <w:shd w:val="clear" w:color="auto" w:fill="FFFFFF" w:themeFill="background1"/>
          </w:tcPr>
          <w:p w14:paraId="4438150F">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3</w:t>
            </w:r>
            <w:r>
              <w:rPr>
                <w:rFonts w:hint="default" w:ascii="Times New Roman" w:hAnsi="Times New Roman" w:eastAsia="Times New Roman" w:cs="Times New Roman"/>
                <w:sz w:val="28"/>
                <w:szCs w:val="28"/>
                <w:lang w:val="kk-KZ" w:eastAsia="ru-RU"/>
              </w:rPr>
              <w:t>2</w:t>
            </w:r>
          </w:p>
        </w:tc>
      </w:tr>
      <w:tr w14:paraId="7CE3F170">
        <w:tblPrEx>
          <w:tblCellMar>
            <w:top w:w="15" w:type="dxa"/>
            <w:left w:w="15" w:type="dxa"/>
            <w:bottom w:w="15" w:type="dxa"/>
            <w:right w:w="15" w:type="dxa"/>
          </w:tblCellMar>
        </w:tblPrEx>
        <w:tc>
          <w:tcPr>
            <w:tcW w:w="900" w:type="dxa"/>
          </w:tcPr>
          <w:p w14:paraId="4D275955">
            <w:pPr>
              <w:widowControl w:val="0"/>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2.3.2</w:t>
            </w:r>
          </w:p>
        </w:tc>
        <w:tc>
          <w:tcPr>
            <w:tcW w:w="8167" w:type="dxa"/>
          </w:tcPr>
          <w:p w14:paraId="799B00FF">
            <w:pPr>
              <w:widowControl w:val="0"/>
              <w:autoSpaceDE w:val="0"/>
              <w:autoSpaceDN w:val="0"/>
              <w:spacing w:after="0" w:line="276"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Клиникалық зерттеу әдістері…………………………………………..</w:t>
            </w:r>
          </w:p>
        </w:tc>
        <w:tc>
          <w:tcPr>
            <w:tcW w:w="795" w:type="dxa"/>
            <w:shd w:val="clear" w:color="auto" w:fill="FFFFFF" w:themeFill="background1"/>
          </w:tcPr>
          <w:p w14:paraId="4A821EC9">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3</w:t>
            </w:r>
            <w:r>
              <w:rPr>
                <w:rFonts w:ascii="Times New Roman" w:hAnsi="Times New Roman" w:eastAsia="Times New Roman" w:cs="Times New Roman"/>
                <w:sz w:val="28"/>
                <w:szCs w:val="28"/>
                <w:lang w:val="kk-KZ" w:eastAsia="ru-RU"/>
              </w:rPr>
              <w:t>3</w:t>
            </w:r>
          </w:p>
        </w:tc>
      </w:tr>
      <w:tr w14:paraId="76E53B99">
        <w:tblPrEx>
          <w:tblCellMar>
            <w:top w:w="15" w:type="dxa"/>
            <w:left w:w="15" w:type="dxa"/>
            <w:bottom w:w="15" w:type="dxa"/>
            <w:right w:w="15" w:type="dxa"/>
          </w:tblCellMar>
        </w:tblPrEx>
        <w:tc>
          <w:tcPr>
            <w:tcW w:w="900" w:type="dxa"/>
          </w:tcPr>
          <w:p w14:paraId="4FB24F85">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2.3.3</w:t>
            </w:r>
          </w:p>
        </w:tc>
        <w:tc>
          <w:tcPr>
            <w:tcW w:w="8167" w:type="dxa"/>
          </w:tcPr>
          <w:p w14:paraId="06A188A5">
            <w:pPr>
              <w:widowControl w:val="0"/>
              <w:autoSpaceDE w:val="0"/>
              <w:autoSpaceDN w:val="0"/>
              <w:spacing w:after="0" w:line="276" w:lineRule="auto"/>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Дене салмағы индексінің өлшемі……………………………………</w:t>
            </w:r>
            <w:r>
              <w:rPr>
                <w:rFonts w:ascii="Times New Roman" w:hAnsi="Times New Roman" w:eastAsia="Times New Roman" w:cs="Times New Roman"/>
                <w:sz w:val="28"/>
                <w:szCs w:val="28"/>
                <w:lang w:val="kk-KZ" w:eastAsia="ru-RU"/>
              </w:rPr>
              <w:t>...</w:t>
            </w:r>
          </w:p>
        </w:tc>
        <w:tc>
          <w:tcPr>
            <w:tcW w:w="795" w:type="dxa"/>
            <w:shd w:val="clear" w:color="auto" w:fill="FFFFFF" w:themeFill="background1"/>
          </w:tcPr>
          <w:p w14:paraId="7E03E7EC">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3</w:t>
            </w:r>
            <w:r>
              <w:rPr>
                <w:rFonts w:hint="default" w:ascii="Times New Roman" w:hAnsi="Times New Roman" w:eastAsia="Times New Roman" w:cs="Times New Roman"/>
                <w:sz w:val="28"/>
                <w:szCs w:val="28"/>
                <w:lang w:val="kk-KZ" w:eastAsia="ru-RU"/>
              </w:rPr>
              <w:t>3</w:t>
            </w:r>
          </w:p>
        </w:tc>
      </w:tr>
      <w:tr w14:paraId="5D9A650C">
        <w:tblPrEx>
          <w:tblCellMar>
            <w:top w:w="15" w:type="dxa"/>
            <w:left w:w="15" w:type="dxa"/>
            <w:bottom w:w="15" w:type="dxa"/>
            <w:right w:w="15" w:type="dxa"/>
          </w:tblCellMar>
        </w:tblPrEx>
        <w:tc>
          <w:tcPr>
            <w:tcW w:w="900" w:type="dxa"/>
          </w:tcPr>
          <w:p w14:paraId="532C47F4">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2.3.4</w:t>
            </w:r>
          </w:p>
        </w:tc>
        <w:tc>
          <w:tcPr>
            <w:tcW w:w="8167" w:type="dxa"/>
          </w:tcPr>
          <w:p w14:paraId="64D140B8">
            <w:pPr>
              <w:widowControl w:val="0"/>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Клиникалық мәліметтерді жинау және талдау………………………..</w:t>
            </w:r>
          </w:p>
        </w:tc>
        <w:tc>
          <w:tcPr>
            <w:tcW w:w="795" w:type="dxa"/>
            <w:shd w:val="clear" w:color="auto" w:fill="FFFFFF" w:themeFill="background1"/>
          </w:tcPr>
          <w:p w14:paraId="4AACADF5">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3</w:t>
            </w:r>
            <w:r>
              <w:rPr>
                <w:rFonts w:hint="default" w:ascii="Times New Roman" w:hAnsi="Times New Roman" w:eastAsia="Times New Roman" w:cs="Times New Roman"/>
                <w:sz w:val="28"/>
                <w:szCs w:val="28"/>
                <w:lang w:val="kk-KZ" w:eastAsia="ru-RU"/>
              </w:rPr>
              <w:t>3</w:t>
            </w:r>
          </w:p>
        </w:tc>
      </w:tr>
      <w:tr w14:paraId="72542234">
        <w:tblPrEx>
          <w:tblCellMar>
            <w:top w:w="15" w:type="dxa"/>
            <w:left w:w="15" w:type="dxa"/>
            <w:bottom w:w="15" w:type="dxa"/>
            <w:right w:w="15" w:type="dxa"/>
          </w:tblCellMar>
        </w:tblPrEx>
        <w:tc>
          <w:tcPr>
            <w:tcW w:w="900" w:type="dxa"/>
          </w:tcPr>
          <w:p w14:paraId="07235D6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w:t>
            </w:r>
          </w:p>
        </w:tc>
        <w:tc>
          <w:tcPr>
            <w:tcW w:w="8167" w:type="dxa"/>
          </w:tcPr>
          <w:p w14:paraId="72C3A676">
            <w:pPr>
              <w:widowControl w:val="0"/>
              <w:autoSpaceDE w:val="0"/>
              <w:autoSpaceDN w:val="0"/>
              <w:spacing w:after="0" w:line="276" w:lineRule="auto"/>
              <w:outlineLvl w:val="0"/>
              <w:rPr>
                <w:rFonts w:ascii="Times New Roman" w:hAnsi="Times New Roman" w:eastAsia="等线 Light" w:cs="Times New Roman"/>
                <w:sz w:val="28"/>
                <w:szCs w:val="28"/>
                <w:lang w:val="en-US" w:eastAsia="ru-RU"/>
              </w:rPr>
            </w:pPr>
            <w:r>
              <w:rPr>
                <w:rFonts w:ascii="Times New Roman" w:hAnsi="Times New Roman" w:eastAsia="等线 Light" w:cs="Times New Roman"/>
                <w:sz w:val="28"/>
                <w:szCs w:val="28"/>
                <w:lang w:val="en-US" w:eastAsia="ru-RU"/>
              </w:rPr>
              <w:t xml:space="preserve">Маркерлерді ИФА әдісімен бағалау Гепсидин, </w:t>
            </w:r>
          </w:p>
          <w:p w14:paraId="56D5FFD7">
            <w:pPr>
              <w:widowControl w:val="0"/>
              <w:autoSpaceDE w:val="0"/>
              <w:autoSpaceDN w:val="0"/>
              <w:spacing w:after="0" w:line="276" w:lineRule="auto"/>
              <w:outlineLvl w:val="0"/>
              <w:rPr>
                <w:rFonts w:ascii="Times New Roman" w:hAnsi="Times New Roman" w:eastAsia="等线 Light" w:cs="Times New Roman"/>
                <w:sz w:val="28"/>
                <w:szCs w:val="28"/>
                <w:lang w:val="en-US" w:eastAsia="ru-RU"/>
              </w:rPr>
            </w:pPr>
            <w:r>
              <w:rPr>
                <w:rFonts w:ascii="Times New Roman" w:hAnsi="Times New Roman" w:eastAsia="等线 Light" w:cs="Times New Roman"/>
                <w:sz w:val="28"/>
                <w:szCs w:val="28"/>
                <w:lang w:val="en-US" w:eastAsia="ru-RU"/>
              </w:rPr>
              <w:t xml:space="preserve">эритропоэтин Интерлейкин–6, С–реактивті ақуызды, </w:t>
            </w:r>
          </w:p>
          <w:p w14:paraId="6AC4C86C">
            <w:pPr>
              <w:widowControl w:val="0"/>
              <w:autoSpaceDE w:val="0"/>
              <w:autoSpaceDN w:val="0"/>
              <w:spacing w:after="0" w:line="276" w:lineRule="auto"/>
              <w:outlineLvl w:val="0"/>
              <w:rPr>
                <w:rFonts w:ascii="Times New Roman" w:hAnsi="Times New Roman" w:eastAsia="等线 Light" w:cs="Times New Roman"/>
                <w:sz w:val="28"/>
                <w:szCs w:val="28"/>
                <w:lang w:val="en-US" w:eastAsia="ru-RU"/>
              </w:rPr>
            </w:pPr>
            <w:r>
              <w:rPr>
                <w:rFonts w:ascii="Times New Roman" w:hAnsi="Times New Roman" w:eastAsia="等线 Light" w:cs="Times New Roman"/>
                <w:sz w:val="28"/>
                <w:szCs w:val="28"/>
                <w:lang w:val="en-US" w:eastAsia="ru-RU"/>
              </w:rPr>
              <w:t>ферритинді ИФА әдісімен бағалау…………………………………….</w:t>
            </w:r>
          </w:p>
        </w:tc>
        <w:tc>
          <w:tcPr>
            <w:tcW w:w="795" w:type="dxa"/>
            <w:shd w:val="clear" w:color="auto" w:fill="FFFFFF" w:themeFill="background1"/>
          </w:tcPr>
          <w:p w14:paraId="1A49D7F7">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1DEED475">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6E59490B">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3</w:t>
            </w:r>
            <w:r>
              <w:rPr>
                <w:rFonts w:hint="default" w:ascii="Times New Roman" w:hAnsi="Times New Roman" w:eastAsia="Times New Roman" w:cs="Times New Roman"/>
                <w:sz w:val="28"/>
                <w:szCs w:val="28"/>
                <w:lang w:val="kk-KZ" w:eastAsia="ru-RU"/>
              </w:rPr>
              <w:t>4</w:t>
            </w:r>
          </w:p>
        </w:tc>
      </w:tr>
      <w:tr w14:paraId="727ADE25">
        <w:tblPrEx>
          <w:tblCellMar>
            <w:top w:w="15" w:type="dxa"/>
            <w:left w:w="15" w:type="dxa"/>
            <w:bottom w:w="15" w:type="dxa"/>
            <w:right w:w="15" w:type="dxa"/>
          </w:tblCellMar>
        </w:tblPrEx>
        <w:tc>
          <w:tcPr>
            <w:tcW w:w="900" w:type="dxa"/>
          </w:tcPr>
          <w:p w14:paraId="20B124C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2.4.1</w:t>
            </w:r>
          </w:p>
        </w:tc>
        <w:tc>
          <w:tcPr>
            <w:tcW w:w="8167" w:type="dxa"/>
          </w:tcPr>
          <w:p w14:paraId="46DD5BFC">
            <w:pPr>
              <w:widowControl w:val="0"/>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Қажетті материалдардың тізімі………………………………………..</w:t>
            </w:r>
          </w:p>
        </w:tc>
        <w:tc>
          <w:tcPr>
            <w:tcW w:w="795" w:type="dxa"/>
            <w:shd w:val="clear" w:color="auto" w:fill="FFFFFF" w:themeFill="background1"/>
          </w:tcPr>
          <w:p w14:paraId="351E9D07">
            <w:pPr>
              <w:widowControl w:val="0"/>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3</w:t>
            </w:r>
            <w:r>
              <w:rPr>
                <w:rFonts w:hint="default" w:ascii="Times New Roman" w:hAnsi="Times New Roman" w:eastAsia="Times New Roman" w:cs="Times New Roman"/>
                <w:sz w:val="28"/>
                <w:szCs w:val="28"/>
                <w:lang w:val="kk-KZ" w:eastAsia="ru-RU"/>
              </w:rPr>
              <w:t>4</w:t>
            </w:r>
          </w:p>
        </w:tc>
      </w:tr>
      <w:tr w14:paraId="65C38CC8">
        <w:tblPrEx>
          <w:tblCellMar>
            <w:top w:w="15" w:type="dxa"/>
            <w:left w:w="15" w:type="dxa"/>
            <w:bottom w:w="15" w:type="dxa"/>
            <w:right w:w="15" w:type="dxa"/>
          </w:tblCellMar>
        </w:tblPrEx>
        <w:tc>
          <w:tcPr>
            <w:tcW w:w="900" w:type="dxa"/>
          </w:tcPr>
          <w:p w14:paraId="6EA93204">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2.4.2</w:t>
            </w:r>
          </w:p>
        </w:tc>
        <w:tc>
          <w:tcPr>
            <w:tcW w:w="8167" w:type="dxa"/>
          </w:tcPr>
          <w:p w14:paraId="6BF0B7F7">
            <w:pPr>
              <w:widowControl w:val="0"/>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Реагенттерді дайындап алу…………………………………………….</w:t>
            </w:r>
          </w:p>
        </w:tc>
        <w:tc>
          <w:tcPr>
            <w:tcW w:w="795" w:type="dxa"/>
            <w:shd w:val="clear" w:color="auto" w:fill="FFFFFF" w:themeFill="background1"/>
          </w:tcPr>
          <w:p w14:paraId="0CCE69F5">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3</w:t>
            </w:r>
            <w:r>
              <w:rPr>
                <w:rFonts w:ascii="Times New Roman" w:hAnsi="Times New Roman" w:eastAsia="Times New Roman" w:cs="Times New Roman"/>
                <w:sz w:val="28"/>
                <w:szCs w:val="28"/>
                <w:lang w:val="kk-KZ" w:eastAsia="ru-RU"/>
              </w:rPr>
              <w:t>5</w:t>
            </w:r>
          </w:p>
        </w:tc>
      </w:tr>
      <w:tr w14:paraId="29F8A5D5">
        <w:tblPrEx>
          <w:tblCellMar>
            <w:top w:w="15" w:type="dxa"/>
            <w:left w:w="15" w:type="dxa"/>
            <w:bottom w:w="15" w:type="dxa"/>
            <w:right w:w="15" w:type="dxa"/>
          </w:tblCellMar>
        </w:tblPrEx>
        <w:tc>
          <w:tcPr>
            <w:tcW w:w="900" w:type="dxa"/>
          </w:tcPr>
          <w:p w14:paraId="19FCB80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2.4.3</w:t>
            </w:r>
          </w:p>
        </w:tc>
        <w:tc>
          <w:tcPr>
            <w:tcW w:w="8167" w:type="dxa"/>
          </w:tcPr>
          <w:p w14:paraId="0F2C1F63">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Үлгіні дайындап </w:t>
            </w:r>
            <w:r>
              <w:rPr>
                <w:rFonts w:ascii="Times New Roman" w:hAnsi="Times New Roman" w:eastAsia="Times New Roman" w:cs="Times New Roman"/>
                <w:sz w:val="28"/>
                <w:szCs w:val="28"/>
                <w:lang w:val="kk-KZ" w:eastAsia="ru-RU"/>
              </w:rPr>
              <w:t>а</w:t>
            </w:r>
            <w:r>
              <w:rPr>
                <w:rFonts w:ascii="Times New Roman" w:hAnsi="Times New Roman" w:eastAsia="Times New Roman" w:cs="Times New Roman"/>
                <w:sz w:val="28"/>
                <w:szCs w:val="28"/>
                <w:lang w:val="en-US" w:eastAsia="ru-RU"/>
              </w:rPr>
              <w:t>лу……………………………………………………</w:t>
            </w:r>
          </w:p>
        </w:tc>
        <w:tc>
          <w:tcPr>
            <w:tcW w:w="795" w:type="dxa"/>
            <w:shd w:val="clear" w:color="auto" w:fill="FFFFFF" w:themeFill="background1"/>
          </w:tcPr>
          <w:p w14:paraId="2ABCD9B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38</w:t>
            </w:r>
          </w:p>
        </w:tc>
      </w:tr>
      <w:tr w14:paraId="48CA780F">
        <w:tblPrEx>
          <w:tblCellMar>
            <w:top w:w="15" w:type="dxa"/>
            <w:left w:w="15" w:type="dxa"/>
            <w:bottom w:w="15" w:type="dxa"/>
            <w:right w:w="15" w:type="dxa"/>
          </w:tblCellMar>
        </w:tblPrEx>
        <w:tc>
          <w:tcPr>
            <w:tcW w:w="900" w:type="dxa"/>
          </w:tcPr>
          <w:p w14:paraId="42FEB53E">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2.4.4</w:t>
            </w:r>
          </w:p>
        </w:tc>
        <w:tc>
          <w:tcPr>
            <w:tcW w:w="8167" w:type="dxa"/>
          </w:tcPr>
          <w:p w14:paraId="407BF5B2">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Талдау жүргізу іс–шарасы……………………………………………...</w:t>
            </w:r>
          </w:p>
        </w:tc>
        <w:tc>
          <w:tcPr>
            <w:tcW w:w="795" w:type="dxa"/>
            <w:shd w:val="clear" w:color="auto" w:fill="FFFFFF" w:themeFill="background1"/>
          </w:tcPr>
          <w:p w14:paraId="6E8D9643">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39</w:t>
            </w:r>
          </w:p>
        </w:tc>
      </w:tr>
      <w:tr w14:paraId="3A90F034">
        <w:tblPrEx>
          <w:tblCellMar>
            <w:top w:w="15" w:type="dxa"/>
            <w:left w:w="15" w:type="dxa"/>
            <w:bottom w:w="15" w:type="dxa"/>
            <w:right w:w="15" w:type="dxa"/>
          </w:tblCellMar>
        </w:tblPrEx>
        <w:tc>
          <w:tcPr>
            <w:tcW w:w="900" w:type="dxa"/>
          </w:tcPr>
          <w:p w14:paraId="1A6CAAB2">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2.4.5</w:t>
            </w:r>
          </w:p>
        </w:tc>
        <w:tc>
          <w:tcPr>
            <w:tcW w:w="8167" w:type="dxa"/>
          </w:tcPr>
          <w:p w14:paraId="55DD40EF">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Тесттің принципі………………………………………………………..</w:t>
            </w:r>
          </w:p>
        </w:tc>
        <w:tc>
          <w:tcPr>
            <w:tcW w:w="795" w:type="dxa"/>
            <w:shd w:val="clear" w:color="auto" w:fill="FFFFFF" w:themeFill="background1"/>
          </w:tcPr>
          <w:p w14:paraId="2410FB9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41</w:t>
            </w:r>
          </w:p>
        </w:tc>
      </w:tr>
      <w:tr w14:paraId="412D1D3E">
        <w:tblPrEx>
          <w:tblCellMar>
            <w:top w:w="15" w:type="dxa"/>
            <w:left w:w="15" w:type="dxa"/>
            <w:bottom w:w="15" w:type="dxa"/>
            <w:right w:w="15" w:type="dxa"/>
          </w:tblCellMar>
        </w:tblPrEx>
        <w:tc>
          <w:tcPr>
            <w:tcW w:w="900" w:type="dxa"/>
          </w:tcPr>
          <w:p w14:paraId="655BC9A3">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2.4.6</w:t>
            </w:r>
          </w:p>
        </w:tc>
        <w:tc>
          <w:tcPr>
            <w:tcW w:w="8167" w:type="dxa"/>
          </w:tcPr>
          <w:p w14:paraId="0D536EC0">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Зерттеу нәтижелерін есептеу…………………………………………..</w:t>
            </w:r>
          </w:p>
        </w:tc>
        <w:tc>
          <w:tcPr>
            <w:tcW w:w="795" w:type="dxa"/>
            <w:shd w:val="clear" w:color="auto" w:fill="FFFFFF" w:themeFill="background1"/>
          </w:tcPr>
          <w:p w14:paraId="54CC6AE1">
            <w:pPr>
              <w:widowControl w:val="0"/>
              <w:shd w:val="clear" w:color="auto" w:fill="FFFFFF" w:themeFill="background1"/>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4</w:t>
            </w:r>
            <w:r>
              <w:rPr>
                <w:rFonts w:hint="default" w:ascii="Times New Roman" w:hAnsi="Times New Roman" w:eastAsia="Times New Roman" w:cs="Times New Roman"/>
                <w:sz w:val="28"/>
                <w:szCs w:val="28"/>
                <w:lang w:val="kk-KZ" w:eastAsia="ru-RU"/>
              </w:rPr>
              <w:t>1</w:t>
            </w:r>
          </w:p>
        </w:tc>
      </w:tr>
      <w:tr w14:paraId="5113A61A">
        <w:tblPrEx>
          <w:tblCellMar>
            <w:top w:w="15" w:type="dxa"/>
            <w:left w:w="15" w:type="dxa"/>
            <w:bottom w:w="15" w:type="dxa"/>
            <w:right w:w="15" w:type="dxa"/>
          </w:tblCellMar>
        </w:tblPrEx>
        <w:tc>
          <w:tcPr>
            <w:tcW w:w="900" w:type="dxa"/>
          </w:tcPr>
          <w:p w14:paraId="7AC7B5C0">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w:t>
            </w:r>
          </w:p>
        </w:tc>
        <w:tc>
          <w:tcPr>
            <w:tcW w:w="8167" w:type="dxa"/>
          </w:tcPr>
          <w:p w14:paraId="5A948BF9">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 xml:space="preserve">Зерттеу жұмысының нәтижелері бойынша статистикалық </w:t>
            </w:r>
          </w:p>
          <w:p w14:paraId="0FCAA7CD">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color w:val="000000"/>
                <w:sz w:val="28"/>
                <w:szCs w:val="28"/>
                <w:lang w:val="en-US" w:eastAsia="ru-RU"/>
              </w:rPr>
              <w:t>талдау жүргізу жұмыстары…………………………………………….</w:t>
            </w:r>
          </w:p>
        </w:tc>
        <w:tc>
          <w:tcPr>
            <w:tcW w:w="795" w:type="dxa"/>
            <w:shd w:val="clear" w:color="auto" w:fill="FFFFFF" w:themeFill="background1"/>
          </w:tcPr>
          <w:p w14:paraId="6C941CDE">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09244FBC">
            <w:pPr>
              <w:widowControl w:val="0"/>
              <w:shd w:val="clear" w:color="auto" w:fill="FFFFFF" w:themeFill="background1"/>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4</w:t>
            </w:r>
            <w:r>
              <w:rPr>
                <w:rFonts w:hint="default" w:ascii="Times New Roman" w:hAnsi="Times New Roman" w:eastAsia="Times New Roman" w:cs="Times New Roman"/>
                <w:sz w:val="28"/>
                <w:szCs w:val="28"/>
                <w:lang w:val="kk-KZ" w:eastAsia="ru-RU"/>
              </w:rPr>
              <w:t>2</w:t>
            </w:r>
          </w:p>
        </w:tc>
      </w:tr>
      <w:tr w14:paraId="2B38B97F">
        <w:tblPrEx>
          <w:tblCellMar>
            <w:top w:w="15" w:type="dxa"/>
            <w:left w:w="15" w:type="dxa"/>
            <w:bottom w:w="15" w:type="dxa"/>
            <w:right w:w="15" w:type="dxa"/>
          </w:tblCellMar>
        </w:tblPrEx>
        <w:tc>
          <w:tcPr>
            <w:tcW w:w="900" w:type="dxa"/>
          </w:tcPr>
          <w:p w14:paraId="79D8263B">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2.6</w:t>
            </w:r>
          </w:p>
        </w:tc>
        <w:tc>
          <w:tcPr>
            <w:tcW w:w="8167" w:type="dxa"/>
          </w:tcPr>
          <w:p w14:paraId="743FB01F">
            <w:pPr>
              <w:widowControl w:val="0"/>
              <w:shd w:val="clear" w:color="auto" w:fill="FFFFFF" w:themeFill="background1"/>
              <w:autoSpaceDE w:val="0"/>
              <w:autoSpaceDN w:val="0"/>
              <w:spacing w:after="0" w:line="276" w:lineRule="auto"/>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color w:val="000000"/>
                <w:sz w:val="28"/>
                <w:szCs w:val="28"/>
                <w:lang w:val="en-US" w:eastAsia="ru-RU"/>
              </w:rPr>
              <w:t>Зерттеу жұмысына этикалық мақұлдау жүргізу……………………</w:t>
            </w:r>
            <w:r>
              <w:rPr>
                <w:rFonts w:ascii="Times New Roman" w:hAnsi="Times New Roman" w:eastAsia="Times New Roman" w:cs="Times New Roman"/>
                <w:color w:val="000000"/>
                <w:sz w:val="28"/>
                <w:szCs w:val="28"/>
                <w:lang w:val="kk-KZ" w:eastAsia="ru-RU"/>
              </w:rPr>
              <w:t>...</w:t>
            </w:r>
          </w:p>
        </w:tc>
        <w:tc>
          <w:tcPr>
            <w:tcW w:w="795" w:type="dxa"/>
            <w:shd w:val="clear" w:color="auto" w:fill="FFFFFF" w:themeFill="background1"/>
          </w:tcPr>
          <w:p w14:paraId="4A549DDB">
            <w:pPr>
              <w:widowControl w:val="0"/>
              <w:shd w:val="clear" w:color="auto" w:fill="FFFFFF" w:themeFill="background1"/>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4</w:t>
            </w:r>
            <w:r>
              <w:rPr>
                <w:rFonts w:hint="default" w:ascii="Times New Roman" w:hAnsi="Times New Roman" w:eastAsia="Times New Roman" w:cs="Times New Roman"/>
                <w:sz w:val="28"/>
                <w:szCs w:val="28"/>
                <w:lang w:val="kk-KZ" w:eastAsia="ru-RU"/>
              </w:rPr>
              <w:t>2</w:t>
            </w:r>
          </w:p>
        </w:tc>
      </w:tr>
      <w:tr w14:paraId="297090B6">
        <w:tblPrEx>
          <w:tblCellMar>
            <w:top w:w="15" w:type="dxa"/>
            <w:left w:w="15" w:type="dxa"/>
            <w:bottom w:w="15" w:type="dxa"/>
            <w:right w:w="15" w:type="dxa"/>
          </w:tblCellMar>
        </w:tblPrEx>
        <w:tc>
          <w:tcPr>
            <w:tcW w:w="9067" w:type="dxa"/>
            <w:gridSpan w:val="2"/>
          </w:tcPr>
          <w:p w14:paraId="3A30F5EF">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b/>
                <w:sz w:val="28"/>
                <w:szCs w:val="28"/>
                <w:lang w:val="en-US" w:eastAsia="ru-RU"/>
              </w:rPr>
            </w:pPr>
          </w:p>
          <w:p w14:paraId="03579F87">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БӨЛІМ 3. ЗЕРТТЕУ НӘТИЖЕЛЕРІ ЖӘНЕ ОЛАРДЫ ТАЛҚЫЛАУ</w:t>
            </w:r>
          </w:p>
          <w:p w14:paraId="538FBF61">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b/>
                <w:sz w:val="28"/>
                <w:szCs w:val="28"/>
                <w:lang w:val="en-US" w:eastAsia="ru-RU"/>
              </w:rPr>
            </w:pPr>
          </w:p>
        </w:tc>
        <w:tc>
          <w:tcPr>
            <w:tcW w:w="795" w:type="dxa"/>
            <w:shd w:val="clear" w:color="auto" w:fill="FFFFFF" w:themeFill="background1"/>
          </w:tcPr>
          <w:p w14:paraId="4CADD510">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p>
          <w:p w14:paraId="43D3A513">
            <w:pPr>
              <w:widowControl w:val="0"/>
              <w:shd w:val="clear" w:color="auto" w:fill="FFFFFF" w:themeFill="background1"/>
              <w:autoSpaceDE w:val="0"/>
              <w:autoSpaceDN w:val="0"/>
              <w:spacing w:after="0" w:line="276" w:lineRule="auto"/>
              <w:jc w:val="both"/>
              <w:outlineLvl w:val="0"/>
              <w:rPr>
                <w:rFonts w:hint="default"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4</w:t>
            </w:r>
            <w:r>
              <w:rPr>
                <w:rFonts w:hint="default" w:ascii="Times New Roman" w:hAnsi="Times New Roman" w:eastAsia="Times New Roman" w:cs="Times New Roman"/>
                <w:sz w:val="28"/>
                <w:szCs w:val="28"/>
                <w:lang w:val="kk-KZ" w:eastAsia="ru-RU"/>
              </w:rPr>
              <w:t>4</w:t>
            </w:r>
          </w:p>
        </w:tc>
      </w:tr>
      <w:tr w14:paraId="74899259">
        <w:tblPrEx>
          <w:tblCellMar>
            <w:top w:w="15" w:type="dxa"/>
            <w:left w:w="15" w:type="dxa"/>
            <w:bottom w:w="15" w:type="dxa"/>
            <w:right w:w="15" w:type="dxa"/>
          </w:tblCellMar>
        </w:tblPrEx>
        <w:tc>
          <w:tcPr>
            <w:tcW w:w="900" w:type="dxa"/>
          </w:tcPr>
          <w:p w14:paraId="5E6C628B">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3.1.</w:t>
            </w:r>
          </w:p>
        </w:tc>
        <w:tc>
          <w:tcPr>
            <w:tcW w:w="8167" w:type="dxa"/>
          </w:tcPr>
          <w:p w14:paraId="7F0D52D2">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28"/>
                <w:szCs w:val="28"/>
                <w:lang w:val="en-US" w:eastAsia="ru-RU"/>
              </w:rPr>
              <w:t xml:space="preserve">Зерттеуге қатысқан жүктілердің зертханалық және </w:t>
            </w:r>
          </w:p>
          <w:p w14:paraId="3D2F4ACF">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bCs/>
                <w:sz w:val="28"/>
                <w:szCs w:val="28"/>
                <w:lang w:val="en-US" w:eastAsia="ru-RU"/>
              </w:rPr>
            </w:pPr>
            <w:r>
              <w:rPr>
                <w:rFonts w:ascii="Times New Roman" w:hAnsi="Times New Roman" w:eastAsia="Times New Roman" w:cs="Times New Roman"/>
                <w:color w:val="000000"/>
                <w:sz w:val="28"/>
                <w:szCs w:val="28"/>
                <w:lang w:val="en-US" w:eastAsia="ru-RU"/>
              </w:rPr>
              <w:t>клиникалық сипаттамалары……………………………………………</w:t>
            </w:r>
          </w:p>
        </w:tc>
        <w:tc>
          <w:tcPr>
            <w:tcW w:w="795" w:type="dxa"/>
            <w:shd w:val="clear" w:color="auto" w:fill="FFFFFF" w:themeFill="background1"/>
          </w:tcPr>
          <w:p w14:paraId="5A55BF3D">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p>
          <w:p w14:paraId="2696716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4</w:t>
            </w:r>
            <w:r>
              <w:rPr>
                <w:rFonts w:ascii="Times New Roman" w:hAnsi="Times New Roman" w:eastAsia="Times New Roman" w:cs="Times New Roman"/>
                <w:color w:val="000000"/>
                <w:sz w:val="28"/>
                <w:szCs w:val="28"/>
                <w:lang w:val="kk-KZ" w:eastAsia="ru-RU"/>
              </w:rPr>
              <w:t>4</w:t>
            </w:r>
          </w:p>
        </w:tc>
      </w:tr>
      <w:tr w14:paraId="6A77EDFE">
        <w:tblPrEx>
          <w:tblCellMar>
            <w:top w:w="15" w:type="dxa"/>
            <w:left w:w="15" w:type="dxa"/>
            <w:bottom w:w="15" w:type="dxa"/>
            <w:right w:w="15" w:type="dxa"/>
          </w:tblCellMar>
        </w:tblPrEx>
        <w:tc>
          <w:tcPr>
            <w:tcW w:w="900" w:type="dxa"/>
          </w:tcPr>
          <w:p w14:paraId="5CC04BED">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3.2</w:t>
            </w:r>
          </w:p>
        </w:tc>
        <w:tc>
          <w:tcPr>
            <w:tcW w:w="8167" w:type="dxa"/>
          </w:tcPr>
          <w:p w14:paraId="582DBD01">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Жүктілікке дейінгі семіздігі бар жүктілерде анемия дамуында </w:t>
            </w:r>
          </w:p>
          <w:p w14:paraId="6DB8BD81">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темір алмасу маркерлерінің (гепсидин, эритропоэтин, </w:t>
            </w:r>
          </w:p>
          <w:p w14:paraId="634AFE83">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ферритин) болжамдылық маңыздылығы……………………………...</w:t>
            </w:r>
          </w:p>
        </w:tc>
        <w:tc>
          <w:tcPr>
            <w:tcW w:w="795" w:type="dxa"/>
            <w:shd w:val="clear" w:color="auto" w:fill="FFFFFF" w:themeFill="background1"/>
          </w:tcPr>
          <w:p w14:paraId="4F12E325">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22A0F070">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1334C50B">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55</w:t>
            </w:r>
          </w:p>
        </w:tc>
      </w:tr>
      <w:tr w14:paraId="29EEB145">
        <w:tblPrEx>
          <w:tblCellMar>
            <w:top w:w="15" w:type="dxa"/>
            <w:left w:w="15" w:type="dxa"/>
            <w:bottom w:w="15" w:type="dxa"/>
            <w:right w:w="15" w:type="dxa"/>
          </w:tblCellMar>
        </w:tblPrEx>
        <w:tc>
          <w:tcPr>
            <w:tcW w:w="900" w:type="dxa"/>
          </w:tcPr>
          <w:p w14:paraId="15F20F8E">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3.3</w:t>
            </w:r>
          </w:p>
        </w:tc>
        <w:tc>
          <w:tcPr>
            <w:tcW w:w="8167" w:type="dxa"/>
          </w:tcPr>
          <w:p w14:paraId="024B6BBE">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Жүктілікке дейінгі семіздігі бар жүктілерде анемия </w:t>
            </w:r>
          </w:p>
          <w:p w14:paraId="2271117F">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дамуында қабыну медиаторларының (Интерлейкин–6, </w:t>
            </w:r>
          </w:p>
          <w:p w14:paraId="66B8F4D3">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C–реактивті ақуыз) маркерлерінің болжамдылық маңыздылығы…..</w:t>
            </w:r>
          </w:p>
        </w:tc>
        <w:tc>
          <w:tcPr>
            <w:tcW w:w="795" w:type="dxa"/>
            <w:shd w:val="clear" w:color="auto" w:fill="FFFFFF" w:themeFill="background1"/>
          </w:tcPr>
          <w:p w14:paraId="609542A1">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5929FD9E">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3AF37C27">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58</w:t>
            </w:r>
          </w:p>
        </w:tc>
      </w:tr>
      <w:tr w14:paraId="51C79C2F">
        <w:tblPrEx>
          <w:tblCellMar>
            <w:top w:w="15" w:type="dxa"/>
            <w:left w:w="15" w:type="dxa"/>
            <w:bottom w:w="15" w:type="dxa"/>
            <w:right w:w="15" w:type="dxa"/>
          </w:tblCellMar>
        </w:tblPrEx>
        <w:tc>
          <w:tcPr>
            <w:tcW w:w="900" w:type="dxa"/>
          </w:tcPr>
          <w:p w14:paraId="45137A62">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3.4</w:t>
            </w:r>
          </w:p>
        </w:tc>
        <w:tc>
          <w:tcPr>
            <w:tcW w:w="8167" w:type="dxa"/>
          </w:tcPr>
          <w:p w14:paraId="174AE50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Жүктілікке дейінгі дене самағы индексі мен анемияның </w:t>
            </w:r>
          </w:p>
          <w:p w14:paraId="2F413F2C">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босану ағымына әсері…………………………………………………..</w:t>
            </w:r>
          </w:p>
        </w:tc>
        <w:tc>
          <w:tcPr>
            <w:tcW w:w="795" w:type="dxa"/>
            <w:shd w:val="clear" w:color="auto" w:fill="FFFFFF" w:themeFill="background1"/>
          </w:tcPr>
          <w:p w14:paraId="7521379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p>
          <w:p w14:paraId="165EE6C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6</w:t>
            </w:r>
            <w:r>
              <w:rPr>
                <w:rFonts w:ascii="Times New Roman" w:hAnsi="Times New Roman" w:eastAsia="Times New Roman" w:cs="Times New Roman"/>
                <w:color w:val="000000"/>
                <w:sz w:val="28"/>
                <w:szCs w:val="28"/>
                <w:lang w:val="kk-KZ" w:eastAsia="ru-RU"/>
              </w:rPr>
              <w:t>2</w:t>
            </w:r>
          </w:p>
        </w:tc>
      </w:tr>
      <w:tr w14:paraId="27B4602D">
        <w:tblPrEx>
          <w:tblCellMar>
            <w:top w:w="15" w:type="dxa"/>
            <w:left w:w="15" w:type="dxa"/>
            <w:bottom w:w="15" w:type="dxa"/>
            <w:right w:w="15" w:type="dxa"/>
          </w:tblCellMar>
        </w:tblPrEx>
        <w:tc>
          <w:tcPr>
            <w:tcW w:w="900" w:type="dxa"/>
          </w:tcPr>
          <w:p w14:paraId="71BF8CA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3.5</w:t>
            </w:r>
          </w:p>
        </w:tc>
        <w:tc>
          <w:tcPr>
            <w:tcW w:w="8167" w:type="dxa"/>
          </w:tcPr>
          <w:p w14:paraId="5C835A0D">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Зерттеу көрсеткіштері арасындағы корреляциялық </w:t>
            </w:r>
          </w:p>
          <w:p w14:paraId="362282E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байланыстарды сипаттау……………………………………………….</w:t>
            </w:r>
          </w:p>
        </w:tc>
        <w:tc>
          <w:tcPr>
            <w:tcW w:w="795" w:type="dxa"/>
            <w:shd w:val="clear" w:color="auto" w:fill="FFFFFF" w:themeFill="background1"/>
          </w:tcPr>
          <w:p w14:paraId="6504E47B">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en-US" w:eastAsia="ru-RU"/>
              </w:rPr>
            </w:pPr>
          </w:p>
          <w:p w14:paraId="07BE399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6</w:t>
            </w:r>
            <w:r>
              <w:rPr>
                <w:rFonts w:ascii="Times New Roman" w:hAnsi="Times New Roman" w:eastAsia="Times New Roman" w:cs="Times New Roman"/>
                <w:color w:val="000000"/>
                <w:sz w:val="28"/>
                <w:szCs w:val="28"/>
                <w:lang w:val="kk-KZ" w:eastAsia="ru-RU"/>
              </w:rPr>
              <w:t>4</w:t>
            </w:r>
          </w:p>
        </w:tc>
      </w:tr>
      <w:tr w14:paraId="2445BA91">
        <w:tblPrEx>
          <w:tblCellMar>
            <w:top w:w="15" w:type="dxa"/>
            <w:left w:w="15" w:type="dxa"/>
            <w:bottom w:w="15" w:type="dxa"/>
            <w:right w:w="15" w:type="dxa"/>
          </w:tblCellMar>
        </w:tblPrEx>
        <w:tc>
          <w:tcPr>
            <w:tcW w:w="900" w:type="dxa"/>
          </w:tcPr>
          <w:p w14:paraId="4DDA5DA9">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3.6</w:t>
            </w:r>
          </w:p>
        </w:tc>
        <w:tc>
          <w:tcPr>
            <w:tcW w:w="8167" w:type="dxa"/>
          </w:tcPr>
          <w:p w14:paraId="4D4808E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Дене салмағының индексіне қабыну және темір </w:t>
            </w:r>
          </w:p>
          <w:p w14:paraId="5F89ED4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метаболизмі маркерлерінің әсерін бағалау: </w:t>
            </w:r>
          </w:p>
          <w:p w14:paraId="49602CC2">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en-US" w:eastAsia="ru-RU"/>
              </w:rPr>
              <w:t>көптік регрессия нәтижелері және прогностикалық модель………</w:t>
            </w:r>
            <w:r>
              <w:rPr>
                <w:rFonts w:ascii="Times New Roman" w:hAnsi="Times New Roman" w:eastAsia="Times New Roman" w:cs="Times New Roman"/>
                <w:sz w:val="28"/>
                <w:szCs w:val="28"/>
                <w:lang w:val="kk-KZ" w:eastAsia="ru-RU"/>
              </w:rPr>
              <w:t>...</w:t>
            </w:r>
          </w:p>
        </w:tc>
        <w:tc>
          <w:tcPr>
            <w:tcW w:w="795" w:type="dxa"/>
            <w:shd w:val="clear" w:color="auto" w:fill="FFFFFF" w:themeFill="background1"/>
          </w:tcPr>
          <w:p w14:paraId="09A1ED44">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2417F490">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460E0E41">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67</w:t>
            </w:r>
          </w:p>
        </w:tc>
      </w:tr>
      <w:tr w14:paraId="0402939C">
        <w:tblPrEx>
          <w:tblCellMar>
            <w:top w:w="15" w:type="dxa"/>
            <w:left w:w="15" w:type="dxa"/>
            <w:bottom w:w="15" w:type="dxa"/>
            <w:right w:w="15" w:type="dxa"/>
          </w:tblCellMar>
        </w:tblPrEx>
        <w:tc>
          <w:tcPr>
            <w:tcW w:w="900" w:type="dxa"/>
          </w:tcPr>
          <w:p w14:paraId="2213162F">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3.7</w:t>
            </w:r>
          </w:p>
        </w:tc>
        <w:tc>
          <w:tcPr>
            <w:tcW w:w="8167" w:type="dxa"/>
          </w:tcPr>
          <w:p w14:paraId="5146C3D1">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Семіздікке әсер ететін факторларды бағалау: қабыну </w:t>
            </w:r>
          </w:p>
          <w:p w14:paraId="22D3125A">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маркерлерінің рөлі және прогностикалық модель нәтижелері………</w:t>
            </w:r>
          </w:p>
        </w:tc>
        <w:tc>
          <w:tcPr>
            <w:tcW w:w="795" w:type="dxa"/>
            <w:shd w:val="clear" w:color="auto" w:fill="FFFFFF" w:themeFill="background1"/>
          </w:tcPr>
          <w:p w14:paraId="1673CFFA">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73FE7605">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71</w:t>
            </w:r>
          </w:p>
        </w:tc>
      </w:tr>
      <w:tr w14:paraId="0A1D1D90">
        <w:tblPrEx>
          <w:tblCellMar>
            <w:top w:w="15" w:type="dxa"/>
            <w:left w:w="15" w:type="dxa"/>
            <w:bottom w:w="15" w:type="dxa"/>
            <w:right w:w="15" w:type="dxa"/>
          </w:tblCellMar>
        </w:tblPrEx>
        <w:tc>
          <w:tcPr>
            <w:tcW w:w="900" w:type="dxa"/>
          </w:tcPr>
          <w:p w14:paraId="71E56976">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3.8</w:t>
            </w:r>
          </w:p>
        </w:tc>
        <w:tc>
          <w:tcPr>
            <w:tcW w:w="8167" w:type="dxa"/>
          </w:tcPr>
          <w:p w14:paraId="090BD100">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Анемия ықтималдығына әсер ететін предикторларды </w:t>
            </w:r>
          </w:p>
          <w:p w14:paraId="255DADAA">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анықтау: логистикалық регрессия нәтижелері және </w:t>
            </w:r>
          </w:p>
          <w:p w14:paraId="15DC233C">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модельдің прогностикалық сапасын бағалау…………………………</w:t>
            </w:r>
          </w:p>
        </w:tc>
        <w:tc>
          <w:tcPr>
            <w:tcW w:w="795" w:type="dxa"/>
            <w:shd w:val="clear" w:color="auto" w:fill="FFFFFF" w:themeFill="background1"/>
          </w:tcPr>
          <w:p w14:paraId="39406B6C">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7765D1AB">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1829793F">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75</w:t>
            </w:r>
          </w:p>
        </w:tc>
      </w:tr>
      <w:tr w14:paraId="2814C8BB">
        <w:tblPrEx>
          <w:tblCellMar>
            <w:top w:w="15" w:type="dxa"/>
            <w:left w:w="15" w:type="dxa"/>
            <w:bottom w:w="15" w:type="dxa"/>
            <w:right w:w="15" w:type="dxa"/>
          </w:tblCellMar>
        </w:tblPrEx>
        <w:tc>
          <w:tcPr>
            <w:tcW w:w="900" w:type="dxa"/>
          </w:tcPr>
          <w:p w14:paraId="1A03CF38">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3.9</w:t>
            </w:r>
          </w:p>
        </w:tc>
        <w:tc>
          <w:tcPr>
            <w:tcW w:w="8167" w:type="dxa"/>
            <w:shd w:val="clear" w:color="auto" w:fill="FFFFFF" w:themeFill="background1"/>
          </w:tcPr>
          <w:p w14:paraId="1F3149C6">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Жүктілікке дейінгі семіздік және оның анемияның дамуына </w:t>
            </w:r>
          </w:p>
          <w:p w14:paraId="40E7EDC6">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әсері: патогенез механизмінің сипаттамасын көрсететін алгоритм…</w:t>
            </w:r>
          </w:p>
          <w:p w14:paraId="1C998B4A">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sz w:val="28"/>
                <w:szCs w:val="28"/>
                <w:lang w:val="en-US" w:eastAsia="ru-RU"/>
              </w:rPr>
            </w:pPr>
          </w:p>
        </w:tc>
        <w:tc>
          <w:tcPr>
            <w:tcW w:w="795" w:type="dxa"/>
            <w:shd w:val="clear" w:color="auto" w:fill="FFFFFF" w:themeFill="background1"/>
          </w:tcPr>
          <w:p w14:paraId="49815EDD">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p>
          <w:p w14:paraId="03211AFB">
            <w:pPr>
              <w:widowControl w:val="0"/>
              <w:shd w:val="clear" w:color="auto" w:fill="FFFFFF" w:themeFill="background1"/>
              <w:autoSpaceDE w:val="0"/>
              <w:autoSpaceDN w:val="0"/>
              <w:spacing w:after="0"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78</w:t>
            </w:r>
          </w:p>
        </w:tc>
      </w:tr>
      <w:tr w14:paraId="428BE99F">
        <w:tblPrEx>
          <w:tblCellMar>
            <w:top w:w="15" w:type="dxa"/>
            <w:left w:w="15" w:type="dxa"/>
            <w:bottom w:w="15" w:type="dxa"/>
            <w:right w:w="15" w:type="dxa"/>
          </w:tblCellMar>
        </w:tblPrEx>
        <w:tc>
          <w:tcPr>
            <w:tcW w:w="9067" w:type="dxa"/>
            <w:gridSpan w:val="2"/>
            <w:shd w:val="clear" w:color="auto" w:fill="FFFFFF" w:themeFill="background1"/>
          </w:tcPr>
          <w:p w14:paraId="40657498">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ҚОРЫТЫНДЫ</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0F36C0B7">
            <w:pPr>
              <w:widowControl w:val="0"/>
              <w:shd w:val="clear" w:color="auto" w:fill="FFFFFF" w:themeFill="background1"/>
              <w:autoSpaceDE w:val="0"/>
              <w:autoSpaceDN w:val="0"/>
              <w:spacing w:before="100" w:beforeAutospacing="1" w:after="100" w:afterAutospacing="1" w:line="276" w:lineRule="auto"/>
              <w:jc w:val="both"/>
              <w:outlineLvl w:val="0"/>
              <w:rPr>
                <w:rFonts w:hint="default"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8</w:t>
            </w:r>
            <w:r>
              <w:rPr>
                <w:rFonts w:hint="default" w:ascii="Times New Roman" w:hAnsi="Times New Roman" w:eastAsia="Times New Roman" w:cs="Times New Roman"/>
                <w:color w:val="000000"/>
                <w:sz w:val="28"/>
                <w:szCs w:val="28"/>
                <w:lang w:val="kk-KZ" w:eastAsia="ru-RU"/>
              </w:rPr>
              <w:t>2</w:t>
            </w:r>
          </w:p>
        </w:tc>
      </w:tr>
      <w:tr w14:paraId="26436D8B">
        <w:tblPrEx>
          <w:tblCellMar>
            <w:top w:w="15" w:type="dxa"/>
            <w:left w:w="15" w:type="dxa"/>
            <w:bottom w:w="15" w:type="dxa"/>
            <w:right w:w="15" w:type="dxa"/>
          </w:tblCellMar>
        </w:tblPrEx>
        <w:tc>
          <w:tcPr>
            <w:tcW w:w="9067" w:type="dxa"/>
            <w:gridSpan w:val="2"/>
            <w:shd w:val="clear" w:color="auto" w:fill="FFFFFF" w:themeFill="background1"/>
          </w:tcPr>
          <w:p w14:paraId="0C8E5AFF">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ПРАКТИКАЛЫҚ ҰСЫНЫСТАР</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4C45A122">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8</w:t>
            </w:r>
            <w:r>
              <w:rPr>
                <w:rFonts w:ascii="Times New Roman" w:hAnsi="Times New Roman" w:eastAsia="Times New Roman" w:cs="Times New Roman"/>
                <w:color w:val="000000"/>
                <w:sz w:val="28"/>
                <w:szCs w:val="28"/>
                <w:lang w:val="kk-KZ" w:eastAsia="ru-RU"/>
              </w:rPr>
              <w:t>5</w:t>
            </w:r>
          </w:p>
        </w:tc>
      </w:tr>
      <w:tr w14:paraId="6D30CB18">
        <w:tblPrEx>
          <w:tblCellMar>
            <w:top w:w="15" w:type="dxa"/>
            <w:left w:w="15" w:type="dxa"/>
            <w:bottom w:w="15" w:type="dxa"/>
            <w:right w:w="15" w:type="dxa"/>
          </w:tblCellMar>
        </w:tblPrEx>
        <w:tc>
          <w:tcPr>
            <w:tcW w:w="9067" w:type="dxa"/>
            <w:gridSpan w:val="2"/>
            <w:shd w:val="clear" w:color="auto" w:fill="FFFFFF" w:themeFill="background1"/>
          </w:tcPr>
          <w:p w14:paraId="03CE3F52">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ҚОЛДАНЫЛҒАН ӘДЕБИЕТТЕР</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1A5FEDC1">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86</w:t>
            </w:r>
          </w:p>
        </w:tc>
      </w:tr>
      <w:tr w14:paraId="6F701080">
        <w:tblPrEx>
          <w:tblCellMar>
            <w:top w:w="15" w:type="dxa"/>
            <w:left w:w="15" w:type="dxa"/>
            <w:bottom w:w="15" w:type="dxa"/>
            <w:right w:w="15" w:type="dxa"/>
          </w:tblCellMar>
        </w:tblPrEx>
        <w:tc>
          <w:tcPr>
            <w:tcW w:w="9067" w:type="dxa"/>
            <w:gridSpan w:val="2"/>
            <w:shd w:val="clear" w:color="auto" w:fill="FFFFFF" w:themeFill="background1"/>
          </w:tcPr>
          <w:p w14:paraId="03EC4A96">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ҚОСЫМША A</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1AF62181">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10</w:t>
            </w:r>
            <w:r>
              <w:rPr>
                <w:rFonts w:ascii="Times New Roman" w:hAnsi="Times New Roman" w:eastAsia="Times New Roman" w:cs="Times New Roman"/>
                <w:color w:val="000000"/>
                <w:sz w:val="28"/>
                <w:szCs w:val="28"/>
                <w:lang w:val="kk-KZ" w:eastAsia="ru-RU"/>
              </w:rPr>
              <w:t>4</w:t>
            </w:r>
          </w:p>
        </w:tc>
      </w:tr>
      <w:tr w14:paraId="6DABDC61">
        <w:tblPrEx>
          <w:tblCellMar>
            <w:top w:w="15" w:type="dxa"/>
            <w:left w:w="15" w:type="dxa"/>
            <w:bottom w:w="15" w:type="dxa"/>
            <w:right w:w="15" w:type="dxa"/>
          </w:tblCellMar>
        </w:tblPrEx>
        <w:tc>
          <w:tcPr>
            <w:tcW w:w="9067" w:type="dxa"/>
            <w:gridSpan w:val="2"/>
            <w:shd w:val="clear" w:color="auto" w:fill="FFFFFF" w:themeFill="background1"/>
          </w:tcPr>
          <w:p w14:paraId="3935F902">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ҚОСЫМША Ә</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669E9AF7">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en-US" w:eastAsia="ru-RU"/>
              </w:rPr>
              <w:t>1</w:t>
            </w:r>
            <w:r>
              <w:rPr>
                <w:rFonts w:ascii="Times New Roman" w:hAnsi="Times New Roman" w:eastAsia="Times New Roman" w:cs="Times New Roman"/>
                <w:color w:val="000000"/>
                <w:sz w:val="28"/>
                <w:szCs w:val="28"/>
                <w:lang w:val="kk-KZ" w:eastAsia="ru-RU"/>
              </w:rPr>
              <w:t>07</w:t>
            </w:r>
          </w:p>
        </w:tc>
      </w:tr>
      <w:tr w14:paraId="5604CC12">
        <w:tblPrEx>
          <w:tblCellMar>
            <w:top w:w="15" w:type="dxa"/>
            <w:left w:w="15" w:type="dxa"/>
            <w:bottom w:w="15" w:type="dxa"/>
            <w:right w:w="15" w:type="dxa"/>
          </w:tblCellMar>
        </w:tblPrEx>
        <w:tc>
          <w:tcPr>
            <w:tcW w:w="9067" w:type="dxa"/>
            <w:gridSpan w:val="2"/>
            <w:shd w:val="clear" w:color="auto" w:fill="FFFFFF" w:themeFill="background1"/>
          </w:tcPr>
          <w:p w14:paraId="75326F98">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ҚОСЫМША Б</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2AF00BE3">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109</w:t>
            </w:r>
          </w:p>
        </w:tc>
      </w:tr>
      <w:tr w14:paraId="69E46F7C">
        <w:tblPrEx>
          <w:tblCellMar>
            <w:top w:w="15" w:type="dxa"/>
            <w:left w:w="15" w:type="dxa"/>
            <w:bottom w:w="15" w:type="dxa"/>
            <w:right w:w="15" w:type="dxa"/>
          </w:tblCellMar>
        </w:tblPrEx>
        <w:tc>
          <w:tcPr>
            <w:tcW w:w="9067" w:type="dxa"/>
            <w:gridSpan w:val="2"/>
            <w:shd w:val="clear" w:color="auto" w:fill="FFFFFF" w:themeFill="background1"/>
          </w:tcPr>
          <w:p w14:paraId="1115A8C2">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ҚОСЫМША В</w:t>
            </w:r>
            <w:r>
              <w:rPr>
                <w:rFonts w:ascii="Times New Roman" w:hAnsi="Times New Roman" w:eastAsia="Times New Roman" w:cs="Times New Roman"/>
                <w:sz w:val="28"/>
                <w:szCs w:val="28"/>
                <w:lang w:val="en-US" w:eastAsia="ru-RU"/>
              </w:rPr>
              <w:t>………………………………………………………………….</w:t>
            </w:r>
          </w:p>
        </w:tc>
        <w:tc>
          <w:tcPr>
            <w:tcW w:w="795" w:type="dxa"/>
            <w:shd w:val="clear" w:color="auto" w:fill="FFFFFF" w:themeFill="background1"/>
          </w:tcPr>
          <w:p w14:paraId="06F7C244">
            <w:pPr>
              <w:widowControl w:val="0"/>
              <w:shd w:val="clear" w:color="auto" w:fill="FFFFFF" w:themeFill="background1"/>
              <w:autoSpaceDE w:val="0"/>
              <w:autoSpaceDN w:val="0"/>
              <w:spacing w:before="100" w:beforeAutospacing="1" w:after="100" w:afterAutospacing="1"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110</w:t>
            </w:r>
          </w:p>
        </w:tc>
      </w:tr>
    </w:tbl>
    <w:p w14:paraId="7B95DE81">
      <w:pPr>
        <w:shd w:val="clear" w:color="auto" w:fill="FFFFFF" w:themeFill="background1"/>
        <w:spacing w:before="100" w:beforeAutospacing="1" w:after="100" w:afterAutospacing="1" w:line="276" w:lineRule="auto"/>
        <w:ind w:firstLine="709"/>
        <w:jc w:val="both"/>
        <w:outlineLvl w:val="0"/>
        <w:rPr>
          <w:rFonts w:ascii="Times New Roman" w:hAnsi="Times New Roman" w:eastAsia="Times New Roman" w:cs="Times New Roman"/>
          <w:sz w:val="28"/>
          <w:szCs w:val="28"/>
          <w:lang w:eastAsia="ru-RU"/>
        </w:rPr>
        <w:sectPr>
          <w:pgSz w:w="12240" w:h="15840"/>
          <w:pgMar w:top="1134" w:right="850" w:bottom="1134" w:left="1701" w:header="720" w:footer="720" w:gutter="0"/>
          <w:cols w:space="720" w:num="1"/>
        </w:sectPr>
      </w:pPr>
    </w:p>
    <w:p w14:paraId="3F8601BC">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НОРМАТИВТІ СІЛТЕМЕЛЕР</w:t>
      </w:r>
    </w:p>
    <w:p w14:paraId="12FD6157">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Диссертациялық жұмыста қолданылған негізгі стандарттар мен нормативтік құжаттар:</w:t>
      </w:r>
    </w:p>
    <w:p w14:paraId="1D8C0A7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МЕМСТ–7.32–2001–Ақпарат, кітапханалық және баспа ісі бойынша стандарттар жүйесі. Ғылыми – зерттеу жұмыстарына арналған есептер, құрылымы және рәсімдеу ережелері.</w:t>
      </w:r>
    </w:p>
    <w:p w14:paraId="207B4CF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МЕММТ–15.101–98–Жобалау және өндіріске енгізу жүйесі. Ғылыми – зертеу жұмыстарының орындалу тәртібі. </w:t>
      </w:r>
    </w:p>
    <w:p w14:paraId="3544FE6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МЕМСТ–7.1–84–Ақпаратттық жүйелерге қатысты стандарттар. Құжаттардың библиограиялық сипаттамасы, жасалуы және қолданылуы бойынша жалпы ережелер. </w:t>
      </w:r>
    </w:p>
    <w:p w14:paraId="32E1226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МЕМСТ–7.9–95–Реферат және аннотация. Ақпараттар, кітапханалық және баспаішілік талаптар.</w:t>
      </w:r>
    </w:p>
    <w:p w14:paraId="01F22AA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МЕМСТ–7.12–93–Библиографиялық жазбалар. Қысқартылған сөздер мен орыс тіліндегі терминологияның қолданылуы. Жалпы ережелері мн талаптары. </w:t>
      </w:r>
    </w:p>
    <w:p w14:paraId="425B22F5">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МЕМСТ–7.54–88–Ғылыми–техникалық құжаттарға сәйкес, материалдық қасиеттеріне қатысты сандақ деректерді ұсыну.</w:t>
      </w:r>
    </w:p>
    <w:p w14:paraId="3D58E62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Денсаулық сақтау сапасы жөніндегі бірлескен комиссиясы. Қазақстан Республикасы Денсаулық сақтау министрлігі, 2020 жылдың 30 қазаны, №119 хаттама «Жүкті әйелдердегі тапшылық анемиясы».</w:t>
      </w:r>
    </w:p>
    <w:p w14:paraId="1681314B">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754CD1A6">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1F13D17B">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56581F0B">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0DABCE27">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131069E4">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p>
    <w:p w14:paraId="77BAFA62">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p>
    <w:p w14:paraId="5B248865">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p>
    <w:p w14:paraId="23918234">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203CD3DE">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5898B05B">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ҚЫСҚАРТУЛАР ТІЗІМІ ЖӘНЕ ОЛАРДЫҢ ШАРТТЫ БЕЛГІЛЕРІ</w:t>
      </w:r>
    </w:p>
    <w:p w14:paraId="74B2828D">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p>
    <w:p w14:paraId="7F473FD9">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ДСИ – дене салмағының индексі </w:t>
      </w:r>
    </w:p>
    <w:p w14:paraId="6B6965EF">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ТТ – теміртапшылығы</w:t>
      </w:r>
    </w:p>
    <w:p w14:paraId="457876A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ТТА – темір тапшылықты анемия</w:t>
      </w:r>
    </w:p>
    <w:p w14:paraId="396C2BF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САҚ – систолалық артериялық қан қысымы</w:t>
      </w:r>
    </w:p>
    <w:p w14:paraId="05DECFDD">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ДАҚ – диастолалық артериялық қан қысымы</w:t>
      </w:r>
    </w:p>
    <w:p w14:paraId="4FD908C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ПТИ – протромбинді индексі</w:t>
      </w:r>
    </w:p>
    <w:p w14:paraId="5433B787">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ҚД – қан диабеті</w:t>
      </w:r>
    </w:p>
    <w:p w14:paraId="5F14971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ДДСҰ – Дүниежүзілік денсаулық сақтау ұйымы</w:t>
      </w:r>
    </w:p>
    <w:p w14:paraId="33F4965C">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СDC – ауруларды бақылау және алдын алу орталықтары</w:t>
      </w:r>
    </w:p>
    <w:p w14:paraId="493914D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АCOG – Америкалық акушер–гинекологтар қолледжі</w:t>
      </w:r>
    </w:p>
    <w:p w14:paraId="2DE0AE7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СРА – С–реактивті ақуыз</w:t>
      </w:r>
    </w:p>
    <w:p w14:paraId="1F9277A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ИЛ–6 – интерлекин–6</w:t>
      </w:r>
    </w:p>
    <w:p w14:paraId="5104384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ERFE – эритроферрон</w:t>
      </w:r>
    </w:p>
    <w:p w14:paraId="29EEC425">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sTfr – трансферриндік рецептор</w:t>
      </w:r>
    </w:p>
    <w:p w14:paraId="47E7919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Нb – гемоглобин</w:t>
      </w:r>
    </w:p>
    <w:p w14:paraId="19C81E27">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ЭПО – эритропоэтин</w:t>
      </w:r>
    </w:p>
    <w:p w14:paraId="2D3973A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ИФА - иммуноферменттік анализ (талдау)</w:t>
      </w:r>
    </w:p>
    <w:p w14:paraId="1017352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АГП – альфа–1 қышқылды гликопротеид</w:t>
      </w:r>
    </w:p>
    <w:p w14:paraId="655DC37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NLR – нейтрофильдер мен лимфоциттердің арақатынасы</w:t>
      </w:r>
    </w:p>
    <w:p w14:paraId="5920D14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БЖТУ </w:t>
      </w:r>
      <w:r>
        <w:rPr>
          <w:rFonts w:ascii="Times New Roman" w:hAnsi="Times New Roman" w:eastAsia="Times New Roman" w:cs="Times New Roman"/>
          <w:bCs/>
          <w:sz w:val="28"/>
          <w:szCs w:val="28"/>
          <w:lang w:eastAsia="ru-RU"/>
        </w:rPr>
        <w:t xml:space="preserve"> –</w:t>
      </w:r>
      <w:r>
        <w:rPr>
          <w:rFonts w:ascii="Times New Roman" w:hAnsi="Times New Roman" w:eastAsia="Times New Roman" w:cs="Times New Roman"/>
          <w:sz w:val="28"/>
          <w:szCs w:val="28"/>
          <w:lang w:eastAsia="ru-RU"/>
        </w:rPr>
        <w:t xml:space="preserve"> белсендірілген жартылай тромбопластиндік уақыт </w:t>
      </w:r>
    </w:p>
    <w:p w14:paraId="5B0A305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t xml:space="preserve">ХҚҚ </w:t>
      </w:r>
      <w:r>
        <w:rPr>
          <w:rFonts w:ascii="Times New Roman" w:hAnsi="Times New Roman" w:eastAsia="Times New Roman" w:cs="Times New Roman"/>
          <w:bCs/>
          <w:sz w:val="28"/>
          <w:szCs w:val="28"/>
          <w:lang w:eastAsia="ru-RU"/>
        </w:rPr>
        <w:t xml:space="preserve"> –</w:t>
      </w:r>
      <w:r>
        <w:rPr>
          <w:rFonts w:ascii="Times New Roman" w:hAnsi="Times New Roman" w:eastAsia="Times New Roman" w:cs="Times New Roman"/>
          <w:sz w:val="28"/>
          <w:szCs w:val="28"/>
          <w:lang w:eastAsia="ru-RU"/>
        </w:rPr>
        <w:t xml:space="preserve"> х</w:t>
      </w:r>
      <w:r>
        <w:rPr>
          <w:rFonts w:ascii="Times New Roman" w:hAnsi="Times New Roman" w:eastAsia="Calibri" w:cs="Times New Roman"/>
          <w:sz w:val="28"/>
          <w:szCs w:val="28"/>
          <w:lang w:eastAsia="ru-RU"/>
        </w:rPr>
        <w:t>алықаралық қалыптасқан қатынас</w:t>
      </w:r>
      <w:r>
        <w:rPr>
          <w:rFonts w:ascii="Times New Roman" w:hAnsi="Times New Roman" w:eastAsia="Times New Roman" w:cs="Times New Roman"/>
          <w:sz w:val="28"/>
          <w:szCs w:val="28"/>
          <w:lang w:eastAsia="ru-RU"/>
        </w:rPr>
        <w:t xml:space="preserve"> </w:t>
      </w:r>
    </w:p>
    <w:p w14:paraId="30EE653C">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AUC – қисық астындағы аумақ</w:t>
      </w:r>
    </w:p>
    <w:p w14:paraId="44AE7587">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73DFA7DD">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6637B1BC">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01AA5B3B">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7F7AA96A">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1FC2568D">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7D7F14CB">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0F4DAB15">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p>
    <w:p w14:paraId="31A8F782">
      <w:pPr>
        <w:widowControl w:val="0"/>
        <w:autoSpaceDE w:val="0"/>
        <w:autoSpaceDN w:val="0"/>
        <w:spacing w:before="100" w:beforeAutospacing="1" w:after="100" w:afterAutospacing="1"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КІРІСПЕ</w:t>
      </w:r>
    </w:p>
    <w:p w14:paraId="3A2BF68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lang w:eastAsia="ru-RU"/>
        </w:rPr>
        <w:t xml:space="preserve">Тақырыптың өзектілігі:  </w:t>
      </w:r>
      <w:r>
        <w:rPr>
          <w:rFonts w:ascii="Times New Roman" w:hAnsi="Times New Roman" w:eastAsia="Times New Roman" w:cs="Times New Roman"/>
          <w:sz w:val="28"/>
          <w:szCs w:val="28"/>
          <w:lang w:eastAsia="ru-RU"/>
        </w:rPr>
        <w:t>Анемия – бұл ағзаның физиологиялық қажеттіліктерін қамтамасыз эту үшін жеткілікті мөлшерде оттегіні тасымалдау мүмкіндігінің төмендеуіне әкелетін, эритроциттер санының азаюы немесе олардың қызметінің бұзылуы [1]. Анемияның ең жиі кездесетін себебі – гемоглобиннің негізгі компоненті болып табылатын темірдің жеткіліксіздігі [2]. Дүниежүзілік денсаулық сақтау ұйымының (ДДCҰ) 2011 жылғы мәліметі бойынша, әлемде 32 миллион жүкті әйел немесе 40%-ы анемиядан зардап шегеді. Анемия перинаталдық қауіптердің артуына және ана мен жаңа туған нәресте үшін асқынулардың көбеюіне ықпал етеді [3]. Жүктілік кезіндегі анемия физикалық қабілеттіліктің төмендеуі, инфекцияларға бейімділік, депрессияға бейімділік, қағанақ қабының мерзімінен бұрын жарылуы, жатырішілік ұрықтың өсуінің тежелуі, ұрық гипоксиясы, мерзімінен бұрын босану, нәрестенің төмен салмақпен дүниеге келуі, антенатальды өлім және босанғаннан кейінгі кезеңде балаға күтім жасаудағы қиындықтар сияқты асқынуларға әкелуі мүмкін [4, 5].</w:t>
      </w:r>
    </w:p>
    <w:p w14:paraId="439CF9F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Ауруларды бақылау және алдын алу орталықтары (CDC) және Америкадағы акушер–гинекологтар колледжі (ACOG) барлық жүкті әйелдерге гематологиялық көрсеткіштерін жақсарту үшін жүктіліктің басынан бастап анемияның алдын алу мақсатында төмен дозадағы (27 мг) темір дәрмегін қабылдауды ұсынады [6].</w:t>
      </w:r>
    </w:p>
    <w:p w14:paraId="782DAA8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eastAsia="ru-RU"/>
        </w:rPr>
        <w:t xml:space="preserve">Дамушы елдерде дене салмағы төмен босанулардың 12%, шала туылғандардың 19% және перинаталдық өлімнің 18% – жүктілік кезіндегі анемиямен байланысты. Жүкті әйелдерде темір тапшылығының (ТТ) және темір тапшылық анемиясының (ТТА) қауіп факторларының бірі – жүктілікке дейінгі тамақтану рационы болып табылады. Жүктілікке дейінгі </w:t>
      </w:r>
      <w:r>
        <w:rPr>
          <w:rFonts w:ascii="Times New Roman" w:hAnsi="Times New Roman" w:eastAsia="Times New Roman" w:cs="Times New Roman"/>
          <w:sz w:val="28"/>
          <w:szCs w:val="28"/>
          <w:lang w:val="kk-KZ" w:eastAsia="ru-RU"/>
        </w:rPr>
        <w:t xml:space="preserve">ден салмағының индексі </w:t>
      </w:r>
      <w:r>
        <w:rPr>
          <w:rFonts w:ascii="Times New Roman" w:hAnsi="Times New Roman" w:eastAsia="Times New Roman" w:cs="Times New Roman"/>
          <w:sz w:val="28"/>
          <w:szCs w:val="28"/>
          <w:lang w:eastAsia="ru-RU"/>
        </w:rPr>
        <w:t>(ДСИ) ананың метаболикалық және тамақтану жағдайын сипаттайды. Егер жүктілікке дейін ДСИ қалыптыдан жоғары болса, олар жүктілік кезінде ТТ қаупіне ұшырауы мүмкін. Екінші жағынан, артық салмақ, әсіресе семіздік, гепсидин мен ферритиннің жоғарылауына әсер ететін жүйелі қабынумен байланысты [7].</w:t>
      </w:r>
      <w:r>
        <w:rPr>
          <w:rFonts w:ascii="Times New Roman" w:hAnsi="Times New Roman" w:eastAsia="Times New Roman" w:cs="Times New Roman"/>
          <w:sz w:val="28"/>
          <w:szCs w:val="28"/>
          <w:lang w:val="kk-KZ" w:eastAsia="ru-RU"/>
        </w:rPr>
        <w:t xml:space="preserve"> 1960 жылдардың басында адамдар арасында семіздік пен ТТА арасындағы байланыс туралы алғашқы зерттеулер жүргізілген болатын [8]. Кейін 2003 жылы артық салмағы бар және семіздігі бар балалар мен жасөспірімдерде ТТ-ның жоғары таралуы сипатталды [9]. Осыған ұқсас нәтижелер ересектер арасында да тіркелді. Lecube және басқалар (2006) семіздікке шалдыққан постменопаузадағы әйелдерде еритін трансферрин рецепторларының жоғары екенін анықтады [10].</w:t>
      </w:r>
    </w:p>
    <w:p w14:paraId="0AF2FECB">
      <w:pPr>
        <w:widowControl w:val="0"/>
        <w:autoSpaceDE w:val="0"/>
        <w:autoSpaceDN w:val="0"/>
        <w:spacing w:after="0" w:line="276" w:lineRule="auto"/>
        <w:ind w:firstLine="709"/>
        <w:jc w:val="both"/>
        <w:outlineLvl w:val="0"/>
        <w:rPr>
          <w:rFonts w:ascii="Times New Roman" w:hAnsi="Times New Roman" w:eastAsia="SimSun" w:cs="Times New Roman"/>
          <w:sz w:val="28"/>
          <w:szCs w:val="28"/>
          <w:lang w:val="kk-KZ"/>
        </w:rPr>
      </w:pPr>
      <w:r>
        <w:rPr>
          <w:rFonts w:ascii="Times New Roman" w:hAnsi="Times New Roman" w:eastAsia="SimSun" w:cs="Times New Roman"/>
          <w:sz w:val="28"/>
          <w:szCs w:val="28"/>
          <w:lang w:val="kk-KZ"/>
        </w:rPr>
        <w:t xml:space="preserve">Yanoff және басқалар (2007) зерттеуінде семіз ересектерде темір деңгейі төмен, ал еритін трансферрин рецепторлары жоғары екені анықталды, бұл ДСИ жоғары адамдарда ТТ жиілігінің артқанын растады [11]. Темірге қатысты зерттеулер көбіне ферритин, гемоглобин, гематокрит сияқты маркерлерге негізделсе, қабыну маркерлері мен гепсидин сирек қарастырылады [12]. Қабыну мен гепсидинді бағалау арқылы семіздік пен ТТ байланысын тереңірек түсіндіруге болады [13]. Zimmermann және басқалар (2008) бұл байланысты қабыну арқылы деп түсіндіреді. Tussing–Humphreys және әріптестері семіз әйелдерде гепсидиннің жоғарылағанын көрсетті [15], ал артық салмақ кезінде темір параметрлері жүкті емес және жүкті әйелдерде де төмендейді [16, 17, 18, 19]. Семіздік темір сіңірілуін емес, гипоферремияны туындатады [19]. </w:t>
      </w:r>
    </w:p>
    <w:p w14:paraId="272562D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Табысы төмен және орташа елдерде артық салмақ пен семіздіктің артуы халық денсаулығына елеулі қауіп төндіреді. Бұл әсіресе жүктілік кезінде өзекті, себебі ол нәрестелердің темір қорларына әсер етуі мүмкін. Жүктіліктегі темір метаболизміне әсер ететін факторларды қосымша зерттеу қажет. Бұл диссертациялық зерттеу жұмысында анемияның дамуы қаупіне гепсидин, ферритин, С–реактивті ақуыз (СРА), эритропоэтин (ЭПО) және интерлейкин–6 (ИЛ–6) маркерлерінің ассоциациясы зерттелді. Бұдан бөлек, бұл маркерлердің жүктілікке дейін семіздігі бар әйелдерде анемия даму қаупіне әсері сау тұлғалармен салыстырылып зерттелді.</w:t>
      </w:r>
    </w:p>
    <w:p w14:paraId="604D1184">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b/>
          <w:bCs/>
          <w:sz w:val="28"/>
          <w:szCs w:val="28"/>
          <w:lang w:val="kk-KZ" w:eastAsia="ru-RU"/>
        </w:rPr>
        <w:t>Зерттеудің мақсаты</w:t>
      </w:r>
      <w:r>
        <w:rPr>
          <w:rFonts w:ascii="Times New Roman" w:hAnsi="Times New Roman" w:eastAsia="Times New Roman" w:cs="Times New Roman"/>
          <w:b/>
          <w:sz w:val="28"/>
          <w:szCs w:val="28"/>
          <w:lang w:val="kk-KZ" w:eastAsia="ru-RU"/>
        </w:rPr>
        <w:t xml:space="preserve"> – </w:t>
      </w:r>
      <w:r>
        <w:rPr>
          <w:rFonts w:ascii="Times New Roman" w:hAnsi="Times New Roman" w:eastAsia="Times New Roman" w:cs="Times New Roman"/>
          <w:sz w:val="28"/>
          <w:szCs w:val="28"/>
          <w:lang w:val="kk-KZ" w:eastAsia="ru-RU"/>
        </w:rPr>
        <w:t>жүктілікке дейінгі семіздігі бар жүкті әйелдерде анемияның дамуында қабыну және темір метаболизмі маркерлерінің байланысын бағалау.</w:t>
      </w:r>
    </w:p>
    <w:p w14:paraId="07A5DF21">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Зерттеудің міндеттері:</w:t>
      </w:r>
    </w:p>
    <w:p w14:paraId="016DB73B">
      <w:pPr>
        <w:pStyle w:val="23"/>
        <w:widowControl w:val="0"/>
        <w:numPr>
          <w:ilvl w:val="0"/>
          <w:numId w:val="1"/>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Жүкті әйелдерде темір метаболизмінің маркерлері (гепсидин, ферритин, </w:t>
      </w:r>
      <w:r>
        <w:rPr>
          <w:rFonts w:ascii="Times New Roman" w:hAnsi="Times New Roman" w:eastAsia="Times New Roman" w:cs="Times New Roman"/>
          <w:sz w:val="28"/>
          <w:szCs w:val="28"/>
          <w:lang w:val="kk-KZ" w:eastAsia="ru-RU"/>
        </w:rPr>
        <w:t>эритропоэтин</w:t>
      </w:r>
      <w:r>
        <w:rPr>
          <w:rFonts w:ascii="Times New Roman" w:hAnsi="Times New Roman" w:eastAsia="Times New Roman" w:cs="Times New Roman"/>
          <w:sz w:val="28"/>
          <w:szCs w:val="28"/>
          <w:lang w:eastAsia="ru-RU"/>
        </w:rPr>
        <w:t>) мен қабыну маркерлерінің (</w:t>
      </w:r>
      <w:r>
        <w:rPr>
          <w:rFonts w:ascii="Times New Roman" w:hAnsi="Times New Roman" w:eastAsia="Times New Roman" w:cs="Times New Roman"/>
          <w:sz w:val="28"/>
          <w:szCs w:val="28"/>
          <w:lang w:val="kk-KZ" w:eastAsia="ru-RU"/>
        </w:rPr>
        <w:t>интерлейкин</w:t>
      </w:r>
      <w:r>
        <w:rPr>
          <w:rFonts w:ascii="Times New Roman" w:hAnsi="Times New Roman" w:eastAsia="Times New Roman" w:cs="Times New Roman"/>
          <w:sz w:val="28"/>
          <w:szCs w:val="28"/>
          <w:lang w:eastAsia="ru-RU"/>
        </w:rPr>
        <w:t>-6, С</w:t>
      </w:r>
      <w:r>
        <w:rPr>
          <w:rFonts w:ascii="Times New Roman" w:hAnsi="Times New Roman" w:eastAsia="Times New Roman" w:cs="Times New Roman"/>
          <w:sz w:val="28"/>
          <w:szCs w:val="28"/>
          <w:lang w:val="kk-KZ" w:eastAsia="ru-RU"/>
        </w:rPr>
        <w:t>-реактивті ақуыз</w:t>
      </w:r>
      <w:r>
        <w:rPr>
          <w:rFonts w:ascii="Times New Roman" w:hAnsi="Times New Roman" w:eastAsia="Times New Roman" w:cs="Times New Roman"/>
          <w:sz w:val="28"/>
          <w:szCs w:val="28"/>
          <w:lang w:eastAsia="ru-RU"/>
        </w:rPr>
        <w:t>) деңгейлерін анықтап, сонымен қатар олардың анемия мен семіздік кезіндегі өзгеруін бағалау.</w:t>
      </w:r>
    </w:p>
    <w:p w14:paraId="691AF56C">
      <w:pPr>
        <w:pStyle w:val="23"/>
        <w:widowControl w:val="0"/>
        <w:numPr>
          <w:ilvl w:val="0"/>
          <w:numId w:val="1"/>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Жүкті әйелдердегі предгестациялық семіздік пен анемияның босану үдерісіне және нәрестенің денсаулығына әсерін зерттеу.</w:t>
      </w:r>
    </w:p>
    <w:p w14:paraId="4A4629C5">
      <w:pPr>
        <w:pStyle w:val="23"/>
        <w:widowControl w:val="0"/>
        <w:numPr>
          <w:ilvl w:val="0"/>
          <w:numId w:val="1"/>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Жүктілікке дейінгі семіздігі  мен анемиясы бар жүкті әйелдер арасындағы темір метаболизмінің маркерлері (гепсидин, ферритин, </w:t>
      </w:r>
      <w:r>
        <w:rPr>
          <w:rFonts w:ascii="Times New Roman" w:hAnsi="Times New Roman" w:eastAsia="Times New Roman" w:cs="Times New Roman"/>
          <w:sz w:val="28"/>
          <w:szCs w:val="28"/>
          <w:lang w:val="kk-KZ" w:eastAsia="ru-RU"/>
        </w:rPr>
        <w:t>эритропоэтин</w:t>
      </w:r>
      <w:r>
        <w:rPr>
          <w:rFonts w:ascii="Times New Roman" w:hAnsi="Times New Roman" w:eastAsia="Times New Roman" w:cs="Times New Roman"/>
          <w:sz w:val="28"/>
          <w:szCs w:val="28"/>
          <w:lang w:eastAsia="ru-RU"/>
        </w:rPr>
        <w:t>) және қабыну маркерлері (</w:t>
      </w:r>
      <w:r>
        <w:rPr>
          <w:rFonts w:ascii="Times New Roman" w:hAnsi="Times New Roman" w:eastAsia="Times New Roman" w:cs="Times New Roman"/>
          <w:sz w:val="28"/>
          <w:szCs w:val="28"/>
          <w:lang w:val="kk-KZ" w:eastAsia="ru-RU"/>
        </w:rPr>
        <w:t>интерлейкин</w:t>
      </w:r>
      <w:r>
        <w:rPr>
          <w:rFonts w:ascii="Times New Roman" w:hAnsi="Times New Roman" w:eastAsia="Times New Roman" w:cs="Times New Roman"/>
          <w:sz w:val="28"/>
          <w:szCs w:val="28"/>
          <w:lang w:eastAsia="ru-RU"/>
        </w:rPr>
        <w:t xml:space="preserve">-6, </w:t>
      </w:r>
      <w:r>
        <w:rPr>
          <w:rFonts w:ascii="Times New Roman" w:hAnsi="Times New Roman" w:eastAsia="Times New Roman" w:cs="Times New Roman"/>
          <w:sz w:val="28"/>
          <w:szCs w:val="28"/>
          <w:lang w:val="kk-KZ" w:eastAsia="ru-RU"/>
        </w:rPr>
        <w:t>С-реактивті ақуыз</w:t>
      </w:r>
      <w:r>
        <w:rPr>
          <w:rFonts w:ascii="Times New Roman" w:hAnsi="Times New Roman" w:eastAsia="Times New Roman" w:cs="Times New Roman"/>
          <w:sz w:val="28"/>
          <w:szCs w:val="28"/>
          <w:lang w:eastAsia="ru-RU"/>
        </w:rPr>
        <w:t>) арасындағы корреляциялық байланысқа талдау жүргізу.</w:t>
      </w:r>
    </w:p>
    <w:p w14:paraId="00BD4156">
      <w:pPr>
        <w:pStyle w:val="23"/>
        <w:widowControl w:val="0"/>
        <w:numPr>
          <w:ilvl w:val="0"/>
          <w:numId w:val="1"/>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Семіздігі бар жүкті әйелдерде анемияны ерте диагностикалау және оның алдын алу үшін темір метаболизмі мен қабыну маркерлеріне негізінделген прогностикалық модель әзірлеу. </w:t>
      </w:r>
    </w:p>
    <w:p w14:paraId="778040C1">
      <w:pPr>
        <w:pStyle w:val="23"/>
        <w:widowControl w:val="0"/>
        <w:numPr>
          <w:ilvl w:val="0"/>
          <w:numId w:val="1"/>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Жүктілікке дейінгі семіздік пен анемияның дамуындағы патогенетикалық механизмдерді зерттеп, қабыну және темір метаболизмінің бұзылыстары негізінде анемияның дамуын түсіндіретін патогенетикалық алгоритм құру.</w:t>
      </w:r>
    </w:p>
    <w:p w14:paraId="0E411504">
      <w:pPr>
        <w:widowControl w:val="0"/>
        <w:autoSpaceDE w:val="0"/>
        <w:autoSpaceDN w:val="0"/>
        <w:spacing w:after="0" w:line="276" w:lineRule="auto"/>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Ғылыми жаңалығы</w:t>
      </w:r>
    </w:p>
    <w:p w14:paraId="71D004DB">
      <w:pPr>
        <w:pStyle w:val="23"/>
        <w:widowControl w:val="0"/>
        <w:numPr>
          <w:ilvl w:val="0"/>
          <w:numId w:val="2"/>
        </w:numPr>
        <w:autoSpaceDE w:val="0"/>
        <w:autoSpaceDN w:val="0"/>
        <w:spacing w:after="0" w:line="276" w:lineRule="auto"/>
        <w:ind w:left="0" w:firstLine="0"/>
        <w:jc w:val="both"/>
        <w:outlineLvl w:val="0"/>
        <w:rPr>
          <w:rFonts w:ascii="Times New Roman" w:hAnsi="Times New Roman" w:eastAsia="Times New Roman" w:cs="Times New Roman"/>
          <w:color w:val="000000"/>
          <w:sz w:val="28"/>
          <w:szCs w:val="28"/>
          <w:lang w:eastAsia="ru-RU"/>
        </w:rPr>
      </w:pPr>
      <w:r>
        <w:rPr>
          <w:rFonts w:hint="default" w:ascii="Times New Roman" w:hAnsi="Times New Roman" w:eastAsia="SimSun" w:cs="Times New Roman"/>
          <w:sz w:val="28"/>
          <w:szCs w:val="28"/>
        </w:rPr>
        <w:t>Жүкті әйелдердегі гепсидин деңгейінің анемияның маңызды предикторы ретінде рөлі алғаш рет жан-жақты зерттелді. Гепсидин деңгейінің</w:t>
      </w:r>
      <w:r>
        <w:rPr>
          <w:rFonts w:hint="default" w:ascii="Times New Roman" w:hAnsi="Times New Roman" w:eastAsia="SimSun" w:cs="Times New Roman"/>
          <w:sz w:val="28"/>
          <w:szCs w:val="28"/>
          <w:lang w:val="kk-KZ"/>
        </w:rPr>
        <w:t xml:space="preserve"> </w:t>
      </w:r>
      <w:r>
        <w:rPr>
          <w:rFonts w:hint="default" w:ascii="Times New Roman" w:hAnsi="Times New Roman" w:eastAsia="SimSun" w:cs="Times New Roman"/>
          <w:sz w:val="28"/>
          <w:szCs w:val="28"/>
        </w:rPr>
        <w:t>семіздікпен үйлескен жағдайда</w:t>
      </w:r>
      <w:r>
        <w:rPr>
          <w:rFonts w:hint="default" w:ascii="Times New Roman" w:hAnsi="Times New Roman" w:eastAsia="SimSun" w:cs="Times New Roman"/>
          <w:sz w:val="28"/>
          <w:szCs w:val="28"/>
          <w:lang w:val="kk-KZ"/>
        </w:rPr>
        <w:t xml:space="preserve"> </w:t>
      </w:r>
      <w:r>
        <w:rPr>
          <w:rFonts w:hint="default" w:ascii="Times New Roman" w:hAnsi="Times New Roman" w:eastAsia="SimSun" w:cs="Times New Roman"/>
          <w:sz w:val="28"/>
          <w:szCs w:val="28"/>
        </w:rPr>
        <w:t xml:space="preserve"> жоғарылауы анемияның даму қаупін едәуір арттырып,  оның деңгейінің үш есеге артатыны анықталды. Бұл гепсидиннің қабыну процестері мен темір метаболизміндегі жетекші рөлін дәлелдейді.Зерттеу нәтижелері гепсидинді анемияны ерте диагностикалау мен </w:t>
      </w:r>
      <w:r>
        <w:rPr>
          <w:rFonts w:hint="default" w:ascii="Times New Roman" w:hAnsi="Times New Roman" w:eastAsia="SimSun" w:cs="Times New Roman"/>
          <w:sz w:val="28"/>
          <w:szCs w:val="28"/>
          <w:lang w:val="kk-KZ"/>
        </w:rPr>
        <w:t>ажыратпалы</w:t>
      </w:r>
      <w:r>
        <w:rPr>
          <w:rFonts w:hint="default" w:ascii="Times New Roman" w:hAnsi="Times New Roman" w:eastAsia="SimSun" w:cs="Times New Roman"/>
          <w:sz w:val="28"/>
          <w:szCs w:val="28"/>
        </w:rPr>
        <w:t xml:space="preserve"> диагностика үшін сенімді биомаркер ретінде қолдануға мүмкіндік береді. Гепсидин темір тапшылығы анемиясын басқа себептермен туындаған анемиялардан ажыратуға көмектесетін </w:t>
      </w:r>
      <w:r>
        <w:rPr>
          <w:rFonts w:hint="default" w:ascii="Times New Roman" w:hAnsi="Times New Roman" w:eastAsia="SimSun" w:cs="Times New Roman"/>
          <w:sz w:val="28"/>
          <w:szCs w:val="28"/>
          <w:lang w:val="kk-KZ"/>
        </w:rPr>
        <w:t>био</w:t>
      </w:r>
      <w:r>
        <w:rPr>
          <w:rFonts w:hint="default" w:ascii="Times New Roman" w:hAnsi="Times New Roman" w:eastAsia="SimSun" w:cs="Times New Roman"/>
          <w:sz w:val="28"/>
          <w:szCs w:val="28"/>
        </w:rPr>
        <w:t>маркер болып табылады</w:t>
      </w:r>
      <w:r>
        <w:rPr>
          <w:rFonts w:hint="default" w:ascii="Times New Roman" w:hAnsi="Times New Roman" w:eastAsia="SimSun" w:cs="Times New Roman"/>
          <w:sz w:val="28"/>
          <w:szCs w:val="28"/>
          <w:lang w:val="kk-KZ"/>
        </w:rPr>
        <w:t xml:space="preserve"> </w:t>
      </w:r>
      <w:r>
        <w:rPr>
          <w:rFonts w:ascii="Times New Roman" w:hAnsi="Times New Roman" w:eastAsia="Times New Roman" w:cs="Times New Roman"/>
          <w:sz w:val="28"/>
          <w:szCs w:val="28"/>
          <w:lang w:eastAsia="ru-RU"/>
        </w:rPr>
        <w:t>(2025 жылдың 8 қаңтардағы №53238</w:t>
      </w:r>
      <w:r>
        <w:rPr>
          <w:rFonts w:ascii="Times New Roman" w:hAnsi="Times New Roman" w:eastAsia="Times New Roman" w:cs="Times New Roman"/>
          <w:sz w:val="28"/>
          <w:szCs w:val="28"/>
          <w:lang w:val="kk-KZ" w:eastAsia="ru-RU"/>
        </w:rPr>
        <w:t xml:space="preserve"> </w:t>
      </w:r>
      <w:r>
        <w:rPr>
          <w:rFonts w:ascii="Times New Roman" w:hAnsi="Times New Roman" w:eastAsia="Times New Roman" w:cs="Times New Roman"/>
          <w:color w:val="000000"/>
          <w:sz w:val="28"/>
          <w:szCs w:val="28"/>
          <w:lang w:eastAsia="ru-RU"/>
        </w:rPr>
        <w:t>авторлық құқық куәлігі</w:t>
      </w:r>
      <w:r>
        <w:rPr>
          <w:rFonts w:ascii="Times New Roman" w:hAnsi="Times New Roman" w:eastAsia="Times New Roman" w:cs="Times New Roman"/>
          <w:sz w:val="28"/>
          <w:szCs w:val="28"/>
          <w:lang w:eastAsia="ru-RU"/>
        </w:rPr>
        <w:t>, Қосымша А. Жүктілікке дейінгі семіздігі бар жүктілерде анемия дамуында  темір алмасу маркерлерінің (гепсидин, ферритин</w:t>
      </w:r>
      <w:r>
        <w:rPr>
          <w:rFonts w:ascii="Times New Roman" w:hAnsi="Times New Roman" w:eastAsia="Times New Roman" w:cs="Times New Roman"/>
          <w:sz w:val="28"/>
          <w:szCs w:val="28"/>
          <w:lang w:val="kk-KZ" w:eastAsia="ru-RU"/>
        </w:rPr>
        <w:t>, ЭПО</w:t>
      </w:r>
      <w:r>
        <w:rPr>
          <w:rFonts w:ascii="Times New Roman" w:hAnsi="Times New Roman" w:eastAsia="Times New Roman" w:cs="Times New Roman"/>
          <w:sz w:val="28"/>
          <w:szCs w:val="28"/>
          <w:lang w:eastAsia="ru-RU"/>
        </w:rPr>
        <w:t>) болжамдылық маңыздылығы).</w:t>
      </w:r>
    </w:p>
    <w:p w14:paraId="54572D8F">
      <w:pPr>
        <w:pStyle w:val="23"/>
        <w:widowControl w:val="0"/>
        <w:numPr>
          <w:ilvl w:val="0"/>
          <w:numId w:val="2"/>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Жүкті әйелдердегі семіздік пен қабыну </w:t>
      </w:r>
      <w:r>
        <w:rPr>
          <w:rFonts w:ascii="Times New Roman" w:hAnsi="Times New Roman" w:eastAsia="Times New Roman" w:cs="Times New Roman"/>
          <w:sz w:val="28"/>
          <w:szCs w:val="28"/>
          <w:lang w:val="kk-KZ" w:eastAsia="ru-RU"/>
        </w:rPr>
        <w:t>үрдістерінің</w:t>
      </w:r>
      <w:r>
        <w:rPr>
          <w:rFonts w:ascii="Times New Roman" w:hAnsi="Times New Roman" w:eastAsia="Times New Roman" w:cs="Times New Roman"/>
          <w:sz w:val="28"/>
          <w:szCs w:val="28"/>
          <w:lang w:eastAsia="ru-RU"/>
        </w:rPr>
        <w:t xml:space="preserve"> өзара </w:t>
      </w:r>
      <w:r>
        <w:rPr>
          <w:rFonts w:ascii="Times New Roman" w:hAnsi="Times New Roman" w:eastAsia="Times New Roman" w:cs="Times New Roman"/>
          <w:strike w:val="0"/>
          <w:dstrike w:val="0"/>
          <w:sz w:val="28"/>
          <w:szCs w:val="28"/>
          <w:lang w:eastAsia="ru-RU"/>
        </w:rPr>
        <w:t xml:space="preserve">байланысы алғаш рет кешенді түрде дәлелденді. Интерлейкин–6 және С-реактивті ақуыз деңгейлері семіздігі бар әйелдерде айтарлықтай жоғары және олардың қабыну белсенділігімен тығыз байланысы анықталды. </w:t>
      </w:r>
      <w:r>
        <w:rPr>
          <w:rFonts w:ascii="Times New Roman" w:hAnsi="Times New Roman" w:eastAsia="Times New Roman" w:cs="Times New Roman"/>
          <w:color w:val="000000"/>
          <w:sz w:val="28"/>
          <w:szCs w:val="28"/>
          <w:lang w:eastAsia="ru-RU"/>
        </w:rPr>
        <w:t xml:space="preserve">(2025 жылдың 15 қаңтардағы №53486 авторлық құқық куәлігі, Қосымша А. </w:t>
      </w:r>
      <w:r>
        <w:rPr>
          <w:rFonts w:ascii="Times New Roman" w:hAnsi="Times New Roman" w:eastAsia="SimSun" w:cs="Times New Roman"/>
          <w:color w:val="000000"/>
          <w:sz w:val="28"/>
          <w:szCs w:val="28"/>
          <w:lang w:eastAsia="ru-RU"/>
        </w:rPr>
        <w:t>Жүктілікке дейінгі семіздігі бар жүктілерде анемия дамуында қабыну медиаторларының (ИЛ–6, CРА) маркерлерінің болжамдылық маңыздылығы</w:t>
      </w:r>
      <w:r>
        <w:rPr>
          <w:rFonts w:ascii="Times New Roman" w:hAnsi="Times New Roman" w:eastAsia="Times New Roman" w:cs="Times New Roman"/>
          <w:color w:val="000000"/>
          <w:sz w:val="28"/>
          <w:szCs w:val="28"/>
          <w:lang w:eastAsia="ru-RU"/>
        </w:rPr>
        <w:t>).</w:t>
      </w:r>
    </w:p>
    <w:p w14:paraId="35037E2E">
      <w:pPr>
        <w:pStyle w:val="23"/>
        <w:widowControl w:val="0"/>
        <w:numPr>
          <w:ilvl w:val="0"/>
          <w:numId w:val="2"/>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Жүкті әйелдердегі семіздік пен қабыну </w:t>
      </w:r>
      <w:r>
        <w:rPr>
          <w:rFonts w:ascii="Times New Roman" w:hAnsi="Times New Roman" w:eastAsia="Times New Roman" w:cs="Times New Roman"/>
          <w:sz w:val="28"/>
          <w:szCs w:val="28"/>
          <w:lang w:val="kk-KZ" w:eastAsia="ru-RU"/>
        </w:rPr>
        <w:t>үрдістерінің</w:t>
      </w:r>
      <w:r>
        <w:rPr>
          <w:rFonts w:ascii="Times New Roman" w:hAnsi="Times New Roman" w:eastAsia="Times New Roman" w:cs="Times New Roman"/>
          <w:sz w:val="28"/>
          <w:szCs w:val="28"/>
          <w:lang w:eastAsia="ru-RU"/>
        </w:rPr>
        <w:t xml:space="preserve"> өзара </w:t>
      </w:r>
      <w:r>
        <w:rPr>
          <w:rFonts w:ascii="Times New Roman" w:hAnsi="Times New Roman" w:eastAsia="Times New Roman" w:cs="Times New Roman"/>
          <w:strike w:val="0"/>
          <w:dstrike w:val="0"/>
          <w:sz w:val="28"/>
          <w:szCs w:val="28"/>
          <w:lang w:eastAsia="ru-RU"/>
        </w:rPr>
        <w:t xml:space="preserve">байланысы алғаш рет кешенді түрде дәлелденді. Интерлейкин–6 және С-реактивті ақуыз деңгейлері семіздігі бар әйелдерде айтарлықтай жоғары және олардың қабыну белсенділігімен тығыз байланысы анықталды. </w:t>
      </w:r>
      <w:r>
        <w:rPr>
          <w:rFonts w:ascii="Times New Roman" w:hAnsi="Times New Roman" w:eastAsia="Times New Roman" w:cs="Times New Roman"/>
          <w:sz w:val="28"/>
          <w:szCs w:val="28"/>
          <w:lang w:eastAsia="ru-RU"/>
        </w:rPr>
        <w:t xml:space="preserve"> (2025 жылдың 20 қаңтардағы №5362 авторлық құқық куәлігі, Қосымша А. </w:t>
      </w:r>
      <w:r>
        <w:rPr>
          <w:rFonts w:ascii="Times New Roman" w:hAnsi="Times New Roman" w:eastAsia="SimSun" w:cs="Times New Roman"/>
          <w:color w:val="000000"/>
          <w:sz w:val="28"/>
          <w:szCs w:val="28"/>
          <w:lang w:eastAsia="ru-RU"/>
        </w:rPr>
        <w:t xml:space="preserve">Жоғары </w:t>
      </w:r>
      <w:r>
        <w:rPr>
          <w:rFonts w:ascii="Times New Roman" w:hAnsi="Times New Roman" w:eastAsia="SimSun" w:cs="Times New Roman"/>
          <w:color w:val="000000"/>
          <w:sz w:val="28"/>
          <w:szCs w:val="28"/>
          <w:lang w:val="kk-KZ" w:eastAsia="ru-RU"/>
        </w:rPr>
        <w:t>дене салмағының индексінің</w:t>
      </w:r>
      <w:r>
        <w:rPr>
          <w:rFonts w:ascii="Times New Roman" w:hAnsi="Times New Roman" w:eastAsia="SimSun" w:cs="Times New Roman"/>
          <w:color w:val="000000"/>
          <w:sz w:val="28"/>
          <w:szCs w:val="28"/>
          <w:lang w:eastAsia="ru-RU"/>
        </w:rPr>
        <w:t xml:space="preserve"> төмен дәрежелі қабыну үрдісі арқылы анемия дамытуының патогенетикалық алгоритмі</w:t>
      </w:r>
      <w:r>
        <w:rPr>
          <w:rFonts w:ascii="Times New Roman" w:hAnsi="Times New Roman" w:eastAsia="Times New Roman" w:cs="Times New Roman"/>
          <w:sz w:val="28"/>
          <w:szCs w:val="28"/>
          <w:lang w:eastAsia="ru-RU"/>
        </w:rPr>
        <w:t>).</w:t>
      </w:r>
    </w:p>
    <w:p w14:paraId="70EA88A7">
      <w:pPr>
        <w:pStyle w:val="23"/>
        <w:widowControl w:val="0"/>
        <w:numPr>
          <w:ilvl w:val="0"/>
          <w:numId w:val="2"/>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Алғаш рет семіздік пен анемияның босану ағымына және перинаталдық асқынуларға бірлескен әсері кешенді түрде бағаланды. Семіздік пен анемия үйлескен жағдайда гестациялық диабет (33,3%-ға дейін), гипертензия (25%), иық дистоциясы (21,1%), макросомия (18,4%) және төмен Апгар көрсеткіші (15,8%) сияқты асқынулардың жиілігі статистикалық тұрғыдан мағыналы түрде артатыны анықталды. Бұл деректер семіз жүкті әйелдер арасындағы перинаталдық қауіптерді басқару үшін профилактикалық және клиникалық шараларды жетілдіруге негіз бола алады.</w:t>
      </w:r>
    </w:p>
    <w:p w14:paraId="24D1BEEB">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Қорғауға ұсынылатын негізгі ережелер:</w:t>
      </w:r>
    </w:p>
    <w:p w14:paraId="1D95FBB7">
      <w:pPr>
        <w:pStyle w:val="23"/>
        <w:widowControl w:val="0"/>
        <w:numPr>
          <w:ilvl w:val="0"/>
          <w:numId w:val="3"/>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Гепсидин жүкті әйелдердегі анемияның патогенезіндегі шешуші рөл атқарады. </w:t>
      </w:r>
      <w:r>
        <w:rPr>
          <w:rFonts w:ascii="Times New Roman" w:hAnsi="Times New Roman" w:eastAsia="Calibri" w:cs="Times New Roman"/>
          <w:sz w:val="28"/>
          <w:szCs w:val="28"/>
          <w:lang w:eastAsia="ru-RU"/>
        </w:rPr>
        <w:t xml:space="preserve">Зерттеу гепсидин деңгейінің анемия қаупімен және қабыну процестерімен тығыз байланысын көрсетті. Анемия мен семіздік бірге кездескен жағдайда гепсидин деңгейінің үш есеге жоғарылауы (Ме = 1786,59 [Q1: 1510,64 – Q3: 1940,43], p&lt;0,001) анықталды. Бұл оның темір метаболизміне тікелей әсер ететінін көрсетеді және гепсидинді жүкті әйелдердегі анемияны ерте диагностикалау мен темір терапиясының </w:t>
      </w:r>
      <w:r>
        <w:rPr>
          <w:rFonts w:ascii="Times New Roman" w:hAnsi="Times New Roman" w:eastAsia="Calibri" w:cs="Times New Roman"/>
          <w:color w:val="000000"/>
          <w:sz w:val="28"/>
          <w:szCs w:val="28"/>
          <w:lang w:eastAsia="ru-RU"/>
        </w:rPr>
        <w:t>тиімділігін бағалауда қолданудың маңызды биомаркері ретінде қарастыруға мүмкіндік береді.</w:t>
      </w:r>
    </w:p>
    <w:p w14:paraId="42EBE647">
      <w:pPr>
        <w:pStyle w:val="23"/>
        <w:widowControl w:val="0"/>
        <w:numPr>
          <w:ilvl w:val="0"/>
          <w:numId w:val="3"/>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w:t>
      </w:r>
      <w:r>
        <w:rPr>
          <w:rFonts w:hint="default" w:ascii="Times New Roman" w:hAnsi="Times New Roman" w:eastAsia="SimSun" w:cs="Times New Roman"/>
          <w:sz w:val="28"/>
          <w:szCs w:val="28"/>
        </w:rPr>
        <w:t xml:space="preserve">Жүкті әйелдердегі қабыну маркерлері (интерлейкин-6 және С-реактивті ақуыз) деңгейі мен </w:t>
      </w:r>
      <w:r>
        <w:rPr>
          <w:rFonts w:hint="default" w:ascii="Times New Roman" w:hAnsi="Times New Roman" w:eastAsia="SimSun" w:cs="Times New Roman"/>
          <w:sz w:val="28"/>
          <w:szCs w:val="28"/>
          <w:lang w:val="kk-KZ"/>
        </w:rPr>
        <w:t xml:space="preserve">дене салмағы индексі </w:t>
      </w:r>
      <w:r>
        <w:rPr>
          <w:rFonts w:hint="default" w:ascii="Times New Roman" w:hAnsi="Times New Roman" w:eastAsia="SimSun" w:cs="Times New Roman"/>
          <w:sz w:val="28"/>
          <w:szCs w:val="28"/>
        </w:rPr>
        <w:t xml:space="preserve"> арасында өзара байланыс анықталды: дене салмағы индексі артқан сайын </w:t>
      </w:r>
      <w:r>
        <w:rPr>
          <w:rFonts w:hint="default" w:ascii="Times New Roman" w:hAnsi="Times New Roman" w:eastAsia="SimSun" w:cs="Times New Roman"/>
          <w:sz w:val="28"/>
          <w:szCs w:val="28"/>
          <w:lang w:val="kk-KZ"/>
        </w:rPr>
        <w:t>қабыну маркерлерінің де</w:t>
      </w:r>
      <w:r>
        <w:rPr>
          <w:rFonts w:hint="default" w:ascii="Times New Roman" w:hAnsi="Times New Roman" w:eastAsia="SimSun" w:cs="Times New Roman"/>
          <w:sz w:val="28"/>
          <w:szCs w:val="28"/>
        </w:rPr>
        <w:t xml:space="preserve"> концентрациясы жоғарылайды (С-реактивті ақуыз: r = 0,394, p &lt; 0,01; интерлейкин-6: r = 0,561, p &lt; 0,01). Бұл көрсеткіштер анемия мен қабынуға байланысты асқынулардың даму қаупін болжауда маңызды маркерлер ретінде бағаланады.</w:t>
      </w:r>
    </w:p>
    <w:p w14:paraId="2827D667">
      <w:pPr>
        <w:pStyle w:val="23"/>
        <w:widowControl w:val="0"/>
        <w:numPr>
          <w:ilvl w:val="0"/>
          <w:numId w:val="3"/>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Гепсидин, ферритин, </w:t>
      </w:r>
      <w:r>
        <w:rPr>
          <w:rFonts w:ascii="Times New Roman" w:hAnsi="Times New Roman" w:eastAsia="Times New Roman" w:cs="Times New Roman"/>
          <w:sz w:val="28"/>
          <w:szCs w:val="28"/>
          <w:lang w:val="kk-KZ" w:eastAsia="ru-RU"/>
        </w:rPr>
        <w:t>ЭПО</w:t>
      </w:r>
      <w:r>
        <w:rPr>
          <w:rFonts w:ascii="Times New Roman" w:hAnsi="Times New Roman" w:eastAsia="Times New Roman" w:cs="Times New Roman"/>
          <w:sz w:val="28"/>
          <w:szCs w:val="28"/>
          <w:lang w:eastAsia="ru-RU"/>
        </w:rPr>
        <w:t xml:space="preserve">, ИЛ–6 және СРА деңгейлерін бірлесіп бағалау жүкті әйелдердегі анемияны ерте анықтаудағы тиімді әдіс ретінде ұсынылады. Бұл тәсіл анемияның даму қаупін жоғары дәлдікпен болжауға мүмкіндік береді және патологияның алдын алу шараларын оңтайландыруға негіз болады. </w:t>
      </w:r>
      <w:r>
        <w:rPr>
          <w:rFonts w:ascii="Times New Roman" w:hAnsi="Times New Roman" w:eastAsia="Calibri" w:cs="Times New Roman"/>
          <w:sz w:val="28"/>
          <w:szCs w:val="28"/>
          <w:lang w:eastAsia="ru-RU"/>
        </w:rPr>
        <w:t>Прогностикалық модельдің классификация дәлдігі жоғары (77,8%), ал ROC-қисы</w:t>
      </w:r>
      <w:r>
        <w:rPr>
          <w:rFonts w:ascii="Times New Roman" w:hAnsi="Times New Roman" w:eastAsia="Calibri" w:cs="Times New Roman"/>
          <w:sz w:val="28"/>
          <w:szCs w:val="28"/>
          <w:lang w:val="kk-KZ" w:eastAsia="ru-RU"/>
        </w:rPr>
        <w:t>ғы</w:t>
      </w:r>
      <w:r>
        <w:rPr>
          <w:rFonts w:ascii="Times New Roman" w:hAnsi="Times New Roman" w:eastAsia="Calibri" w:cs="Times New Roman"/>
          <w:sz w:val="28"/>
          <w:szCs w:val="28"/>
          <w:lang w:eastAsia="ru-RU"/>
        </w:rPr>
        <w:t xml:space="preserve"> бойынша диагностикалық дәлдігі (AUC = 0,864; 95% CI = 0,810–0,918; p &lt; 0,001) болып, анемияны болжауда сенімді құрал екенін көрсетті. </w:t>
      </w:r>
      <w:r>
        <w:rPr>
          <w:rFonts w:ascii="Times New Roman" w:hAnsi="Times New Roman" w:eastAsia="Times New Roman" w:cs="Times New Roman"/>
          <w:sz w:val="28"/>
          <w:szCs w:val="28"/>
          <w:lang w:eastAsia="ru-RU"/>
        </w:rPr>
        <w:t>Бұл тәсіл әрбір жүкті әйел үшін жеке диагностикалық және емдеу жоспарын құруға мүмкіндік береді.</w:t>
      </w:r>
    </w:p>
    <w:p w14:paraId="1B58E53E">
      <w:pPr>
        <w:pStyle w:val="23"/>
        <w:widowControl w:val="0"/>
        <w:numPr>
          <w:ilvl w:val="0"/>
          <w:numId w:val="3"/>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Семіздік пен анемияның өзара әсері жүкті әйелдерде г</w:t>
      </w:r>
      <w:r>
        <w:rPr>
          <w:rFonts w:ascii="Times New Roman" w:hAnsi="Times New Roman" w:eastAsia="Calibri" w:cs="Times New Roman"/>
          <w:sz w:val="28"/>
          <w:szCs w:val="28"/>
          <w:lang w:eastAsia="ru-RU"/>
        </w:rPr>
        <w:t xml:space="preserve">естациялық диабет (χ²=14,141, р=0,0027), гипертензия (χ²=9,958, р=0,0189), иық дистоциясы (χ²=12,069, р=0,0072), ірі ұрықпен босану (χ²=7,958, р=0,0469) және нәрестелердің Апгар шкаласы бойынша 7 баллдан төмен бағалануы (χ²=10,594, р=0,0141) </w:t>
      </w:r>
      <w:r>
        <w:rPr>
          <w:rFonts w:ascii="Times New Roman" w:hAnsi="Times New Roman" w:eastAsia="Times New Roman" w:cs="Times New Roman"/>
          <w:sz w:val="28"/>
          <w:szCs w:val="28"/>
          <w:lang w:eastAsia="ru-RU"/>
        </w:rPr>
        <w:t xml:space="preserve"> сияқты перинаталдық асқынулардың жиілігін айтарлықтай арттырады. Бұл деректер перинаталдық асқынуларды бағалауда жаңа тәсілдерді енгізуге және алдын алу шараларын жетілдіруге мүмкіндік береді. Алдын алу шаралары анемияны ерте диагностикалау мен емдеуді, сондай-ақ саламатты өмір салтын ұстануды қамтуы тиіс. </w:t>
      </w:r>
    </w:p>
    <w:p w14:paraId="56F3AB2F">
      <w:pPr>
        <w:widowControl w:val="0"/>
        <w:autoSpaceDE w:val="0"/>
        <w:autoSpaceDN w:val="0"/>
        <w:spacing w:after="0" w:line="240" w:lineRule="auto"/>
        <w:jc w:val="both"/>
        <w:rPr>
          <w:rFonts w:hint="default" w:ascii="Times New Roman" w:hAnsi="Times New Roman" w:eastAsia="Times New Roman" w:cs="Times New Roman"/>
          <w:b/>
          <w:bCs/>
          <w:sz w:val="28"/>
          <w:szCs w:val="28"/>
          <w:lang w:eastAsia="ru-RU"/>
        </w:rPr>
      </w:pPr>
      <w:r>
        <w:rPr>
          <w:rFonts w:hint="default" w:ascii="Times New Roman" w:hAnsi="Times New Roman" w:eastAsia="Times New Roman" w:cs="Times New Roman"/>
          <w:b/>
          <w:bCs/>
          <w:sz w:val="28"/>
          <w:szCs w:val="28"/>
          <w:lang w:eastAsia="ru-RU"/>
        </w:rPr>
        <w:t>Практикалық маңыздылығы</w:t>
      </w:r>
    </w:p>
    <w:p w14:paraId="37C120A1">
      <w:pPr>
        <w:pStyle w:val="23"/>
        <w:widowControl w:val="0"/>
        <w:numPr>
          <w:ilvl w:val="0"/>
          <w:numId w:val="4"/>
        </w:numPr>
        <w:tabs>
          <w:tab w:val="left" w:pos="0"/>
          <w:tab w:val="left" w:pos="660"/>
          <w:tab w:val="left" w:pos="31680"/>
          <w:tab w:val="clear" w:pos="425"/>
        </w:tabs>
        <w:autoSpaceDE w:val="0"/>
        <w:autoSpaceDN w:val="0"/>
        <w:spacing w:after="0" w:line="240" w:lineRule="auto"/>
        <w:ind w:left="425" w:leftChars="0" w:hanging="65" w:firstLineChars="0"/>
        <w:jc w:val="both"/>
        <w:rPr>
          <w:rFonts w:hint="default" w:ascii="Times New Roman" w:hAnsi="Times New Roman" w:eastAsia="Times New Roman" w:cs="Times New Roman"/>
          <w:sz w:val="28"/>
          <w:szCs w:val="28"/>
          <w:lang w:eastAsia="ru-RU"/>
        </w:rPr>
      </w:pPr>
      <w:r>
        <w:rPr>
          <w:rFonts w:hint="default" w:ascii="Times New Roman" w:hAnsi="Times New Roman" w:cs="Times New Roman"/>
          <w:sz w:val="28"/>
          <w:szCs w:val="28"/>
        </w:rPr>
        <w:t>Гепсидин деңгейін бақылау жүкті әйелдерде анемияны ерте диагностикалауға мүмкіндік береді. Оның жоғарылауы анемия қаупінің сенімді предикторы болып табылады және темір тапшылығынан туындаған анемияны басқа анемиялық синдром түрлерінен ажырату, сондай-ақ терапия тиімділігін бағалау үшін қолданылуы мүмкін.</w:t>
      </w:r>
    </w:p>
    <w:p w14:paraId="774F2969">
      <w:pPr>
        <w:pStyle w:val="23"/>
        <w:widowControl w:val="0"/>
        <w:numPr>
          <w:ilvl w:val="0"/>
          <w:numId w:val="4"/>
        </w:numPr>
        <w:tabs>
          <w:tab w:val="left" w:pos="0"/>
          <w:tab w:val="left" w:pos="660"/>
          <w:tab w:val="left" w:pos="31680"/>
          <w:tab w:val="clear" w:pos="425"/>
        </w:tabs>
        <w:autoSpaceDE w:val="0"/>
        <w:autoSpaceDN w:val="0"/>
        <w:spacing w:after="0" w:line="240" w:lineRule="auto"/>
        <w:ind w:left="425" w:leftChars="0" w:hanging="65" w:firstLineChars="0"/>
        <w:jc w:val="both"/>
        <w:rPr>
          <w:rFonts w:hint="default" w:ascii="Times New Roman" w:hAnsi="Times New Roman" w:cs="Times New Roman"/>
          <w:sz w:val="28"/>
          <w:szCs w:val="28"/>
        </w:rPr>
      </w:pPr>
      <w:r>
        <w:rPr>
          <w:rFonts w:hint="default" w:ascii="Times New Roman" w:hAnsi="Times New Roman" w:eastAsia="SimSun" w:cs="Times New Roman"/>
          <w:sz w:val="28"/>
          <w:szCs w:val="28"/>
        </w:rPr>
        <w:t>Темір алмасу (гепсидин, ферритин, эритропоэтин) және қабыну маркерлерін (интерлейкин-6 және С-реактивті ақуыз) кешенді зерттеу анемия даму қаупін жоғары дәлдікпен болжауға және алдын алу мен емдеуді дараландыруға мүмкіндік береді. Аталған көрсеткіштердің жоғары мәндері қауіп тобына кіретін әйелдерді уақтылы анықтап, асқынулардың алдын алуға жол ашады.</w:t>
      </w:r>
    </w:p>
    <w:p w14:paraId="172489B1">
      <w:pPr>
        <w:pStyle w:val="23"/>
        <w:widowControl w:val="0"/>
        <w:numPr>
          <w:ilvl w:val="0"/>
          <w:numId w:val="4"/>
        </w:numPr>
        <w:tabs>
          <w:tab w:val="left" w:pos="0"/>
          <w:tab w:val="left" w:pos="660"/>
          <w:tab w:val="left" w:pos="31680"/>
          <w:tab w:val="clear" w:pos="425"/>
        </w:tabs>
        <w:autoSpaceDE w:val="0"/>
        <w:autoSpaceDN w:val="0"/>
        <w:spacing w:after="0" w:line="240" w:lineRule="auto"/>
        <w:ind w:left="425" w:leftChars="0" w:hanging="65" w:firstLineChars="0"/>
        <w:jc w:val="both"/>
        <w:rPr>
          <w:rFonts w:hint="default" w:ascii="Times New Roman" w:hAnsi="Times New Roman" w:cs="Times New Roman"/>
          <w:sz w:val="28"/>
          <w:szCs w:val="28"/>
        </w:rPr>
      </w:pPr>
      <w:r>
        <w:rPr>
          <w:rFonts w:hint="default" w:ascii="Times New Roman" w:hAnsi="Times New Roman" w:cs="Times New Roman"/>
          <w:sz w:val="28"/>
          <w:szCs w:val="28"/>
        </w:rPr>
        <w:t>Семіз</w:t>
      </w:r>
      <w:r>
        <w:rPr>
          <w:rFonts w:hint="default" w:ascii="Times New Roman" w:hAnsi="Times New Roman" w:cs="Times New Roman"/>
          <w:sz w:val="28"/>
          <w:szCs w:val="28"/>
          <w:lang w:val="kk-KZ"/>
        </w:rPr>
        <w:t xml:space="preserve">дігі бар </w:t>
      </w:r>
      <w:r>
        <w:rPr>
          <w:rFonts w:hint="default" w:ascii="Times New Roman" w:hAnsi="Times New Roman" w:cs="Times New Roman"/>
          <w:sz w:val="28"/>
          <w:szCs w:val="28"/>
        </w:rPr>
        <w:t>жүкті әйелдерде анемияны ерте диагностикалау терапияны ерте бастауға, өмір салтын түзетуге және перинаталдық асқынулардың (гестациялық қант диабеті, гипертензия және ірі салмақты нәрестенің туылуы) алдын алуға бағытталған кешенді шараларды әзірлеуге мүмкіндік береді.</w:t>
      </w:r>
    </w:p>
    <w:p w14:paraId="43E79791">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Практикалық енгізу</w:t>
      </w:r>
      <w:r>
        <w:rPr>
          <w:rFonts w:ascii="Times New Roman" w:hAnsi="Times New Roman" w:eastAsia="Times New Roman" w:cs="Times New Roman"/>
          <w:sz w:val="28"/>
          <w:szCs w:val="28"/>
          <w:lang w:eastAsia="ru-RU"/>
        </w:rPr>
        <w:t xml:space="preserve"> </w:t>
      </w:r>
    </w:p>
    <w:p w14:paraId="26AE78BC">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нәтижелері Карағанды ​​облысының №1 Перинаталдық орталығының акушерлік–гинекологиялық тәжірибесіне және №1 Студенттік емхана</w:t>
      </w:r>
      <w:r>
        <w:rPr>
          <w:rFonts w:ascii="Times New Roman" w:hAnsi="Times New Roman" w:eastAsia="Times New Roman" w:cs="Times New Roman"/>
          <w:sz w:val="28"/>
          <w:szCs w:val="28"/>
          <w:lang w:val="kk-KZ" w:eastAsia="ru-RU"/>
        </w:rPr>
        <w:t>сының гинекологиялық тәжірибесіне</w:t>
      </w:r>
      <w:r>
        <w:rPr>
          <w:rFonts w:ascii="Times New Roman" w:hAnsi="Times New Roman" w:eastAsia="Times New Roman" w:cs="Times New Roman"/>
          <w:sz w:val="28"/>
          <w:szCs w:val="28"/>
          <w:lang w:eastAsia="ru-RU"/>
        </w:rPr>
        <w:t xml:space="preserve"> енгізілді, онда жүктілікке дейінгі семіздікпен ауыратын жүкті әйелдерде анемияның алдын алу үшін темір және қабыну маркерлерін бағалау жүргізіледі (Енгізу </w:t>
      </w:r>
      <w:r>
        <w:rPr>
          <w:rFonts w:ascii="Times New Roman" w:hAnsi="Times New Roman" w:eastAsia="Times New Roman" w:cs="Times New Roman"/>
          <w:color w:val="000000" w:themeColor="text1"/>
          <w:sz w:val="28"/>
          <w:szCs w:val="28"/>
          <w:lang w:eastAsia="ru-RU"/>
          <w14:textFill>
            <w14:solidFill>
              <w14:schemeClr w14:val="tx1"/>
            </w14:solidFill>
          </w14:textFill>
        </w:rPr>
        <w:t>акті</w:t>
      </w:r>
      <w:r>
        <w:rPr>
          <w:rFonts w:ascii="Times New Roman" w:hAnsi="Times New Roman" w:eastAsia="Times New Roman" w:cs="Times New Roman"/>
          <w:color w:val="000000" w:themeColor="text1"/>
          <w:sz w:val="28"/>
          <w:szCs w:val="28"/>
          <w:lang w:val="kk-KZ" w:eastAsia="ru-RU"/>
          <w14:textFill>
            <w14:solidFill>
              <w14:schemeClr w14:val="tx1"/>
            </w14:solidFill>
          </w14:textFill>
        </w:rPr>
        <w:t xml:space="preserve"> </w:t>
      </w:r>
      <w:r>
        <w:rPr>
          <w:rFonts w:ascii="Times New Roman" w:hAnsi="Times New Roman" w:eastAsia="Times New Roman" w:cs="Times New Roman"/>
          <w:color w:val="000000" w:themeColor="text1"/>
          <w:sz w:val="28"/>
          <w:szCs w:val="28"/>
          <w:lang w:eastAsia="ru-RU"/>
          <w14:textFill>
            <w14:solidFill>
              <w14:schemeClr w14:val="tx1"/>
            </w14:solidFill>
          </w14:textFill>
        </w:rPr>
        <w:t>22.04.2024</w:t>
      </w:r>
      <w:r>
        <w:rPr>
          <w:rFonts w:ascii="Times New Roman" w:hAnsi="Times New Roman" w:eastAsia="Times New Roman" w:cs="Times New Roman"/>
          <w:color w:val="000000" w:themeColor="text1"/>
          <w:sz w:val="28"/>
          <w:szCs w:val="28"/>
          <w:lang w:val="kk-KZ" w:eastAsia="ru-RU"/>
          <w14:textFill>
            <w14:solidFill>
              <w14:schemeClr w14:val="tx1"/>
            </w14:solidFill>
          </w14:textFill>
        </w:rPr>
        <w:t>ж</w:t>
      </w:r>
      <w:r>
        <w:rPr>
          <w:rFonts w:ascii="Times New Roman" w:hAnsi="Times New Roman" w:eastAsia="Times New Roman" w:cs="Times New Roman"/>
          <w:color w:val="000000" w:themeColor="text1"/>
          <w:sz w:val="28"/>
          <w:szCs w:val="28"/>
          <w:lang w:eastAsia="ru-RU"/>
          <w14:textFill>
            <w14:solidFill>
              <w14:schemeClr w14:val="tx1"/>
            </w14:solidFill>
          </w14:textFill>
        </w:rPr>
        <w:t xml:space="preserve"> </w:t>
      </w:r>
      <w:r>
        <w:rPr>
          <w:rFonts w:ascii="Times New Roman" w:hAnsi="Times New Roman" w:eastAsia="Times New Roman" w:cs="Times New Roman"/>
          <w:color w:val="000000" w:themeColor="text1"/>
          <w:sz w:val="28"/>
          <w:szCs w:val="28"/>
          <w:lang w:val="kk-KZ" w:eastAsia="ru-RU"/>
          <w14:textFill>
            <w14:solidFill>
              <w14:schemeClr w14:val="tx1"/>
            </w14:solidFill>
          </w14:textFill>
        </w:rPr>
        <w:t xml:space="preserve">және </w:t>
      </w:r>
      <w:r>
        <w:rPr>
          <w:rFonts w:ascii="Times New Roman" w:hAnsi="Times New Roman" w:eastAsia="Times New Roman" w:cs="Times New Roman"/>
          <w:color w:val="000000" w:themeColor="text1"/>
          <w:sz w:val="28"/>
          <w:szCs w:val="28"/>
          <w:lang w:eastAsia="ru-RU"/>
          <w14:textFill>
            <w14:solidFill>
              <w14:schemeClr w14:val="tx1"/>
            </w14:solidFill>
          </w14:textFill>
        </w:rPr>
        <w:t>04.11.2024</w:t>
      </w:r>
      <w:r>
        <w:rPr>
          <w:rFonts w:ascii="Times New Roman" w:hAnsi="Times New Roman" w:eastAsia="Times New Roman" w:cs="Times New Roman"/>
          <w:color w:val="000000" w:themeColor="text1"/>
          <w:sz w:val="28"/>
          <w:szCs w:val="28"/>
          <w:lang w:val="kk-KZ" w:eastAsia="ru-RU"/>
          <w14:textFill>
            <w14:solidFill>
              <w14:schemeClr w14:val="tx1"/>
            </w14:solidFill>
          </w14:textFill>
        </w:rPr>
        <w:t>ж</w:t>
      </w:r>
      <w:r>
        <w:rPr>
          <w:rFonts w:ascii="Times New Roman" w:hAnsi="Times New Roman" w:eastAsia="Times New Roman" w:cs="Times New Roman"/>
          <w:sz w:val="28"/>
          <w:szCs w:val="28"/>
          <w:lang w:eastAsia="ru-RU"/>
        </w:rPr>
        <w:t>. Қосыша Ә).</w:t>
      </w:r>
    </w:p>
    <w:p w14:paraId="0E5A7CB9">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b/>
          <w:bCs/>
          <w:sz w:val="28"/>
          <w:szCs w:val="28"/>
          <w:lang w:eastAsia="ru-RU"/>
        </w:rPr>
        <w:t>Автордың жеке үлесі</w:t>
      </w:r>
    </w:p>
    <w:p w14:paraId="406F7011">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Автор диссертацияның гипотезасын, мақсаттары мен міндеттерін, сондай–ақ клиникалық зерттеу дизайнын өз бетінше әзірледі. Автор зерттеудің барлық кезеңдеріне, оның ішінде пациенттерді іріктеуге, клиникалық және зертханалық деректерді жинауға және зертханалық зерттеулерге белсенді көмек көрсетуге қатысты. Деректерді талдау, қорытындылар мен практикалық ұсыныстарды тұжырымдау автордың жеке еңбегі.</w:t>
      </w:r>
    </w:p>
    <w:p w14:paraId="0E2B121F">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Дәлелдеу деңгейі және апробация:</w:t>
      </w:r>
      <w:r>
        <w:rPr>
          <w:rFonts w:ascii="Times New Roman" w:hAnsi="Times New Roman" w:eastAsia="Times New Roman" w:cs="Times New Roman"/>
          <w:sz w:val="28"/>
          <w:szCs w:val="28"/>
          <w:lang w:eastAsia="ru-RU"/>
        </w:rPr>
        <w:t xml:space="preserve"> </w:t>
      </w:r>
    </w:p>
    <w:p w14:paraId="2562EFDA">
      <w:pPr>
        <w:pStyle w:val="12"/>
        <w:numPr>
          <w:ilvl w:val="0"/>
          <w:numId w:val="5"/>
        </w:numPr>
        <w:tabs>
          <w:tab w:val="left" w:pos="0"/>
          <w:tab w:val="clear" w:pos="425"/>
        </w:tabs>
        <w:spacing w:before="0" w:beforeAutospacing="0" w:after="0" w:afterAutospacing="0" w:line="276" w:lineRule="auto"/>
        <w:ind w:left="5" w:hanging="5"/>
        <w:jc w:val="both"/>
        <w:rPr>
          <w:sz w:val="28"/>
          <w:szCs w:val="28"/>
        </w:rPr>
      </w:pPr>
      <w:r>
        <w:rPr>
          <w:sz w:val="28"/>
          <w:szCs w:val="28"/>
        </w:rPr>
        <w:t xml:space="preserve">КеАҚ «Семей медицина университетінің» жыл сайынғы 66-шы «Ғылым және денсаулық» атты халықаралық ғылыми-тәжірибелік конференциясында тезис жарияланды. — Тезистер жинағы, 2024 жылғы 11–12 сәуір, </w:t>
      </w:r>
      <w:r>
        <w:rPr>
          <w:sz w:val="28"/>
          <w:szCs w:val="28"/>
          <w:lang w:val="kk-KZ"/>
        </w:rPr>
        <w:t>3</w:t>
      </w:r>
      <w:r>
        <w:rPr>
          <w:sz w:val="28"/>
          <w:szCs w:val="28"/>
        </w:rPr>
        <w:t>4-бет.</w:t>
      </w:r>
    </w:p>
    <w:p w14:paraId="5F9847B3">
      <w:pPr>
        <w:pStyle w:val="12"/>
        <w:numPr>
          <w:ilvl w:val="0"/>
          <w:numId w:val="5"/>
        </w:numPr>
        <w:tabs>
          <w:tab w:val="left" w:pos="0"/>
          <w:tab w:val="clear" w:pos="425"/>
        </w:tabs>
        <w:spacing w:before="0" w:beforeAutospacing="0" w:after="0" w:afterAutospacing="0" w:line="276" w:lineRule="auto"/>
        <w:ind w:left="5" w:hanging="5"/>
        <w:jc w:val="both"/>
        <w:rPr>
          <w:sz w:val="28"/>
          <w:szCs w:val="28"/>
        </w:rPr>
      </w:pPr>
      <w:r>
        <w:rPr>
          <w:sz w:val="28"/>
          <w:szCs w:val="28"/>
        </w:rPr>
        <w:t>Ғылым күніне арналған «Ғылым әлемі және жастар: дәстүр мен инновация» атты жас ғалымдардың, магистранттар мен докторанттардың ғылыми-тәжірибелік конференциясының тезистер жинағында жарияланды. — КеАҚ «Қарағанды медицина университеті», 2023 жыл, 38-бет.</w:t>
      </w:r>
    </w:p>
    <w:p w14:paraId="70037F22">
      <w:pPr>
        <w:pStyle w:val="12"/>
        <w:numPr>
          <w:ilvl w:val="0"/>
          <w:numId w:val="5"/>
        </w:numPr>
        <w:tabs>
          <w:tab w:val="left" w:pos="0"/>
          <w:tab w:val="clear" w:pos="425"/>
        </w:tabs>
        <w:spacing w:before="0" w:beforeAutospacing="0" w:after="0" w:afterAutospacing="0" w:line="276" w:lineRule="auto"/>
        <w:ind w:left="5" w:hanging="5"/>
        <w:jc w:val="both"/>
        <w:rPr>
          <w:sz w:val="28"/>
          <w:szCs w:val="28"/>
        </w:rPr>
      </w:pPr>
      <w:r>
        <w:rPr>
          <w:sz w:val="28"/>
          <w:szCs w:val="28"/>
        </w:rPr>
        <w:t>Зерттеу нәтижелері 2024 жылғы 3 мамырда КеАҚ «Қарағанды медицина университеті» ішкі аурулар кафедрасы және акушерлік, гинекология және перинатология кафедрасының кеңейтілген бірлескен отырысында қаралды (№10 хаттама негізінде).</w:t>
      </w:r>
    </w:p>
    <w:p w14:paraId="513124C6">
      <w:pPr>
        <w:widowControl w:val="0"/>
        <w:tabs>
          <w:tab w:val="left" w:pos="0"/>
        </w:tabs>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дизайны мен міндеттері қойылған мақсатқа сәйкес келеді. Нәтижелер жеткілікті бақылаулар санымен, негізгі және бақылау топтарын дұрыс қалыптастырумен, қосу және шығару критерийлерін сақтаумен, сондай–ақ заманауи зертханалық әдістерді қолданумен расталды. Деректерді өңдеудің статистикалық әдістері зерттеу мақсатына сәйкес таңдалды.</w:t>
      </w:r>
    </w:p>
    <w:p w14:paraId="655CAFA5">
      <w:pPr>
        <w:widowControl w:val="0"/>
        <w:autoSpaceDE w:val="0"/>
        <w:autoSpaceDN w:val="0"/>
        <w:spacing w:after="0" w:line="276" w:lineRule="auto"/>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Жарияланымдар</w:t>
      </w:r>
    </w:p>
    <w:p w14:paraId="2FCB467A">
      <w:pPr>
        <w:widowControl w:val="0"/>
        <w:autoSpaceDE w:val="0"/>
        <w:autoSpaceDN w:val="0"/>
        <w:spacing w:after="0" w:line="276" w:lineRule="auto"/>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sz w:val="28"/>
          <w:szCs w:val="28"/>
          <w:lang w:val="kk-KZ" w:eastAsia="ru-RU"/>
        </w:rPr>
        <w:t>Диссертациялық жұмыстың негізгі ережелері мен нәтижелері 4 ғылыми мақалада баяндалған, оның ішінде 3 мақала ҚР БҒМ ұсынған журналдарда, ал біреуі Scopus және Clarivate Analytics деректер базасына кіретін басылымда жарияланды.</w:t>
      </w:r>
    </w:p>
    <w:p w14:paraId="245B81A0">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Алынды:</w:t>
      </w:r>
    </w:p>
    <w:p w14:paraId="65889FA7">
      <w:pPr>
        <w:widowControl w:val="0"/>
        <w:numPr>
          <w:ilvl w:val="0"/>
          <w:numId w:val="6"/>
        </w:numPr>
        <w:tabs>
          <w:tab w:val="clear" w:pos="425"/>
        </w:tabs>
        <w:autoSpaceDE w:val="0"/>
        <w:autoSpaceDN w:val="0"/>
        <w:spacing w:after="0" w:line="276" w:lineRule="auto"/>
        <w:ind w:left="5" w:hanging="5"/>
        <w:jc w:val="both"/>
        <w:outlineLvl w:val="0"/>
        <w:rPr>
          <w:rFonts w:ascii="Times New Roman" w:hAnsi="Times New Roman" w:eastAsia="Calibri" w:cs="Times New Roman"/>
          <w:sz w:val="28"/>
          <w:szCs w:val="28"/>
          <w:lang w:eastAsia="ru-RU"/>
        </w:rPr>
      </w:pPr>
      <w:r>
        <w:rPr>
          <w:rFonts w:ascii="Times New Roman" w:hAnsi="Times New Roman" w:eastAsia="Times New Roman" w:cs="Times New Roman"/>
          <w:sz w:val="28"/>
          <w:szCs w:val="28"/>
          <w:lang w:eastAsia="ru-RU"/>
        </w:rPr>
        <w:t>2025 жылдың 8 қаңтардағы №53238 авторлық құқық куәлігі. Объект атауы: Жүктілікке дейінгі семіздігі бар жүктілерде анемия дамуында  темір алмасу маркерлерінің (гепсидин, эритропоэтин, ферритин) болжамдылық маңыздылығы.</w:t>
      </w:r>
    </w:p>
    <w:p w14:paraId="4561C347">
      <w:pPr>
        <w:widowControl w:val="0"/>
        <w:numPr>
          <w:ilvl w:val="0"/>
          <w:numId w:val="6"/>
        </w:numPr>
        <w:tabs>
          <w:tab w:val="clear" w:pos="425"/>
        </w:tabs>
        <w:autoSpaceDE w:val="0"/>
        <w:autoSpaceDN w:val="0"/>
        <w:spacing w:after="0" w:line="276" w:lineRule="auto"/>
        <w:ind w:left="5" w:hanging="5"/>
        <w:jc w:val="both"/>
        <w:outlineLvl w:val="0"/>
        <w:rPr>
          <w:rFonts w:ascii="Times New Roman" w:hAnsi="Times New Roman" w:eastAsia="Calibri" w:cs="Times New Roman"/>
          <w:sz w:val="28"/>
          <w:szCs w:val="28"/>
          <w:lang w:eastAsia="ru-RU"/>
        </w:rPr>
      </w:pPr>
      <w:r>
        <w:rPr>
          <w:rFonts w:ascii="Times New Roman" w:hAnsi="Times New Roman" w:eastAsia="Times New Roman" w:cs="Times New Roman"/>
          <w:sz w:val="28"/>
          <w:szCs w:val="28"/>
          <w:lang w:eastAsia="ru-RU"/>
        </w:rPr>
        <w:t>2025 жылдың 15 қаңтардағы №53486 авторлық құқық куәлігі. Объект атауы: Жүктілікке дейінгі семіздігі бар жүктілерде анемия дамуында қабыну медиаторларының (Интерлейкин–6, C–реактивті ақуыз) маркерлерінің болжамдылық маңыздылығы.</w:t>
      </w:r>
    </w:p>
    <w:p w14:paraId="528D4D10">
      <w:pPr>
        <w:widowControl w:val="0"/>
        <w:numPr>
          <w:ilvl w:val="0"/>
          <w:numId w:val="6"/>
        </w:numPr>
        <w:tabs>
          <w:tab w:val="clear" w:pos="425"/>
        </w:tabs>
        <w:autoSpaceDE w:val="0"/>
        <w:autoSpaceDN w:val="0"/>
        <w:spacing w:after="0" w:line="276" w:lineRule="auto"/>
        <w:ind w:left="5" w:hanging="5"/>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2025 жылдың 20 қаңтардағы №53626 авторлық құқық куәлігі. Объект атауы: </w:t>
      </w:r>
      <w:r>
        <w:rPr>
          <w:rFonts w:ascii="Times New Roman" w:hAnsi="Times New Roman" w:eastAsia="SimSun" w:cs="Times New Roman"/>
          <w:color w:val="000000"/>
          <w:sz w:val="28"/>
          <w:szCs w:val="28"/>
          <w:lang w:eastAsia="ru-RU"/>
        </w:rPr>
        <w:t>Жоғары дене салмағы индексінің төмен дәрежелі қабыну үрдісі арқылы анемия дамытуының патогенетикалық алгоритмі.</w:t>
      </w:r>
    </w:p>
    <w:p w14:paraId="11D24997">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Диссертацияның құрылымы мен көлемі</w:t>
      </w:r>
      <w:r>
        <w:rPr>
          <w:rFonts w:ascii="Times New Roman" w:hAnsi="Times New Roman" w:eastAsia="Times New Roman" w:cs="Times New Roman"/>
          <w:sz w:val="28"/>
          <w:szCs w:val="28"/>
          <w:lang w:eastAsia="ru-RU"/>
        </w:rPr>
        <w:t xml:space="preserve"> </w:t>
      </w:r>
    </w:p>
    <w:p w14:paraId="4B5DD31D">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sz w:val="28"/>
          <w:szCs w:val="28"/>
          <w:lang w:eastAsia="ru-RU"/>
        </w:rPr>
        <w:t xml:space="preserve">Диссертация </w:t>
      </w:r>
      <w:r>
        <w:rPr>
          <w:rFonts w:ascii="Times New Roman" w:hAnsi="Times New Roman" w:cs="Times New Roman"/>
          <w:sz w:val="28"/>
          <w:szCs w:val="28"/>
          <w:lang w:eastAsia="ru-RU"/>
        </w:rPr>
        <w:t>1</w:t>
      </w:r>
      <w:r>
        <w:rPr>
          <w:rFonts w:ascii="Times New Roman" w:hAnsi="Times New Roman" w:cs="Times New Roman"/>
          <w:sz w:val="28"/>
          <w:szCs w:val="28"/>
          <w:lang w:val="kk-KZ" w:eastAsia="ru-RU"/>
        </w:rPr>
        <w:t>10</w:t>
      </w:r>
      <w:r>
        <w:rPr>
          <w:rFonts w:ascii="Times New Roman" w:hAnsi="Times New Roman" w:eastAsia="Times New Roman" w:cs="Times New Roman"/>
          <w:sz w:val="28"/>
          <w:szCs w:val="28"/>
          <w:shd w:val="clear" w:color="auto" w:fill="FFFFFF" w:themeFill="background1"/>
          <w:lang w:eastAsia="ru-RU"/>
        </w:rPr>
        <w:t xml:space="preserve"> </w:t>
      </w:r>
      <w:r>
        <w:rPr>
          <w:rFonts w:ascii="Times New Roman" w:hAnsi="Times New Roman" w:eastAsia="Times New Roman" w:cs="Times New Roman"/>
          <w:sz w:val="28"/>
          <w:szCs w:val="28"/>
          <w:lang w:eastAsia="ru-RU"/>
        </w:rPr>
        <w:t xml:space="preserve">беттен тұрады, кіріспе, әдебиетке шолу, зерттеу материалдары мен әдістері, нәтижелерді талқылау, қорытындылар, пайдаланылған әдебиеттер тізімі (193 дереккөзі) және </w:t>
      </w:r>
      <w:r>
        <w:rPr>
          <w:rFonts w:ascii="Times New Roman" w:hAnsi="Times New Roman" w:eastAsia="Times New Roman" w:cs="Times New Roman"/>
          <w:sz w:val="28"/>
          <w:szCs w:val="28"/>
          <w:lang w:val="kk-KZ" w:eastAsia="ru-RU"/>
        </w:rPr>
        <w:t>4</w:t>
      </w:r>
      <w:r>
        <w:rPr>
          <w:rFonts w:ascii="Times New Roman" w:hAnsi="Times New Roman" w:eastAsia="Times New Roman" w:cs="Times New Roman"/>
          <w:sz w:val="28"/>
          <w:szCs w:val="28"/>
          <w:lang w:eastAsia="ru-RU"/>
        </w:rPr>
        <w:t xml:space="preserve"> қосымшаны қамтиды. Нәтижелер 20 сурет пен 14 кестеде ұсынылған</w:t>
      </w:r>
      <w:r>
        <w:rPr>
          <w:rFonts w:ascii="Times New Roman" w:hAnsi="Times New Roman" w:eastAsia="Times New Roman" w:cs="Times New Roman"/>
          <w:b/>
          <w:sz w:val="28"/>
          <w:szCs w:val="28"/>
          <w:lang w:eastAsia="ru-RU"/>
        </w:rPr>
        <w:t>.</w:t>
      </w:r>
    </w:p>
    <w:p w14:paraId="6978CE48">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5A8E9CB0">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330528FD">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029A8AD0">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67B3E37D">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45C82CD1">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3B3777BD">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63B38972">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518E69D0">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25A1816C">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181B1E74">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0C3B70ED">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4C4D06D2">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2C1DE16F">
      <w:pPr>
        <w:widowControl w:val="0"/>
        <w:autoSpaceDE w:val="0"/>
        <w:autoSpaceDN w:val="0"/>
        <w:spacing w:after="0" w:line="276" w:lineRule="auto"/>
        <w:ind w:left="275" w:leftChars="125" w:firstLine="709"/>
        <w:jc w:val="center"/>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kern w:val="36"/>
          <w:sz w:val="28"/>
          <w:szCs w:val="28"/>
          <w:lang w:eastAsia="ru-RU"/>
        </w:rPr>
        <w:t>I БӨЛІМ. ӘДЕБИ ШОЛУ</w:t>
      </w:r>
    </w:p>
    <w:p w14:paraId="115E1C78">
      <w:pPr>
        <w:widowControl w:val="0"/>
        <w:autoSpaceDE w:val="0"/>
        <w:autoSpaceDN w:val="0"/>
        <w:spacing w:after="0" w:line="276" w:lineRule="auto"/>
        <w:ind w:left="275" w:leftChars="125" w:firstLine="709"/>
        <w:jc w:val="center"/>
        <w:outlineLvl w:val="0"/>
        <w:rPr>
          <w:rFonts w:ascii="Times New Roman" w:hAnsi="Times New Roman" w:eastAsia="Times New Roman" w:cs="Times New Roman"/>
          <w:b/>
          <w:bCs/>
          <w:kern w:val="36"/>
          <w:sz w:val="28"/>
          <w:szCs w:val="28"/>
          <w:lang w:eastAsia="ru-RU"/>
        </w:rPr>
      </w:pPr>
    </w:p>
    <w:p w14:paraId="6276E376">
      <w:pPr>
        <w:widowControl w:val="0"/>
        <w:numPr>
          <w:ilvl w:val="1"/>
          <w:numId w:val="7"/>
        </w:numPr>
        <w:autoSpaceDE w:val="0"/>
        <w:autoSpaceDN w:val="0"/>
        <w:spacing w:after="0" w:line="276" w:lineRule="auto"/>
        <w:ind w:left="275" w:leftChars="125" w:firstLine="709"/>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Жүктілердегі анемия жайында негізгі түсініктер</w:t>
      </w:r>
    </w:p>
    <w:p w14:paraId="060104BB">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701F2BC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Анемия — гемоглобин концентрациясының төмендігімен сипатталатын жағдай. Анемияның көптеген түрлері бар, олардың ішінде темір тапшылық анемиясы (</w:t>
      </w:r>
      <w:r>
        <w:rPr>
          <w:rFonts w:ascii="Times New Roman" w:hAnsi="Times New Roman" w:eastAsia="Times New Roman" w:cs="Times New Roman"/>
          <w:sz w:val="28"/>
          <w:szCs w:val="28"/>
          <w:lang w:val="kk-KZ" w:eastAsia="ru-RU"/>
        </w:rPr>
        <w:t>ТТА</w:t>
      </w:r>
      <w:r>
        <w:rPr>
          <w:rFonts w:ascii="Times New Roman" w:hAnsi="Times New Roman" w:eastAsia="Times New Roman" w:cs="Times New Roman"/>
          <w:sz w:val="28"/>
          <w:szCs w:val="28"/>
          <w:lang w:eastAsia="ru-RU"/>
        </w:rPr>
        <w:t>) жүкті әйелдер арасында жиі кездеседі, шамамен 50% құрайды [28]. CDC және ДДСҰ деректеріне сүйенсек, жүкті әйелдерде анемия бірінші және үшінші триместрлерде Hb деңгейі &lt;110 г/л және гематокрит &lt;33%, ал екінші триместрде Hb &lt;105 г/л және гематокрит &lt;32% көрсеткіштерінде анықталады. Ауыр анемияның табалдырығы жүкті әйелдер үшін &lt;70 г/л, ал жүкті емес әйелдер үшін &lt;80 г/л деп белгіленеді [3,29].</w:t>
      </w:r>
    </w:p>
    <w:p w14:paraId="76DEA9A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Жүктілік кезінде анемияның таралуы дүниежүзінде 38% (95% сенімділік аралығы) деңгейінде, яғни 32 миллион әйел анемиядан зардап шегеді [29]. Қазақстанда Денсаулық сақтау министрлігінің мәліметі бойынша, 2020 жылы ТТА диагнозы қойылған жүкті әйелдердің үлесі 27% құраған, бұл 2007 жылғы 41,7%–дан едәуір төмендеген [30]. 2011 жылы жүкті әйелдер арасындағы ферритиннің төмен деңгейі 62,9% болса, жүкті емес әйелдерде бұл көрсеткіш 43,8%–ға тең. Ферритині төмен әйелдердің 54,5%–ына ТТА диагнозы қойылды [31].</w:t>
      </w:r>
    </w:p>
    <w:p w14:paraId="571F9FB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Жүктілік барысында темірге деген қажеттілік артады. Бұл бірінші триместрде қандағы темір деңгейінің төмендеуімен басталып, үшінші триместрге қарай ұрықтың өсуіне, ана эритроциттерінің көбеюіне байланысты үш есеге ұлғаяды [32, 33]. Қан сарысуының көлемі бірінші триместрдің соңында артып, екінші және үшінші триместрлерде қызыл қан жасушаларының үлесін ұлғайтады. Жалпы жүктілік кезінде қан көлемі 50%–ға, ал эритроциттер массасы 35%–ға дейін артады [34]. Кейбір зерттеулер бұл өсімді ТТ-</w:t>
      </w:r>
      <w:r>
        <w:rPr>
          <w:rFonts w:ascii="Times New Roman" w:hAnsi="Times New Roman" w:eastAsia="Times New Roman" w:cs="Times New Roman"/>
          <w:sz w:val="28"/>
          <w:szCs w:val="28"/>
          <w:lang w:val="kk-KZ" w:eastAsia="ru-RU"/>
        </w:rPr>
        <w:t>ғ</w:t>
      </w:r>
      <w:r>
        <w:rPr>
          <w:rFonts w:ascii="Times New Roman" w:hAnsi="Times New Roman" w:eastAsia="Times New Roman" w:cs="Times New Roman"/>
          <w:sz w:val="28"/>
          <w:szCs w:val="28"/>
          <w:lang w:eastAsia="ru-RU"/>
        </w:rPr>
        <w:t>ымен байланыстырады, әсіресе темір қоспаларын қабылдаған жағдайда гемодилюцияның төмендегені байқалады [35,36].</w:t>
      </w:r>
    </w:p>
    <w:p w14:paraId="733F424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ТТА жүктілік және босанудан кейінгі кезеңдерде түрлі асқынулар тудырады. Анемия жүктілік кезінде қағанақ суының мерзімінен бұрын жарылуы, ұрықтың өсу тежелуі, гипоксия, мерзімінен бұрын босану, преэклампсия және эклампсия сияқты асқынуларға себеп болуы мүмкін. Босанудан кейінгі кезеңде инфекциялық аурулар мен жатырдың қабынуының ықтималдығы жоғарылайды [28, 37]. Анемия сонымен қатар ананың шаршауы мен физикалық белсенділігінің төмендеуіне, бас ауруы мен ұйқышылдыққа, жұмысқа қабілеттіліктің төмендеуіне алып келеді [38, 39, 40]. Жаңа туған нәрестелерде төмен салмақ, анемия қаупі, нейродамудың бұзылуы және кардиометаболикалық асқынулар сияқты жағымсыз әсерлер байқалуы мүмкін [41, 42].</w:t>
      </w:r>
    </w:p>
    <w:p w14:paraId="5CDDFE2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Бұл аурудың негізгі себебі — ағзаға темірдің аз түсуі, сондықтан темірдің қосымша қабылдануы мен азық–түліктің темірмен байытылуы алдын алу шараларының негізін құрайды [43]. Дегенмен, анемияға әсер ететін басқа факторлар, мысалы, семіздік те назардан тыс қалмауы тиіс. Қазақстанда 38,6% репродуктивті жастағы әйелдер артық салмаққа ие [44].</w:t>
      </w:r>
    </w:p>
    <w:p w14:paraId="4B6CC54F">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26DA540C">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1.2. Жүктілік кезіндегі семіздік патологияның және ықтимал асқынулардың қауіп факторы ретінде</w:t>
      </w:r>
    </w:p>
    <w:p w14:paraId="20D71CDD">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777B0F3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Семіздік халық денсаулығына байланысты маңызды мәселелердің бірі болып, таралуы артып келеді [45, 46]. Соңғы үш онжылдықта семіздік екі есеге өсті [47]. Әлеуметтік–экономикалық жүк болып саналатын семіздік индустриясы дамыған елдерде ғана емес, дамушы елдерде де жиі кездеседі, мұнда артық калориялы тағамның қолжетімділігі мен өмір салтының төмен деңгейімен сипатталады [48].</w:t>
      </w:r>
    </w:p>
    <w:p w14:paraId="4703B56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Дене салмағының индекс</w:t>
      </w:r>
      <w:r>
        <w:rPr>
          <w:rFonts w:ascii="Times New Roman" w:hAnsi="Times New Roman" w:eastAsia="Times New Roman" w:cs="Times New Roman"/>
          <w:sz w:val="28"/>
          <w:szCs w:val="28"/>
          <w:lang w:val="kk-KZ" w:eastAsia="ru-RU"/>
        </w:rPr>
        <w:t>і</w:t>
      </w:r>
      <w:r>
        <w:rPr>
          <w:rFonts w:ascii="Times New Roman" w:hAnsi="Times New Roman" w:eastAsia="Times New Roman" w:cs="Times New Roman"/>
          <w:sz w:val="28"/>
          <w:szCs w:val="28"/>
          <w:lang w:eastAsia="ru-RU"/>
        </w:rPr>
        <w:t xml:space="preserve"> (ДСИ) &gt;30 кг/м² болғанда семіздік деп танылып, ауру ретінде қарастырылады. Жүкті әйелдерде ДСИ бойынша классификация келесі кесте–1 берілген [49]:</w:t>
      </w:r>
    </w:p>
    <w:p w14:paraId="7452229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0E056787">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Кесте – 1. Семіздіктің жіктемесі</w:t>
      </w:r>
    </w:p>
    <w:p w14:paraId="00615EEB">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13"/>
        <w:tblW w:w="0" w:type="auto"/>
        <w:tblInd w:w="0" w:type="dxa"/>
        <w:tblLayout w:type="autofit"/>
        <w:tblCellMar>
          <w:top w:w="15" w:type="dxa"/>
          <w:left w:w="15" w:type="dxa"/>
          <w:bottom w:w="15" w:type="dxa"/>
          <w:right w:w="15" w:type="dxa"/>
        </w:tblCellMar>
      </w:tblPr>
      <w:tblGrid>
        <w:gridCol w:w="4665"/>
        <w:gridCol w:w="4605"/>
      </w:tblGrid>
      <w:tr w14:paraId="65576104">
        <w:tblPrEx>
          <w:tblCellMar>
            <w:top w:w="15" w:type="dxa"/>
            <w:left w:w="15" w:type="dxa"/>
            <w:bottom w:w="15" w:type="dxa"/>
            <w:right w:w="15" w:type="dxa"/>
          </w:tblCellMar>
        </w:tblPrEx>
        <w:tc>
          <w:tcPr>
            <w:tcW w:w="4665" w:type="dxa"/>
            <w:tcBorders>
              <w:top w:val="outset" w:color="auto" w:sz="6" w:space="0"/>
              <w:left w:val="outset" w:color="auto" w:sz="6" w:space="0"/>
              <w:bottom w:val="outset" w:color="auto" w:sz="6" w:space="0"/>
              <w:right w:val="outset" w:color="auto" w:sz="6" w:space="0"/>
            </w:tcBorders>
          </w:tcPr>
          <w:p w14:paraId="32830BA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Жіктемесі</w:t>
            </w:r>
          </w:p>
        </w:tc>
        <w:tc>
          <w:tcPr>
            <w:tcW w:w="4605" w:type="dxa"/>
            <w:tcBorders>
              <w:top w:val="outset" w:color="auto" w:sz="6" w:space="0"/>
              <w:left w:val="outset" w:color="auto" w:sz="6" w:space="0"/>
              <w:bottom w:val="outset" w:color="auto" w:sz="6" w:space="0"/>
              <w:right w:val="outset" w:color="auto" w:sz="6" w:space="0"/>
            </w:tcBorders>
          </w:tcPr>
          <w:p w14:paraId="6863CF6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Жүктілікке дейінгі ДСИ</w:t>
            </w:r>
          </w:p>
          <w:p w14:paraId="5819802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 xml:space="preserve"> кг/ м2</w:t>
            </w:r>
          </w:p>
        </w:tc>
      </w:tr>
      <w:tr w14:paraId="1116B9A1">
        <w:tblPrEx>
          <w:tblCellMar>
            <w:top w:w="15" w:type="dxa"/>
            <w:left w:w="15" w:type="dxa"/>
            <w:bottom w:w="15" w:type="dxa"/>
            <w:right w:w="15" w:type="dxa"/>
          </w:tblCellMar>
        </w:tblPrEx>
        <w:tc>
          <w:tcPr>
            <w:tcW w:w="4665" w:type="dxa"/>
            <w:tcBorders>
              <w:top w:val="nil"/>
              <w:left w:val="outset" w:color="auto" w:sz="6" w:space="0"/>
              <w:bottom w:val="outset" w:color="auto" w:sz="6" w:space="0"/>
              <w:right w:val="outset" w:color="auto" w:sz="6" w:space="0"/>
            </w:tcBorders>
          </w:tcPr>
          <w:p w14:paraId="6431BD6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Қалыпты</w:t>
            </w:r>
          </w:p>
        </w:tc>
        <w:tc>
          <w:tcPr>
            <w:tcW w:w="4605" w:type="dxa"/>
            <w:tcBorders>
              <w:top w:val="nil"/>
              <w:left w:val="outset" w:color="auto" w:sz="6" w:space="0"/>
              <w:bottom w:val="outset" w:color="auto" w:sz="6" w:space="0"/>
              <w:right w:val="outset" w:color="auto" w:sz="6" w:space="0"/>
            </w:tcBorders>
          </w:tcPr>
          <w:p w14:paraId="633C084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18,5–24,9</w:t>
            </w:r>
          </w:p>
        </w:tc>
      </w:tr>
      <w:tr w14:paraId="78B4FB10">
        <w:tblPrEx>
          <w:tblCellMar>
            <w:top w:w="15" w:type="dxa"/>
            <w:left w:w="15" w:type="dxa"/>
            <w:bottom w:w="15" w:type="dxa"/>
            <w:right w:w="15" w:type="dxa"/>
          </w:tblCellMar>
        </w:tblPrEx>
        <w:tc>
          <w:tcPr>
            <w:tcW w:w="4665" w:type="dxa"/>
            <w:tcBorders>
              <w:top w:val="nil"/>
              <w:left w:val="outset" w:color="auto" w:sz="6" w:space="0"/>
              <w:bottom w:val="outset" w:color="auto" w:sz="6" w:space="0"/>
              <w:right w:val="outset" w:color="auto" w:sz="6" w:space="0"/>
            </w:tcBorders>
          </w:tcPr>
          <w:p w14:paraId="2FDC188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Артық салмақ</w:t>
            </w:r>
          </w:p>
        </w:tc>
        <w:tc>
          <w:tcPr>
            <w:tcW w:w="4605" w:type="dxa"/>
            <w:tcBorders>
              <w:top w:val="nil"/>
              <w:left w:val="outset" w:color="auto" w:sz="6" w:space="0"/>
              <w:bottom w:val="outset" w:color="auto" w:sz="6" w:space="0"/>
              <w:right w:val="outset" w:color="auto" w:sz="6" w:space="0"/>
            </w:tcBorders>
          </w:tcPr>
          <w:p w14:paraId="29A6A28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25,0–29,9</w:t>
            </w:r>
          </w:p>
        </w:tc>
      </w:tr>
      <w:tr w14:paraId="649E0236">
        <w:tblPrEx>
          <w:tblCellMar>
            <w:top w:w="15" w:type="dxa"/>
            <w:left w:w="15" w:type="dxa"/>
            <w:bottom w:w="15" w:type="dxa"/>
            <w:right w:w="15" w:type="dxa"/>
          </w:tblCellMar>
        </w:tblPrEx>
        <w:tc>
          <w:tcPr>
            <w:tcW w:w="4665" w:type="dxa"/>
            <w:tcBorders>
              <w:top w:val="nil"/>
              <w:left w:val="outset" w:color="auto" w:sz="6" w:space="0"/>
              <w:bottom w:val="outset" w:color="auto" w:sz="6" w:space="0"/>
              <w:right w:val="outset" w:color="auto" w:sz="6" w:space="0"/>
            </w:tcBorders>
          </w:tcPr>
          <w:p w14:paraId="52108A9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Семіздіктің I дәрежесі</w:t>
            </w:r>
          </w:p>
        </w:tc>
        <w:tc>
          <w:tcPr>
            <w:tcW w:w="4605" w:type="dxa"/>
            <w:tcBorders>
              <w:top w:val="nil"/>
              <w:left w:val="outset" w:color="auto" w:sz="6" w:space="0"/>
              <w:bottom w:val="outset" w:color="auto" w:sz="6" w:space="0"/>
              <w:right w:val="outset" w:color="auto" w:sz="6" w:space="0"/>
            </w:tcBorders>
          </w:tcPr>
          <w:p w14:paraId="5FA1FE1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30 және &lt;35</w:t>
            </w:r>
          </w:p>
        </w:tc>
      </w:tr>
      <w:tr w14:paraId="015685B7">
        <w:tblPrEx>
          <w:tblCellMar>
            <w:top w:w="15" w:type="dxa"/>
            <w:left w:w="15" w:type="dxa"/>
            <w:bottom w:w="15" w:type="dxa"/>
            <w:right w:w="15" w:type="dxa"/>
          </w:tblCellMar>
        </w:tblPrEx>
        <w:tc>
          <w:tcPr>
            <w:tcW w:w="4665" w:type="dxa"/>
            <w:tcBorders>
              <w:top w:val="nil"/>
              <w:left w:val="outset" w:color="auto" w:sz="6" w:space="0"/>
              <w:bottom w:val="outset" w:color="auto" w:sz="6" w:space="0"/>
              <w:right w:val="outset" w:color="auto" w:sz="6" w:space="0"/>
            </w:tcBorders>
          </w:tcPr>
          <w:p w14:paraId="1CC7B87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Семіздіктің II дәрежесі</w:t>
            </w:r>
          </w:p>
        </w:tc>
        <w:tc>
          <w:tcPr>
            <w:tcW w:w="4605" w:type="dxa"/>
            <w:tcBorders>
              <w:top w:val="nil"/>
              <w:left w:val="outset" w:color="auto" w:sz="6" w:space="0"/>
              <w:bottom w:val="outset" w:color="auto" w:sz="6" w:space="0"/>
              <w:right w:val="outset" w:color="auto" w:sz="6" w:space="0"/>
            </w:tcBorders>
          </w:tcPr>
          <w:p w14:paraId="34FDA2A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35 және &lt;40</w:t>
            </w:r>
          </w:p>
        </w:tc>
      </w:tr>
      <w:tr w14:paraId="182721A9">
        <w:tblPrEx>
          <w:tblCellMar>
            <w:top w:w="15" w:type="dxa"/>
            <w:left w:w="15" w:type="dxa"/>
            <w:bottom w:w="15" w:type="dxa"/>
            <w:right w:w="15" w:type="dxa"/>
          </w:tblCellMar>
        </w:tblPrEx>
        <w:tc>
          <w:tcPr>
            <w:tcW w:w="4665" w:type="dxa"/>
            <w:tcBorders>
              <w:top w:val="nil"/>
              <w:left w:val="outset" w:color="auto" w:sz="6" w:space="0"/>
              <w:bottom w:val="outset" w:color="auto" w:sz="6" w:space="0"/>
              <w:right w:val="outset" w:color="auto" w:sz="6" w:space="0"/>
            </w:tcBorders>
          </w:tcPr>
          <w:p w14:paraId="6F54802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Семіздіктің III дәрежесі</w:t>
            </w:r>
          </w:p>
        </w:tc>
        <w:tc>
          <w:tcPr>
            <w:tcW w:w="4605" w:type="dxa"/>
            <w:tcBorders>
              <w:top w:val="nil"/>
              <w:left w:val="outset" w:color="auto" w:sz="6" w:space="0"/>
              <w:bottom w:val="outset" w:color="auto" w:sz="6" w:space="0"/>
              <w:right w:val="outset" w:color="auto" w:sz="6" w:space="0"/>
            </w:tcBorders>
          </w:tcPr>
          <w:p w14:paraId="17C5BE6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40 және жоғары</w:t>
            </w:r>
          </w:p>
        </w:tc>
      </w:tr>
    </w:tbl>
    <w:p w14:paraId="3042FD8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503FEAE">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Жүкті әйелдердің көпшілігі жүктілік кезінде ұсынылғаннан артық салмақ қосады, бұл артық салмақ пен семіздік санатындағы әйелдерде жиі байқалады [50]. Семіздік көптеген аурулар үшін қауіп факторы, оның ішінде жоғары артериялық қысым, инсульт, жүрек аурулары, 2–ші типтегі қант диабеті, қатерлі ісік және артрит [49, 51].</w:t>
      </w:r>
    </w:p>
    <w:p w14:paraId="554E114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Ана семіздігі гестациялық қант диабеті, эклампсия, ұрықтың дамуын шектеу, туа біткен ауытқулар, ұрық өлімі, кесарь тілігімен босану және Апгар көрсеткішінің төмендеуімен байланысты [52, 51, 52, 53, 54, 55, 56, 57]. Сонымен қатар, ана мен баланың болашақ денсаулығы үшін ана семіздігінің ықтималды қауіпін ескеру маңызды. Макросомды нәрестелерде балалық шақтағы семіздік қаупі шамамен 50%–ға, жүрек–қан тамырлары ауруларынан мезгілсіз өлім қаупі 35%–ға жуықтайды [60, 62, 63].</w:t>
      </w:r>
    </w:p>
    <w:p w14:paraId="2EF8E5B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D91AE65">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1.3. Семіздікке және темір тапшылығы мен темір тапшылығы анемиясының дамуына байланысты қабыну маркерлері</w:t>
      </w:r>
    </w:p>
    <w:p w14:paraId="78DC1767">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2E7ACBE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Гепсидин темір метаболизмінің негізгі реттеушісі және семіздік пен </w:t>
      </w:r>
      <w:r>
        <w:rPr>
          <w:rFonts w:ascii="Times New Roman" w:hAnsi="Times New Roman" w:eastAsia="Times New Roman" w:cs="Times New Roman"/>
          <w:sz w:val="28"/>
          <w:szCs w:val="28"/>
          <w:lang w:val="kk-KZ" w:eastAsia="ru-RU"/>
        </w:rPr>
        <w:t>ТТА-</w:t>
      </w:r>
      <w:r>
        <w:rPr>
          <w:rFonts w:ascii="Times New Roman" w:hAnsi="Times New Roman" w:eastAsia="Times New Roman" w:cs="Times New Roman"/>
          <w:sz w:val="28"/>
          <w:szCs w:val="28"/>
          <w:lang w:eastAsia="ru-RU"/>
        </w:rPr>
        <w:t>ның байланысының бірі ретінде анықталған [69, 78]. Қабынудың күшеюі мен лептиннің артық бөлінуі бауырда гепсидин өндірісін ынталандырады [79, 80]. Жоғарылаған гепсидин концентрациясы ферропортинмен әрекеттесе отырып, эритроциттердің мембранасындағы темірдің шығуын шектейді, бұл тем</w:t>
      </w:r>
      <w:r>
        <w:rPr>
          <w:rFonts w:ascii="Times New Roman" w:hAnsi="Times New Roman" w:eastAsia="Times New Roman" w:cs="Times New Roman"/>
          <w:sz w:val="28"/>
          <w:szCs w:val="28"/>
          <w:lang w:val="kk-KZ" w:eastAsia="ru-RU"/>
        </w:rPr>
        <w:t xml:space="preserve">ір тапшылығына </w:t>
      </w:r>
      <w:r>
        <w:rPr>
          <w:rFonts w:ascii="Times New Roman" w:hAnsi="Times New Roman" w:eastAsia="Times New Roman" w:cs="Times New Roman"/>
          <w:sz w:val="28"/>
          <w:szCs w:val="28"/>
          <w:lang w:eastAsia="ru-RU"/>
        </w:rPr>
        <w:t>(</w:t>
      </w:r>
      <w:r>
        <w:rPr>
          <w:rFonts w:ascii="Times New Roman" w:hAnsi="Times New Roman" w:eastAsia="Times New Roman" w:cs="Times New Roman"/>
          <w:sz w:val="28"/>
          <w:szCs w:val="28"/>
          <w:lang w:val="kk-KZ" w:eastAsia="ru-RU"/>
        </w:rPr>
        <w:t>ТТ</w:t>
      </w:r>
      <w:r>
        <w:rPr>
          <w:rFonts w:ascii="Times New Roman" w:hAnsi="Times New Roman" w:eastAsia="Times New Roman" w:cs="Times New Roman"/>
          <w:sz w:val="28"/>
          <w:szCs w:val="28"/>
          <w:lang w:eastAsia="ru-RU"/>
        </w:rPr>
        <w:t>) әкелуі мүмкін [81].</w:t>
      </w:r>
    </w:p>
    <w:p w14:paraId="37ECE53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Жақында табылған эритроферрон (ERFE) гормоны темір метаболизмінде маңызды рөл атқарады және гепсидин бөлінісін реттейді. Бүйректен бөлінетін эритропоэтин эритропоэзді ынталандырады, бұл ретте ERFE синтезін арттырады және гепсидин синтезін басады, осылайша темір қорларын жұмылдырады. ERFE (сурет–1) эритропоэздің күшеюімен байланысты эритробластардан бөлінеді және гепсидин экспрессиясын төмендетіп, темір сіңірілуін арттырады [83, 84]. </w:t>
      </w:r>
    </w:p>
    <w:p w14:paraId="16230ED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59FDBC27">
      <w:pPr>
        <w:autoSpaceDE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840730" cy="3559810"/>
            <wp:effectExtent l="0" t="0" r="7620" b="2540"/>
            <wp:docPr id="85" name="Рисунок 85" descr="C:\Users\kgmuuser\AppData\Local\Temp\ksohtml7396\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C:\Users\kgmuuser\AppData\Local\Temp\ksohtml7396\wps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844751" cy="3562753"/>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762800C7">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77B2BF9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iCs/>
          <w:sz w:val="28"/>
          <w:szCs w:val="28"/>
          <w:lang w:eastAsia="ru-RU"/>
        </w:rPr>
        <w:t>Сурет –1. ERFE–Гепсидин–Ферропортинн темір метаболизміндегі үрдісі</w:t>
      </w:r>
      <w:r>
        <w:rPr>
          <w:rFonts w:ascii="Times New Roman" w:hAnsi="Times New Roman" w:eastAsia="Times New Roman" w:cs="Times New Roman"/>
          <w:iCs/>
          <w:sz w:val="28"/>
          <w:szCs w:val="28"/>
          <w:lang w:val="kk-KZ" w:eastAsia="ru-RU"/>
        </w:rPr>
        <w:t xml:space="preserve">. </w:t>
      </w:r>
      <w:r>
        <w:rPr>
          <w:rFonts w:ascii="Times New Roman" w:hAnsi="Times New Roman" w:eastAsia="Times New Roman" w:cs="Times New Roman"/>
          <w:sz w:val="28"/>
          <w:szCs w:val="28"/>
          <w:lang w:val="kk-KZ" w:eastAsia="ru-RU"/>
        </w:rPr>
        <w:t>Дереккөз: Srole D.N., Ganz T., 2020 [83].</w:t>
      </w:r>
    </w:p>
    <w:p w14:paraId="1F6DC47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5117391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Бүйректегі интерстициальды фибробласттар мен бауырдағы гепатоциттер жасушалық гипоксияға Эритропоэтин (ЭПО) өндірісі арқылы жауап береді. ЭПO эритробласттардың кеңеюін ынталандырады, сонымен қатар ERFE өндірісін арттырады. ERFE бауырдағы гепсидиннің транскрипциясын тежейді, осылайша гепатоциттер мен макрофагтардың беттерінде жасушалық темір экспорттаушы ферропортинді тұрақтандырады. Жасушалық темір қорлары жетілген эритроциттердің кеңейтілген популяциясы арқылы гемоглобин синтезі үшін пайдаланылуы үшін плазмаға жұмылдырылады [84]. Гепсидинге эритроферронның әсері қабыну жағдайында өзгеріссіз қалады ма немесе жүктілік кезіндегі қан көлемінің ұлғаюымен өзгере ме – бұл әлі де зерттеуді қажет ететін мәселе.</w:t>
      </w:r>
    </w:p>
    <w:p w14:paraId="02F5E6C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Семіздікке байланысты қабынуды зерттеу барысында ДСИ қалыпты әйелдер тобы мен семіздігі бар әйелдер тобының темір профильдеріндегі айырмашылықтарына байланысты интерлейкин–6 (ИЛ–6) және лептин сияқты цитокиндер гепсидин өндірісін индукциялауы мүмкін деген ұсыныстар болған [19, 79, 87].</w:t>
      </w:r>
    </w:p>
    <w:p w14:paraId="2EA1FA7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Интерлейкин–6 жалпыланған қабыну реакциясының индукциясына жауап беретін қабыну цитокині болып табылады, ол кейін бауырда гепсидин өндірісін іске қосады [79, 80]. ИЛ–6 белсендірілген иммундық жасушалар арқылы өндірілгенімен, оны адипоциттік ұлпа да шығарады. Зерттеулер көрсеткендей, адипоциттік ұлпа айналымдағы ИЛ–6–ның шамамен 30%–ын өндіреді [85, 86]. Басқа да тікелей әсерлердің ішінде ИЛ–6–ның көтерілуі бауырдан С–реактивті ақуыздың (СРА) да [66, 88] жоғарылауына ықпал етеді. Сонымен қатар, бірнеше зерттеулерде босану кезінде гепсидиннің СРА [16] немесе ИЛ–6–мен [89] корреляциясы анықталған. Дегенмен, босану барысында гепсидин концентрациясының ерекше артуы қабыну көрсеткіштерімен байланысты екендігі жақсы құжатталған, әсіресе босану табиғи жолмен немесе шұғыл кесір тілігімен болған жағдайда. Бұл гепсидиннің жедел фазалық ақуыз болуына байланысты және бұл, әдетте, босану кезінде болатын қабынулық үрдіске жауап ретінде болуы мүмкін; семіздіктің бұл жағдайда байланысы болмауы мүмкін [90, 91, 92].</w:t>
      </w:r>
    </w:p>
    <w:p w14:paraId="171363B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Бұған қарамастан, артық салмақ пен семіздік гепсидин өндірісіне ықпал етеді. Бұл гипотезаны қабыну цитокиндерінің бөлінуімен және темір сіңірілуінің төмендеуімен түсіндіруге болады [93, 94, 95]. Cepeda–Lopez және т.б. (2016) бариатриялық хирургиядан кейінгі май жоғалуының қабынуға, сарысудағы гепсидинге және темірдің сіңуіне әсерін бағалады. Алты айлық бақылаудан кейін олар жалпы дене майы, интерлейкин–6 және гепсидин деңгейлерінің айтарлықтай төмендегенін, ал ТТ бар адамдарда темірдің сіңуі 28%–ға артқанын анықтады [96].</w:t>
      </w:r>
    </w:p>
    <w:p w14:paraId="5DE5D10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Сонымен қатар, Kaner және оның тобы (2019) салмақ жоғалту бағдарламасына қатысқан артық салмағы және семіздігі бар менопауза алдындағы түрік әйелдерінде дене салмағы мен темір айналымы параметрлерінің өзгерістерін талдады. Олар дене салмағын жоғалту мен СРА деңгейлері арасында статистикалық маңызды байланыстың бар екендігін және салмақ жоғалтудың созылмалы қабыну үрдісін төмендетуге оң әсер етіп, қандағы темір көрсеткіштерінің жақсаруына ықпал ететінін қорытындылады [97].</w:t>
      </w:r>
    </w:p>
    <w:p w14:paraId="548FE58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Ферритин – темір сақтайтын ақуыз, сондай–ақ жедел фазалық ақуыз. Қан концентрациясында қабынуға жауап ретінде тез көтеріледі, сол кезде темір қорларының өкілі болып табылмайды. Қабынудың алғашқы тәулігінде ферритин мен CРА ұқсас түрде жоғарылайды; CРА деңгейі шамамен екі тәулікте [98, 99] шарықтау шегіне жетеді. Ферритин деңгейі қабыну басталғаннан кейін шамамен төртінші тәулікте шарықтау шегіне жетіп, басқа қабыну ақуызы – альфа–1 қышқылды гликопротеидке (АГП) ұқсас жоғары болып қалады, ал CРА деңгейі тез төмендейді. Қабыну басталғаннан кейін алтыншы күні барлық маркерлердің (ферритин, АГП және CРА) қабынуға дейінгі концентрацияларынан жоғары болып қала беретіні байқалды [98, 99, 100].</w:t>
      </w:r>
    </w:p>
    <w:p w14:paraId="2F6682C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0AB2FDDC">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1.4 Жүктілік кезіндегі анемияның семіздікпен байланысын көрсететін патогенетикалық механизм</w:t>
      </w:r>
    </w:p>
    <w:p w14:paraId="0FC188F0">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 xml:space="preserve"> </w:t>
      </w:r>
    </w:p>
    <w:p w14:paraId="0EAF128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Семіздік жүктілік кезінде темір айналымына кері әсерін тигізетін жолдардың бірі – төмен деңгейдегі қабыну үрдісі [101, 102]. Бұл жағдай созылмалы аурулардың анемиясына да әкелуі мүмкін. Нақтырақ айтқанда, СРА, ИЛ–6, ісік некрозының альфа факторы және альфа–1 қышқылды гликопротеид (АГП) сияқты қабыну ақуыздары мен цитокиндердің жоғарылауы салдарынан пайда болады [103]. Мұндай жағдайлар артық салмағы немесе семіздігі бар жүкті емес адамдарда да байқалады [104]. Coimbra және басқалар (2017) сегіз айлық физикалық жаттығу бағдарламасының артық салмағы мен семіздігі бар балалар мен жасөспірімдердегі гепсидинге, қабынуға және темір деңгейіне әсерін зерттеді. Нәтижелерде қан сарысуындағы темір деңгейінің жоғарылауымен қатар, ДСИ, СРА, ИЛ–6, ферритин, гепсидин және еритін трансферрин рецепторларының төмендеуі байқалды [105].</w:t>
      </w:r>
    </w:p>
    <w:p w14:paraId="6D6615B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Лептин май тіндері, плацента және басқа тіндерден бөлінетін қабынуға қарсы медиатор болып табылады. Плацентада өндірілген лептиннің шамамен 95%–ы ананың қан айналымына түседі. Лептин макрофагтар, дендритті жасушалар және табиғи киллер жасушаларының модуляторы мен активаторы ретінде маңызды рөл атқарады. Ол реттеуші Т–жасушаларының (Treg) генерациясы мен көбеюіне, ангиогенезге және трофобластикалық инвазияға әсер етеді [106, 107]. Қалыпты салмақтағы әйелдерде жүктілік жалғасқан сайын лептин деңгейі артады, бірақ босанғаннан кейін тез төмендеп, прегравидиандық мәндерге оралады [108, 109].</w:t>
      </w:r>
    </w:p>
    <w:p w14:paraId="005AE29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Жүктіліктен тыс уақытта қан сарысуындағы лептин деңгейі ДСИ және дене майының массасымен оң корреляцияланады [110, 111]. Зерттеулер ананың семіздігі мен айналымдағы лептин деңгейінің арасындағы байланысты көрсетеді. Жүктілік кезінде артық салмағы бар әйелдерде қалыпты салмақтағы әйелдерге қарағанда қан айналымындағы лептин деңгейі едәуір жоғары болады [112, 113, 114, 115, 116].</w:t>
      </w:r>
    </w:p>
    <w:p w14:paraId="39B2C89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Castellano–Filho және т.б. қалыпты салмақтағы (ДСИ &lt; 25 кг/м², n=27) және артық салмағы бар (ДСИ ≥ 25 кг/м², n=15) төмен қауіпті жүкті әйелдер тобында лептиннің сарысудағы деңгейін жүктілік мерзімдеріне қарай зерттеді. Олар жүктілік мерзіміне қарай лептин деңгейінің артуын анықтағанымен, артық салмақты және семіздігі бар әйелдерде бұл арту қалыпты салмақтағы топқа қарағанда баяу екенін байқады [116].</w:t>
      </w:r>
    </w:p>
    <w:p w14:paraId="1AC622A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Үлкейген адипоциттер цитокиндер мен лептиннің жоғары деңгейін [69, 117] және қабынуға қарсы гормон адипонектиннің төмен деңгейін бөледі. Amato және басқалар (2010) семіздікпен ауыратын балалардағы қан сарысуындағы гепсидин деңгейіне және темір деңгейіне ДСИ төмендетудің әсерін зерттеп, гепсидин мен лептин деңгейінің айтарлықтай төмендегенін, ал темірдің сіңуінің жоғарылағанын анықтады [118]. Gong және әріптестері (2014) қан сарысуындағы ферритин деңгейі өзгермегенімен, темір статусының жақсарғанын және қабыну маркерлерінің төмендегенін хабарлады [119].</w:t>
      </w:r>
    </w:p>
    <w:p w14:paraId="3E2B06D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Осылайша, адипоцитті тін массасының артуы төмен деңгейдегі созылмалы қабынуды күшейтеді [60, 89, 120]. Анадағы семіздікке байланысты қабыну медиаторларының егжей–тегжейлі түйіндемесі мен сипаттамасы 2017 жылы Pendeloski және басқалардың шолуында баяндалды [121]. Қолда бар зерттеулердің көптігіне қарамастан, артық салмағы бар немесе семіздігі бар жүкті әйелдердегі қабыну медиаторларының профилі бойынша қарама–қайшы нәтижелер де кездеседі, қазіргі таңда 22–ге жетті. Бірнеше зерттеу семіздік пен ТТ және ТТА арасындағы байланысты қарастырған [9, 14, 69, 122, 123]. Семіз балалардың 58,3%–ы анемияға шалдыққан, ал қалыпты салмақтағы балалардың тек 6,7%–ында анемия байқалған [81].</w:t>
      </w:r>
    </w:p>
    <w:p w14:paraId="13B2B1E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Nead және әріптестері [122] артық салмағы немесе семіздікке бейімділік қаупі бар балалардың дені сау салмақ көрсеткіштерімен салыстырғанда ТТ-на екі есе бейім екенін көрсетті.</w:t>
      </w:r>
    </w:p>
    <w:p w14:paraId="496013E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Семіздік төмен дәрежелі созылмалы қабынумен байланысты [31]. Қабынуға қарсы бірнеше цитокиндер, соның ішінде интерлейкин–6 және ісік некрозының альфа факторы, май тінінен бөлінеді. Шынында да, қан айналымындағы интерлейкин–6–ның шамамен үштен бірі май тінінен бөлінеді. Шынында да, қан айналымындағы интерлейкин–6–ның шамамен үштен бірі май тінінен бөлінеді [124]. </w:t>
      </w:r>
      <w:bookmarkStart w:id="2" w:name="_Hlk163591229"/>
      <w:r>
        <w:rPr>
          <w:rFonts w:ascii="Times New Roman" w:hAnsi="Times New Roman" w:eastAsia="Times New Roman" w:cs="Times New Roman"/>
          <w:sz w:val="28"/>
          <w:szCs w:val="28"/>
          <w:lang w:val="kk-KZ" w:eastAsia="ru-RU"/>
        </w:rPr>
        <w:t>Семіздік пен ТТ байланыстыратын негізгі механизм – семіздігі бар адамдарда байқалатын төмен дәрежелі жүйелік қабыну [105]. Артық салмағы бар және семіздігі бар адамдардың қан сарысуында гепсидин мен интерлейкин–6 қалыпты салмақтағы адамдарға қарағанда айтарлықтай жоғары [22]. Гепсидин бауырда синтезделіп, интерлейкин–6 сияқты қабынуға қарсы цитокиндермен ынталандырылады [87]. Жақында жүргізілген зерттеу орталық семіздігі бар артық салмақты және семіздігі бар әйелдерде гепсидиннің сарысуда жоғарылауы, қабыну деңгейінің артуы, темір деңгейінің төмендеуі және қосымша темірмен қоректенгенде темірдің сіңуінің төмендеуі байқалатынын көрсеткен [125].</w:t>
      </w:r>
      <w:bookmarkEnd w:id="2"/>
    </w:p>
    <w:p w14:paraId="05E78F9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ДСИ қалыпты және семіздігі бар жүкті әйелдерді зерттеу барысында гепсидин деңгейі жүктіліктің екінші триместрінде семіздігі бар жүкті әйелдерде СРА деңгейімен оң байланыста болған. Бұл семіздігі бар жүкті әйелдерде қабыну профилінің жоғарылауы гепсидин деңгейінің артуымен байланысты екенін көрсетеді [78]. Сонымен қатар, анадағы ДСИ гепсидиннің кіндікбау қанының темір өлшемдеріне кері байланысты болған.</w:t>
      </w:r>
    </w:p>
    <w:p w14:paraId="1F7C0FB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Кейбір зерттеулер жүктілік кезінде СРА–ның жоғарылауын хабарласа [126, 127, 128], басқалары бірінші және үшінші триместрлерде қоректік заттарды жеткізу фазасы аясында қабынуға қарсы өзгерістерді көрсетеді, ал екінші триместрде қабынуға қарсы фаза бар екенін көрсеткен [92, 129]. Бело және әріптестері [130] зерттеуінде жүктілік триместрлері арасында және ішінде СРА деңгейінің үлкен өзгерістері туралы хабарласа, Кристиан және басқалар [104] жүктілік кезінде СРА–ның прогрессивті төмендеуін тіркеген. Жүктілік кезіндегі СРА деңгейінің нәсілдік айырмашылықтары да анықталған [131].</w:t>
      </w:r>
    </w:p>
    <w:p w14:paraId="7574798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Flynn және оның тобы [18] семіздігі бар 245 жүкті әйелді және қалыпты салмақтағы 245 жүкті әйелді зерттегенде, семіздігі бар әйелдерде СРА және ИЛ–6 деңгейінің айтарлықтай жоғарылағанын хабарлаған. Қан сарысуындағы ферритин мен гепсидин деңгейлері тек 15–18 аптада ғана өзгерген, бұл жүктіліктің осы кезеңінде гепсидиннің қабынуға тәуелді еместігін көрсетеді. Сонымен қатар, семіздігі бар әйелдерде осы кезеңде sTfR мен ферритиннің арақатынасы қалыпты салмақтағы әйелдерге қарағанда жоғары болды. Зерттеушілер қабыну жағдайында ферритин деңгейін түзеткенін атап өтпеген [132, 133]. Ферритин – жедел фазалық ақуыз, және СРА мен ИЛ–6 көрсеткіштері қабыну жағдайының индикаторы болып табылады. Сондықтан қабынуға байланысты ферритин деңгейлері жоғарылауы мүмкін, бұл семіздігі бар және ДСИ қалыпты әйелдер арасындағы ферритин деңгейіндегі айырмашылықтың болмауын түсіндіруі мүмкін. Сонымен қатар, деректер екі түрлі зерттеуден алынғандықтан, олардың бастапқы сипаттамалары әр түрлі болуы мүмкін.</w:t>
      </w:r>
    </w:p>
    <w:p w14:paraId="433391E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Cao және әріптестері [89] жүктілік алдындағы ДСИ, гестациялық салмақ қосу және ана мен жаңа туған нәрестедегі темір параметрлері (сарысудағы ферритин, sTfR, сарысудағы темір, ЭПО, гепсидин және дене темірі құрамы) арасындағы байланысты зерттеген. Зерттеуге жалпы 230 жүкті жасөспірім әйел енгізілді, олардың 38%–ы артық салмақты немесе семіздік санатына жатқызылған. Қатысушылардың жас диапазоны 13–18 жас болғандықтан, олар басқа зерттеулермен салыстырғанда анағұрлым жас болды. Жүктілік кезінде қатысушылардың көпшілігі ұсынылған нормадан артық салмақ қосқан. Ана қанының үлгілері жүктіліктің ортасында және босануға жақын кезеңде кіндікбау қанымен бірге алынған. Бұл нәтижелер жүктілік кезінде семіздікке байланысты қабынудың гепсидин өндірісін реттейтін темір сигналдарына ықпалын жоққа шығармайды және осы жасөспірімдер тобына ананың семіздігінің шамадан тыс салмақ жинау мен босану кезіндегі темір статусының зиянды әсері туралы дәлелдер жеткіліксіз екенін көрсеткен. Босану кезінде жүктілік алдындағы ДСИ мен лептин арасындағы байланыс қана сақталған. Дегенмен, жүктілік алдындағы ДСИ санаттары мен темір параметрлері (сарысудағы ферритин, sTfR, сарысудағы темір, ЭПО және гепсидин) арасында босану кезінде маңызды айырмашылықтар болмаған.</w:t>
      </w:r>
      <w:r>
        <w:rPr>
          <w:rFonts w:hint="default"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val="kk-KZ" w:eastAsia="ru-RU"/>
        </w:rPr>
        <w:t>Сонымен қатар, гепсидин мен сарысудағы ферритиннің 2 және 3–санаттағы семіздікпен өмір сүретін әйелдерде жоғары болуы байқалған. Зерттеушілер жүктілік кезінде қабыну темір метаболизміне әсер етпейді, ал гепсидин деңгейіне ИЛ–6 туындатқан қабыну семіздіктің белгілі бір деңгейіне жеткенде ғана әсер етеді деген болжам ұсынады.</w:t>
      </w:r>
    </w:p>
    <w:p w14:paraId="2C70622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Garcia–Valdes және т.б. [16] гестациялық қант диабеті жоқ жүкті әйелдерге зерттеу жүргізді. Бұл зерттеуге барлығы 240 әйел қатысты. Босану кезінде барлығы 158 плацента (n=90 қалыпты ДСИ, n=37 артық салмақ және n=31 семіздік) жиналды. Ананың темір статусы қан сарысуындағы трансферрин рецепторы (sTFR) мен ферритин деңгейін 24 және 34 аптада және босану кезінде анықтау арқылы өлшенді. Анадағы ферритин деңгейі ДСИ–нің барлық топтары бойынша sTFR–мен байланысты болғанымен, СРА–мен сәйкес келмеген, бұл ферритин деңгейінің қабынуға емес, темір статусының көрсеткіші екенін болжайды. Қызықты жайт, жүктіліктің екінші триместрінде семіздігі бар әйелдерде ферритин деңгейі төмендеген, ал қалыпты салмақтағы әйелдерде ферритин деңгейінің шамамен үшінші триместрге дейін өскені байқалды. Бұл деректер семіздігі бар жүкті әйелдерде ТТ-ның жоғары қаупі бар екенін және гепсидиннің реттеуші фактор болуы мүмкін деген гипотезаны қолдайды.</w:t>
      </w:r>
    </w:p>
    <w:p w14:paraId="6E72E80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Туылған кезде темірдің едәуір бөлігі ұрықтық гемоглобин түрінде болады және артық темір қайта пайдалану үшін өңделеді. Гемоглобин құрамындағы темірдің мөлшері жоғары, бұл он екі аптаға дейін өзгеріссіз қалады. Жылдам өсетін нәрестелердің темір қоры тез сарқылып, соның салдарынан балаларда ТТ жиі байқалады [134]. Темір қоры шамамен 6 айға дейін таусылып, жеткіліксіздік ТТ/ТТА (темір тапшылығы және темір тапшылығы анемиясы) [41] дамуына әкеледі. Бұл танымдық және қозғалыс қабілеттерінің нашарлауына, сонымен қатар қайтымсыз салдарларға ұшыратуы мүмкін [135, 136, 137]. Жүктілік кезінде ТТ/ТТА таралуы, оның темір статусы мен нәрестенің нейрокогнитивтік дамуына және кардиомиопатиялық бұзылыстарға әсер ететіні анықталған [138]. Әлемдік ғылыми зерттеулерге қарамастан, ТТ және ТТА әлі күнге дейін маңызды жаһандық мәселе болып қала береді [139].</w:t>
      </w:r>
    </w:p>
    <w:p w14:paraId="493B6D2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Шамадан тыс адипоцитті тіндер анаға ғана емес, сонымен қатар нәрестенің денсаулығына да теріс әсер етуі мүмкін. Семіздігі бар және қалыпты салмақтағы аналардан алынған плаценталардың протеомикалық зерттеулері қабынуды, тотығу стрессін, цитоскелеттік құрылымды, өсу реттеушісін және басқа да жасушалық функцияларға қатысатын сегіз түрлі ақуыз айырмашылықтарын анықтады [140]. Авторлар семіздігі бар аналардың плаценталарында ферритиннің төмендігін атап өткен, бұл еркін темір деңгейінің жоғарылауына және осындай әйелдерде реактивті оттегінің түзілуі мен тотығу стрессінің күшеюіне әкелуі мүмкін. Сонымен қатар, плаценталық ферритин жетіспеушілігі темірдің анадан ұрыққа ауысуын төмендетуі мүмкін. Бұл мәселені тереңірек зерттеу үшін қосымша зерттеулер қажет.</w:t>
      </w:r>
    </w:p>
    <w:p w14:paraId="07D6E4C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Garcia–Valdes және басқалар [16] ана ДСИ–не қарамастан, темір жетіспейтін аналардың плаценталарында плаценталық трансферрин рецепторының (rTfR 1) жоғары деңгейін анықтаған, бұл темірдің ұрыққа берілуінде маңызды рөл атқарады. Бұл зерттеуде қалыпты салмақтағы 86 ұрықжолдасы және 97 кіндікбау қан үлгісі, артық салмақтағы 20 әйел және семіздігі бар 16 әйелден алынған. Сонымен қатар, босану кезінде анадағы гепсидин мен кіндікбау қанының гепсидин деңгейі арасында тығыз байланыс болғанымен, жаңа туған нәрестенің басқа темір параметрлерімен (қан сарысуындағы ферритин, sTFR) сәйкес келмеген. Жүктілік алдындағы ДСИ топтары бойынша кіндікбау қанының гепсидин деңгейінде айырмашылықтар болмаған. </w:t>
      </w:r>
    </w:p>
    <w:p w14:paraId="5A148DC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Ана темір статусы ферритинге, sTFR–ға және кіндікбау қанындағы ферритинге қатынасына әсер етпеген. Бұл жағдай плаценталық темір рецепторларының ұлғаюы ұрықтың темір деңгейін жеткілікті қамтамасыз етуде маңызды рөл атқара алатынын көрсетеді.</w:t>
      </w:r>
    </w:p>
    <w:p w14:paraId="6190B89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0805EE12">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1.5 Әйелдердегі предгестациялық артық салмақ пен семіздіктің нәрестелердің темір статусына әсері</w:t>
      </w:r>
    </w:p>
    <w:p w14:paraId="668AD605">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 xml:space="preserve"> </w:t>
      </w:r>
    </w:p>
    <w:p w14:paraId="7741617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Анадағы семіздік ұрықтың макросомия қаупін арттырады [56]. Туу салмағының осылай артуы негізінен май массасының көбеюіне байланысты болады [107]. Туылған кездегі май тіндерінің жоғары массасы баланың кейінгі өмірінде семіздікке бейімділігін арттыруы мүмкін [57, 141]. Бұл жағдай төмен деңгейлі қабынуға, гепсидиннің жоғарылауына және уақыт өте келе қабыну анемиясының дамуына әкелуі мүмкін. Кейбір зерттеулерде кіндікбау сарысуындағы ферритиннің 75 мг/л төмен деңгейі балалардың моторикалық қалыптасуы мен сөйлеуіне кері әсер етуі мүмкін деп сипатталады, ал басқа зерттеулер кіндікбау қанындағы ферритиннің 76 мг/л төмен болуы балалардың нейродаму нәтижелерімен байланысын растамаған [142, 143, 144].</w:t>
      </w:r>
    </w:p>
    <w:p w14:paraId="2286161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Flynn және әріптестері [18] ана семіздігінің жаңа туған нәрестенің темір статусына ықпалын зерттеу үшін босану кезінде алынған қанның қабыну және темір алмасу маркерлерін зерттеді. Бір айнымалы талдауда, семіздігі бар әйелдерден туылған нәрестелердің қанындағы орташа ферритин деңгейі төмен болды. Алайда, бұл байланыс жүктілік жасы, босану режимі, ана темекі шегу статусы және этникалық факторларды ескеріп түзету жасағанда айқын болмады. Қызығы, этникалық айырмашылықтар да байқалды: қара нәсілді аналардан туылған нәрестелердің қанындағы ферритин деңгейі ақ нәсілді аналардан туылған нәрестелермен салыстырғанда төмен болды. Dosch және басқалар (85 жүкті әйелді зерттегенде; n=34 ДСИ &lt; 30 және n=51 ДСИ ≥30) ана ДСИ–інің жоғары болуы кіндікбау плазмасындағы ферритинмен теріс, ал СРА деңгейімен оң байланыста екенін анықтады [145]. Сонымен қатар, кіндікбау гепсидині ана ДСИ–мен немесе қабыну статусымен байланысты болмаған, бірақ ол гемоглобинмен теріс, ферритин деңгейімен оң байланыста болған. Авторлар ДСИ ≥35 болған әйелдерде (n=16) кіндікбау қанындағы қабыну маркерлері (СРА, ИЛ–6 және Т–альфа некротикалық фактор) ДСИ &lt; 35 болған әйелдерге қарағанда айтарлықтай жоғары екенін анықтады, әсіресе қант диабеті жағдайды күрделендіреді. Бұл нәтижелер жүктілік кезінде семіздік қабыну реакциясын іске қосып, жаңа туған нәрестенің темір деңгейіне кері әсерін тигізуі мүмкін деген тұжырымды қолдайды.</w:t>
      </w:r>
      <w:r>
        <w:rPr>
          <w:rFonts w:hint="default"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val="kk-KZ" w:eastAsia="ru-RU"/>
        </w:rPr>
        <w:t>Керісінше, Cао және әріптестері [89] жасөспірімдік семіздігі бар аналардан туылған нәрестелерде, ДСИ қалыпты аналармен салыстырғанда кіндікбау қанының темір және гемоглобин деңгейі жоғары екенін хабарлады. Темір статусын өлшейтін басқа көрсеткіштердің ешқайсысы гестациялық салмақ қосу немесе предгестациялық ДСИ деңгейімен маңызды байланыс көрсетпеді. Бұл зерттеуде нәрестелердегі анемия мен ТТ-ның жоғары болу деңгейі диеталық темірдің тікелей емес жеткізілуі секілді факторлармен байланысты болуы мүмкін деген тұжырым жасалды.</w:t>
      </w:r>
      <w:r>
        <w:rPr>
          <w:rFonts w:hint="default"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val="kk-KZ" w:eastAsia="ru-RU"/>
        </w:rPr>
        <w:t>MacQueen және әріптестері [146] жоғары қауіп–қатерлі топқа жататын нәрестелердің 180 кіндікбау қанын тексеріп, ТТ бар 16 нәрестенің барлығы семіздігі бар аналардан туылғанын анықтады. Бұл зерттеуде аналардың ешқайсысы анемияға шалдықпағанымен, төртеуінде темір деңгейі төмен болды. Авторлар семіздігі бар аналарда темірдің плаценталық тасымалына әсер етуі мүмкін деген болжам жасайды, бұл гипотеза қосымша зерттеулерді қажет етеді.</w:t>
      </w:r>
      <w:r>
        <w:rPr>
          <w:rFonts w:hint="default"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val="kk-KZ" w:eastAsia="ru-RU"/>
        </w:rPr>
        <w:t>Phillips және әріптестері [147] жүктілік кезіндегі анадағы семіздік пен артық салмақтың жаңа туған нәрестедегі темір қорын төмендететінін хабарлады. Жүктілік алдындағы семіздігі бар әйелдердің 28,5%–ы артық салмақ жинаған, бұл гестациялық салмақ қосу ұсынысынан 27,5%–ға артық болған. Семіздігі бар аналардан туылған нәрестелердің кіндікбау сарысуындағы ферритин деңгейі едәуір төмен, ал гемоглобин деңгейі жоғары болған. Кіндікбау сарысуындағы СРА деңгейі анадағы семіздікпен байланысты болмады, бірақ артық салмақ қосу жағдайында байланыс байқалды. Зерттеу нәтижелері негізінде авторлар жүктілік алдындағы семіздік пен шамадан тыс салмақ қосуды жаңа туған нәрестелердегі темір профиліне қатысты қауіп факторлары ретінде бағалауға болады деген тұжырымға келді.</w:t>
      </w:r>
    </w:p>
    <w:p w14:paraId="0D0A087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54F44341">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val="kk-KZ" w:eastAsia="ru-RU"/>
        </w:rPr>
      </w:pPr>
      <w:r>
        <w:rPr>
          <w:rFonts w:ascii="Times New Roman" w:hAnsi="Times New Roman" w:eastAsia="Times New Roman" w:cs="Times New Roman"/>
          <w:b/>
          <w:sz w:val="28"/>
          <w:szCs w:val="28"/>
          <w:lang w:val="kk-KZ" w:eastAsia="ru-RU"/>
        </w:rPr>
        <w:t xml:space="preserve">1.6 </w:t>
      </w:r>
      <w:r>
        <w:rPr>
          <w:rFonts w:ascii="Times New Roman" w:hAnsi="Times New Roman" w:eastAsia="Times New Roman" w:cs="Times New Roman"/>
          <w:b/>
          <w:bCs/>
          <w:color w:val="000000"/>
          <w:sz w:val="28"/>
          <w:szCs w:val="28"/>
          <w:lang w:val="kk-KZ" w:eastAsia="ru-RU"/>
        </w:rPr>
        <w:t>Семіздігі бар ж</w:t>
      </w:r>
      <w:r>
        <w:rPr>
          <w:rFonts w:ascii="Times New Roman" w:hAnsi="Times New Roman" w:eastAsia="Times New Roman" w:cs="Times New Roman"/>
          <w:b/>
          <w:bCs/>
          <w:sz w:val="28"/>
          <w:szCs w:val="28"/>
          <w:lang w:val="kk-KZ" w:eastAsia="ru-RU"/>
        </w:rPr>
        <w:t>үктілілердің темір статусының параметрлеріне диеталық араласулар мен темір қоспаларының әсері</w:t>
      </w:r>
    </w:p>
    <w:p w14:paraId="39C4F605">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val="kk-KZ" w:eastAsia="ru-RU"/>
        </w:rPr>
      </w:pPr>
      <w:r>
        <w:rPr>
          <w:rFonts w:ascii="Times New Roman" w:hAnsi="Times New Roman" w:eastAsia="Times New Roman" w:cs="Times New Roman"/>
          <w:b/>
          <w:bCs/>
          <w:sz w:val="28"/>
          <w:szCs w:val="28"/>
          <w:lang w:val="kk-KZ" w:eastAsia="ru-RU"/>
        </w:rPr>
        <w:t xml:space="preserve"> </w:t>
      </w:r>
    </w:p>
    <w:p w14:paraId="43D330E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Темір тапшылығын емдеудің дәстүрлі әдісі — темір қоспаларын қабылдау. Дегенмен, зерттеулер қалыпты дене салмағы бар адамдармен салыстырғанда, артық салмағы немесе семіздігі бар адамдарда темір қоспаларының тиімділігі айтарлықтай төмен екенін көрсетті [11, 148]. Бұл құбылыс артық салмақ пен семіздікте байқалатын сарысудағы гепсидин деңгейінің жоғарылауына байланысты темір сіңуінің төмендеуімен түсіндіріледі [125]. Энергияны шектейтін диета немесе жаттығулар арқылы салмақ жоғалту гипоферемияны жақсартып, темір гомеостазын қалпына келтіруге көмектеседі [149]. Сонымен қатар, май тінінің азаюы қабынуға қарсы цитокиндер деңгейінің өзгеруіне әкеледі, бұл гепсидиннің төмендеуіне және темір статусының жақсаруына себеп болуы мүмкін [150, 151].</w:t>
      </w:r>
      <w:r>
        <w:rPr>
          <w:rFonts w:hint="default"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val="kk-KZ" w:eastAsia="ru-RU"/>
        </w:rPr>
        <w:t>Күрделі емес, сау жүктілік кезінде қалыпты салмағы бар әйелдерге қарағанда гепсидин деңгейі төмен болады [152]. Сонымен қатар, гепсидин деңгейі жүктіліктің бірінші және екінші триместрлеріне қарағанда үшінші триместрде төмен болады, бұл темірге деген жоғары талаптарды қанағаттандыру үшін маңызды [127, 33]. Алайда, анада қабыну немесе генетикалық бұзылулар болған жағдайда, темірге қажеттілік артады. Темірдің нашар сіңуінің қауіп факторы ретінде анадағы семіздік те қарастырылады. Семіздікпен өмір сүретін әйелдерде диеталық темірдің сіңірілуінің бұзылуы және ТТ мен ТТА негізгі себебі ретінде гепсидин деңгейінің жоғарылауы және дуоденальды ферропортиннің төмен деңгейі байқалады [120].</w:t>
      </w:r>
    </w:p>
    <w:p w14:paraId="1808285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Flores–Quijano және әріптестері жүкті әйелдердің диетасын зерттеп, 30 мг темір қоспасын қабылдауды бақылаған [19]. Темір статусының әртүрлі маркерлері өлшенді, соның ішінде гепсидин, sTFR, ферритин, сарысу темірі және гемоглобин, сондай–ақ қабыну маркерлері (CРА, ИЛ–6 және лептин). Жүктілік алдындағы ДСИ темір статусының көрсеткіштерімен байланыссыз, бірақ қабыну маркерлерімен оң байланыста болды. Гестацияның 13–аптасында ферритин, лептин және гепсидинмен оң байланыс анықталды, ал 34–аптадағы зерттеу қалыпты салмақтағы әйелдерде темір күйінің барлық маркерлері гепсидинмен байланысқанын, бірақ қабыну маркерлерімен байланыспағанын көрсетті. Дегенмен, семіздік кезінде гепсидин, сарысу темірі және қабыну маркерлерінің жоғары деңгейі байқалды.</w:t>
      </w:r>
    </w:p>
    <w:p w14:paraId="0C009FA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Koeing және басқалар [153] жүктілік алдындағы семіздіктің үшінші триместрдегі темір пайдалануға әсер етпейтінін анықтау үшін тұрақты изотоп әдісін қолданды. Талдау барысында 50 әйелде гепсидин, гемоглобин, TSAT, ЭПО және ИЛ–6 деңгейлері бойынша айтарлықтай айырмашылық байқалмады. Дегенмен, семіздік санатындағы әйелдерде СРА және дене темірі деңгейі айтарлықтай жоғары болды. Үшінші триместрде темір сіңіру бойынша семіздігі бар және қалыпты салмақтағы әйелдер арасында айтарлықтай айырмашылық анықталмады.</w:t>
      </w:r>
    </w:p>
    <w:p w14:paraId="0EFA4BF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3340612D">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Қорытынды</w:t>
      </w:r>
    </w:p>
    <w:p w14:paraId="47DCC228">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 xml:space="preserve"> </w:t>
      </w:r>
    </w:p>
    <w:p w14:paraId="7B1144F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Жүктілік алдындағы артық салмақ пен семіздік жүктілік және босанғаннан кейінгі кезеңде ана үшін де, бала үшін де ТТ және ТТА қаупін арттырады деген дәлелдер бар [16, 75, 76, 78, 138, 154, 177, 180]. Екінші триместрде жүргізілген зерттеулер семіз жүкті әйелдерде қабыну профилінің қалыптасқанын, олардың жоғары гепсидин, sTFR және ИЛ–6 деңгейлерімен қатар жоғары СРА бар екенін хабарлайды. Осылайша, артық салмақ пен семіздік ТТ және ТТА дамуында рөл атқарады [17, 145]. Бұдан басқа, босану кезінде жүктілік алдындағы ДСИ немесе ДСИ нәресте темір статусының көрсеткіштерімен кері байланыста болғаны анықталды [98, 155, 156]. Артық салмағы немесе семіздігі бар аналар акушерлік асқынулардың жоғарылауына және қан жоғалтуға байланысты ТТ және ТТА қаупіне бейім болады [156, 157, 158]. Сонымен қатар, қабыну темір метаболизміне әсер етпейтінін және семіздігі бар жас аналардан туған нәрестелерде дене темірі мен гемоглобин деңгейі қалыпты салмақтағы аналардан туған нәрестелермен салыстырғанда айтарлықтай жоғары болғанын көрсететін зерттеулер де бар [89]. TfR рецепторларының жоғары деңгейі әртүрлі ДСИ мәндері бар аналардың ұрықтың темір деңгейін қамтамасыз етуге ықпал етеді [16]. Дегенмен, семіздігі бар және қалыпты ДСИ бар аналардың плацентасының протеомикалық деректерінде айтарлықтай айырмашылықтар бар [106]. Үшінші триместрде диеталық темір сіңіруде семіздігі бар және қалыпты салмақтағы әйелдер арасында айырмашылық болмады [153].</w:t>
      </w:r>
    </w:p>
    <w:p w14:paraId="608F4F5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Акушерлік қауымдастықта семіздік деңгейінің жоғарылауы болжануда [30, 31, 32]. Әдетте, семіз жүкті әйелдер жүктілік кезінде қалыпты салмақтағы әйелдерге қарағанда көбірек салмақ жинайды [83]. Жүктілік кезінде артық салмақ қосу қаупін төмендету үшін қарқынды дене жаттығулары, төмен калориялы немесе төмен көмірсулы диеталар тиімді болуы мүмкін [159, 160, 161]. Мұндай іс–шаралар жүктілік кезінде темір статусының оңтайлы деңгейін қамтамасыз етуде маңызды рөл атқаруы мүмкін.</w:t>
      </w:r>
    </w:p>
    <w:p w14:paraId="74E3521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Жалпы дәлелдер артық салмақ пен семіздік жүктілік кезінде және босанғаннан кейін ана мен баланың ТТ және ТТА қаупін арттыратынын көрсетеді [154]. Дегенмен, ана мен нәресте денсаулығын жақсарту үшін қосымша зерттеулер қажет. ТТ мен семіздік арасындағы байланыстарды зерттеуге бағытталған болашақ зерттеулер үшін клиникалық және лабораториялық деректер қажет, әсіресе Қазақстанда бұл салада зерттеулер әлі де аз. Сондықтан кешенді зерттеу қажет деп саналады.</w:t>
      </w:r>
    </w:p>
    <w:p w14:paraId="58B3459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7080BACB">
      <w:pPr>
        <w:widowControl w:val="0"/>
        <w:autoSpaceDE w:val="0"/>
        <w:autoSpaceDN w:val="0"/>
        <w:spacing w:after="0" w:line="276" w:lineRule="auto"/>
        <w:ind w:firstLine="709"/>
        <w:jc w:val="center"/>
        <w:outlineLvl w:val="0"/>
        <w:rPr>
          <w:rFonts w:ascii="Times New Roman" w:hAnsi="Times New Roman" w:eastAsia="Times New Roman" w:cs="Times New Roman"/>
          <w:b/>
          <w:bCs/>
          <w:kern w:val="36"/>
          <w:sz w:val="28"/>
          <w:szCs w:val="28"/>
          <w:lang w:val="kk-KZ" w:eastAsia="ru-RU"/>
        </w:rPr>
      </w:pPr>
      <w:r>
        <w:rPr>
          <w:rFonts w:ascii="Times New Roman" w:hAnsi="Times New Roman" w:eastAsia="Times New Roman" w:cs="Times New Roman"/>
          <w:b/>
          <w:bCs/>
          <w:kern w:val="36"/>
          <w:sz w:val="28"/>
          <w:szCs w:val="28"/>
          <w:lang w:val="kk-KZ" w:eastAsia="ru-RU"/>
        </w:rPr>
        <w:t>БӨЛІМ 2. НАУҚАСТАРДЫҢ КЛИНИКАЛЫҚ СИПАТТАМАЛАРЫ МЕН ЗЕРТЕУ ӘДІСТЕРІ</w:t>
      </w:r>
    </w:p>
    <w:p w14:paraId="158AE5E6">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val="kk-KZ" w:eastAsia="ru-RU"/>
        </w:rPr>
      </w:pPr>
      <w:r>
        <w:rPr>
          <w:rFonts w:ascii="Times New Roman" w:hAnsi="Times New Roman" w:eastAsia="Times New Roman" w:cs="Times New Roman"/>
          <w:b/>
          <w:bCs/>
          <w:kern w:val="36"/>
          <w:sz w:val="28"/>
          <w:szCs w:val="28"/>
          <w:lang w:val="kk-KZ" w:eastAsia="ru-RU"/>
        </w:rPr>
        <w:t xml:space="preserve"> </w:t>
      </w:r>
    </w:p>
    <w:p w14:paraId="0CA26E9E">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2.1 Зерттеу барысының жалпы сипаттамалары және EVOLIS құрылғысы жайлы</w:t>
      </w:r>
    </w:p>
    <w:p w14:paraId="4E7A5081">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 xml:space="preserve"> </w:t>
      </w:r>
    </w:p>
    <w:p w14:paraId="456F4C0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lang w:eastAsia="ru-RU"/>
        </w:rPr>
        <mc:AlternateContent>
          <mc:Choice Requires="wpg">
            <w:drawing>
              <wp:anchor distT="0" distB="0" distL="114300" distR="114300" simplePos="0" relativeHeight="251660288" behindDoc="0" locked="0" layoutInCell="1" allowOverlap="1">
                <wp:simplePos x="0" y="0"/>
                <wp:positionH relativeFrom="margin">
                  <wp:posOffset>221615</wp:posOffset>
                </wp:positionH>
                <wp:positionV relativeFrom="paragraph">
                  <wp:posOffset>2340610</wp:posOffset>
                </wp:positionV>
                <wp:extent cx="5143500" cy="5048250"/>
                <wp:effectExtent l="4445" t="0" r="14605" b="19685"/>
                <wp:wrapNone/>
                <wp:docPr id="2" name="Group 20"/>
                <wp:cNvGraphicFramePr/>
                <a:graphic xmlns:a="http://schemas.openxmlformats.org/drawingml/2006/main">
                  <a:graphicData uri="http://schemas.microsoft.com/office/word/2010/wordprocessingGroup">
                    <wpg:wgp>
                      <wpg:cNvGrpSpPr/>
                      <wpg:grpSpPr>
                        <a:xfrm>
                          <a:off x="0" y="0"/>
                          <a:ext cx="5143500" cy="5048250"/>
                          <a:chOff x="0" y="52964"/>
                          <a:chExt cx="7797113" cy="4325375"/>
                        </a:xfrm>
                      </wpg:grpSpPr>
                      <wps:wsp>
                        <wps:cNvPr id="1773774935" name="Rectangle 1773774935"/>
                        <wps:cNvSpPr/>
                        <wps:spPr>
                          <a:xfrm>
                            <a:off x="2780270" y="700875"/>
                            <a:ext cx="2286000" cy="9144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47F67BC3">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 xml:space="preserve">Жалпы </w:t>
                              </w:r>
                            </w:p>
                            <w:p w14:paraId="55F6C9EC">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қатысушылар саны</w:t>
                              </w:r>
                            </w:p>
                            <w:p w14:paraId="77AD33A7">
                              <w:pPr>
                                <w:spacing w:after="0" w:line="240" w:lineRule="auto"/>
                                <w:jc w:val="center"/>
                                <w:rPr>
                                  <w:rFonts w:ascii="Times New Roman" w:hAnsi="Times New Roman" w:cs="Times New Roman"/>
                                  <w:color w:val="000000" w:themeColor="text1"/>
                                  <w:kern w:val="24"/>
                                  <w:sz w:val="28"/>
                                  <w:szCs w:val="28"/>
                                  <w14:textFill>
                                    <w14:solidFill>
                                      <w14:schemeClr w14:val="tx1"/>
                                    </w14:solidFill>
                                  </w14:textFill>
                                </w:rPr>
                              </w:pPr>
                              <w:r>
                                <w:rPr>
                                  <w:rFonts w:ascii="Times New Roman" w:hAnsi="Times New Roman" w:cs="Times New Roman"/>
                                  <w:color w:val="000000" w:themeColor="text1"/>
                                  <w:kern w:val="24"/>
                                  <w:sz w:val="28"/>
                                  <w:szCs w:val="28"/>
                                  <w14:textFill>
                                    <w14:solidFill>
                                      <w14:schemeClr w14:val="tx1"/>
                                    </w14:solidFill>
                                  </w14:textFill>
                                </w:rPr>
                                <w:t>(</w:t>
                              </w:r>
                              <w:r>
                                <w:rPr>
                                  <w:rFonts w:ascii="Times New Roman" w:hAnsi="Times New Roman" w:cs="Times New Roman"/>
                                  <w:color w:val="000000" w:themeColor="text1"/>
                                  <w:kern w:val="24"/>
                                  <w:sz w:val="28"/>
                                  <w:szCs w:val="28"/>
                                  <w:lang w:val="kk-KZ"/>
                                  <w14:textFill>
                                    <w14:solidFill>
                                      <w14:schemeClr w14:val="tx1"/>
                                    </w14:solidFill>
                                  </w14:textFill>
                                </w:rPr>
                                <w:t>n=167</w:t>
                              </w:r>
                              <w:r>
                                <w:rPr>
                                  <w:rFonts w:ascii="Times New Roman" w:hAnsi="Times New Roman" w:cs="Times New Roman"/>
                                  <w:color w:val="000000" w:themeColor="text1"/>
                                  <w:kern w:val="24"/>
                                  <w:sz w:val="28"/>
                                  <w:szCs w:val="28"/>
                                  <w14:textFill>
                                    <w14:solidFill>
                                      <w14:schemeClr w14:val="tx1"/>
                                    </w14:solidFill>
                                  </w14:textFill>
                                </w:rPr>
                                <w:t>)</w:t>
                              </w:r>
                            </w:p>
                          </w:txbxContent>
                        </wps:txbx>
                        <wps:bodyPr rtlCol="0" anchor="ctr"/>
                      </wps:wsp>
                      <wps:wsp>
                        <wps:cNvPr id="102601536" name="Rectangle 102601536"/>
                        <wps:cNvSpPr/>
                        <wps:spPr>
                          <a:xfrm>
                            <a:off x="696316" y="2101077"/>
                            <a:ext cx="2905797" cy="914055"/>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00836A62">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Дене салмағының</w:t>
                              </w:r>
                            </w:p>
                            <w:p w14:paraId="4C94DA36">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индексі қалыпты жүкті</w:t>
                              </w:r>
                            </w:p>
                            <w:p w14:paraId="058434B2">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(n=83)</w:t>
                              </w:r>
                            </w:p>
                          </w:txbxContent>
                        </wps:txbx>
                        <wps:bodyPr rtlCol="0" anchor="ctr"/>
                      </wps:wsp>
                      <wps:wsp>
                        <wps:cNvPr id="1347944131" name="Rectangle 1347944131"/>
                        <wps:cNvSpPr/>
                        <wps:spPr>
                          <a:xfrm>
                            <a:off x="4234249" y="2101307"/>
                            <a:ext cx="2905897" cy="9144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0B07B3CE">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Дене салмағының</w:t>
                              </w:r>
                            </w:p>
                            <w:p w14:paraId="4189ACCB">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индексі &gt;29 кг/м2</w:t>
                              </w:r>
                            </w:p>
                            <w:p w14:paraId="59B6C21C">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жоғары жүкті</w:t>
                              </w:r>
                            </w:p>
                            <w:p w14:paraId="53418842">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(n=84)</w:t>
                              </w:r>
                            </w:p>
                          </w:txbxContent>
                        </wps:txbx>
                        <wps:bodyPr rtlCol="0" anchor="ctr"/>
                      </wps:wsp>
                      <wps:wsp>
                        <wps:cNvPr id="436236856" name="Rectangle 436236856"/>
                        <wps:cNvSpPr/>
                        <wps:spPr>
                          <a:xfrm>
                            <a:off x="0" y="3454972"/>
                            <a:ext cx="1684638" cy="9144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0BB464F4">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Дені сау жүкті</w:t>
                              </w:r>
                            </w:p>
                            <w:p w14:paraId="229197BE">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Бақылау тобы</w:t>
                              </w:r>
                            </w:p>
                            <w:p w14:paraId="46772938">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(n=43)</w:t>
                              </w:r>
                            </w:p>
                          </w:txbxContent>
                        </wps:txbx>
                        <wps:bodyPr rtlCol="0" anchor="ctr"/>
                      </wps:wsp>
                      <wps:wsp>
                        <wps:cNvPr id="1588463168" name="Rectangle 1588463168"/>
                        <wps:cNvSpPr/>
                        <wps:spPr>
                          <a:xfrm>
                            <a:off x="1983259" y="3454972"/>
                            <a:ext cx="1618735" cy="9144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7A19132B">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Анемиясы бар жүкті</w:t>
                              </w:r>
                            </w:p>
                            <w:p w14:paraId="2F015C59">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(n=40)</w:t>
                              </w:r>
                            </w:p>
                          </w:txbxContent>
                        </wps:txbx>
                        <wps:bodyPr rtlCol="0" anchor="ctr"/>
                      </wps:wsp>
                      <wps:wsp>
                        <wps:cNvPr id="778941656" name="Rectangle 778941656"/>
                        <wps:cNvSpPr/>
                        <wps:spPr>
                          <a:xfrm>
                            <a:off x="4234249" y="3463939"/>
                            <a:ext cx="1692876" cy="9144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5FD74225">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Семіздігі және</w:t>
                              </w:r>
                            </w:p>
                            <w:p w14:paraId="60115D08">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анемиясы бар жүкті</w:t>
                              </w:r>
                            </w:p>
                            <w:p w14:paraId="152AE2B6">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(n=48)</w:t>
                              </w:r>
                            </w:p>
                          </w:txbxContent>
                        </wps:txbx>
                        <wps:bodyPr rtlCol="0" anchor="ctr"/>
                      </wps:wsp>
                      <wps:wsp>
                        <wps:cNvPr id="257795315" name="Rectangle 257795315"/>
                        <wps:cNvSpPr/>
                        <wps:spPr>
                          <a:xfrm>
                            <a:off x="6236043" y="3463939"/>
                            <a:ext cx="1561070" cy="9144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4E5AF1EC">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Семіздігі бар жүкті</w:t>
                              </w:r>
                            </w:p>
                            <w:p w14:paraId="11FFD36A">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(n=36)</w:t>
                              </w:r>
                            </w:p>
                          </w:txbxContent>
                        </wps:txbx>
                        <wps:bodyPr rtlCol="0" anchor="ctr"/>
                      </wps:wsp>
                      <wps:wsp>
                        <wps:cNvPr id="680240892" name="Arrow: Down 680240892"/>
                        <wps:cNvSpPr/>
                        <wps:spPr>
                          <a:xfrm>
                            <a:off x="2977978" y="1660582"/>
                            <a:ext cx="411892" cy="395418"/>
                          </a:xfrm>
                          <a:prstGeom prst="down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1159920401" name="Arrow: Down 1159920401"/>
                        <wps:cNvSpPr/>
                        <wps:spPr>
                          <a:xfrm>
                            <a:off x="4518456" y="1660582"/>
                            <a:ext cx="411892" cy="395418"/>
                          </a:xfrm>
                          <a:prstGeom prst="down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970989324" name="Arrow: Down 970989324"/>
                        <wps:cNvSpPr/>
                        <wps:spPr>
                          <a:xfrm>
                            <a:off x="1186248" y="3037630"/>
                            <a:ext cx="411892" cy="395418"/>
                          </a:xfrm>
                          <a:prstGeom prst="down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1748465875" name="Arrow: Down 1748465875"/>
                        <wps:cNvSpPr/>
                        <wps:spPr>
                          <a:xfrm>
                            <a:off x="2977977" y="3037630"/>
                            <a:ext cx="411892" cy="395418"/>
                          </a:xfrm>
                          <a:prstGeom prst="down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284937535" name="Arrow: Down 284937535"/>
                        <wps:cNvSpPr/>
                        <wps:spPr>
                          <a:xfrm>
                            <a:off x="4518456" y="3059554"/>
                            <a:ext cx="411892" cy="395418"/>
                          </a:xfrm>
                          <a:prstGeom prst="down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94260741" name="Arrow: Down 94260741"/>
                        <wps:cNvSpPr/>
                        <wps:spPr>
                          <a:xfrm>
                            <a:off x="6604686" y="3037630"/>
                            <a:ext cx="411892" cy="395418"/>
                          </a:xfrm>
                          <a:prstGeom prst="downArrow">
                            <a:avLst/>
                          </a:prstGeom>
                        </wps:spPr>
                        <wps:style>
                          <a:lnRef idx="1">
                            <a:schemeClr val="accent1"/>
                          </a:lnRef>
                          <a:fillRef idx="3">
                            <a:schemeClr val="accent1"/>
                          </a:fillRef>
                          <a:effectRef idx="2">
                            <a:schemeClr val="accent1"/>
                          </a:effectRef>
                          <a:fontRef idx="minor">
                            <a:schemeClr val="lt1"/>
                          </a:fontRef>
                        </wps:style>
                        <wps:bodyPr rtlCol="0" anchor="ctr"/>
                      </wps:wsp>
                      <wps:wsp>
                        <wps:cNvPr id="305275676" name="TextBox 19"/>
                        <wps:cNvSpPr txBox="1"/>
                        <wps:spPr>
                          <a:xfrm>
                            <a:off x="1514793" y="52964"/>
                            <a:ext cx="5526552" cy="494372"/>
                          </a:xfrm>
                          <a:prstGeom prst="rect">
                            <a:avLst/>
                          </a:prstGeom>
                          <a:noFill/>
                        </wps:spPr>
                        <wps:txbx>
                          <w:txbxContent>
                            <w:p w14:paraId="1EE951A5">
                              <w:pPr>
                                <w:ind w:firstLine="420" w:firstLineChars="150"/>
                                <w:rPr>
                                  <w:rFonts w:ascii="Times New Roman" w:hAnsi="Times New Roman" w:cs="Times New Roman"/>
                                  <w:b/>
                                  <w:bCs/>
                                  <w:color w:val="000000" w:themeColor="text1"/>
                                  <w:kern w:val="24"/>
                                  <w:sz w:val="28"/>
                                  <w:szCs w:val="28"/>
                                  <w14:textFill>
                                    <w14:solidFill>
                                      <w14:schemeClr w14:val="tx1"/>
                                    </w14:solidFill>
                                  </w14:textFill>
                                </w:rPr>
                              </w:pPr>
                              <w:r>
                                <w:rPr>
                                  <w:rFonts w:ascii="Times New Roman" w:hAnsi="Times New Roman" w:cs="Times New Roman"/>
                                  <w:b/>
                                  <w:bCs/>
                                  <w:color w:val="000000" w:themeColor="text1"/>
                                  <w:kern w:val="24"/>
                                  <w:sz w:val="28"/>
                                  <w:szCs w:val="28"/>
                                  <w14:textFill>
                                    <w14:solidFill>
                                      <w14:schemeClr w14:val="tx1"/>
                                    </w14:solidFill>
                                  </w14:textFill>
                                </w:rPr>
                                <w:t>К</w:t>
                              </w:r>
                              <w:r>
                                <w:rPr>
                                  <w:rFonts w:ascii="Times New Roman" w:hAnsi="Times New Roman" w:cs="Times New Roman"/>
                                  <w:b/>
                                  <w:bCs/>
                                  <w:color w:val="000000" w:themeColor="text1"/>
                                  <w:kern w:val="24"/>
                                  <w:sz w:val="28"/>
                                  <w:szCs w:val="28"/>
                                  <w:lang w:val="kk-KZ"/>
                                  <w14:textFill>
                                    <w14:solidFill>
                                      <w14:schemeClr w14:val="tx1"/>
                                    </w14:solidFill>
                                  </w14:textFill>
                                </w:rPr>
                                <w:t>ездейсоқ бақылау дизайны</w:t>
                              </w:r>
                            </w:p>
                          </w:txbxContent>
                        </wps:txbx>
                        <wps:bodyPr wrap="square">
                          <a:noAutofit/>
                        </wps:bodyPr>
                      </wps:wsp>
                    </wpg:wgp>
                  </a:graphicData>
                </a:graphic>
              </wp:anchor>
            </w:drawing>
          </mc:Choice>
          <mc:Fallback>
            <w:pict>
              <v:group id="Group 20" o:spid="_x0000_s1026" o:spt="203" style="position:absolute;left:0pt;margin-left:17.45pt;margin-top:184.3pt;height:397.5pt;width:405pt;mso-position-horizontal-relative:margin;z-index:251660288;mso-width-relative:page;mso-height-relative:page;" coordorigin="0,52964" coordsize="7797113,4325375" o:gfxdata="UEsDBAoAAAAAAIdO4kAAAAAAAAAAAAAAAAAEAAAAZHJzL1BLAwQUAAAACACHTuJAsmwZEtoAAAAL&#10;AQAADwAAAGRycy9kb3ducmV2LnhtbE2PwWrDMAyG74O9g9Fgt9Xx0pk0jVNG2XYqg7WDsZsbq0lo&#10;bIfYTdq3n3paT0LSx69PxepsOzbiEFrvFIhZAgxd5U3ragXfu/enDFiI2hndeYcKLhhgVd7fFTo3&#10;fnJfOG5jzSjEhVwraGLsc85D1aDVYeZ7dLQ7+MHqSO1QczPoicJtx5+TRHKrW0cXGt3jusHquD1Z&#10;BR+Tnl5T8TZujof15Xf38vmzEajU44NIlsAinuM/DFd9UoeSnPb+5ExgnYJ0viCSqswkMAKy+XWy&#10;J1LIVAIvC377Q/kHUEsDBBQAAAAIAIdO4kAfPgy/wAUAABUtAAAOAAAAZHJzL2Uyb0RvYy54bWzt&#10;Wktv4zYQvhfofxB0byy+RNGIs0jibi7tdtHdomdGlmUBkqiSSuz99x2SeiVxmvUWDdpGhzgSSZHD&#10;4Tcz5Mc5f3eoyuA+06ZQ9SpEZ1EYZHWqNkWdr8LfPr//IQkD08p6I0tVZ6vwS2bCdxfff3e+b5YZ&#10;VjtVbjIdQCe1We6bVbhr22a5WJh0l1XSnKkmq6Fyq3QlW3jV+WKj5R56r8oFjqJ4sVd602iVZsZA&#10;6dpXhl2P+ms6VNttkWZrld5VWd36XnVWyhamZHZFY8ILJ+12m6XtL9utydqgXIUw09b9wiDwfGt/&#10;Fxfncplr2eyKtBNBfo0Ij+ZUyaKGQYeu1rKVwZ0unnRVFalWRm3bs1RVCz8RpxGYBYoe6eZGq7vG&#10;zSVf7vNmUDos1COtf3O36Yf7jzooNqsQh0EtK1hwN2qAnW72Tb6EJje6+dR81KAsW5D7Nzvdw1ZX&#10;9j9MJDg4rX4ZtJod2iCFQoYoYREoPIU6FtEEs07v6Q4WZ/yOYRFTvyLp7sfua84FR4j4rynBjHBm&#10;2yz6wRcPRNo3gEozqsr8PVV92skmcytgrB46VSHOCedUENbr7FcAmqzzMgsmdU5d7rtBeWZpQI9H&#10;NId5EmEOSgId8ShK/CTlslcixkkc9UoUiFJ4nmpBLhtt2ptMVYF9WIUaJHKIlPc/mdY37ZvY8Y0q&#10;i837oizdi85vr0sd3Eswk8v1lbi+dN+Wd9XPauOLYUQ/plxCsV0419pK1YtifDducR70X9bBfhXG&#10;AANYRwlOYwvGCo9VA8AzdR4GsszBG6WtduM++Ljr1Q/HrsTVugfAg2Z2cmtpdr6dq/JYqooWHFZZ&#10;VKswscL20pY1CGrx4pfEPrWH20O3ardq8wWWW7fltfK+Q9bpToHrsEJafXZQszbxGpiLcBwhRuIj&#10;kBuqOtkBqS8jLhYxQdAbAA4j8D2ce3UNiBMRA9vzhgeIi1iv9t7oezjNiLNm8/9DHKFcUIoIOgK5&#10;se4UzFFMKKZiAB2JjoAumYBudnMQ596Sm6MkxiRO2BE3N1adAjkfUgllVHD80MOhOKExge2u3ZjM&#10;MdXGtLcFNsQSiwDAwREPN9adAjckEtijeg/3DOhQwu3GcQbd29zIcZ4IiuJjHm6sOgVy06BKAM6C&#10;iMd+TuCEg0edIfc2IYcZnKIZQUeOq2PVKZCzMTqicCiHwHkcciyGE0V35p9D69sLrTHQGTRKxMAq&#10;XWqt9stgrfZ1MFaeAjosLBcEoRpAh+I4Ysmj/RxFyA1o3RwRjKLEndN7ougJRbIBWZxYf8WTADfo&#10;aJJAq/b3ot05RggEcN/kBrgVS6DkJmgUcE2Rpy+mdApHl/H6ypfLdqBTUEQ6KsLxKZNyIEk7fqwt&#10;6tbTGcKyL91spixLbqajA8sGrZ4QOowBZ3JEAuSawxI8lmAsNzu5ybwIrvXLMnTNnghBSXJ5LZxw&#10;U1ZJCCuyk8FMtWOV0JePMgBJ9qwaYO86LEdZ1AHQcUA3OtYK/JBJZZkB2dRPoF9WN/n/CDv1r6Ok&#10;EBMCRzQaCIKpkaOx9hQrpwwl1G6OZiu3lKw7k81WPqhhtvLXJp4Fj0QiCKb9GXlq5GPlKTYOcTrG&#10;1EdyEhEek87V99zzHMld+HsSROdIPkfyf+ZCkwIRxuytY3cJPDVyxIfaU6zc79fhAslux2crH0LY&#10;eFqY9+vd8Wner7/GFTJOIGWBszFrYWrkY+UpNj7drZOICca6BI45kneMwGzjs43bjKRXShMRFNJE&#10;OD16Ih/qTrFwINponPjz+BzF5/P4JMXL0hLzefy1z+MQZjFnsb3P8/manyHWXqlDgNy1n01G6/K/&#10;gvYA5Zar7gz+mdxDBBmaXPjbnEkOZh/CGcMx/PnrQyoo8XkUsPLfmAhWK5t3CDK9mH23h8RcyKz6&#10;405qm4Upl7W6vGvVtnAJjXaqnhPtunJu1uWDQrasx6bP7LXpuNN3137MZr74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MIAABbQ29udGVudF9U&#10;eXBlc10ueG1sUEsBAhQACgAAAAAAh07iQAAAAAAAAAAAAAAAAAYAAAAAAAAAAAAQAAAAFQcAAF9y&#10;ZWxzL1BLAQIUABQAAAAIAIdO4kCKFGY80QAAAJQBAAALAAAAAAAAAAEAIAAAADkHAABfcmVscy8u&#10;cmVsc1BLAQIUAAoAAAAAAIdO4kAAAAAAAAAAAAAAAAAEAAAAAAAAAAAAEAAAAAAAAABkcnMvUEsB&#10;AhQAFAAAAAgAh07iQLJsGRLaAAAACwEAAA8AAAAAAAAAAQAgAAAAIgAAAGRycy9kb3ducmV2Lnht&#10;bFBLAQIUABQAAAAIAIdO4kAfPgy/wAUAABUtAAAOAAAAAAAAAAEAIAAAACkBAABkcnMvZTJvRG9j&#10;LnhtbFBLBQYAAAAABgAGAFkBAABbCQAAAAA=&#10;">
                <o:lock v:ext="edit" aspectratio="f"/>
                <v:rect id="Rectangle 1773774935" o:spid="_x0000_s1026" o:spt="1" style="position:absolute;left:2780270;top:700875;height:914400;width:2286000;v-text-anchor:middle;" fillcolor="#ADB9CA [1311]" filled="t" stroked="t" coordsize="21600,21600" o:gfxdata="UEsDBAoAAAAAAIdO4kAAAAAAAAAAAAAAAAAEAAAAZHJzL1BLAwQUAAAACACHTuJALIr1UsIAAADj&#10;AAAADwAAAGRycy9kb3ducmV2LnhtbEVPO2vDMBDeC/kP4gLdGjm1G6dOlEADLRm65DF0PKyLbWKd&#10;jKTaTn99VShkvO996+1oWtGT841lBfNZAoK4tLrhSsH59P60BOEDssbWMim4kYftZvKwxkLbgQ/U&#10;H0MlYgj7AhXUIXSFlL6syaCf2Y44chfrDIZ4ukpqh0MMN618TpKFNNhwbKixo11N5fX4bRSMfvhZ&#10;pO6t298Oy535+sj6z0um1ON0nqxABBrDXfzv3us4P8/TPM9e0xf4+ykCID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yK&#10;9VLCAAAA4wAAAA8AAAAAAAAAAQAgAAAAIgAAAGRycy9kb3ducmV2LnhtbFBLAQIUABQAAAAIAIdO&#10;4kAzLwWeOwAAADkAAAAQAAAAAAAAAAEAIAAAABEBAABkcnMvc2hhcGV4bWwueG1sUEsFBgAAAAAG&#10;AAYAWwEAALsDAAAAAA==&#10;">
                  <v:fill on="t" focussize="0,0"/>
                  <v:stroke weight="0.5pt" color="#5B9BD5 [3204]" miterlimit="8" joinstyle="miter"/>
                  <v:imagedata o:title=""/>
                  <o:lock v:ext="edit" aspectratio="f"/>
                  <v:textbox>
                    <w:txbxContent>
                      <w:p w14:paraId="47F67BC3">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 xml:space="preserve">Жалпы </w:t>
                        </w:r>
                      </w:p>
                      <w:p w14:paraId="55F6C9EC">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қатысушылар саны</w:t>
                        </w:r>
                      </w:p>
                      <w:p w14:paraId="77AD33A7">
                        <w:pPr>
                          <w:spacing w:after="0" w:line="240" w:lineRule="auto"/>
                          <w:jc w:val="center"/>
                          <w:rPr>
                            <w:rFonts w:ascii="Times New Roman" w:hAnsi="Times New Roman" w:cs="Times New Roman"/>
                            <w:color w:val="000000" w:themeColor="text1"/>
                            <w:kern w:val="24"/>
                            <w:sz w:val="28"/>
                            <w:szCs w:val="28"/>
                            <w14:textFill>
                              <w14:solidFill>
                                <w14:schemeClr w14:val="tx1"/>
                              </w14:solidFill>
                            </w14:textFill>
                          </w:rPr>
                        </w:pPr>
                        <w:r>
                          <w:rPr>
                            <w:rFonts w:ascii="Times New Roman" w:hAnsi="Times New Roman" w:cs="Times New Roman"/>
                            <w:color w:val="000000" w:themeColor="text1"/>
                            <w:kern w:val="24"/>
                            <w:sz w:val="28"/>
                            <w:szCs w:val="28"/>
                            <w14:textFill>
                              <w14:solidFill>
                                <w14:schemeClr w14:val="tx1"/>
                              </w14:solidFill>
                            </w14:textFill>
                          </w:rPr>
                          <w:t>(</w:t>
                        </w:r>
                        <w:r>
                          <w:rPr>
                            <w:rFonts w:ascii="Times New Roman" w:hAnsi="Times New Roman" w:cs="Times New Roman"/>
                            <w:color w:val="000000" w:themeColor="text1"/>
                            <w:kern w:val="24"/>
                            <w:sz w:val="28"/>
                            <w:szCs w:val="28"/>
                            <w:lang w:val="kk-KZ"/>
                            <w14:textFill>
                              <w14:solidFill>
                                <w14:schemeClr w14:val="tx1"/>
                              </w14:solidFill>
                            </w14:textFill>
                          </w:rPr>
                          <w:t>n=167</w:t>
                        </w:r>
                        <w:r>
                          <w:rPr>
                            <w:rFonts w:ascii="Times New Roman" w:hAnsi="Times New Roman" w:cs="Times New Roman"/>
                            <w:color w:val="000000" w:themeColor="text1"/>
                            <w:kern w:val="24"/>
                            <w:sz w:val="28"/>
                            <w:szCs w:val="28"/>
                            <w14:textFill>
                              <w14:solidFill>
                                <w14:schemeClr w14:val="tx1"/>
                              </w14:solidFill>
                            </w14:textFill>
                          </w:rPr>
                          <w:t>)</w:t>
                        </w:r>
                      </w:p>
                    </w:txbxContent>
                  </v:textbox>
                </v:rect>
                <v:rect id="Rectangle 102601536" o:spid="_x0000_s1026" o:spt="1" style="position:absolute;left:696316;top:2101077;height:914055;width:2905797;v-text-anchor:middle;" fillcolor="#ADB9CA [1311]" filled="t" stroked="t" coordsize="21600,21600" o:gfxdata="UEsDBAoAAAAAAIdO4kAAAAAAAAAAAAAAAAAEAAAAZHJzL1BLAwQUAAAACACHTuJAQB7JZcAAAADi&#10;AAAADwAAAGRycy9kb3ducmV2LnhtbEVPyWrDMBC9F/IPYgK9NZKzmOBGCTTQkkMvWQ45DtbENrVG&#10;RlJtp19fFQo5Pt6+2Y22FT350DjWkM0UCOLSmYYrDZfz+8saRIjIBlvHpOFOAXbbydMGC+MGPlJ/&#10;ipVIIRwK1FDH2BVShrImi2HmOuLE3Zy3GBP0lTQehxRuWzlXKpcWG04NNXa0r6n8On1bDWMYfvKF&#10;f+sO9+N6b68fy/7zttT6eZqpVxCRxvgQ/7sPJs1X81xlq0UOf5cSBrn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Hsll&#10;wAAAAOIAAAAPAAAAAAAAAAEAIAAAACIAAABkcnMvZG93bnJldi54bWxQSwECFAAUAAAACACHTuJA&#10;My8FnjsAAAA5AAAAEAAAAAAAAAABACAAAAAPAQAAZHJzL3NoYXBleG1sLnhtbFBLBQYAAAAABgAG&#10;AFsBAAC5AwAAAAA=&#10;">
                  <v:fill on="t" focussize="0,0"/>
                  <v:stroke weight="0.5pt" color="#5B9BD5 [3204]" miterlimit="8" joinstyle="miter"/>
                  <v:imagedata o:title=""/>
                  <o:lock v:ext="edit" aspectratio="f"/>
                  <v:textbox>
                    <w:txbxContent>
                      <w:p w14:paraId="00836A62">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Дене салмағының</w:t>
                        </w:r>
                      </w:p>
                      <w:p w14:paraId="4C94DA36">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индексі қалыпты жүкті</w:t>
                        </w:r>
                      </w:p>
                      <w:p w14:paraId="058434B2">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(n=83)</w:t>
                        </w:r>
                      </w:p>
                    </w:txbxContent>
                  </v:textbox>
                </v:rect>
                <v:rect id="Rectangle 1347944131" o:spid="_x0000_s1026" o:spt="1" style="position:absolute;left:4234249;top:2101307;height:914400;width:2905897;v-text-anchor:middle;" fillcolor="#ADB9CA [1311]" filled="t" stroked="t" coordsize="21600,21600" o:gfxdata="UEsDBAoAAAAAAIdO4kAAAAAAAAAAAAAAAAAEAAAAZHJzL1BLAwQUAAAACACHTuJA91lV7MIAAADj&#10;AAAADwAAAGRycy9kb3ducmV2LnhtbEVPT0vDMBS/C/sO4Q28ubRrmLMuG2yg7OBlmwePj+atLTYv&#10;JYlt56c3guDx/f6/zW6ynRjIh9axhnyRgSCunGm51vB+eXlYgwgR2WDnmDTcKMBuO7vbYGncyCca&#10;zrEWKYRDiRqaGPtSylA1ZDEsXE+cuKvzFmM6fS2NxzGF204us2wlLbacGhrs6dBQ9Xn+shqmMH6v&#10;Cr/vj7fT+mA/XtXwdlVa38/z7BlEpCn+i//cR5PmF+rxSam8yOH3pwSA3P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dZ&#10;VezCAAAA4wAAAA8AAAAAAAAAAQAgAAAAIgAAAGRycy9kb3ducmV2LnhtbFBLAQIUABQAAAAIAIdO&#10;4kAzLwWeOwAAADkAAAAQAAAAAAAAAAEAIAAAABEBAABkcnMvc2hhcGV4bWwueG1sUEsFBgAAAAAG&#10;AAYAWwEAALsDAAAAAA==&#10;">
                  <v:fill on="t" focussize="0,0"/>
                  <v:stroke weight="0.5pt" color="#5B9BD5 [3204]" miterlimit="8" joinstyle="miter"/>
                  <v:imagedata o:title=""/>
                  <o:lock v:ext="edit" aspectratio="f"/>
                  <v:textbox>
                    <w:txbxContent>
                      <w:p w14:paraId="0B07B3CE">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Дене салмағының</w:t>
                        </w:r>
                      </w:p>
                      <w:p w14:paraId="4189ACCB">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индексі &gt;29 кг/м2</w:t>
                        </w:r>
                      </w:p>
                      <w:p w14:paraId="59B6C21C">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жоғары жүкті</w:t>
                        </w:r>
                      </w:p>
                      <w:p w14:paraId="53418842">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(n=84)</w:t>
                        </w:r>
                      </w:p>
                    </w:txbxContent>
                  </v:textbox>
                </v:rect>
                <v:rect id="Rectangle 436236856" o:spid="_x0000_s1026" o:spt="1" style="position:absolute;left:0;top:3454972;height:914400;width:1684638;v-text-anchor:middle;" fillcolor="#ADB9CA [1311]" filled="t" stroked="t" coordsize="21600,21600" o:gfxdata="UEsDBAoAAAAAAIdO4kAAAAAAAAAAAAAAAAAEAAAAZHJzL1BLAwQUAAAACACHTuJAUaxjMMQAAADi&#10;AAAADwAAAGRycy9kb3ducmV2LnhtbEWPwWrDMBBE74X8g9hAb42c2BXGjRJooCWHXpL00ONibWxT&#10;a2Uk1Xb69VWh0OMwM2+Y7X62vRjJh86xhvUqA0FcO9Nxo+H98vJQgggR2WDvmDTcKMB+t7jbYmXc&#10;xCcaz7ERCcKhQg1tjEMlZahbshhWbiBO3tV5izFJ30jjcUpw28tNlilpseO00OJAh5bqz/OX1TCH&#10;6Vvl/nk43k7lwX68FuPbtdD6frnOnkBEmuN/+K99NBqKXG1yVT4q+L2U7oDc/Q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axjMMQAAADiAAAADwAAAAAAAAABACAAAAAiAAAAZHJzL2Rvd25yZXYueG1sUEsBAhQAFAAAAAgA&#10;h07iQDMvBZ47AAAAOQAAABAAAAAAAAAAAQAgAAAAEwEAAGRycy9zaGFwZXhtbC54bWxQSwUGAAAA&#10;AAYABgBbAQAAvQMAAAAA&#10;">
                  <v:fill on="t" focussize="0,0"/>
                  <v:stroke weight="0.5pt" color="#5B9BD5 [3204]" miterlimit="8" joinstyle="miter"/>
                  <v:imagedata o:title=""/>
                  <o:lock v:ext="edit" aspectratio="f"/>
                  <v:textbox>
                    <w:txbxContent>
                      <w:p w14:paraId="0BB464F4">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Дені сау жүкті</w:t>
                        </w:r>
                      </w:p>
                      <w:p w14:paraId="229197BE">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Бақылау тобы</w:t>
                        </w:r>
                      </w:p>
                      <w:p w14:paraId="46772938">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(n=43)</w:t>
                        </w:r>
                      </w:p>
                    </w:txbxContent>
                  </v:textbox>
                </v:rect>
                <v:rect id="Rectangle 1588463168" o:spid="_x0000_s1026" o:spt="1" style="position:absolute;left:1983259;top:3454972;height:914400;width:1618735;v-text-anchor:middle;" fillcolor="#ADB9CA [1311]" filled="t" stroked="t" coordsize="21600,21600" o:gfxdata="UEsDBAoAAAAAAIdO4kAAAAAAAAAAAAAAAAAEAAAAZHJzL1BLAwQUAAAACACHTuJAxHBZ8MQAAADj&#10;AAAADwAAAGRycy9kb3ducmV2LnhtbEWPQU/DMAyF70j8h8hI3FhaVqqqLJvEJNAOXLZx4Gg1XlvR&#10;OFUS2o5fjw9IHO33/N7nzW5xg5ooxN6zgXyVgSJuvO25NfBxfn2oQMWEbHHwTAauFGG3vb3ZYG39&#10;zEeaTqlVEsKxRgNdSmOtdWw6chhXfiQW7eKDwyRjaLUNOEu4G/RjlpXaYc/S0OFI+46ar9O3M7DE&#10;+adch5fxcD1We/f5Vkzvl8KY+7s8ewaVaEn/5r/rgxX8p6oqynVeCrT8JAvQ2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HBZ8MQAAADjAAAADwAAAAAAAAABACAAAAAiAAAAZHJzL2Rvd25yZXYueG1sUEsBAhQAFAAAAAgA&#10;h07iQDMvBZ47AAAAOQAAABAAAAAAAAAAAQAgAAAAEwEAAGRycy9zaGFwZXhtbC54bWxQSwUGAAAA&#10;AAYABgBbAQAAvQMAAAAA&#10;">
                  <v:fill on="t" focussize="0,0"/>
                  <v:stroke weight="0.5pt" color="#5B9BD5 [3204]" miterlimit="8" joinstyle="miter"/>
                  <v:imagedata o:title=""/>
                  <o:lock v:ext="edit" aspectratio="f"/>
                  <v:textbox>
                    <w:txbxContent>
                      <w:p w14:paraId="7A19132B">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Анемиясы бар жүкті</w:t>
                        </w:r>
                      </w:p>
                      <w:p w14:paraId="2F015C59">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(n=40)</w:t>
                        </w:r>
                      </w:p>
                    </w:txbxContent>
                  </v:textbox>
                </v:rect>
                <v:rect id="Rectangle 778941656" o:spid="_x0000_s1026" o:spt="1" style="position:absolute;left:4234249;top:3463939;height:914400;width:1692876;v-text-anchor:middle;" fillcolor="#ADB9CA [1311]" filled="t" stroked="t" coordsize="21600,21600" o:gfxdata="UEsDBAoAAAAAAIdO4kAAAAAAAAAAAAAAAAAEAAAAZHJzL1BLAwQUAAAACACHTuJABUhmd8UAAADi&#10;AAAADwAAAGRycy9kb3ducmV2LnhtbEWPQUvDQBSE70L/w/KE3uwmbUzTtNuCBaUHL60ePD6yr0kw&#10;+zbsrknqr3cFweMwM98wu8NkOjGQ861lBekiAUFcWd1yreD97fmhAOEDssbOMim4kYfDfna3w1Lb&#10;kc80XEItIoR9iQqaEPpSSl81ZNAvbE8cvat1BkOUrpba4RjhppPLJMmlwZbjQoM9HRuqPi9fRsHk&#10;x+985Z760+1cHM3HSza8XjOl5vdpsgURaAr/4b/2SStYr4tNluaPOfxeindA7n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VIZnfFAAAA4gAAAA8AAAAAAAAAAQAgAAAAIgAAAGRycy9kb3ducmV2LnhtbFBLAQIUABQAAAAI&#10;AIdO4kAzLwWeOwAAADkAAAAQAAAAAAAAAAEAIAAAABQBAABkcnMvc2hhcGV4bWwueG1sUEsFBgAA&#10;AAAGAAYAWwEAAL4DAAAAAA==&#10;">
                  <v:fill on="t" focussize="0,0"/>
                  <v:stroke weight="0.5pt" color="#5B9BD5 [3204]" miterlimit="8" joinstyle="miter"/>
                  <v:imagedata o:title=""/>
                  <o:lock v:ext="edit" aspectratio="f"/>
                  <v:textbox>
                    <w:txbxContent>
                      <w:p w14:paraId="5FD74225">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Семіздігі және</w:t>
                        </w:r>
                      </w:p>
                      <w:p w14:paraId="60115D08">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анемиясы бар жүкті</w:t>
                        </w:r>
                      </w:p>
                      <w:p w14:paraId="152AE2B6">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(n=48)</w:t>
                        </w:r>
                      </w:p>
                    </w:txbxContent>
                  </v:textbox>
                </v:rect>
                <v:rect id="Rectangle 257795315" o:spid="_x0000_s1026" o:spt="1" style="position:absolute;left:6236043;top:3463939;height:914400;width:1561070;v-text-anchor:middle;" fillcolor="#ADB9CA [1311]" filled="t" stroked="t" coordsize="21600,21600" o:gfxdata="UEsDBAoAAAAAAIdO4kAAAAAAAAAAAAAAAAAEAAAAZHJzL1BLAwQUAAAACACHTuJAJDOxL8UAAADi&#10;AAAADwAAAGRycy9kb3ducmV2LnhtbEWPS2vDMBCE74X+B7GF3hrZSZyHGyWQQEsOveRxyHGxNrap&#10;tTKSYjv99VWhkOMwM98wq81gGtGR87VlBekoAUFcWF1zqeB8+nhbgPABWWNjmRTcycNm/fy0wlzb&#10;ng/UHUMpIoR9jgqqENpcSl9UZNCPbEscvat1BkOUrpTaYR/hppHjJJlJgzXHhQpb2lVUfB9vRsHg&#10;+5/ZxG3b/f2w2JnL57T7uk6Ven1Jk3cQgYbwCP+391rBOJvPl9kkzeDvUrwDcv0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QzsS/FAAAA4gAAAA8AAAAAAAAAAQAgAAAAIgAAAGRycy9kb3ducmV2LnhtbFBLAQIUABQAAAAI&#10;AIdO4kAzLwWeOwAAADkAAAAQAAAAAAAAAAEAIAAAABQBAABkcnMvc2hhcGV4bWwueG1sUEsFBgAA&#10;AAAGAAYAWwEAAL4DAAAAAA==&#10;">
                  <v:fill on="t" focussize="0,0"/>
                  <v:stroke weight="0.5pt" color="#5B9BD5 [3204]" miterlimit="8" joinstyle="miter"/>
                  <v:imagedata o:title=""/>
                  <o:lock v:ext="edit" aspectratio="f"/>
                  <v:textbox>
                    <w:txbxContent>
                      <w:p w14:paraId="4E5AF1EC">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Семіздігі бар жүкті</w:t>
                        </w:r>
                      </w:p>
                      <w:p w14:paraId="11FFD36A">
                        <w:pPr>
                          <w:spacing w:after="0" w:line="240" w:lineRule="auto"/>
                          <w:jc w:val="center"/>
                          <w:rPr>
                            <w:rFonts w:ascii="Times New Roman" w:hAnsi="Times New Roman" w:cs="Times New Roman"/>
                            <w:color w:val="000000" w:themeColor="text1"/>
                            <w:kern w:val="24"/>
                            <w:sz w:val="28"/>
                            <w:szCs w:val="28"/>
                            <w:lang w:val="kk-KZ"/>
                            <w14:textFill>
                              <w14:solidFill>
                                <w14:schemeClr w14:val="tx1"/>
                              </w14:solidFill>
                            </w14:textFill>
                          </w:rPr>
                        </w:pPr>
                        <w:r>
                          <w:rPr>
                            <w:rFonts w:ascii="Times New Roman" w:hAnsi="Times New Roman" w:cs="Times New Roman"/>
                            <w:color w:val="000000" w:themeColor="text1"/>
                            <w:kern w:val="24"/>
                            <w:sz w:val="28"/>
                            <w:szCs w:val="28"/>
                            <w:lang w:val="kk-KZ"/>
                            <w14:textFill>
                              <w14:solidFill>
                                <w14:schemeClr w14:val="tx1"/>
                              </w14:solidFill>
                            </w14:textFill>
                          </w:rPr>
                          <w:t>(n=36)</w:t>
                        </w:r>
                      </w:p>
                    </w:txbxContent>
                  </v:textbox>
                </v:rect>
                <v:shape id="Arrow: Down 680240892" o:spid="_x0000_s1026" o:spt="67" type="#_x0000_t67" style="position:absolute;left:2977978;top:1660582;height:395418;width:411892;v-text-anchor:middle;" fillcolor="#71A6DB [3280]" filled="t" stroked="t" coordsize="21600,21600" o:gfxdata="UEsDBAoAAAAAAIdO4kAAAAAAAAAAAAAAAAAEAAAAZHJzL1BLAwQUAAAACACHTuJA6e2QPsQAAADi&#10;AAAADwAAAGRycy9kb3ducmV2LnhtbEWP0WoCMRRE3wv9h3ALfZGauFpZt0YpgiAW1Np+wGVzu1m6&#10;udluUlf/3hSEPg4zc4aZL8+uESfqQu1Zw2ioQBCX3tRcafj8WD/lIEJENth4Jg0XCrBc3N/NsTC+&#10;53c6HWMlEoRDgRpsjG0hZSgtOQxD3xIn78t3DmOSXSVNh32Cu0ZmSk2lw5rTgsWWVpbK7+Ov07Ad&#10;H54Hr26/s4cVz/zlDSfb/kfrx4eRegER6Rz/w7f2xmiY5iqbqHyWwd+ldAfk4gp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6e2QPsQAAADiAAAADwAAAAAAAAABACAAAAAiAAAAZHJzL2Rvd25yZXYueG1sUEsBAhQAFAAAAAgA&#10;h07iQDMvBZ47AAAAOQAAABAAAAAAAAAAAQAgAAAAEwEAAGRycy9zaGFwZXhtbC54bWxQSwUGAAAA&#10;AAYABgBbAQAAvQMAAAAA&#10;" adj="10800,5400">
                  <v:fill type="gradient" on="t" color2="#438AC9 [3184]" colors="0f #71A6DB;32768f #559BDB;65536f #438AC9" focus="100%" focussize="0,0" rotate="t">
                    <o:fill type="gradientUnscaled" v:ext="backwardCompatible"/>
                  </v:fill>
                  <v:stroke weight="0.5pt" color="#5B9BD5 [3204]" miterlimit="8" joinstyle="miter"/>
                  <v:imagedata o:title=""/>
                  <o:lock v:ext="edit" aspectratio="f"/>
                </v:shape>
                <v:shape id="Arrow: Down 1159920401" o:spid="_x0000_s1026" o:spt="67" type="#_x0000_t67" style="position:absolute;left:4518456;top:1660582;height:395418;width:411892;v-text-anchor:middle;" fillcolor="#71A6DB [3280]" filled="t" stroked="t" coordsize="21600,21600" o:gfxdata="UEsDBAoAAAAAAIdO4kAAAAAAAAAAAAAAAAAEAAAAZHJzL1BLAwQUAAAACACHTuJAcwRBH8IAAADj&#10;AAAADwAAAGRycy9kb3ducmV2LnhtbEVP3UrDMBS+F3yHcARvZEu6H1nrsiEDYUyYddsDHJpjU2xO&#10;ahPX7e2NIHh5vv+zXF9cK87Uh8azhmysQBBX3jRcazgdX0YLECEiG2w9k4YrBVivbm+WWBg/8Dud&#10;D7EWKYRDgRpsjF0hZagsOQxj3xEn7sP3DmM6+1qaHocU7lo5UepROmw4NVjsaGOp+jx8Ow27aTl/&#10;eHZve1tuOPfXV5zthi+t7+8y9QQi0iX+i//cW5PmZ/M8n6iZyuD3pwSAXP0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ME&#10;QR/CAAAA4wAAAA8AAAAAAAAAAQAgAAAAIgAAAGRycy9kb3ducmV2LnhtbFBLAQIUABQAAAAIAIdO&#10;4kAzLwWeOwAAADkAAAAQAAAAAAAAAAEAIAAAABEBAABkcnMvc2hhcGV4bWwueG1sUEsFBgAAAAAG&#10;AAYAWwEAALsDAAAAAA==&#10;" adj="10800,5400">
                  <v:fill type="gradient" on="t" color2="#438AC9 [3184]" colors="0f #71A6DB;32768f #559BDB;65536f #438AC9" focus="100%" focussize="0,0" rotate="t">
                    <o:fill type="gradientUnscaled" v:ext="backwardCompatible"/>
                  </v:fill>
                  <v:stroke weight="0.5pt" color="#5B9BD5 [3204]" miterlimit="8" joinstyle="miter"/>
                  <v:imagedata o:title=""/>
                  <o:lock v:ext="edit" aspectratio="f"/>
                </v:shape>
                <v:shape id="Arrow: Down 970989324" o:spid="_x0000_s1026" o:spt="67" type="#_x0000_t67" style="position:absolute;left:1186248;top:3037630;height:395418;width:411892;v-text-anchor:middle;" fillcolor="#71A6DB [3280]" filled="t" stroked="t" coordsize="21600,21600" o:gfxdata="UEsDBAoAAAAAAIdO4kAAAAAAAAAAAAAAAAAEAAAAZHJzL1BLAwQUAAAACACHTuJAFfqGIsUAAADi&#10;AAAADwAAAGRycy9kb3ducmV2LnhtbEWP3UoDMRSE7wu+QziCN2KT/qjdtWkphUJpQdfqAxw2x83i&#10;5mS7id327Y0g9HKYmW+Y+fLsGnGiLtSeNYyGCgRx6U3NlYbPj83DDESIyAYbz6ThQgGWi5vBHHPj&#10;e36n0yFWIkE45KjBxtjmUobSksMw9C1x8r585zAm2VXSdNgnuGvkWKkn6bDmtGCxpbWl8vvw4zTs&#10;JsXj/cq9vdpizZm/7HG6649a392O1AuISOd4Df+3t0ZD9qyyWTYZT+HvUroDcvE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X6hiLFAAAA4gAAAA8AAAAAAAAAAQAgAAAAIgAAAGRycy9kb3ducmV2LnhtbFBLAQIUABQAAAAI&#10;AIdO4kAzLwWeOwAAADkAAAAQAAAAAAAAAAEAIAAAABQBAABkcnMvc2hhcGV4bWwueG1sUEsFBgAA&#10;AAAGAAYAWwEAAL4DAAAAAA==&#10;" adj="10800,5400">
                  <v:fill type="gradient" on="t" color2="#438AC9 [3184]" colors="0f #71A6DB;32768f #559BDB;65536f #438AC9" focus="100%" focussize="0,0" rotate="t">
                    <o:fill type="gradientUnscaled" v:ext="backwardCompatible"/>
                  </v:fill>
                  <v:stroke weight="0.5pt" color="#5B9BD5 [3204]" miterlimit="8" joinstyle="miter"/>
                  <v:imagedata o:title=""/>
                  <o:lock v:ext="edit" aspectratio="f"/>
                </v:shape>
                <v:shape id="Arrow: Down 1748465875" o:spid="_x0000_s1026" o:spt="67" type="#_x0000_t67" style="position:absolute;left:2977977;top:3037630;height:395418;width:411892;v-text-anchor:middle;" fillcolor="#71A6DB [3280]" filled="t" stroked="t" coordsize="21600,21600" o:gfxdata="UEsDBAoAAAAAAIdO4kAAAAAAAAAAAAAAAAAEAAAAZHJzL1BLAwQUAAAACACHTuJAC1JaAsIAAADj&#10;AAAADwAAAGRycy9kb3ducmV2LnhtbEVPX2vCMBB/H+w7hBv4Mmbq1mrXGWUIg6HgnNsHOJpbU2wu&#10;tYlWv70ZCD7e7/9N5yfbiCN1vnasYDRMQBCXTtdcKfj9+XjKQfiArLFxTArO5GE+u7+bYqFdz990&#10;3IZKxBD2BSowIbSFlL40ZNEPXUscuT/XWQzx7CqpO+xjuG3kc5KMpcWaY4PBlhaGyt32YBUsXzbZ&#10;47v9WpvNgl/deYXpst8rNXgYJW8gAp3CTXx1f+o4f5Lm6TjLJxn8/xQBkLM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tS&#10;WgLCAAAA4wAAAA8AAAAAAAAAAQAgAAAAIgAAAGRycy9kb3ducmV2LnhtbFBLAQIUABQAAAAIAIdO&#10;4kAzLwWeOwAAADkAAAAQAAAAAAAAAAEAIAAAABEBAABkcnMvc2hhcGV4bWwueG1sUEsFBgAAAAAG&#10;AAYAWwEAALsDAAAAAA==&#10;" adj="10800,5400">
                  <v:fill type="gradient" on="t" color2="#438AC9 [3184]" colors="0f #71A6DB;32768f #559BDB;65536f #438AC9" focus="100%" focussize="0,0" rotate="t">
                    <o:fill type="gradientUnscaled" v:ext="backwardCompatible"/>
                  </v:fill>
                  <v:stroke weight="0.5pt" color="#5B9BD5 [3204]" miterlimit="8" joinstyle="miter"/>
                  <v:imagedata o:title=""/>
                  <o:lock v:ext="edit" aspectratio="f"/>
                </v:shape>
                <v:shape id="Arrow: Down 284937535" o:spid="_x0000_s1026" o:spt="67" type="#_x0000_t67" style="position:absolute;left:4518456;top:3059554;height:395418;width:411892;v-text-anchor:middle;" fillcolor="#71A6DB [3280]" filled="t" stroked="t" coordsize="21600,21600" o:gfxdata="UEsDBAoAAAAAAIdO4kAAAAAAAAAAAAAAAAAEAAAAZHJzL1BLAwQUAAAACACHTuJAMc2aUcUAAADi&#10;AAAADwAAAGRycy9kb3ducmV2LnhtbEWP3WrCQBSE7wu+w3IEb4puNMaf1FVEKBQLrX8PcMieZkOz&#10;Z9Ps1ujbdwuFXg4z8w2z2txsLa7U+sqxgvEoAUFcOF1xqeByfh4uQPiArLF2TAru5GGz7j2sMNeu&#10;4yNdT6EUEcI+RwUmhCaX0heGLPqRa4ij9+FaiyHKtpS6xS7CbS0nSTKTFiuOCwYb2hkqPk/fVsE+&#10;PWSPW/v+Zg47Xrr7K0733ZdSg/44eQIR6Bb+w3/tF61gspgu03mWZvB7Kd4Buf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HNmlHFAAAA4gAAAA8AAAAAAAAAAQAgAAAAIgAAAGRycy9kb3ducmV2LnhtbFBLAQIUABQAAAAI&#10;AIdO4kAzLwWeOwAAADkAAAAQAAAAAAAAAAEAIAAAABQBAABkcnMvc2hhcGV4bWwueG1sUEsFBgAA&#10;AAAGAAYAWwEAAL4DAAAAAA==&#10;" adj="10800,5400">
                  <v:fill type="gradient" on="t" color2="#438AC9 [3184]" colors="0f #71A6DB;32768f #559BDB;65536f #438AC9" focus="100%" focussize="0,0" rotate="t">
                    <o:fill type="gradientUnscaled" v:ext="backwardCompatible"/>
                  </v:fill>
                  <v:stroke weight="0.5pt" color="#5B9BD5 [3204]" miterlimit="8" joinstyle="miter"/>
                  <v:imagedata o:title=""/>
                  <o:lock v:ext="edit" aspectratio="f"/>
                </v:shape>
                <v:shape id="Arrow: Down 94260741" o:spid="_x0000_s1026" o:spt="67" type="#_x0000_t67" style="position:absolute;left:6604686;top:3037630;height:395418;width:411892;v-text-anchor:middle;" fillcolor="#71A6DB [3280]" filled="t" stroked="t" coordsize="21600,21600" o:gfxdata="UEsDBAoAAAAAAIdO4kAAAAAAAAAAAAAAAAAEAAAAZHJzL1BLAwQUAAAACACHTuJAUsr2ucQAAADh&#10;AAAADwAAAGRycy9kb3ducmV2LnhtbEWP3UrDQBSE7wXfYTmCN9LupsbWxGyLFASpoP3xAQ7ZYzaY&#10;PRuza9O+vSsIXg4z8w1TrU6uE0caQutZQzZVIIhrb1puNLwfnib3IEJENth5Jg1nCrBaXl5UWBo/&#10;8o6O+9iIBOFQogYbY19KGWpLDsPU98TJ+/CDw5jk0Egz4JjgrpMzpebSYctpwWJPa0v15/7badjc&#10;bu9uHt3bq92uufDnF8w345fW11eZegAR6RT/w3/tZ6OhyGdztcgz+H2U3oBc/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sr2ucQAAADhAAAADwAAAAAAAAABACAAAAAiAAAAZHJzL2Rvd25yZXYueG1sUEsBAhQAFAAAAAgA&#10;h07iQDMvBZ47AAAAOQAAABAAAAAAAAAAAQAgAAAAEwEAAGRycy9zaGFwZXhtbC54bWxQSwUGAAAA&#10;AAYABgBbAQAAvQMAAAAA&#10;" adj="10800,5400">
                  <v:fill type="gradient" on="t" color2="#438AC9 [3184]" colors="0f #71A6DB;32768f #559BDB;65536f #438AC9" focus="100%" focussize="0,0" rotate="t">
                    <o:fill type="gradientUnscaled" v:ext="backwardCompatible"/>
                  </v:fill>
                  <v:stroke weight="0.5pt" color="#5B9BD5 [3204]" miterlimit="8" joinstyle="miter"/>
                  <v:imagedata o:title=""/>
                  <o:lock v:ext="edit" aspectratio="f"/>
                </v:shape>
                <v:shape id="TextBox 19" o:spid="_x0000_s1026" o:spt="202" type="#_x0000_t202" style="position:absolute;left:1514793;top:52964;height:494372;width:5526552;" filled="f" stroked="f" coordsize="21600,21600" o:gfxdata="UEsDBAoAAAAAAIdO4kAAAAAAAAAAAAAAAAAEAAAAZHJzL1BLAwQUAAAACACHTuJAh1TiccIAAADi&#10;AAAADwAAAGRycy9kb3ducmV2LnhtbEWPQWvCQBSE7wX/w/IEb3VXbaKmrh5ahJ4sta3g7ZF9JqHZ&#10;tyG7mvjvXaHgcZiZb5jVpre1uFDrK8caJmMFgjh3puJCw8/39nkBwgdkg7Vj0nAlD5v14GmFmXEd&#10;f9FlHwoRIewz1FCG0GRS+rwki37sGuLonVxrMUTZFtK02EW4reVUqVRarDgulNjQW0n53/5sNfzu&#10;TsfDi/os3m3SdK5Xku1Saj0aTtQriEB9eIT/2x9Gw0wl03mSzlO4X4p3QK5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dU&#10;4nH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14:paraId="1EE951A5">
                        <w:pPr>
                          <w:ind w:firstLine="420" w:firstLineChars="150"/>
                          <w:rPr>
                            <w:rFonts w:ascii="Times New Roman" w:hAnsi="Times New Roman" w:cs="Times New Roman"/>
                            <w:b/>
                            <w:bCs/>
                            <w:color w:val="000000" w:themeColor="text1"/>
                            <w:kern w:val="24"/>
                            <w:sz w:val="28"/>
                            <w:szCs w:val="28"/>
                            <w14:textFill>
                              <w14:solidFill>
                                <w14:schemeClr w14:val="tx1"/>
                              </w14:solidFill>
                            </w14:textFill>
                          </w:rPr>
                        </w:pPr>
                        <w:r>
                          <w:rPr>
                            <w:rFonts w:ascii="Times New Roman" w:hAnsi="Times New Roman" w:cs="Times New Roman"/>
                            <w:b/>
                            <w:bCs/>
                            <w:color w:val="000000" w:themeColor="text1"/>
                            <w:kern w:val="24"/>
                            <w:sz w:val="28"/>
                            <w:szCs w:val="28"/>
                            <w14:textFill>
                              <w14:solidFill>
                                <w14:schemeClr w14:val="tx1"/>
                              </w14:solidFill>
                            </w14:textFill>
                          </w:rPr>
                          <w:t>К</w:t>
                        </w:r>
                        <w:r>
                          <w:rPr>
                            <w:rFonts w:ascii="Times New Roman" w:hAnsi="Times New Roman" w:cs="Times New Roman"/>
                            <w:b/>
                            <w:bCs/>
                            <w:color w:val="000000" w:themeColor="text1"/>
                            <w:kern w:val="24"/>
                            <w:sz w:val="28"/>
                            <w:szCs w:val="28"/>
                            <w:lang w:val="kk-KZ"/>
                            <w14:textFill>
                              <w14:solidFill>
                                <w14:schemeClr w14:val="tx1"/>
                              </w14:solidFill>
                            </w14:textFill>
                          </w:rPr>
                          <w:t>ездейсоқ бақылау дизайны</w:t>
                        </w:r>
                      </w:p>
                    </w:txbxContent>
                  </v:textbox>
                </v:shape>
              </v:group>
            </w:pict>
          </mc:Fallback>
        </mc:AlternateContent>
      </w:r>
      <w:r>
        <w:rPr>
          <w:rFonts w:ascii="Times New Roman" w:hAnsi="Times New Roman" w:eastAsia="Times New Roman" w:cs="Times New Roman"/>
          <w:sz w:val="28"/>
          <w:szCs w:val="28"/>
          <w:lang w:val="kk-KZ" w:eastAsia="ru-RU"/>
        </w:rPr>
        <w:t>Бұл зерттеу кездейсоқ-бақылау әдісі бағытындағы клиникалық зерттеу жұмысы деп саналады. Оған жүктіліктің 25–40 аптасына дейінгі кезеңдегі 167 жүкті әйел қатысты. Зерттеу «Қарағанды медициналық университетінің» КеАҚ-нің Өмір туралы ғылымдар институтында және КМК «Облыстық клиникалық ауруханасының» №1 Перинаталдық орталығында жүргізілді. Зерттеуге қатысушы әйелдердің жасы 20–37 жас аралығында болды. Клиникалық деректер жүкті әйелдер акушерлік стационарға түскен кезде толтырылатын ауру тарихынан, сондай-ақ алмасу картасынан және сауалнама нәтижелерінен алынды. Зерттеу дизайнының сызбасы (сурет–2) төменде көрсетілген:</w:t>
      </w:r>
    </w:p>
    <w:p w14:paraId="59C4FA0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74B94CB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03C1D93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3EB6AB7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00DD76B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4B20D71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45E8BAE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0C5695D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70BF513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p>
    <w:p w14:paraId="769B8B5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483D52DC">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73A09C0F">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738FD8FE">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708477B0">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24F09F0A">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3E11FF1A">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53745253">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308717BD">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49A6827B">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 xml:space="preserve">  </w:t>
      </w:r>
    </w:p>
    <w:p w14:paraId="3662DA5D">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43674DBC">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339DCA35">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13E873D7">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57B0B9B3">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31D0E384">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Сурет – 2. Зерттеу жүргізу дизайнының сызбасы</w:t>
      </w:r>
    </w:p>
    <w:p w14:paraId="35B5107A">
      <w:pPr>
        <w:widowControl w:val="0"/>
        <w:autoSpaceDE w:val="0"/>
        <w:autoSpaceDN w:val="0"/>
        <w:spacing w:after="0" w:line="276" w:lineRule="auto"/>
        <w:jc w:val="both"/>
        <w:outlineLvl w:val="0"/>
        <w:rPr>
          <w:rFonts w:ascii="Times New Roman" w:hAnsi="Times New Roman" w:eastAsia="Times New Roman" w:cs="Times New Roman"/>
          <w:sz w:val="28"/>
          <w:szCs w:val="28"/>
          <w:lang w:val="kk-KZ" w:eastAsia="ru-RU"/>
        </w:rPr>
      </w:pPr>
    </w:p>
    <w:p w14:paraId="7E45E3C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b/>
          <w:sz w:val="28"/>
          <w:szCs w:val="28"/>
          <w:lang w:val="kk-KZ" w:eastAsia="ru-RU"/>
        </w:rPr>
        <w:t>Зерттеу жұмысына қатысушылар және темір тапшылығы анемиясын диагностикалау</w:t>
      </w:r>
    </w:p>
    <w:p w14:paraId="5A3FF96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val="kk-KZ" w:eastAsia="ru-RU"/>
        </w:rPr>
        <w:t>Бұл зерттеуге темір тапшылығы анемиясы (ТТА) бар жүкті әйелдер қатысты. ТТА-ның диагностикасы Қазақстан Республикасының Денсаулық сақтау министрлігінің Медициналық қызметтердің сапасы бойынша Біріккен комитетінің 2020 жылдың 30 қазанында бекіткен «Жүктілердің дефициттік анемиясы» атты №119 хаттамасына сәйкес жүргізілді.</w:t>
      </w:r>
    </w:p>
    <w:p w14:paraId="634F8935">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kk-KZ" w:eastAsia="ru-RU"/>
        </w:rPr>
      </w:pPr>
      <w:r>
        <w:rPr>
          <w:rFonts w:ascii="Times New Roman" w:hAnsi="Times New Roman" w:eastAsia="Times New Roman" w:cs="Times New Roman"/>
          <w:b/>
          <w:sz w:val="28"/>
          <w:szCs w:val="28"/>
          <w:lang w:val="kk-KZ" w:eastAsia="ru-RU"/>
        </w:rPr>
        <w:t>Темір тапшылығы анемиясының диагностикасы</w:t>
      </w:r>
    </w:p>
    <w:p w14:paraId="7D4F973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kk-KZ" w:eastAsia="ru-RU"/>
        </w:rPr>
        <w:t xml:space="preserve">Жүкті әйелдердегі ТТА диагнозы 2–кестеде көрстілгендей микросфероцитарлы (MCV &lt; 80 фл) және гипохромды (MCH &lt; 27 пг) көрсеткіштерге негізделіп қойылды. ТТА кезінде жүктілердің 40%–ында MCV деңгейі қалыпты болуы мүмкін, себебі жүктілік кезінде гемопоэздің белсенділігі микроцитоз белгілерімен жүреді, бұл ТТА белгілерімен ұқсас болуы ықтимал. </w:t>
      </w:r>
      <w:r>
        <w:rPr>
          <w:rFonts w:ascii="Times New Roman" w:hAnsi="Times New Roman" w:eastAsia="Times New Roman" w:cs="Times New Roman"/>
          <w:sz w:val="28"/>
          <w:szCs w:val="28"/>
          <w:lang w:eastAsia="ru-RU"/>
        </w:rPr>
        <w:t>Осыған орай, MCV көрсеткіші ТТА диагностикасында ерекше маркер болып табылмайды. Дегенмен, темір алмасуын зертханалық тексеру мүмкін болмаған жағдайда, төмен MCV және жоғары RDW көрсеткіштері негізінде темірмен емдеуді бастауға мүмкіндік бар.</w:t>
      </w:r>
    </w:p>
    <w:p w14:paraId="7168CE1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ТТ нақтылау үшін қосымша биохимиялық көрсеткіштер қолданылды: сарысудағы жалпы темір байланыстыру қабілетінің (ЖТБҚ) жоғарылауы, сарысудағы ферритин мен темір деңгейінің төмендеуі. Бұл көрсеткіштер ТТА диагнозын дәлелдеуде маңызды рөл атқарады [29].</w:t>
      </w:r>
    </w:p>
    <w:p w14:paraId="5CB7B36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0E6A6F48">
      <w:pPr>
        <w:widowControl w:val="0"/>
        <w:autoSpaceDE w:val="0"/>
        <w:autoSpaceDN w:val="0"/>
        <w:spacing w:after="0" w:line="276" w:lineRule="auto"/>
        <w:ind w:firstLine="709"/>
        <w:jc w:val="both"/>
        <w:outlineLvl w:val="0"/>
        <w:rPr>
          <w:rFonts w:ascii="Times New Roman" w:hAnsi="Times New Roman" w:eastAsia="Times New Roman" w:cs="Times New Roman"/>
          <w:bCs/>
          <w:color w:val="202124"/>
          <w:sz w:val="28"/>
          <w:szCs w:val="28"/>
          <w:shd w:val="clear" w:color="auto" w:fill="FFFFFF"/>
          <w:lang w:eastAsia="ru-RU"/>
        </w:rPr>
      </w:pPr>
      <w:r>
        <w:rPr>
          <w:rFonts w:ascii="Times New Roman" w:hAnsi="Times New Roman" w:eastAsia="Times New Roman" w:cs="Times New Roman"/>
          <w:bCs/>
          <w:color w:val="202124"/>
          <w:sz w:val="28"/>
          <w:szCs w:val="28"/>
          <w:shd w:val="clear" w:color="auto" w:fill="FFFFFF"/>
          <w:lang w:eastAsia="ru-RU"/>
        </w:rPr>
        <w:t>Кесте 2 – ТТА лабораториялық көрсеткіштері</w:t>
      </w:r>
    </w:p>
    <w:p w14:paraId="243BD01C">
      <w:pPr>
        <w:widowControl w:val="0"/>
        <w:autoSpaceDE w:val="0"/>
        <w:autoSpaceDN w:val="0"/>
        <w:spacing w:after="0" w:line="276" w:lineRule="auto"/>
        <w:ind w:firstLine="709"/>
        <w:jc w:val="both"/>
        <w:outlineLvl w:val="0"/>
        <w:rPr>
          <w:rFonts w:ascii="Times New Roman" w:hAnsi="Times New Roman" w:eastAsia="Times New Roman" w:cs="Times New Roman"/>
          <w:bCs/>
          <w:color w:val="202124"/>
          <w:sz w:val="28"/>
          <w:szCs w:val="28"/>
          <w:shd w:val="clear" w:color="auto" w:fill="FFFFFF"/>
          <w:lang w:eastAsia="ru-RU"/>
        </w:rPr>
      </w:pPr>
    </w:p>
    <w:tbl>
      <w:tblPr>
        <w:tblStyle w:val="5"/>
        <w:tblW w:w="0" w:type="auto"/>
        <w:tblInd w:w="0" w:type="dxa"/>
        <w:tblLayout w:type="autofit"/>
        <w:tblCellMar>
          <w:top w:w="15" w:type="dxa"/>
          <w:left w:w="15" w:type="dxa"/>
          <w:bottom w:w="15" w:type="dxa"/>
          <w:right w:w="15" w:type="dxa"/>
        </w:tblCellMar>
      </w:tblPr>
      <w:tblGrid>
        <w:gridCol w:w="310"/>
        <w:gridCol w:w="3271"/>
        <w:gridCol w:w="3336"/>
        <w:gridCol w:w="2468"/>
      </w:tblGrid>
      <w:tr w14:paraId="4B433EA3">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25AB896E">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0" w:type="auto"/>
            <w:tcBorders>
              <w:top w:val="outset" w:color="auto" w:sz="6" w:space="0"/>
              <w:left w:val="nil"/>
              <w:bottom w:val="outset" w:color="auto" w:sz="6" w:space="0"/>
              <w:right w:val="outset" w:color="auto" w:sz="6" w:space="0"/>
            </w:tcBorders>
            <w:vAlign w:val="center"/>
          </w:tcPr>
          <w:p w14:paraId="40C410D6">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Лабораториялық көрсеткіштер</w:t>
            </w:r>
          </w:p>
        </w:tc>
        <w:tc>
          <w:tcPr>
            <w:tcW w:w="0" w:type="auto"/>
            <w:tcBorders>
              <w:top w:val="outset" w:color="auto" w:sz="6" w:space="0"/>
              <w:left w:val="nil"/>
              <w:bottom w:val="outset" w:color="auto" w:sz="6" w:space="0"/>
              <w:right w:val="outset" w:color="auto" w:sz="6" w:space="0"/>
            </w:tcBorders>
            <w:vAlign w:val="center"/>
          </w:tcPr>
          <w:p w14:paraId="3CC6AD58">
            <w:pPr>
              <w:autoSpaceDE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Референсті аралық </w:t>
            </w:r>
          </w:p>
        </w:tc>
        <w:tc>
          <w:tcPr>
            <w:tcW w:w="0" w:type="auto"/>
            <w:tcBorders>
              <w:top w:val="outset" w:color="auto" w:sz="6" w:space="0"/>
              <w:left w:val="nil"/>
              <w:bottom w:val="outset" w:color="auto" w:sz="6" w:space="0"/>
              <w:right w:val="outset" w:color="auto" w:sz="6" w:space="0"/>
            </w:tcBorders>
            <w:vAlign w:val="center"/>
          </w:tcPr>
          <w:p w14:paraId="2CF4ED60">
            <w:pPr>
              <w:autoSpaceDE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ТТА кезіндегі көрсеткіштері</w:t>
            </w:r>
          </w:p>
        </w:tc>
      </w:tr>
      <w:tr w14:paraId="337AC9AD">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6DC6C6FB">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w:t>
            </w:r>
          </w:p>
        </w:tc>
        <w:tc>
          <w:tcPr>
            <w:tcW w:w="0" w:type="auto"/>
            <w:tcBorders>
              <w:top w:val="outset" w:color="auto" w:sz="6" w:space="0"/>
              <w:left w:val="nil"/>
              <w:bottom w:val="outset" w:color="auto" w:sz="6" w:space="0"/>
              <w:right w:val="outset" w:color="auto" w:sz="6" w:space="0"/>
            </w:tcBorders>
            <w:vAlign w:val="center"/>
          </w:tcPr>
          <w:p w14:paraId="7DCC8E3B">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Эритроциттердің </w:t>
            </w:r>
          </w:p>
          <w:p w14:paraId="2B7961CC">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морфологиялық өзгерістері</w:t>
            </w:r>
          </w:p>
        </w:tc>
        <w:tc>
          <w:tcPr>
            <w:tcW w:w="0" w:type="auto"/>
            <w:tcBorders>
              <w:top w:val="outset" w:color="auto" w:sz="6" w:space="0"/>
              <w:left w:val="nil"/>
              <w:bottom w:val="outset" w:color="auto" w:sz="6" w:space="0"/>
              <w:right w:val="outset" w:color="auto" w:sz="6" w:space="0"/>
            </w:tcBorders>
            <w:vAlign w:val="center"/>
          </w:tcPr>
          <w:p w14:paraId="6AA9AC65">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нормоциттер – 68% микроциттер – 15,2% макроциттер – 16,8%</w:t>
            </w:r>
          </w:p>
        </w:tc>
        <w:tc>
          <w:tcPr>
            <w:tcW w:w="0" w:type="auto"/>
            <w:tcBorders>
              <w:top w:val="outset" w:color="auto" w:sz="6" w:space="0"/>
              <w:left w:val="nil"/>
              <w:bottom w:val="outset" w:color="auto" w:sz="6" w:space="0"/>
              <w:right w:val="outset" w:color="auto" w:sz="6" w:space="0"/>
            </w:tcBorders>
            <w:vAlign w:val="center"/>
          </w:tcPr>
          <w:p w14:paraId="0A477E01">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микроцитоз, анизоцитозом</w:t>
            </w:r>
          </w:p>
          <w:p w14:paraId="73B9A1A2">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пойкилоцитоз</w:t>
            </w:r>
          </w:p>
        </w:tc>
      </w:tr>
      <w:tr w14:paraId="40B906B0">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0897B536">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w:t>
            </w:r>
          </w:p>
        </w:tc>
        <w:tc>
          <w:tcPr>
            <w:tcW w:w="0" w:type="auto"/>
            <w:tcBorders>
              <w:top w:val="outset" w:color="auto" w:sz="6" w:space="0"/>
              <w:left w:val="nil"/>
              <w:bottom w:val="outset" w:color="auto" w:sz="6" w:space="0"/>
              <w:right w:val="outset" w:color="auto" w:sz="6" w:space="0"/>
            </w:tcBorders>
            <w:vAlign w:val="center"/>
          </w:tcPr>
          <w:p w14:paraId="3F0F9768">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Түстік көрсеткіш</w:t>
            </w:r>
          </w:p>
        </w:tc>
        <w:tc>
          <w:tcPr>
            <w:tcW w:w="0" w:type="auto"/>
            <w:tcBorders>
              <w:top w:val="outset" w:color="auto" w:sz="6" w:space="0"/>
              <w:left w:val="nil"/>
              <w:bottom w:val="outset" w:color="auto" w:sz="6" w:space="0"/>
              <w:right w:val="outset" w:color="auto" w:sz="6" w:space="0"/>
            </w:tcBorders>
            <w:vAlign w:val="center"/>
          </w:tcPr>
          <w:p w14:paraId="543052DD">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0,86 –1,05</w:t>
            </w:r>
          </w:p>
        </w:tc>
        <w:tc>
          <w:tcPr>
            <w:tcW w:w="0" w:type="auto"/>
            <w:tcBorders>
              <w:top w:val="outset" w:color="auto" w:sz="6" w:space="0"/>
              <w:left w:val="nil"/>
              <w:bottom w:val="outset" w:color="auto" w:sz="6" w:space="0"/>
              <w:right w:val="outset" w:color="auto" w:sz="6" w:space="0"/>
            </w:tcBorders>
            <w:vAlign w:val="center"/>
          </w:tcPr>
          <w:p w14:paraId="5CE7B935">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Гипохромия  0,86 төмен болса</w:t>
            </w:r>
          </w:p>
        </w:tc>
      </w:tr>
      <w:tr w14:paraId="3029AB11">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15425F03">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w:t>
            </w:r>
          </w:p>
        </w:tc>
        <w:tc>
          <w:tcPr>
            <w:tcW w:w="0" w:type="auto"/>
            <w:tcBorders>
              <w:top w:val="outset" w:color="auto" w:sz="6" w:space="0"/>
              <w:left w:val="nil"/>
              <w:bottom w:val="outset" w:color="auto" w:sz="6" w:space="0"/>
              <w:right w:val="outset" w:color="auto" w:sz="6" w:space="0"/>
            </w:tcBorders>
            <w:vAlign w:val="center"/>
          </w:tcPr>
          <w:p w14:paraId="2E43BE19">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Гемоглобин</w:t>
            </w:r>
          </w:p>
        </w:tc>
        <w:tc>
          <w:tcPr>
            <w:tcW w:w="0" w:type="auto"/>
            <w:tcBorders>
              <w:top w:val="outset" w:color="auto" w:sz="6" w:space="0"/>
              <w:left w:val="nil"/>
              <w:bottom w:val="outset" w:color="auto" w:sz="6" w:space="0"/>
              <w:right w:val="outset" w:color="auto" w:sz="6" w:space="0"/>
            </w:tcBorders>
            <w:vAlign w:val="center"/>
          </w:tcPr>
          <w:p w14:paraId="77E08DE9">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Hb&gt;110 г/л  бірінші триместрде</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Hb &gt;105 г/л  екінші триместрде</w:t>
            </w:r>
          </w:p>
        </w:tc>
        <w:tc>
          <w:tcPr>
            <w:tcW w:w="0" w:type="auto"/>
            <w:tcBorders>
              <w:top w:val="outset" w:color="auto" w:sz="6" w:space="0"/>
              <w:left w:val="nil"/>
              <w:bottom w:val="outset" w:color="auto" w:sz="6" w:space="0"/>
              <w:right w:val="outset" w:color="auto" w:sz="6" w:space="0"/>
            </w:tcBorders>
            <w:vAlign w:val="center"/>
          </w:tcPr>
          <w:p w14:paraId="7CB112C3">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&lt;110 г/л  I және III триместрлерде</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&lt;105 г/л II триместрде</w:t>
            </w:r>
          </w:p>
        </w:tc>
      </w:tr>
      <w:tr w14:paraId="0288CF80">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49947820">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w:t>
            </w:r>
          </w:p>
        </w:tc>
        <w:tc>
          <w:tcPr>
            <w:tcW w:w="0" w:type="auto"/>
            <w:tcBorders>
              <w:top w:val="outset" w:color="auto" w:sz="6" w:space="0"/>
              <w:left w:val="nil"/>
              <w:bottom w:val="outset" w:color="auto" w:sz="6" w:space="0"/>
              <w:right w:val="outset" w:color="auto" w:sz="6" w:space="0"/>
            </w:tcBorders>
            <w:vAlign w:val="center"/>
          </w:tcPr>
          <w:p w14:paraId="5FD1525E">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МСН</w:t>
            </w:r>
          </w:p>
        </w:tc>
        <w:tc>
          <w:tcPr>
            <w:tcW w:w="0" w:type="auto"/>
            <w:tcBorders>
              <w:top w:val="outset" w:color="auto" w:sz="6" w:space="0"/>
              <w:left w:val="nil"/>
              <w:bottom w:val="outset" w:color="auto" w:sz="6" w:space="0"/>
              <w:right w:val="outset" w:color="auto" w:sz="6" w:space="0"/>
            </w:tcBorders>
            <w:vAlign w:val="center"/>
          </w:tcPr>
          <w:p w14:paraId="7C51CBD1">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27–31 пг</w:t>
            </w:r>
          </w:p>
        </w:tc>
        <w:tc>
          <w:tcPr>
            <w:tcW w:w="0" w:type="auto"/>
            <w:tcBorders>
              <w:top w:val="outset" w:color="auto" w:sz="6" w:space="0"/>
              <w:left w:val="nil"/>
              <w:bottom w:val="outset" w:color="auto" w:sz="6" w:space="0"/>
              <w:right w:val="outset" w:color="auto" w:sz="6" w:space="0"/>
            </w:tcBorders>
            <w:vAlign w:val="center"/>
          </w:tcPr>
          <w:p w14:paraId="690511CD">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27 пг төмен</w:t>
            </w:r>
          </w:p>
        </w:tc>
      </w:tr>
      <w:tr w14:paraId="4F8D4271">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558D15CD">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w:t>
            </w:r>
          </w:p>
        </w:tc>
        <w:tc>
          <w:tcPr>
            <w:tcW w:w="0" w:type="auto"/>
            <w:tcBorders>
              <w:top w:val="outset" w:color="auto" w:sz="6" w:space="0"/>
              <w:left w:val="nil"/>
              <w:bottom w:val="outset" w:color="auto" w:sz="6" w:space="0"/>
              <w:right w:val="outset" w:color="auto" w:sz="6" w:space="0"/>
            </w:tcBorders>
            <w:vAlign w:val="center"/>
          </w:tcPr>
          <w:p w14:paraId="208A2B13">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МСНС</w:t>
            </w:r>
          </w:p>
        </w:tc>
        <w:tc>
          <w:tcPr>
            <w:tcW w:w="0" w:type="auto"/>
            <w:tcBorders>
              <w:top w:val="outset" w:color="auto" w:sz="6" w:space="0"/>
              <w:left w:val="nil"/>
              <w:bottom w:val="outset" w:color="auto" w:sz="6" w:space="0"/>
              <w:right w:val="outset" w:color="auto" w:sz="6" w:space="0"/>
            </w:tcBorders>
            <w:vAlign w:val="center"/>
          </w:tcPr>
          <w:p w14:paraId="6FA33AF6">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33–37%</w:t>
            </w:r>
          </w:p>
        </w:tc>
        <w:tc>
          <w:tcPr>
            <w:tcW w:w="0" w:type="auto"/>
            <w:tcBorders>
              <w:top w:val="outset" w:color="auto" w:sz="6" w:space="0"/>
              <w:left w:val="nil"/>
              <w:bottom w:val="outset" w:color="auto" w:sz="6" w:space="0"/>
              <w:right w:val="outset" w:color="auto" w:sz="6" w:space="0"/>
            </w:tcBorders>
            <w:vAlign w:val="center"/>
          </w:tcPr>
          <w:p w14:paraId="6419DF02">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33% төмен</w:t>
            </w:r>
          </w:p>
        </w:tc>
      </w:tr>
      <w:tr w14:paraId="12051B14">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793AC669">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w:t>
            </w:r>
          </w:p>
        </w:tc>
        <w:tc>
          <w:tcPr>
            <w:tcW w:w="0" w:type="auto"/>
            <w:tcBorders>
              <w:top w:val="outset" w:color="auto" w:sz="6" w:space="0"/>
              <w:left w:val="nil"/>
              <w:bottom w:val="outset" w:color="auto" w:sz="6" w:space="0"/>
              <w:right w:val="outset" w:color="auto" w:sz="6" w:space="0"/>
            </w:tcBorders>
            <w:vAlign w:val="center"/>
          </w:tcPr>
          <w:p w14:paraId="5EDA906C">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МСV</w:t>
            </w:r>
          </w:p>
        </w:tc>
        <w:tc>
          <w:tcPr>
            <w:tcW w:w="0" w:type="auto"/>
            <w:tcBorders>
              <w:top w:val="outset" w:color="auto" w:sz="6" w:space="0"/>
              <w:left w:val="nil"/>
              <w:bottom w:val="outset" w:color="auto" w:sz="6" w:space="0"/>
              <w:right w:val="outset" w:color="auto" w:sz="6" w:space="0"/>
            </w:tcBorders>
            <w:vAlign w:val="center"/>
          </w:tcPr>
          <w:p w14:paraId="01E356D4">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80–100 фл</w:t>
            </w:r>
          </w:p>
        </w:tc>
        <w:tc>
          <w:tcPr>
            <w:tcW w:w="0" w:type="auto"/>
            <w:tcBorders>
              <w:top w:val="outset" w:color="auto" w:sz="6" w:space="0"/>
              <w:left w:val="nil"/>
              <w:bottom w:val="outset" w:color="auto" w:sz="6" w:space="0"/>
              <w:right w:val="outset" w:color="auto" w:sz="6" w:space="0"/>
            </w:tcBorders>
            <w:vAlign w:val="center"/>
          </w:tcPr>
          <w:p w14:paraId="0986C375">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төмен</w:t>
            </w:r>
          </w:p>
        </w:tc>
      </w:tr>
      <w:tr w14:paraId="0C57FF9B">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68EC81E1">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w:t>
            </w:r>
          </w:p>
        </w:tc>
        <w:tc>
          <w:tcPr>
            <w:tcW w:w="0" w:type="auto"/>
            <w:tcBorders>
              <w:top w:val="outset" w:color="auto" w:sz="6" w:space="0"/>
              <w:left w:val="nil"/>
              <w:bottom w:val="outset" w:color="auto" w:sz="6" w:space="0"/>
              <w:right w:val="outset" w:color="auto" w:sz="6" w:space="0"/>
            </w:tcBorders>
            <w:vAlign w:val="center"/>
          </w:tcPr>
          <w:p w14:paraId="543F8B76">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Ретикулоциттер саны</w:t>
            </w:r>
          </w:p>
        </w:tc>
        <w:tc>
          <w:tcPr>
            <w:tcW w:w="0" w:type="auto"/>
            <w:tcBorders>
              <w:top w:val="outset" w:color="auto" w:sz="6" w:space="0"/>
              <w:left w:val="nil"/>
              <w:bottom w:val="outset" w:color="auto" w:sz="6" w:space="0"/>
              <w:right w:val="outset" w:color="auto" w:sz="6" w:space="0"/>
            </w:tcBorders>
            <w:vAlign w:val="center"/>
          </w:tcPr>
          <w:p w14:paraId="24D6139F">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2–10:1000</w:t>
            </w:r>
          </w:p>
        </w:tc>
        <w:tc>
          <w:tcPr>
            <w:tcW w:w="0" w:type="auto"/>
            <w:tcBorders>
              <w:top w:val="outset" w:color="auto" w:sz="6" w:space="0"/>
              <w:left w:val="nil"/>
              <w:bottom w:val="outset" w:color="auto" w:sz="6" w:space="0"/>
              <w:right w:val="outset" w:color="auto" w:sz="6" w:space="0"/>
            </w:tcBorders>
            <w:vAlign w:val="center"/>
          </w:tcPr>
          <w:p w14:paraId="43BB87DD">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өзгеріссіз</w:t>
            </w:r>
          </w:p>
        </w:tc>
      </w:tr>
      <w:tr w14:paraId="69C60F1C">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26F59A61">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w:t>
            </w:r>
          </w:p>
        </w:tc>
        <w:tc>
          <w:tcPr>
            <w:tcW w:w="0" w:type="auto"/>
            <w:tcBorders>
              <w:top w:val="outset" w:color="auto" w:sz="6" w:space="0"/>
              <w:left w:val="nil"/>
              <w:bottom w:val="outset" w:color="auto" w:sz="6" w:space="0"/>
              <w:right w:val="outset" w:color="auto" w:sz="6" w:space="0"/>
            </w:tcBorders>
            <w:vAlign w:val="center"/>
          </w:tcPr>
          <w:p w14:paraId="37303023">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Сарысу темірі</w:t>
            </w:r>
          </w:p>
        </w:tc>
        <w:tc>
          <w:tcPr>
            <w:tcW w:w="0" w:type="auto"/>
            <w:tcBorders>
              <w:top w:val="outset" w:color="auto" w:sz="6" w:space="0"/>
              <w:left w:val="nil"/>
              <w:bottom w:val="outset" w:color="auto" w:sz="6" w:space="0"/>
              <w:right w:val="outset" w:color="auto" w:sz="6" w:space="0"/>
            </w:tcBorders>
            <w:vAlign w:val="center"/>
          </w:tcPr>
          <w:p w14:paraId="4EB391B2">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әйелдер – 12–25 мкмль/л </w:t>
            </w:r>
          </w:p>
          <w:p w14:paraId="59E9317B">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ерлер –13–30 мкмоль/л</w:t>
            </w:r>
          </w:p>
        </w:tc>
        <w:tc>
          <w:tcPr>
            <w:tcW w:w="0" w:type="auto"/>
            <w:tcBorders>
              <w:top w:val="outset" w:color="auto" w:sz="6" w:space="0"/>
              <w:left w:val="nil"/>
              <w:bottom w:val="outset" w:color="auto" w:sz="6" w:space="0"/>
              <w:right w:val="outset" w:color="auto" w:sz="6" w:space="0"/>
            </w:tcBorders>
            <w:vAlign w:val="center"/>
          </w:tcPr>
          <w:p w14:paraId="621C1106">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төмендеген</w:t>
            </w:r>
          </w:p>
        </w:tc>
      </w:tr>
      <w:tr w14:paraId="2FD1D903">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6E3E8FA4">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w:t>
            </w:r>
          </w:p>
        </w:tc>
        <w:tc>
          <w:tcPr>
            <w:tcW w:w="0" w:type="auto"/>
            <w:tcBorders>
              <w:top w:val="outset" w:color="auto" w:sz="6" w:space="0"/>
              <w:left w:val="nil"/>
              <w:bottom w:val="outset" w:color="auto" w:sz="6" w:space="0"/>
              <w:right w:val="outset" w:color="auto" w:sz="6" w:space="0"/>
            </w:tcBorders>
            <w:vAlign w:val="center"/>
          </w:tcPr>
          <w:p w14:paraId="71198B0C">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Қан сарысулық жалпы темір байланыстырушы қабілеттілігі</w:t>
            </w:r>
          </w:p>
        </w:tc>
        <w:tc>
          <w:tcPr>
            <w:tcW w:w="0" w:type="auto"/>
            <w:tcBorders>
              <w:top w:val="outset" w:color="auto" w:sz="6" w:space="0"/>
              <w:left w:val="nil"/>
              <w:bottom w:val="outset" w:color="auto" w:sz="6" w:space="0"/>
              <w:right w:val="outset" w:color="auto" w:sz="6" w:space="0"/>
            </w:tcBorders>
            <w:vAlign w:val="center"/>
          </w:tcPr>
          <w:p w14:paraId="7BF850F4">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30–85 мкмоль/л</w:t>
            </w:r>
          </w:p>
        </w:tc>
        <w:tc>
          <w:tcPr>
            <w:tcW w:w="0" w:type="auto"/>
            <w:tcBorders>
              <w:top w:val="outset" w:color="auto" w:sz="6" w:space="0"/>
              <w:left w:val="nil"/>
              <w:bottom w:val="outset" w:color="auto" w:sz="6" w:space="0"/>
              <w:right w:val="outset" w:color="auto" w:sz="6" w:space="0"/>
            </w:tcBorders>
            <w:vAlign w:val="center"/>
          </w:tcPr>
          <w:p w14:paraId="00469BC1">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жоғарылыған</w:t>
            </w:r>
          </w:p>
        </w:tc>
      </w:tr>
      <w:tr w14:paraId="55BF9CAC">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207F0DC7">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w:t>
            </w:r>
          </w:p>
        </w:tc>
        <w:tc>
          <w:tcPr>
            <w:tcW w:w="0" w:type="auto"/>
            <w:tcBorders>
              <w:top w:val="outset" w:color="auto" w:sz="6" w:space="0"/>
              <w:left w:val="nil"/>
              <w:bottom w:val="outset" w:color="auto" w:sz="6" w:space="0"/>
              <w:right w:val="outset" w:color="auto" w:sz="6" w:space="0"/>
            </w:tcBorders>
            <w:vAlign w:val="center"/>
          </w:tcPr>
          <w:p w14:paraId="45404A4F">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Сарысулық латетті темірбайланыстырушылық қабілеттілігі</w:t>
            </w:r>
          </w:p>
        </w:tc>
        <w:tc>
          <w:tcPr>
            <w:tcW w:w="0" w:type="auto"/>
            <w:tcBorders>
              <w:top w:val="outset" w:color="auto" w:sz="6" w:space="0"/>
              <w:left w:val="nil"/>
              <w:bottom w:val="outset" w:color="auto" w:sz="6" w:space="0"/>
              <w:right w:val="outset" w:color="auto" w:sz="6" w:space="0"/>
            </w:tcBorders>
            <w:vAlign w:val="center"/>
          </w:tcPr>
          <w:p w14:paraId="4E6F8952">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47 мкмоль/л–ден төмен</w:t>
            </w:r>
          </w:p>
        </w:tc>
        <w:tc>
          <w:tcPr>
            <w:tcW w:w="0" w:type="auto"/>
            <w:tcBorders>
              <w:top w:val="outset" w:color="auto" w:sz="6" w:space="0"/>
              <w:left w:val="nil"/>
              <w:bottom w:val="outset" w:color="auto" w:sz="6" w:space="0"/>
              <w:right w:val="outset" w:color="auto" w:sz="6" w:space="0"/>
            </w:tcBorders>
            <w:vAlign w:val="center"/>
          </w:tcPr>
          <w:p w14:paraId="27F3F9B7">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47 мкмоль/л–ден жоғары</w:t>
            </w:r>
          </w:p>
        </w:tc>
      </w:tr>
      <w:tr w14:paraId="05C7B330">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32EA5F5B">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w:t>
            </w:r>
          </w:p>
        </w:tc>
        <w:tc>
          <w:tcPr>
            <w:tcW w:w="0" w:type="auto"/>
            <w:tcBorders>
              <w:top w:val="outset" w:color="auto" w:sz="6" w:space="0"/>
              <w:left w:val="nil"/>
              <w:bottom w:val="outset" w:color="auto" w:sz="6" w:space="0"/>
              <w:right w:val="outset" w:color="auto" w:sz="6" w:space="0"/>
            </w:tcBorders>
            <w:vAlign w:val="center"/>
          </w:tcPr>
          <w:p w14:paraId="6458FCF9">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TSat</w:t>
            </w:r>
          </w:p>
        </w:tc>
        <w:tc>
          <w:tcPr>
            <w:tcW w:w="0" w:type="auto"/>
            <w:tcBorders>
              <w:top w:val="outset" w:color="auto" w:sz="6" w:space="0"/>
              <w:left w:val="nil"/>
              <w:bottom w:val="outset" w:color="auto" w:sz="6" w:space="0"/>
              <w:right w:val="outset" w:color="auto" w:sz="6" w:space="0"/>
            </w:tcBorders>
            <w:vAlign w:val="center"/>
          </w:tcPr>
          <w:p w14:paraId="44EDD145">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w:t>
            </w:r>
          </w:p>
        </w:tc>
        <w:tc>
          <w:tcPr>
            <w:tcW w:w="0" w:type="auto"/>
            <w:tcBorders>
              <w:top w:val="outset" w:color="auto" w:sz="6" w:space="0"/>
              <w:left w:val="nil"/>
              <w:bottom w:val="outset" w:color="auto" w:sz="6" w:space="0"/>
              <w:right w:val="outset" w:color="auto" w:sz="6" w:space="0"/>
            </w:tcBorders>
            <w:vAlign w:val="center"/>
          </w:tcPr>
          <w:p w14:paraId="728224B9">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төмендеген</w:t>
            </w:r>
          </w:p>
        </w:tc>
      </w:tr>
      <w:tr w14:paraId="43607932">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vAlign w:val="center"/>
          </w:tcPr>
          <w:p w14:paraId="5931F427">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w:t>
            </w:r>
          </w:p>
        </w:tc>
        <w:tc>
          <w:tcPr>
            <w:tcW w:w="0" w:type="auto"/>
            <w:tcBorders>
              <w:top w:val="outset" w:color="auto" w:sz="6" w:space="0"/>
              <w:left w:val="nil"/>
              <w:bottom w:val="outset" w:color="auto" w:sz="6" w:space="0"/>
              <w:right w:val="outset" w:color="auto" w:sz="6" w:space="0"/>
            </w:tcBorders>
            <w:vAlign w:val="center"/>
          </w:tcPr>
          <w:p w14:paraId="6C707374">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Ферритин</w:t>
            </w:r>
          </w:p>
        </w:tc>
        <w:tc>
          <w:tcPr>
            <w:tcW w:w="0" w:type="auto"/>
            <w:tcBorders>
              <w:top w:val="outset" w:color="auto" w:sz="6" w:space="0"/>
              <w:left w:val="nil"/>
              <w:bottom w:val="outset" w:color="auto" w:sz="6" w:space="0"/>
              <w:right w:val="outset" w:color="auto" w:sz="6" w:space="0"/>
            </w:tcBorders>
            <w:vAlign w:val="center"/>
          </w:tcPr>
          <w:p w14:paraId="310A0993">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15–150 мкг/л</w:t>
            </w:r>
          </w:p>
        </w:tc>
        <w:tc>
          <w:tcPr>
            <w:tcW w:w="0" w:type="auto"/>
            <w:tcBorders>
              <w:top w:val="outset" w:color="auto" w:sz="6" w:space="0"/>
              <w:left w:val="nil"/>
              <w:bottom w:val="outset" w:color="auto" w:sz="6" w:space="0"/>
              <w:right w:val="outset" w:color="auto" w:sz="6" w:space="0"/>
            </w:tcBorders>
            <w:vAlign w:val="center"/>
          </w:tcPr>
          <w:p w14:paraId="691E1D8C">
            <w:pPr>
              <w:autoSpaceDE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төмендеген</w:t>
            </w:r>
          </w:p>
        </w:tc>
      </w:tr>
    </w:tbl>
    <w:p w14:paraId="67165E3C">
      <w:pPr>
        <w:keepNext/>
        <w:keepLines/>
        <w:widowControl w:val="0"/>
        <w:autoSpaceDE w:val="0"/>
        <w:autoSpaceDN w:val="0"/>
        <w:spacing w:after="0" w:line="276" w:lineRule="auto"/>
        <w:ind w:firstLine="709"/>
        <w:jc w:val="both"/>
        <w:outlineLvl w:val="0"/>
        <w:rPr>
          <w:rFonts w:ascii="Times New Roman" w:hAnsi="Times New Roman" w:eastAsia="等线 Light" w:cs="Times New Roman"/>
          <w:b/>
          <w:color w:val="2E75B5"/>
          <w:sz w:val="28"/>
          <w:szCs w:val="28"/>
          <w:lang w:eastAsia="ru-RU"/>
        </w:rPr>
      </w:pPr>
      <w:r>
        <w:rPr>
          <w:rFonts w:ascii="Times New Roman" w:hAnsi="Times New Roman" w:eastAsia="等线 Light" w:cs="Times New Roman"/>
          <w:b/>
          <w:color w:val="2E75B5"/>
          <w:sz w:val="28"/>
          <w:szCs w:val="28"/>
          <w:lang w:eastAsia="ru-RU"/>
        </w:rPr>
        <w:t xml:space="preserve"> </w:t>
      </w:r>
    </w:p>
    <w:p w14:paraId="602A134A">
      <w:pPr>
        <w:keepNext/>
        <w:keepLines/>
        <w:widowControl w:val="0"/>
        <w:autoSpaceDE w:val="0"/>
        <w:autoSpaceDN w:val="0"/>
        <w:spacing w:after="0" w:line="276" w:lineRule="auto"/>
        <w:ind w:firstLine="709"/>
        <w:jc w:val="both"/>
        <w:outlineLvl w:val="0"/>
        <w:rPr>
          <w:rFonts w:ascii="Times New Roman" w:hAnsi="Times New Roman" w:eastAsia="等线 Light" w:cs="Times New Roman"/>
          <w:b/>
          <w:sz w:val="28"/>
          <w:szCs w:val="28"/>
          <w:lang w:eastAsia="ru-RU"/>
        </w:rPr>
      </w:pPr>
      <w:r>
        <w:rPr>
          <w:rFonts w:ascii="Times New Roman" w:hAnsi="Times New Roman" w:eastAsia="等线 Light" w:cs="Times New Roman"/>
          <w:b/>
          <w:sz w:val="28"/>
          <w:szCs w:val="28"/>
          <w:lang w:eastAsia="ru-RU"/>
        </w:rPr>
        <w:t xml:space="preserve"> 2.2 Зерттеуге қатысқан науқастардың жалпы сипаттамасы</w:t>
      </w:r>
    </w:p>
    <w:p w14:paraId="4932E28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4028934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bookmarkStart w:id="3" w:name="_Hlk164600722"/>
      <w:bookmarkEnd w:id="3"/>
      <w:r>
        <w:rPr>
          <w:rFonts w:ascii="Times New Roman" w:hAnsi="Times New Roman" w:eastAsia="Times New Roman" w:cs="Times New Roman"/>
          <w:sz w:val="28"/>
          <w:szCs w:val="28"/>
          <w:lang w:eastAsia="ru-RU"/>
        </w:rPr>
        <w:t>Зерттеу жұмысына Қарағанды облыстық клиникалық ауруханасының Перинатальді орталығының қабылдау бөлімінде жүктілерден алынған клиникалық биоматериалдар мен олардың өмірлік және ауру тарихына қатысты деректер негізінде жүргізілді. Зерттеуге қатысуға этикалық рұқсат биоэтика комитеті арқылы алынып, зерттеу жұмыстары биоэтика ережелеріне сәйкес жүзеге асырылды. Барлық қатысушыларға зерттеу мақсаты, маңызы, мүмкін қауіптері мен артықшылықтары туралы ақпарат беріліп, зерттеуден бас тартуға құқылы екендігі түсіндірілді. Зерттеуге қатысуды қабылдамаған науқастарға ешқандай салдар болмайтыны атап көрсетілді. Зерттеуге қатысатын жүкті әйелдер арнайы жазбаша келісім беріп, құжатқа қол қойды (</w:t>
      </w:r>
      <w:r>
        <w:rPr>
          <w:rFonts w:ascii="Times New Roman" w:hAnsi="Times New Roman" w:eastAsia="Times New Roman" w:cs="Times New Roman"/>
          <w:bCs/>
          <w:sz w:val="28"/>
          <w:szCs w:val="28"/>
          <w:lang w:eastAsia="ru-RU"/>
        </w:rPr>
        <w:t>Қосымша Б</w:t>
      </w:r>
      <w:r>
        <w:rPr>
          <w:rFonts w:ascii="Times New Roman" w:hAnsi="Times New Roman" w:eastAsia="Times New Roman" w:cs="Times New Roman"/>
          <w:sz w:val="28"/>
          <w:szCs w:val="28"/>
          <w:lang w:eastAsia="ru-RU"/>
        </w:rPr>
        <w:t>). Зерттеуге қатысушылар зерттеудің қосу және шығару критерийлеріне сәйкес іріктелді.</w:t>
      </w:r>
    </w:p>
    <w:p w14:paraId="6FA6126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Зерттеуге қатысушыларды қосу критерийлері:</w:t>
      </w:r>
    </w:p>
    <w:p w14:paraId="511C1769">
      <w:pPr>
        <w:widowControl w:val="0"/>
        <w:numPr>
          <w:ilvl w:val="0"/>
          <w:numId w:val="8"/>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Жасы 18 жастан жоғары;</w:t>
      </w:r>
    </w:p>
    <w:p w14:paraId="3DBB00DE">
      <w:pPr>
        <w:widowControl w:val="0"/>
        <w:numPr>
          <w:ilvl w:val="0"/>
          <w:numId w:val="8"/>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Жынысы – әйел;</w:t>
      </w:r>
    </w:p>
    <w:p w14:paraId="4A1D29CD">
      <w:pPr>
        <w:widowControl w:val="0"/>
        <w:numPr>
          <w:ilvl w:val="0"/>
          <w:numId w:val="8"/>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Бірұрықтық жүктілік;</w:t>
      </w:r>
    </w:p>
    <w:p w14:paraId="5BD97F8D">
      <w:pPr>
        <w:widowControl w:val="0"/>
        <w:numPr>
          <w:ilvl w:val="0"/>
          <w:numId w:val="8"/>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ДСИ 19,8–25 кг/м² немесе 30 кг/м² жоғары болуы;</w:t>
      </w:r>
    </w:p>
    <w:p w14:paraId="41FF3B82">
      <w:pPr>
        <w:widowControl w:val="0"/>
        <w:numPr>
          <w:ilvl w:val="0"/>
          <w:numId w:val="8"/>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Жүктілік кезеңі: 22–аптадан босануға дейінгі мерзім;</w:t>
      </w:r>
    </w:p>
    <w:p w14:paraId="779ACAA8">
      <w:pPr>
        <w:widowControl w:val="0"/>
        <w:numPr>
          <w:ilvl w:val="0"/>
          <w:numId w:val="8"/>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Ақпараттық келісім берген жүкті әйелдер.</w:t>
      </w:r>
    </w:p>
    <w:p w14:paraId="085D867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Зерттеуден шығару критерийлері:</w:t>
      </w:r>
    </w:p>
    <w:p w14:paraId="06FC71C1">
      <w:pPr>
        <w:widowControl w:val="0"/>
        <w:numPr>
          <w:ilvl w:val="0"/>
          <w:numId w:val="9"/>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Жүйелік аурулары (асқазан–ішек жолдары, аутоиммундық, неврологиялық және гематологиялық аурулар, темір тапшылығы анемиясынан басқа), психикалық бұзылыстары, сондай–ақ АИТВ, гепатит В және С сияқты жұқпалары бар науқастар;</w:t>
      </w:r>
    </w:p>
    <w:p w14:paraId="1DA4A985">
      <w:pPr>
        <w:widowControl w:val="0"/>
        <w:numPr>
          <w:ilvl w:val="0"/>
          <w:numId w:val="9"/>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Темір қоспаларын қабылдап жатқан науқастар;</w:t>
      </w:r>
    </w:p>
    <w:p w14:paraId="510813D4">
      <w:pPr>
        <w:widowControl w:val="0"/>
        <w:numPr>
          <w:ilvl w:val="0"/>
          <w:numId w:val="9"/>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Келісім ақпаратын оқып, түсіне алмайтын және қол қоя алмайтын науқастар;</w:t>
      </w:r>
    </w:p>
    <w:p w14:paraId="3DED94EA">
      <w:pPr>
        <w:widowControl w:val="0"/>
        <w:numPr>
          <w:ilvl w:val="0"/>
          <w:numId w:val="9"/>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Кәмелетке толмаған жүктілік;</w:t>
      </w:r>
    </w:p>
    <w:p w14:paraId="5E76BA3C">
      <w:pPr>
        <w:widowControl w:val="0"/>
        <w:numPr>
          <w:ilvl w:val="0"/>
          <w:numId w:val="9"/>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Верификацияланбаған диагнозы бар жүктілер.</w:t>
      </w:r>
    </w:p>
    <w:p w14:paraId="0BD378D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Зерттеуге қосылған науқастар зерттеу жұмысына сәйкес анықталған критерийлер бойынша іріктеліп алынды. Зерттеу барысында науқастардың қауіпсіздігі мен деректердің құпиялылығы толық қамтамасыз етілді, әрбір қатысушы зерттеудің барлық кезеңдерінде өз еркімен кез келген уақытта қатысудан бас тарту құқығына ие болды.</w:t>
      </w:r>
    </w:p>
    <w:p w14:paraId="4ACFE9A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2542CCA9">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2.3 Зерттеуге қажетті материалдар және зерттеуді жүргізу әдістері</w:t>
      </w:r>
    </w:p>
    <w:p w14:paraId="0EB23CF3">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66D8E9A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bookmarkStart w:id="4" w:name="_Hlk163707842"/>
      <w:bookmarkEnd w:id="4"/>
      <w:r>
        <w:rPr>
          <w:rFonts w:ascii="Times New Roman" w:hAnsi="Times New Roman" w:eastAsia="Times New Roman" w:cs="Times New Roman"/>
          <w:sz w:val="28"/>
          <w:szCs w:val="28"/>
          <w:lang w:eastAsia="ru-RU"/>
        </w:rPr>
        <w:t>Зерттеуге қатысушы науқастарды зертханалық және клиникалық тексеру, сондай–ақ сауалнама толтыру (</w:t>
      </w:r>
      <w:r>
        <w:rPr>
          <w:rFonts w:ascii="Times New Roman" w:hAnsi="Times New Roman" w:eastAsia="Times New Roman" w:cs="Times New Roman"/>
          <w:bCs/>
          <w:sz w:val="28"/>
          <w:szCs w:val="28"/>
          <w:lang w:eastAsia="ru-RU"/>
        </w:rPr>
        <w:t>Қосымша Б</w:t>
      </w:r>
      <w:r>
        <w:rPr>
          <w:rFonts w:ascii="Times New Roman" w:hAnsi="Times New Roman" w:eastAsia="Times New Roman" w:cs="Times New Roman"/>
          <w:sz w:val="28"/>
          <w:szCs w:val="28"/>
          <w:lang w:eastAsia="ru-RU"/>
        </w:rPr>
        <w:t xml:space="preserve">) жұмыстары Қарағанды облыстық клиникалық ауруханасының №1 Перинаталдық орталығында өткізілді. Иммуноферменттік талдау үшін биоматериалды зерттеу «Қарағанды медициналық университеті» КеАҚ–ның </w:t>
      </w:r>
      <w:r>
        <w:rPr>
          <w:rFonts w:ascii="Times New Roman" w:hAnsi="Times New Roman" w:eastAsia="Times New Roman" w:cs="Times New Roman"/>
          <w:sz w:val="28"/>
          <w:szCs w:val="28"/>
          <w:lang w:val="kk-KZ" w:eastAsia="ru-RU"/>
        </w:rPr>
        <w:t xml:space="preserve">Өмір туралы ғылымдар институтында </w:t>
      </w:r>
      <w:r>
        <w:rPr>
          <w:rFonts w:ascii="Times New Roman" w:hAnsi="Times New Roman" w:eastAsia="Times New Roman" w:cs="Times New Roman"/>
          <w:sz w:val="28"/>
          <w:szCs w:val="28"/>
          <w:lang w:eastAsia="ru-RU"/>
        </w:rPr>
        <w:t>жүргізілді. Иммуноферментті талдау арқылы гепсидин, ферритин, эритропоэтин, С</w:t>
      </w:r>
      <w:r>
        <w:rPr>
          <w:rFonts w:ascii="Times New Roman" w:hAnsi="Times New Roman" w:eastAsia="Times New Roman" w:cs="Times New Roman"/>
          <w:sz w:val="28"/>
          <w:szCs w:val="28"/>
          <w:lang w:val="kk-KZ" w:eastAsia="ru-RU"/>
        </w:rPr>
        <w:t>РА</w:t>
      </w:r>
      <w:r>
        <w:rPr>
          <w:rFonts w:ascii="Times New Roman" w:hAnsi="Times New Roman" w:eastAsia="Times New Roman" w:cs="Times New Roman"/>
          <w:sz w:val="28"/>
          <w:szCs w:val="28"/>
          <w:lang w:eastAsia="ru-RU"/>
        </w:rPr>
        <w:t xml:space="preserve"> және ИЛ–6 көрсеткіштері анықталды.</w:t>
      </w:r>
    </w:p>
    <w:p w14:paraId="2A8982E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Зерттеуге қатысқан әрбір жүкті әйелдің анамнездік деректері, қосымша зерттеу нәтижелері және босану ерекшеліктері жеке тіркеліп отырды. Зерттеу барысында барлық науқастардың клиникалық–зертханалық мәліметтері ауру тарихы мен алмасу картасынан алынып, семіздіктің темір тапшылығына әсерін бағалау үшін қолданылды.</w:t>
      </w:r>
    </w:p>
    <w:p w14:paraId="7870288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кезеңдерінің бірі ретінде, зерттеуге қатысушы жүкті әйелдерден иммундық ферментті талдауға қажетті биоматериал (қан) алынды. Барлық топтардағы жүкті әйелдер мен бақылау тобындағы қатысушылардан көктамырдан 5 мл қан үлгісі алынды. Алынған қан үлгілерінен жасушалық массалардан қан сарысуын бөліп алу үшін центрифугалау әдісі қолданылды. Сарысу 5 мл көлемдегі, 13х100 мм өлшемдегі, сары қақпағы мен гелі бар вакуумдық пробиркаларда жинақталып сақталды.</w:t>
      </w:r>
    </w:p>
    <w:p w14:paraId="01CF442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Қан сарысуын талдау EVOLIS BioRad (сурет–3) аппаратымен жүзеге асырылды. EVOLIS – толық автоматтандырылған иммундық ферментті талдау анализаторы, ол заманауи иммуноферментті талдау әдістерін қолданып, нәтижелердің жоғары дәлдігін қамтамасыз етеді. EVOLIS құрылғысы зерттеуде қолданылған барлық биомаркерлерді (гепсидин, ферритин, эритропоэтин, С–реактивті ақуыз, интерлейкин–6) анықтауға мүмкіндік берді және зерттеу нәтижелерінің сенімділігін арттырды.</w:t>
      </w:r>
    </w:p>
    <w:p w14:paraId="0776F4F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EVOLIS құрылғысы – толық автоматтандырылған иммундық ферментті талдау (ИФА) жүйесі, зерттеулерде жоғары тиімділік пен дәлдікті қамтамасыз ететін заманауи аппарат. EVOLIS құрылғысының құрамына мөлшерлеу құрылғысы, инкубатор, шайба, микропластинаға арналған оқу құралы мен компьютермен басқару жүйесі кіреді, бұл зерттеу жұмысын оңтайландырып, талдау процесін жылдамдатады.</w:t>
      </w:r>
    </w:p>
    <w:p w14:paraId="79A0B5A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25656CD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2881630" cy="3394075"/>
            <wp:effectExtent l="0" t="0" r="0" b="0"/>
            <wp:docPr id="87" name="Рисунок 87" descr="C:\Users\kgmuuser\AppData\Local\Temp\ksohtml739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C:\Users\kgmuuser\AppData\Local\Temp\ksohtml7396\wps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881630" cy="339407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3F0CA8F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63BA6B5C">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Сурет – 3. EVOLIS BioRad аппаратымен жұмыс жүргізу барысы.</w:t>
      </w:r>
    </w:p>
    <w:p w14:paraId="01B596A5">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 </w:t>
      </w:r>
    </w:p>
    <w:p w14:paraId="2E60F2D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EVOLIS құрылғысының ерекшеліктері:</w:t>
      </w:r>
    </w:p>
    <w:p w14:paraId="5850CCBE">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Автоматты диспенсер: Пробиркалар мен микропланшеттердегі сынамалар мен реагенттер алдын ала дайындалып, үлгілер мен реагенттерді тамызу (диспенсерлеу) автоматтандырылған.</w:t>
      </w:r>
    </w:p>
    <w:p w14:paraId="2ECB6D11">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Сұйылту және архивация модулі: Зерттеу үшін 167 үлгіге дейін алдын ала сұйылтып немесе мұрағаттауға мүмкіндік береді.</w:t>
      </w:r>
    </w:p>
    <w:p w14:paraId="4D23E90F">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Үлгі мен реагенттерді тамшуырлау: Бір реттік ұштарды қолдану арқылы ластанудан қорғаныс қамтамасыз етілген. 96 кеңестен тұратын 2 сөре қолданылды.</w:t>
      </w:r>
    </w:p>
    <w:p w14:paraId="75B0D404">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Үлгі мен реагент сөрелері: 167 бастапқы үлгі түтіктерін және реагенттерді бір уақытта жүктеу мүмкіндігі бар.</w:t>
      </w:r>
    </w:p>
    <w:p w14:paraId="1BC2890D">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Үлгі мен реагенттерді тамшуырлау модулі: 4 микропластинканы бір планшетте 12 түрлі сынақ жүйелеріне дейін біріктіруге мүмкіндік береді.</w:t>
      </w:r>
    </w:p>
    <w:p w14:paraId="11108B45">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Инкубатор: Температураны төрт түрлі деңгейде реттеуге мүмкіндік беретін инкубация модулі бар.</w:t>
      </w:r>
    </w:p>
    <w:p w14:paraId="42BB9DD9">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Жуу буфері контейнерлері: Жуу ерітінділері үшін 4 контейнерге дейін ұстау мүмкіндігі.</w:t>
      </w:r>
    </w:p>
    <w:p w14:paraId="32A3681F">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Шаю модулі: Қос 8 арналы тәуелсіз қолдану жүйелері арқылы тазалау процесі тиімді жүргізіледі.</w:t>
      </w:r>
    </w:p>
    <w:p w14:paraId="41DE4261">
      <w:pPr>
        <w:widowControl w:val="0"/>
        <w:numPr>
          <w:ilvl w:val="0"/>
          <w:numId w:val="10"/>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Микропластинаны тасымалдау модулі: Процедураларды оңтайландыру үшін микропластиналарды анализаторлар арасында жылжыту мүмкіндігі қамтамасыз етілген.</w:t>
      </w:r>
    </w:p>
    <w:p w14:paraId="06A56A4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Техникалық сипаттамалары:</w:t>
      </w:r>
    </w:p>
    <w:p w14:paraId="12EA832E">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Борттағы үлгілер саны: 196</w:t>
      </w:r>
    </w:p>
    <w:p w14:paraId="49B73255">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Сұйылту мүмкіндігі: 90–288</w:t>
      </w:r>
    </w:p>
    <w:p w14:paraId="1412D0AE">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Негізгі түтік өлшемі: диаметрі 10–16 мм, биіктігі 50–100 мм</w:t>
      </w:r>
    </w:p>
    <w:p w14:paraId="30DC68F8">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Үлгіні сұйылту: 1/10 000 дейін</w:t>
      </w:r>
    </w:p>
    <w:p w14:paraId="12B3D00F">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Калибраторлар мен бақылау үлгілерінің саны: 31</w:t>
      </w:r>
    </w:p>
    <w:p w14:paraId="17417A63">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Реагенттер контейнерлері: Bio–Rad бөтелкелері</w:t>
      </w:r>
    </w:p>
    <w:p w14:paraId="4600DE83">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Реагенттерді штрих–код арқылы анықтау және жарамдылық мерзімін бақылау мүмкіндігі</w:t>
      </w:r>
    </w:p>
    <w:p w14:paraId="2A652A6C">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Пробиркалар үшін орташа өлшеу уақыты: әр пластина үшін 16 минут</w:t>
      </w:r>
    </w:p>
    <w:p w14:paraId="06193B1E">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Құрылғы типі: Автоматты</w:t>
      </w:r>
    </w:p>
    <w:p w14:paraId="10FDA520">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түрі: ИФА (иммуноферменттік талдау)</w:t>
      </w:r>
    </w:p>
    <w:p w14:paraId="6DB46B14">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әдісі: Фотометрия</w:t>
      </w:r>
    </w:p>
    <w:p w14:paraId="3D7CCFC8">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Шейкер, шаю құрылғысы, инкубатор, сенсорлық дисплей және штрих–код оқу құралы кіріктірілген</w:t>
      </w:r>
    </w:p>
    <w:p w14:paraId="783C0CAF">
      <w:pPr>
        <w:widowControl w:val="0"/>
        <w:numPr>
          <w:ilvl w:val="0"/>
          <w:numId w:val="11"/>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LIS–пен байланыс мүмкіндігі бар</w:t>
      </w:r>
    </w:p>
    <w:p w14:paraId="32BF9E6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Жұмыс өнімділігі мен басқару жүйесі:</w:t>
      </w:r>
    </w:p>
    <w:p w14:paraId="7C2C563D">
      <w:pPr>
        <w:widowControl w:val="0"/>
        <w:numPr>
          <w:ilvl w:val="0"/>
          <w:numId w:val="12"/>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Құрылғыны іске қосу және үлгілерді жүктеу 10 минут уақыт алады.</w:t>
      </w:r>
    </w:p>
    <w:p w14:paraId="4BF5624A">
      <w:pPr>
        <w:widowControl w:val="0"/>
        <w:numPr>
          <w:ilvl w:val="0"/>
          <w:numId w:val="12"/>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Бір уақытта 167 үлгіге дейін жүктеледі.</w:t>
      </w:r>
    </w:p>
    <w:p w14:paraId="1FC87BBD">
      <w:pPr>
        <w:widowControl w:val="0"/>
        <w:numPr>
          <w:ilvl w:val="0"/>
          <w:numId w:val="12"/>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Әртүрлі сынақ жүйелерін бір микропластинада біріктіру мүмкіндігі бар.</w:t>
      </w:r>
    </w:p>
    <w:p w14:paraId="693FC6BE">
      <w:pPr>
        <w:widowControl w:val="0"/>
        <w:numPr>
          <w:ilvl w:val="0"/>
          <w:numId w:val="12"/>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LIS (Зертханалық ақпараттық жүйе) арқылы деректермен алмасу жүргізіледі.</w:t>
      </w:r>
    </w:p>
    <w:p w14:paraId="4EB852FF">
      <w:pPr>
        <w:widowControl w:val="0"/>
        <w:numPr>
          <w:ilvl w:val="0"/>
          <w:numId w:val="12"/>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Timeliner™ интерфейсі арқылы бағдарламалық қамтамасыз ету жүйесі оңай басқарылып, барлық процестер оңтайландырылады.</w:t>
      </w:r>
    </w:p>
    <w:p w14:paraId="1054D0AA">
      <w:pPr>
        <w:widowControl w:val="0"/>
        <w:numPr>
          <w:ilvl w:val="0"/>
          <w:numId w:val="12"/>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Штрих–код арқылы үлгілер мен реагенттерді сәйкестендіру және жарамдылық мерзімін бақылау жүргізіледі.</w:t>
      </w:r>
    </w:p>
    <w:p w14:paraId="20D5BCF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EVOLIS құрылғысы интуитивті бағдарламалық құралдың арқасында жұмыс барысын жеңілдетіп, барлық процестердің оңтайландырылғанына көз жеткізуге мүмкіндік берді. Реагенттер мен басқару элементтері штрих–код арқылы анықталып, лот нөмірін бақылау жүйесімен басқарылды. EVOLIS құрылғысының автоматтандырылған мүмкіндіктері жұмысты жеңілдетіп, зерттеу барысында алынған нәтижелердің дәлдігі мен сенімділігін қамтамасыз етті.</w:t>
      </w:r>
    </w:p>
    <w:p w14:paraId="42BDF8F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0D05C56D">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2.3.1 Зерттеуге қатысқан жүктілерге сауалнама толтыруды жүргізу барысы</w:t>
      </w:r>
    </w:p>
    <w:p w14:paraId="31738CF6">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38F3933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Зерттеуге қатысқан жүкті әйелдерге сауалнама толтыру жүргізілді. Сауалнама анемияға әкелуі мүмкін қауіп факторларын анықтау үшін дайындалды. Сауалнама келесі негізгі бөлімдерден тұрды:</w:t>
      </w:r>
    </w:p>
    <w:p w14:paraId="736329EC">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Жалпы ақпараттық мәліметтер: жүктілердің жасы, жүктілікке дейінгі салмағы, бойы және ДСИ, зиянды әдеттері.</w:t>
      </w:r>
    </w:p>
    <w:p w14:paraId="3E4C427D">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Тұқымқуалаушылыққа бейімділік: отбасында анемия немесе басқа тұқым қуалайтын аурулардың бар–жоғы анықталды.</w:t>
      </w:r>
    </w:p>
    <w:p w14:paraId="0E9F83B7">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Анемияға қарсы қолданылатын препараттар: әйелдердің қандай дәрілік препараттар алатындығы және олардың анемияға қарсы қолданылуы жайлы ақпарат жиналды.</w:t>
      </w:r>
    </w:p>
    <w:p w14:paraId="188CAFD7">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Қосымша патологиялар: қосымша аурулардың болуы (жүрек–қан тамырлары аурулары, диабет және т.б.).</w:t>
      </w:r>
    </w:p>
    <w:p w14:paraId="684292F6">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Тамақтану ерекшеліктері: науқастардың тамақтану әдеттері, тағам құрамындағы темірдің жеткіліктілігі бағаланды.</w:t>
      </w:r>
    </w:p>
    <w:p w14:paraId="5D0CC89F">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Физикалық белсенділік: жүктілердің физикалық жаттығулармен шұғылдану деңгейі.</w:t>
      </w:r>
    </w:p>
    <w:p w14:paraId="4E79731F">
      <w:pPr>
        <w:widowControl w:val="0"/>
        <w:numPr>
          <w:ilvl w:val="0"/>
          <w:numId w:val="13"/>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Алдыңғы жүктіліктің өтуі: бұрынғы жүктіліктерінің қалай өткені, қосымша акушерлік патологиялардың бар–жоғы туралы ақпарат жинақталды.</w:t>
      </w:r>
    </w:p>
    <w:p w14:paraId="244253A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Сауалнама толтыру барысы барлық әйелдерге жүргізілмеді, тек қана қосымша ақпарат қажет болған жағдайда, яғни науқастардың ауру тарихы мен алмасу картасындағы мәліметтер жеткіліксіз болған жағдайда ғана толтырылып  пайдаланылды.</w:t>
      </w:r>
    </w:p>
    <w:p w14:paraId="1F906DB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02CDA781">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2.3.2 Клиникалық зерттеу әдістері</w:t>
      </w:r>
    </w:p>
    <w:p w14:paraId="269F9ED0">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549C45B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Жатыр күмбезінің биіктігін өлшеу: жатыр күмбезінің биіктігі (fundal height) баланың өсуін тексерудің қарапайым және қолжетімді әдісі ретінде өлшенді. Өлшеу алдында жүкті әйелдің қуығын босатуы қажет. Жүкті әйелді арқасына жатқызып, аяқтарын түзу ұстауын қамтамасыз еткеннен кейін, сантиметрлік лента көмегімен жамбас сүйегінің қасаға симфизінен жатырдың жоғарғы жағына (fundus) дейінгі қашықтық өлшенді.</w:t>
      </w:r>
    </w:p>
    <w:p w14:paraId="0A2B582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Іш айналымын өлшеу: жүкті әйелді арқасына жатқызып, сантиметрлік лента арқылы іш айналымын өлшеу жүргізілді. Өлшеу барысында лентаны алдыңғы жағынан кіндік ойығы деңгейінде, ал артқы жағынан белдің ойысы деңгейінде орналастыру қажет.</w:t>
      </w:r>
    </w:p>
    <w:p w14:paraId="3BE1550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4E88330E">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2.3.3 Дене салмағының индексінің өлшемі. </w:t>
      </w:r>
    </w:p>
    <w:p w14:paraId="5A1B726E">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6A01D7B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Зерттеуге қатысқан жүкті әйелдердің антропометриялық көрсеткіштері ретроспективті түрде бағаланды. Жүктілікке дейінгі немесе жүктілік бойынша есепке тұрған кездегі (жүктіліктің 10 аптасына дейінгі) бой мен салмақ мәліметтері пайдаланылды. Семіздік диагнозын анықтау үшін және оны дәрежелерге бөлу үшін арнайы (Кетле) ДСИ фомуласы қолданылды. ДСИ анықтауда жүктілердің дене салмағы мен бойларының өлшемі арқылы келесі формуламен жүргізілді:</w:t>
      </w:r>
    </w:p>
    <w:p w14:paraId="63BCE3E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ДСИ=салмақ (кг)/бой (м)</w:t>
      </w:r>
      <w:r>
        <w:rPr>
          <w:rFonts w:ascii="Times New Roman" w:hAnsi="Times New Roman" w:eastAsia="Times New Roman" w:cs="Times New Roman"/>
          <w:sz w:val="28"/>
          <w:szCs w:val="28"/>
          <w:vertAlign w:val="superscript"/>
          <w:lang w:eastAsia="ru-RU"/>
        </w:rPr>
        <w:t>2</w:t>
      </w:r>
    </w:p>
    <w:p w14:paraId="607F70F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ДСИ көрсеткіштері Қазақстан Республикасының Денсаулық сақтау министрлігінің медициналық қызметтер сапасын бақылау бойынша біріккен комитетінің мақұлдануымен №18 «Физиологиялық жүктілікті жүргізу» хаттамасына (19.09.2013) сәйкес алынды:</w:t>
      </w:r>
    </w:p>
    <w:p w14:paraId="141D134A">
      <w:pPr>
        <w:widowControl w:val="0"/>
        <w:numPr>
          <w:ilvl w:val="0"/>
          <w:numId w:val="14"/>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Төмен ДСИ – &lt;19,8</w:t>
      </w:r>
    </w:p>
    <w:p w14:paraId="3A79BEC5">
      <w:pPr>
        <w:widowControl w:val="0"/>
        <w:numPr>
          <w:ilvl w:val="0"/>
          <w:numId w:val="14"/>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Қалыпты ДСИ – 19,9–26,0</w:t>
      </w:r>
    </w:p>
    <w:p w14:paraId="6B9870F1">
      <w:pPr>
        <w:widowControl w:val="0"/>
        <w:numPr>
          <w:ilvl w:val="0"/>
          <w:numId w:val="14"/>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Артық салмақ – 26,1–29,0</w:t>
      </w:r>
    </w:p>
    <w:p w14:paraId="5231C489">
      <w:pPr>
        <w:widowControl w:val="0"/>
        <w:numPr>
          <w:ilvl w:val="0"/>
          <w:numId w:val="14"/>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Семіздік – &gt;29</w:t>
      </w:r>
    </w:p>
    <w:p w14:paraId="5A4DA6B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7000B5DB">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2.3.4 Клиникалық мәліметтерді жинау және талдау</w:t>
      </w:r>
    </w:p>
    <w:p w14:paraId="664D7F6D">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461E75F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Барлық зерттеуге қатысушылардың босану үйінен шығару эпикризіндегі мәліметтері және зерттеу қорытындылары талданды. Бұл мәліметтерге жүктілердің келесі клиникалық және зертханалық көрсеткіштері енді:</w:t>
      </w:r>
    </w:p>
    <w:p w14:paraId="199FE710">
      <w:pPr>
        <w:widowControl w:val="0"/>
        <w:numPr>
          <w:ilvl w:val="0"/>
          <w:numId w:val="15"/>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ЖҚА (жалпы қан анализі),</w:t>
      </w:r>
    </w:p>
    <w:p w14:paraId="267006FD">
      <w:pPr>
        <w:widowControl w:val="0"/>
        <w:numPr>
          <w:ilvl w:val="0"/>
          <w:numId w:val="15"/>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Коагулограмма,</w:t>
      </w:r>
    </w:p>
    <w:p w14:paraId="32C8D7E6">
      <w:pPr>
        <w:widowControl w:val="0"/>
        <w:numPr>
          <w:ilvl w:val="0"/>
          <w:numId w:val="15"/>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Қанның биохимиялық анализі.</w:t>
      </w:r>
    </w:p>
    <w:p w14:paraId="5E0F710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Сонымен қатар, аспаптық зерттеу нәтижелері, босану ерекшеліктері және босанғаннан кейінгі асқынулар да зерттелді.</w:t>
      </w:r>
    </w:p>
    <w:p w14:paraId="1170685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205FDE66">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2.4 Маркерлерді ИФА әдісімен бағалау гепсидин, эритропоэтин. интерлейки–</w:t>
      </w:r>
      <w:r>
        <w:rPr>
          <w:rFonts w:ascii="Times New Roman" w:hAnsi="Times New Roman" w:eastAsia="Times New Roman" w:cs="Times New Roman"/>
          <w:b/>
          <w:sz w:val="28"/>
          <w:szCs w:val="28"/>
          <w:lang w:val="kk-KZ" w:eastAsia="ru-RU"/>
        </w:rPr>
        <w:t>6, С-</w:t>
      </w:r>
      <w:r>
        <w:rPr>
          <w:rFonts w:ascii="Times New Roman" w:hAnsi="Times New Roman" w:eastAsia="Times New Roman" w:cs="Times New Roman"/>
          <w:b/>
          <w:sz w:val="28"/>
          <w:szCs w:val="28"/>
          <w:lang w:eastAsia="ru-RU"/>
        </w:rPr>
        <w:t>реактивті ақуызды және ферритинді ИФА әдісімен бағалау</w:t>
      </w:r>
    </w:p>
    <w:p w14:paraId="18E3AE26">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719C990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Қан сарысуындағы гепсидин, </w:t>
      </w:r>
      <w:r>
        <w:rPr>
          <w:rFonts w:ascii="Times New Roman" w:hAnsi="Times New Roman" w:eastAsia="Times New Roman" w:cs="Times New Roman"/>
          <w:sz w:val="28"/>
          <w:szCs w:val="28"/>
          <w:lang w:val="kk-KZ" w:eastAsia="ru-RU"/>
        </w:rPr>
        <w:t>ЭПО</w:t>
      </w:r>
      <w:r>
        <w:rPr>
          <w:rFonts w:ascii="Times New Roman" w:hAnsi="Times New Roman" w:eastAsia="Times New Roman" w:cs="Times New Roman"/>
          <w:sz w:val="28"/>
          <w:szCs w:val="28"/>
          <w:lang w:eastAsia="ru-RU"/>
        </w:rPr>
        <w:t xml:space="preserve">, ИЛ–6, CРА, ферритиннің деңгейін анықтауды иммуноферментті анализ ELISA (CEB979Hu Enzyme–linked Immunosorbent AssayKitFor Hepcidin (Hepc), SEA028Hu Enzyme–linked Immunosorbent AssayKitFor Erythropoietin(EPO), HEA079Hu High Sensitive Enzyme–linked Immunosorbent AssayKitFor Interleukin6 (IL6), SEA821Hu Enzyme–linked Immunosorbent Assay Kit For C Reactive Protein (CRP), SEA518Hu Enzyme–linked </w:t>
      </w:r>
      <w:r>
        <w:rPr>
          <w:rFonts w:ascii="Times New Roman" w:hAnsi="Times New Roman" w:eastAsia="Times New Roman" w:cs="Times New Roman"/>
          <w:color w:val="000000"/>
          <w:sz w:val="28"/>
          <w:szCs w:val="28"/>
          <w:lang w:eastAsia="ru-RU"/>
        </w:rPr>
        <w:t xml:space="preserve">Immunosorbent Assay Kit For Ferritin (F) </w:t>
      </w:r>
      <w:r>
        <w:rPr>
          <w:rFonts w:ascii="Times New Roman" w:hAnsi="Times New Roman" w:eastAsia="Times New Roman" w:cs="Times New Roman"/>
          <w:sz w:val="28"/>
          <w:szCs w:val="28"/>
          <w:lang w:eastAsia="ru-RU"/>
        </w:rPr>
        <w:t>Cloud–clone</w:t>
      </w:r>
      <w:r>
        <w:rPr>
          <w:rFonts w:ascii="Times New Roman" w:hAnsi="Times New Roman" w:eastAsia="Times New Roman" w:cs="Times New Roman"/>
          <w:color w:val="000000"/>
          <w:sz w:val="28"/>
          <w:szCs w:val="28"/>
          <w:lang w:eastAsia="ru-RU"/>
        </w:rPr>
        <w:t>) жүргізілді.</w:t>
      </w:r>
    </w:p>
    <w:p w14:paraId="1FA7AEB6">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 xml:space="preserve">Үлгіні жинау және сақтау: Қан сарысуы – сарысу сепараторының түтігі пайдаланылды және үлгілерді бөлме температурасында екі сағат немесе центрифугалау алдында бір түнде шамамен 1000×г температурада 20 минут бойы ұюға мүмкіндік берілді. </w:t>
      </w:r>
      <w:r>
        <w:rPr>
          <w:rFonts w:ascii="Times New Roman" w:hAnsi="Times New Roman" w:eastAsia="Times New Roman" w:cs="Times New Roman"/>
          <w:sz w:val="28"/>
          <w:szCs w:val="28"/>
          <w:lang w:eastAsia="ru-RU"/>
        </w:rPr>
        <w:t>Assay</w:t>
      </w:r>
      <w:r>
        <w:rPr>
          <w:rFonts w:ascii="Times New Roman" w:hAnsi="Times New Roman" w:eastAsia="Times New Roman" w:cs="Times New Roman"/>
          <w:color w:val="000000"/>
          <w:sz w:val="28"/>
          <w:szCs w:val="28"/>
          <w:lang w:eastAsia="ru-RU"/>
        </w:rPr>
        <w:t xml:space="preserve"> жаңадан дайындалған сарысуды дереу немесе кейінірек пайдалану үшін –200С немесе –800С деңгейінде аликотта сақталынды. Бірнеше рет қатып қалу/еріту циклдары болған жоқ.</w:t>
      </w:r>
    </w:p>
    <w:p w14:paraId="7EE637AF">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 xml:space="preserve"> </w:t>
      </w:r>
    </w:p>
    <w:p w14:paraId="60F31DEC">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color w:val="000000"/>
          <w:sz w:val="28"/>
          <w:szCs w:val="28"/>
          <w:lang w:eastAsia="ru-RU"/>
        </w:rPr>
        <w:t>2.4.1</w:t>
      </w:r>
      <w:r>
        <w:rPr>
          <w:rFonts w:ascii="Times New Roman" w:hAnsi="Times New Roman" w:eastAsia="Times New Roman" w:cs="Times New Roman"/>
          <w:b/>
          <w:iCs/>
          <w:color w:val="000000"/>
          <w:sz w:val="28"/>
          <w:szCs w:val="28"/>
          <w:lang w:eastAsia="ru-RU"/>
        </w:rPr>
        <w:t xml:space="preserve"> Қажетті материалдардың тізімі:</w:t>
      </w:r>
    </w:p>
    <w:p w14:paraId="69CFCF8F">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iCs/>
          <w:color w:val="000000"/>
          <w:sz w:val="28"/>
          <w:szCs w:val="28"/>
          <w:lang w:eastAsia="ru-RU"/>
        </w:rPr>
        <w:t xml:space="preserve"> </w:t>
      </w:r>
    </w:p>
    <w:p w14:paraId="645A7F3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color w:val="000000"/>
          <w:sz w:val="28"/>
          <w:szCs w:val="28"/>
          <w:lang w:eastAsia="ru-RU"/>
        </w:rPr>
        <w:t xml:space="preserve">1. 450 ± 10 нм сүзгісі бар микропластинаны </w:t>
      </w:r>
      <w:r>
        <w:rPr>
          <w:rFonts w:ascii="Times New Roman" w:hAnsi="Times New Roman" w:eastAsia="Times New Roman" w:cs="Times New Roman"/>
          <w:sz w:val="28"/>
          <w:szCs w:val="28"/>
          <w:lang w:eastAsia="ru-RU"/>
        </w:rPr>
        <w:t>оқу құрылғысы;</w:t>
      </w:r>
    </w:p>
    <w:p w14:paraId="7ECF016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2. Дәлдігі жоғары және бір рет қолданылатын ұштары бар бір немесе көп арналы тамшылатушылар;</w:t>
      </w:r>
    </w:p>
    <w:p w14:paraId="66767F0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3. Микроцентрифугалық түтіктер;</w:t>
      </w:r>
    </w:p>
    <w:p w14:paraId="6AF3ED8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4. Дейонизацияланған немесе тазартылған су;</w:t>
      </w:r>
    </w:p>
    <w:p w14:paraId="2AEB766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5. Микропластинаны сүртуге арналған сіңіргіш қағаз;</w:t>
      </w:r>
    </w:p>
    <w:p w14:paraId="262965A5">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sz w:val="28"/>
          <w:szCs w:val="28"/>
          <w:lang w:eastAsia="ru-RU"/>
        </w:rPr>
        <w:t xml:space="preserve">6. Жуу ерітіндісіне арналған контейнер. 7. 0,01моль/л (немесе 1×) фосфатты </w:t>
      </w:r>
      <w:r>
        <w:rPr>
          <w:rFonts w:ascii="Times New Roman" w:hAnsi="Times New Roman" w:eastAsia="Times New Roman" w:cs="Times New Roman"/>
          <w:color w:val="000000"/>
          <w:sz w:val="28"/>
          <w:szCs w:val="28"/>
          <w:lang w:eastAsia="ru-RU"/>
        </w:rPr>
        <w:t>буферленген тұз (PBS), pH7,0–7,2;</w:t>
      </w:r>
    </w:p>
    <w:p w14:paraId="1D2D2ED4">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Стандартты А, В анықтау реагенттері және 96–ұңғымалы жолақты тақтайша –20</w:t>
      </w:r>
      <w:r>
        <w:rPr>
          <w:rFonts w:ascii="Times New Roman" w:hAnsi="Times New Roman" w:eastAsia="Times New Roman" w:cs="Times New Roman"/>
          <w:color w:val="000000"/>
          <w:sz w:val="28"/>
          <w:szCs w:val="28"/>
          <w:vertAlign w:val="superscript"/>
          <w:lang w:eastAsia="ru-RU"/>
        </w:rPr>
        <w:t>0</w:t>
      </w:r>
      <w:r>
        <w:rPr>
          <w:rFonts w:ascii="Times New Roman" w:hAnsi="Times New Roman" w:eastAsia="Times New Roman" w:cs="Times New Roman"/>
          <w:color w:val="000000"/>
          <w:sz w:val="28"/>
          <w:szCs w:val="28"/>
          <w:lang w:eastAsia="ru-RU"/>
        </w:rPr>
        <w:t>С деңгейінде сақталынды.</w:t>
      </w:r>
    </w:p>
    <w:p w14:paraId="696A4438">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 xml:space="preserve"> </w:t>
      </w:r>
    </w:p>
    <w:p w14:paraId="2CC803F1">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color w:val="000000"/>
          <w:sz w:val="28"/>
          <w:szCs w:val="28"/>
          <w:lang w:eastAsia="ru-RU"/>
        </w:rPr>
        <w:t xml:space="preserve">2.4.2 </w:t>
      </w:r>
      <w:r>
        <w:rPr>
          <w:rFonts w:ascii="Times New Roman" w:hAnsi="Times New Roman" w:eastAsia="Times New Roman" w:cs="Times New Roman"/>
          <w:b/>
          <w:iCs/>
          <w:color w:val="000000"/>
          <w:sz w:val="28"/>
          <w:szCs w:val="28"/>
          <w:lang w:eastAsia="ru-RU"/>
        </w:rPr>
        <w:t>Реагенттерді дайындап алу:</w:t>
      </w:r>
    </w:p>
    <w:p w14:paraId="104C0819">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iCs/>
          <w:color w:val="000000"/>
          <w:sz w:val="28"/>
          <w:szCs w:val="28"/>
          <w:lang w:eastAsia="ru-RU"/>
        </w:rPr>
        <w:t xml:space="preserve"> </w:t>
      </w:r>
    </w:p>
    <w:p w14:paraId="4FDF6ED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color w:val="000000"/>
          <w:sz w:val="28"/>
          <w:szCs w:val="28"/>
          <w:lang w:eastAsia="ru-RU"/>
        </w:rPr>
        <w:t xml:space="preserve">1. Қолданар алдында </w:t>
      </w:r>
      <w:r>
        <w:rPr>
          <w:rFonts w:ascii="Times New Roman" w:hAnsi="Times New Roman" w:eastAsia="Times New Roman" w:cs="Times New Roman"/>
          <w:sz w:val="28"/>
          <w:szCs w:val="28"/>
          <w:lang w:eastAsia="ru-RU"/>
        </w:rPr>
        <w:t>жинақтың барлық компоненттері мен үлгілерін бөлме температурасында (18–25</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жеткізіп алынды. Жинақ бір рет пайдаланылмайтын болса, тек осы тәжірибеге арналған жолақтар мен реагенттерді шығарып, қалған жолақтар мен реагенттер қажетті күйде қалдырыдып отырды.</w:t>
      </w:r>
    </w:p>
    <w:p w14:paraId="49ACEE9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13970" cy="13970"/>
            <wp:effectExtent l="0" t="0" r="0" b="0"/>
            <wp:docPr id="88" name="Рисунок 88" descr="C:\Users\kgmuuser\AppData\Local\Temp\ksohtml739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C:\Users\kgmuuser\AppData\Local\Temp\ksohtml7396\wps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3970" cy="1397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2. Стандартты – стандартты түрін 1,0 мл стандартты еріткішпен ерітіп, бөлме температурасында 10 минут ұсталынды, ақырын шайқатылды. Қор ерітіндісіндегі стандарт концентрациясы гепсидин үшін 200000пг/мл, эритропоэтин үшін 2000 пг/мл, ИЛ–6 үшін 50 пг/мл,  СРА үшін 20 мг/мл, ферритин үшін 40 пг/мл. Алдымен stock ерітіндісін гепсидин үшін 2000 пг/мл, эритропоэтин үшін 400 пг/мл, ИЛ–6 үшін 500 пг/мл, СРА үшін 20 пг/мл және ферритин үшін 10 пг/мл–ге дейін сұйылтылды және сұйылтылған стандарт ең жоғары стандарт қызметін атқарды. Содан кейін төменде көрсетілген суретке (cурет–4) сәйкес қосарланған сұйылту сериясын алу үшін 0,5 мл стандартты еріткіші бар 7 түтікшесі (гепсидин үшін  5 түтікше) дайындалып алынды және сұйылтылған стандарт пайдаланылды. </w:t>
      </w:r>
    </w:p>
    <w:p w14:paraId="0A49528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39EF9F5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Гепсидин</w:t>
      </w:r>
    </w:p>
    <w:p w14:paraId="38C0C37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777230" cy="1197610"/>
            <wp:effectExtent l="0" t="0" r="13970" b="2540"/>
            <wp:docPr id="89" name="Рисунок 89" descr="C:\Users\kgmuuser\AppData\Local\Temp\ksohtml739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C:\Users\kgmuuser\AppData\Local\Temp\ksohtml7396\wps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779387" cy="119761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5616A30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3D797A1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Эритропоэтин</w:t>
      </w:r>
    </w:p>
    <w:p w14:paraId="784CCA4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541645" cy="1424305"/>
            <wp:effectExtent l="0" t="0" r="1905" b="4445"/>
            <wp:docPr id="90" name="Рисунок 90" descr="C:\Users\kgmuuser\AppData\Local\Temp\ksohtml7396\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C:\Users\kgmuuser\AppData\Local\Temp\ksohtml7396\wps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541645" cy="142430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34F9A39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Интерлейкин–6</w:t>
      </w:r>
    </w:p>
    <w:p w14:paraId="6804E97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610860" cy="1434465"/>
            <wp:effectExtent l="0" t="0" r="8890" b="13335"/>
            <wp:docPr id="91" name="Рисунок 91" descr="C:\Users\kgmuuser\AppData\Local\Temp\ksohtml7396\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C:\Users\kgmuuser\AppData\Local\Temp\ksohtml7396\wps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610860" cy="143446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1F7E24E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C–реактивті ақуыз</w:t>
      </w:r>
    </w:p>
    <w:p w14:paraId="455A3FC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721985" cy="1381760"/>
            <wp:effectExtent l="0" t="0" r="12065" b="8890"/>
            <wp:docPr id="92" name="Рисунок 92" descr="C:\Users\kgmuuser\AppData\Local\Temp\ksohtml7396\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C:\Users\kgmuuser\AppData\Local\Temp\ksohtml7396\wps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721985" cy="138176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324DA64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67F1150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Ферритин</w:t>
      </w:r>
    </w:p>
    <w:p w14:paraId="26C1D8C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791200" cy="1419225"/>
            <wp:effectExtent l="0" t="0" r="0" b="9525"/>
            <wp:docPr id="93" name="Рисунок 93" descr="C:\Users\kgmuuser\AppData\Local\Temp\ksohtml7396\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C:\Users\kgmuuser\AppData\Local\Temp\ksohtml7396\wps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91200" cy="141922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75A665EB">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p>
    <w:p w14:paraId="0BA0CC7B">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Сурет – 4. Әрбір маркер үшін қосарланған сұйылту сериясын алуға дайындылған түтікшелер (Cloud–Clone Corporation нұсқаулығынан алынған, 2024 </w:t>
      </w:r>
      <w:r>
        <w:rPr>
          <w:rFonts w:ascii="Times New Roman" w:hAnsi="Times New Roman" w:eastAsia="Times New Roman" w:cs="Times New Roman"/>
          <w:iCs/>
          <w:color w:val="000000"/>
          <w:sz w:val="28"/>
          <w:szCs w:val="28"/>
          <w:lang w:eastAsia="ru-RU"/>
        </w:rPr>
        <w:t>[162]</w:t>
      </w:r>
      <w:r>
        <w:rPr>
          <w:rFonts w:ascii="Times New Roman" w:hAnsi="Times New Roman" w:eastAsia="Times New Roman" w:cs="Times New Roman"/>
          <w:iCs/>
          <w:sz w:val="28"/>
          <w:szCs w:val="28"/>
          <w:lang w:eastAsia="ru-RU"/>
        </w:rPr>
        <w:t>)</w:t>
      </w:r>
    </w:p>
    <w:p w14:paraId="32D13193">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p>
    <w:p w14:paraId="1E67924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Келесі тасымалдау алдында әрбір түтікше реактивті жақсылап араластырылды. Кесте – 3 көрсетілгендей маркерлердің мөлшерлерін сұйылтылған стандарттың 7 нүктесіне орнатылды және соңғы EP түтіктері – Standard Diluent стандарты  0 pg/мл сияқты дайындама болып табылады.</w:t>
      </w:r>
    </w:p>
    <w:p w14:paraId="06642270">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i/>
          <w:sz w:val="28"/>
          <w:szCs w:val="28"/>
          <w:lang w:eastAsia="ru-RU"/>
        </w:rPr>
        <w:t xml:space="preserve"> </w:t>
      </w:r>
    </w:p>
    <w:p w14:paraId="4A89D856">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Кесте – 3. Қосарланған сұйылту сериясын алу үшін әрбір түтікке маркерлердің мөлшері </w:t>
      </w:r>
    </w:p>
    <w:p w14:paraId="253D372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13"/>
        <w:tblW w:w="0" w:type="auto"/>
        <w:tblInd w:w="0" w:type="dxa"/>
        <w:tblLayout w:type="autofit"/>
        <w:tblCellMar>
          <w:top w:w="15" w:type="dxa"/>
          <w:left w:w="15" w:type="dxa"/>
          <w:bottom w:w="15" w:type="dxa"/>
          <w:right w:w="15" w:type="dxa"/>
        </w:tblCellMar>
      </w:tblPr>
      <w:tblGrid>
        <w:gridCol w:w="1899"/>
        <w:gridCol w:w="1069"/>
        <w:gridCol w:w="1069"/>
        <w:gridCol w:w="1069"/>
        <w:gridCol w:w="1069"/>
        <w:gridCol w:w="1070"/>
        <w:gridCol w:w="1070"/>
        <w:gridCol w:w="1070"/>
      </w:tblGrid>
      <w:tr w14:paraId="40856D38">
        <w:tblPrEx>
          <w:tblCellMar>
            <w:top w:w="15" w:type="dxa"/>
            <w:left w:w="15" w:type="dxa"/>
            <w:bottom w:w="15" w:type="dxa"/>
            <w:right w:w="15" w:type="dxa"/>
          </w:tblCellMar>
        </w:tblPrEx>
        <w:tc>
          <w:tcPr>
            <w:tcW w:w="1755" w:type="dxa"/>
            <w:tcBorders>
              <w:top w:val="outset" w:color="auto" w:sz="6" w:space="0"/>
              <w:left w:val="outset" w:color="auto" w:sz="6" w:space="0"/>
              <w:bottom w:val="outset" w:color="auto" w:sz="6" w:space="0"/>
              <w:right w:val="outset" w:color="auto" w:sz="6" w:space="0"/>
            </w:tcBorders>
          </w:tcPr>
          <w:p w14:paraId="387AB4A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Маркерлер</w:t>
            </w:r>
          </w:p>
        </w:tc>
        <w:tc>
          <w:tcPr>
            <w:tcW w:w="1155" w:type="dxa"/>
            <w:tcBorders>
              <w:top w:val="outset" w:color="auto" w:sz="6" w:space="0"/>
              <w:left w:val="outset" w:color="auto" w:sz="6" w:space="0"/>
              <w:bottom w:val="outset" w:color="auto" w:sz="6" w:space="0"/>
              <w:right w:val="outset" w:color="auto" w:sz="6" w:space="0"/>
            </w:tcBorders>
          </w:tcPr>
          <w:p w14:paraId="5672504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1 </w:t>
            </w:r>
            <w:r>
              <w:rPr>
                <w:rFonts w:ascii="Times New Roman" w:hAnsi="Times New Roman" w:eastAsia="Times New Roman" w:cs="Times New Roman"/>
                <w:sz w:val="28"/>
                <w:szCs w:val="28"/>
                <w:lang w:val="en-US"/>
              </w:rPr>
              <w:t>тү</w:t>
            </w:r>
            <w:r>
              <w:rPr>
                <w:rFonts w:ascii="Times New Roman" w:hAnsi="Times New Roman" w:eastAsia="Times New Roman" w:cs="Times New Roman"/>
                <w:sz w:val="28"/>
                <w:szCs w:val="28"/>
                <w:lang w:val="en-US" w:eastAsia="ru-RU"/>
              </w:rPr>
              <w:t>тікше</w:t>
            </w:r>
          </w:p>
          <w:p w14:paraId="7A7F72A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c>
          <w:tcPr>
            <w:tcW w:w="1155" w:type="dxa"/>
            <w:tcBorders>
              <w:top w:val="outset" w:color="auto" w:sz="6" w:space="0"/>
              <w:left w:val="outset" w:color="auto" w:sz="6" w:space="0"/>
              <w:bottom w:val="outset" w:color="auto" w:sz="6" w:space="0"/>
              <w:right w:val="outset" w:color="auto" w:sz="6" w:space="0"/>
            </w:tcBorders>
          </w:tcPr>
          <w:p w14:paraId="065FA62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w:t>
            </w:r>
            <w:r>
              <w:rPr>
                <w:rFonts w:ascii="Times New Roman" w:hAnsi="Times New Roman" w:eastAsia="Times New Roman" w:cs="Times New Roman"/>
                <w:sz w:val="28"/>
                <w:szCs w:val="28"/>
                <w:lang w:val="en-US"/>
              </w:rPr>
              <w:t xml:space="preserve"> тү</w:t>
            </w:r>
            <w:r>
              <w:rPr>
                <w:rFonts w:ascii="Times New Roman" w:hAnsi="Times New Roman" w:eastAsia="Times New Roman" w:cs="Times New Roman"/>
                <w:sz w:val="28"/>
                <w:szCs w:val="28"/>
                <w:lang w:val="en-US" w:eastAsia="ru-RU"/>
              </w:rPr>
              <w:t>тікше</w:t>
            </w:r>
          </w:p>
          <w:p w14:paraId="1E76D6E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c>
          <w:tcPr>
            <w:tcW w:w="1155" w:type="dxa"/>
            <w:tcBorders>
              <w:top w:val="outset" w:color="auto" w:sz="6" w:space="0"/>
              <w:left w:val="outset" w:color="auto" w:sz="6" w:space="0"/>
              <w:bottom w:val="outset" w:color="auto" w:sz="6" w:space="0"/>
              <w:right w:val="outset" w:color="auto" w:sz="6" w:space="0"/>
            </w:tcBorders>
          </w:tcPr>
          <w:p w14:paraId="501F2B7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 түтікше</w:t>
            </w:r>
          </w:p>
          <w:p w14:paraId="56D456D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c>
          <w:tcPr>
            <w:tcW w:w="1155" w:type="dxa"/>
            <w:tcBorders>
              <w:top w:val="outset" w:color="auto" w:sz="6" w:space="0"/>
              <w:left w:val="outset" w:color="auto" w:sz="6" w:space="0"/>
              <w:bottom w:val="outset" w:color="auto" w:sz="6" w:space="0"/>
              <w:right w:val="outset" w:color="auto" w:sz="6" w:space="0"/>
            </w:tcBorders>
          </w:tcPr>
          <w:p w14:paraId="2B15512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w:t>
            </w:r>
            <w:r>
              <w:rPr>
                <w:rFonts w:ascii="Times New Roman" w:hAnsi="Times New Roman" w:eastAsia="Times New Roman" w:cs="Times New Roman"/>
                <w:sz w:val="28"/>
                <w:szCs w:val="28"/>
                <w:lang w:val="en-US"/>
              </w:rPr>
              <w:t xml:space="preserve"> тү</w:t>
            </w:r>
            <w:r>
              <w:rPr>
                <w:rFonts w:ascii="Times New Roman" w:hAnsi="Times New Roman" w:eastAsia="Times New Roman" w:cs="Times New Roman"/>
                <w:sz w:val="28"/>
                <w:szCs w:val="28"/>
                <w:lang w:val="en-US" w:eastAsia="ru-RU"/>
              </w:rPr>
              <w:t>тікше</w:t>
            </w:r>
          </w:p>
          <w:p w14:paraId="6BD7EC9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c>
          <w:tcPr>
            <w:tcW w:w="1155" w:type="dxa"/>
            <w:tcBorders>
              <w:top w:val="outset" w:color="auto" w:sz="6" w:space="0"/>
              <w:left w:val="outset" w:color="auto" w:sz="6" w:space="0"/>
              <w:bottom w:val="outset" w:color="auto" w:sz="6" w:space="0"/>
              <w:right w:val="outset" w:color="auto" w:sz="6" w:space="0"/>
            </w:tcBorders>
          </w:tcPr>
          <w:p w14:paraId="559CFE8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5 түтікше</w:t>
            </w:r>
          </w:p>
          <w:p w14:paraId="02DD639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c>
          <w:tcPr>
            <w:tcW w:w="1155" w:type="dxa"/>
            <w:tcBorders>
              <w:top w:val="outset" w:color="auto" w:sz="6" w:space="0"/>
              <w:left w:val="outset" w:color="auto" w:sz="6" w:space="0"/>
              <w:bottom w:val="outset" w:color="auto" w:sz="6" w:space="0"/>
              <w:right w:val="outset" w:color="auto" w:sz="6" w:space="0"/>
            </w:tcBorders>
          </w:tcPr>
          <w:p w14:paraId="0241D2C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6 түтікше</w:t>
            </w:r>
          </w:p>
          <w:p w14:paraId="323FBDA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c>
          <w:tcPr>
            <w:tcW w:w="1155" w:type="dxa"/>
            <w:tcBorders>
              <w:top w:val="outset" w:color="auto" w:sz="6" w:space="0"/>
              <w:left w:val="outset" w:color="auto" w:sz="6" w:space="0"/>
              <w:bottom w:val="outset" w:color="auto" w:sz="6" w:space="0"/>
              <w:right w:val="outset" w:color="auto" w:sz="6" w:space="0"/>
            </w:tcBorders>
          </w:tcPr>
          <w:p w14:paraId="525B008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7</w:t>
            </w:r>
            <w:r>
              <w:rPr>
                <w:rFonts w:ascii="Times New Roman" w:hAnsi="Times New Roman" w:eastAsia="Times New Roman" w:cs="Times New Roman"/>
                <w:sz w:val="28"/>
                <w:szCs w:val="28"/>
                <w:lang w:val="en-US"/>
              </w:rPr>
              <w:t xml:space="preserve"> тү</w:t>
            </w:r>
            <w:r>
              <w:rPr>
                <w:rFonts w:ascii="Times New Roman" w:hAnsi="Times New Roman" w:eastAsia="Times New Roman" w:cs="Times New Roman"/>
                <w:sz w:val="28"/>
                <w:szCs w:val="28"/>
                <w:lang w:val="en-US" w:eastAsia="ru-RU"/>
              </w:rPr>
              <w:t>тікше</w:t>
            </w:r>
          </w:p>
          <w:p w14:paraId="0830504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пг/мл</w:t>
            </w:r>
          </w:p>
        </w:tc>
      </w:tr>
      <w:tr w14:paraId="450E05C6">
        <w:tblPrEx>
          <w:tblCellMar>
            <w:top w:w="15" w:type="dxa"/>
            <w:left w:w="15" w:type="dxa"/>
            <w:bottom w:w="15" w:type="dxa"/>
            <w:right w:w="15" w:type="dxa"/>
          </w:tblCellMar>
        </w:tblPrEx>
        <w:tc>
          <w:tcPr>
            <w:tcW w:w="1755" w:type="dxa"/>
            <w:tcBorders>
              <w:top w:val="nil"/>
              <w:left w:val="outset" w:color="auto" w:sz="6" w:space="0"/>
              <w:bottom w:val="outset" w:color="auto" w:sz="6" w:space="0"/>
              <w:right w:val="outset" w:color="auto" w:sz="6" w:space="0"/>
            </w:tcBorders>
          </w:tcPr>
          <w:p w14:paraId="59BBCF9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Гепсидин</w:t>
            </w:r>
          </w:p>
        </w:tc>
        <w:tc>
          <w:tcPr>
            <w:tcW w:w="1155" w:type="dxa"/>
            <w:tcBorders>
              <w:top w:val="nil"/>
              <w:left w:val="outset" w:color="auto" w:sz="6" w:space="0"/>
              <w:bottom w:val="outset" w:color="auto" w:sz="6" w:space="0"/>
              <w:right w:val="outset" w:color="auto" w:sz="6" w:space="0"/>
            </w:tcBorders>
          </w:tcPr>
          <w:p w14:paraId="1518A4D0">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200</w:t>
            </w:r>
            <w:r>
              <w:rPr>
                <w:rFonts w:ascii="Times New Roman" w:hAnsi="Times New Roman" w:eastAsia="Times New Roman" w:cs="Times New Roman"/>
                <w:sz w:val="28"/>
                <w:szCs w:val="28"/>
                <w:lang w:val="en-US"/>
              </w:rPr>
              <w:t>000</w:t>
            </w:r>
          </w:p>
        </w:tc>
        <w:tc>
          <w:tcPr>
            <w:tcW w:w="1155" w:type="dxa"/>
            <w:tcBorders>
              <w:top w:val="nil"/>
              <w:left w:val="outset" w:color="auto" w:sz="6" w:space="0"/>
              <w:bottom w:val="outset" w:color="auto" w:sz="6" w:space="0"/>
              <w:right w:val="outset" w:color="auto" w:sz="6" w:space="0"/>
            </w:tcBorders>
          </w:tcPr>
          <w:p w14:paraId="6D776CD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40000</w:t>
            </w:r>
          </w:p>
        </w:tc>
        <w:tc>
          <w:tcPr>
            <w:tcW w:w="1155" w:type="dxa"/>
            <w:tcBorders>
              <w:top w:val="nil"/>
              <w:left w:val="outset" w:color="auto" w:sz="6" w:space="0"/>
              <w:bottom w:val="outset" w:color="auto" w:sz="6" w:space="0"/>
              <w:right w:val="outset" w:color="auto" w:sz="6" w:space="0"/>
            </w:tcBorders>
          </w:tcPr>
          <w:p w14:paraId="1996830B">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800</w:t>
            </w:r>
            <w:r>
              <w:rPr>
                <w:rFonts w:ascii="Times New Roman" w:hAnsi="Times New Roman" w:eastAsia="Times New Roman" w:cs="Times New Roman"/>
                <w:sz w:val="28"/>
                <w:szCs w:val="28"/>
                <w:lang w:val="en-US"/>
              </w:rPr>
              <w:t>0</w:t>
            </w:r>
          </w:p>
        </w:tc>
        <w:tc>
          <w:tcPr>
            <w:tcW w:w="1155" w:type="dxa"/>
            <w:tcBorders>
              <w:top w:val="nil"/>
              <w:left w:val="outset" w:color="auto" w:sz="6" w:space="0"/>
              <w:bottom w:val="outset" w:color="auto" w:sz="6" w:space="0"/>
              <w:right w:val="outset" w:color="auto" w:sz="6" w:space="0"/>
            </w:tcBorders>
          </w:tcPr>
          <w:p w14:paraId="3E2DECE0">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1600</w:t>
            </w:r>
          </w:p>
        </w:tc>
        <w:tc>
          <w:tcPr>
            <w:tcW w:w="1155" w:type="dxa"/>
            <w:tcBorders>
              <w:top w:val="nil"/>
              <w:left w:val="outset" w:color="auto" w:sz="6" w:space="0"/>
              <w:bottom w:val="outset" w:color="auto" w:sz="6" w:space="0"/>
              <w:right w:val="outset" w:color="auto" w:sz="6" w:space="0"/>
            </w:tcBorders>
          </w:tcPr>
          <w:p w14:paraId="02E529D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320</w:t>
            </w:r>
          </w:p>
        </w:tc>
        <w:tc>
          <w:tcPr>
            <w:tcW w:w="1155" w:type="dxa"/>
            <w:tcBorders>
              <w:top w:val="nil"/>
              <w:left w:val="outset" w:color="auto" w:sz="6" w:space="0"/>
              <w:bottom w:val="outset" w:color="auto" w:sz="6" w:space="0"/>
              <w:right w:val="outset" w:color="auto" w:sz="6" w:space="0"/>
            </w:tcBorders>
          </w:tcPr>
          <w:p w14:paraId="2C82D62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p>
        </w:tc>
        <w:tc>
          <w:tcPr>
            <w:tcW w:w="1155" w:type="dxa"/>
            <w:tcBorders>
              <w:top w:val="nil"/>
              <w:left w:val="outset" w:color="auto" w:sz="6" w:space="0"/>
              <w:bottom w:val="outset" w:color="auto" w:sz="6" w:space="0"/>
              <w:right w:val="outset" w:color="auto" w:sz="6" w:space="0"/>
            </w:tcBorders>
          </w:tcPr>
          <w:p w14:paraId="325D6C3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p>
        </w:tc>
      </w:tr>
      <w:tr w14:paraId="385D3F85">
        <w:tblPrEx>
          <w:tblCellMar>
            <w:top w:w="15" w:type="dxa"/>
            <w:left w:w="15" w:type="dxa"/>
            <w:bottom w:w="15" w:type="dxa"/>
            <w:right w:w="15" w:type="dxa"/>
          </w:tblCellMar>
        </w:tblPrEx>
        <w:tc>
          <w:tcPr>
            <w:tcW w:w="1755" w:type="dxa"/>
            <w:tcBorders>
              <w:top w:val="nil"/>
              <w:left w:val="outset" w:color="auto" w:sz="6" w:space="0"/>
              <w:bottom w:val="outset" w:color="auto" w:sz="6" w:space="0"/>
              <w:right w:val="outset" w:color="auto" w:sz="6" w:space="0"/>
            </w:tcBorders>
          </w:tcPr>
          <w:p w14:paraId="46005DD0">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Эритропоэтин</w:t>
            </w:r>
          </w:p>
        </w:tc>
        <w:tc>
          <w:tcPr>
            <w:tcW w:w="1155" w:type="dxa"/>
            <w:tcBorders>
              <w:top w:val="nil"/>
              <w:left w:val="outset" w:color="auto" w:sz="6" w:space="0"/>
              <w:bottom w:val="outset" w:color="auto" w:sz="6" w:space="0"/>
              <w:right w:val="outset" w:color="auto" w:sz="6" w:space="0"/>
            </w:tcBorders>
          </w:tcPr>
          <w:p w14:paraId="171BC91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2000</w:t>
            </w:r>
          </w:p>
        </w:tc>
        <w:tc>
          <w:tcPr>
            <w:tcW w:w="1155" w:type="dxa"/>
            <w:tcBorders>
              <w:top w:val="nil"/>
              <w:left w:val="outset" w:color="auto" w:sz="6" w:space="0"/>
              <w:bottom w:val="outset" w:color="auto" w:sz="6" w:space="0"/>
              <w:right w:val="outset" w:color="auto" w:sz="6" w:space="0"/>
            </w:tcBorders>
          </w:tcPr>
          <w:p w14:paraId="1FFE004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en-US"/>
              </w:rPr>
              <w:t>000</w:t>
            </w:r>
          </w:p>
        </w:tc>
        <w:tc>
          <w:tcPr>
            <w:tcW w:w="1155" w:type="dxa"/>
            <w:tcBorders>
              <w:top w:val="nil"/>
              <w:left w:val="outset" w:color="auto" w:sz="6" w:space="0"/>
              <w:bottom w:val="outset" w:color="auto" w:sz="6" w:space="0"/>
              <w:right w:val="outset" w:color="auto" w:sz="6" w:space="0"/>
            </w:tcBorders>
          </w:tcPr>
          <w:p w14:paraId="6E5D488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5</w:t>
            </w:r>
            <w:r>
              <w:rPr>
                <w:rFonts w:ascii="Times New Roman" w:hAnsi="Times New Roman" w:eastAsia="Times New Roman" w:cs="Times New Roman"/>
                <w:sz w:val="28"/>
                <w:szCs w:val="28"/>
                <w:lang w:val="en-US"/>
              </w:rPr>
              <w:t>00</w:t>
            </w:r>
          </w:p>
        </w:tc>
        <w:tc>
          <w:tcPr>
            <w:tcW w:w="1155" w:type="dxa"/>
            <w:tcBorders>
              <w:top w:val="nil"/>
              <w:left w:val="outset" w:color="auto" w:sz="6" w:space="0"/>
              <w:bottom w:val="outset" w:color="auto" w:sz="6" w:space="0"/>
              <w:right w:val="outset" w:color="auto" w:sz="6" w:space="0"/>
            </w:tcBorders>
          </w:tcPr>
          <w:p w14:paraId="0BB37D3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w:t>
            </w:r>
            <w:r>
              <w:rPr>
                <w:rFonts w:ascii="Times New Roman" w:hAnsi="Times New Roman" w:eastAsia="Times New Roman" w:cs="Times New Roman"/>
                <w:sz w:val="28"/>
                <w:szCs w:val="28"/>
                <w:lang w:val="en-US"/>
              </w:rPr>
              <w:t>50</w:t>
            </w:r>
          </w:p>
        </w:tc>
        <w:tc>
          <w:tcPr>
            <w:tcW w:w="1155" w:type="dxa"/>
            <w:tcBorders>
              <w:top w:val="nil"/>
              <w:left w:val="outset" w:color="auto" w:sz="6" w:space="0"/>
              <w:bottom w:val="outset" w:color="auto" w:sz="6" w:space="0"/>
              <w:right w:val="outset" w:color="auto" w:sz="6" w:space="0"/>
            </w:tcBorders>
          </w:tcPr>
          <w:p w14:paraId="7FD786A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en-US"/>
              </w:rPr>
              <w:t>25</w:t>
            </w:r>
          </w:p>
        </w:tc>
        <w:tc>
          <w:tcPr>
            <w:tcW w:w="1155" w:type="dxa"/>
            <w:tcBorders>
              <w:top w:val="nil"/>
              <w:left w:val="outset" w:color="auto" w:sz="6" w:space="0"/>
              <w:bottom w:val="outset" w:color="auto" w:sz="6" w:space="0"/>
              <w:right w:val="outset" w:color="auto" w:sz="6" w:space="0"/>
            </w:tcBorders>
          </w:tcPr>
          <w:p w14:paraId="0A55FFE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62</w:t>
            </w:r>
            <w:r>
              <w:rPr>
                <w:rFonts w:ascii="Times New Roman" w:hAnsi="Times New Roman" w:eastAsia="Times New Roman" w:cs="Times New Roman"/>
                <w:sz w:val="28"/>
                <w:szCs w:val="28"/>
                <w:lang w:val="en-US"/>
              </w:rPr>
              <w:t>.5</w:t>
            </w:r>
          </w:p>
        </w:tc>
        <w:tc>
          <w:tcPr>
            <w:tcW w:w="1155" w:type="dxa"/>
            <w:tcBorders>
              <w:top w:val="nil"/>
              <w:left w:val="outset" w:color="auto" w:sz="6" w:space="0"/>
              <w:bottom w:val="outset" w:color="auto" w:sz="6" w:space="0"/>
              <w:right w:val="outset" w:color="auto" w:sz="6" w:space="0"/>
            </w:tcBorders>
          </w:tcPr>
          <w:p w14:paraId="2045FF3B">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31</w:t>
            </w:r>
            <w:r>
              <w:rPr>
                <w:rFonts w:ascii="Times New Roman" w:hAnsi="Times New Roman" w:eastAsia="Times New Roman" w:cs="Times New Roman"/>
                <w:sz w:val="28"/>
                <w:szCs w:val="28"/>
                <w:lang w:val="en-US"/>
              </w:rPr>
              <w:t>.2</w:t>
            </w:r>
          </w:p>
        </w:tc>
      </w:tr>
      <w:tr w14:paraId="3A67CB2B">
        <w:tblPrEx>
          <w:tblCellMar>
            <w:top w:w="15" w:type="dxa"/>
            <w:left w:w="15" w:type="dxa"/>
            <w:bottom w:w="15" w:type="dxa"/>
            <w:right w:w="15" w:type="dxa"/>
          </w:tblCellMar>
        </w:tblPrEx>
        <w:tc>
          <w:tcPr>
            <w:tcW w:w="1755" w:type="dxa"/>
            <w:tcBorders>
              <w:top w:val="nil"/>
              <w:left w:val="outset" w:color="auto" w:sz="6" w:space="0"/>
              <w:bottom w:val="outset" w:color="auto" w:sz="6" w:space="0"/>
              <w:right w:val="outset" w:color="auto" w:sz="6" w:space="0"/>
            </w:tcBorders>
          </w:tcPr>
          <w:p w14:paraId="6C5A96E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Интерлейкин</w:t>
            </w:r>
            <w:r>
              <w:rPr>
                <w:rFonts w:ascii="Times New Roman" w:hAnsi="Times New Roman" w:eastAsia="Times New Roman" w:cs="Times New Roman"/>
                <w:sz w:val="28"/>
                <w:szCs w:val="28"/>
                <w:lang w:val="en-US"/>
              </w:rPr>
              <w:t>–6</w:t>
            </w:r>
          </w:p>
        </w:tc>
        <w:tc>
          <w:tcPr>
            <w:tcW w:w="1155" w:type="dxa"/>
            <w:tcBorders>
              <w:top w:val="nil"/>
              <w:left w:val="outset" w:color="auto" w:sz="6" w:space="0"/>
              <w:bottom w:val="outset" w:color="auto" w:sz="6" w:space="0"/>
              <w:right w:val="outset" w:color="auto" w:sz="6" w:space="0"/>
            </w:tcBorders>
          </w:tcPr>
          <w:p w14:paraId="6A5CD21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50</w:t>
            </w:r>
          </w:p>
        </w:tc>
        <w:tc>
          <w:tcPr>
            <w:tcW w:w="1155" w:type="dxa"/>
            <w:tcBorders>
              <w:top w:val="nil"/>
              <w:left w:val="outset" w:color="auto" w:sz="6" w:space="0"/>
              <w:bottom w:val="outset" w:color="auto" w:sz="6" w:space="0"/>
              <w:right w:val="outset" w:color="auto" w:sz="6" w:space="0"/>
            </w:tcBorders>
          </w:tcPr>
          <w:p w14:paraId="05F5C8C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w:t>
            </w:r>
          </w:p>
        </w:tc>
        <w:tc>
          <w:tcPr>
            <w:tcW w:w="1155" w:type="dxa"/>
            <w:tcBorders>
              <w:top w:val="nil"/>
              <w:left w:val="outset" w:color="auto" w:sz="6" w:space="0"/>
              <w:bottom w:val="outset" w:color="auto" w:sz="6" w:space="0"/>
              <w:right w:val="outset" w:color="auto" w:sz="6" w:space="0"/>
            </w:tcBorders>
          </w:tcPr>
          <w:p w14:paraId="41253CA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12,5</w:t>
            </w:r>
          </w:p>
        </w:tc>
        <w:tc>
          <w:tcPr>
            <w:tcW w:w="1155" w:type="dxa"/>
            <w:tcBorders>
              <w:top w:val="nil"/>
              <w:left w:val="outset" w:color="auto" w:sz="6" w:space="0"/>
              <w:bottom w:val="outset" w:color="auto" w:sz="6" w:space="0"/>
              <w:right w:val="outset" w:color="auto" w:sz="6" w:space="0"/>
            </w:tcBorders>
          </w:tcPr>
          <w:p w14:paraId="4C93FCB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6,25</w:t>
            </w:r>
          </w:p>
        </w:tc>
        <w:tc>
          <w:tcPr>
            <w:tcW w:w="1155" w:type="dxa"/>
            <w:tcBorders>
              <w:top w:val="nil"/>
              <w:left w:val="outset" w:color="auto" w:sz="6" w:space="0"/>
              <w:bottom w:val="outset" w:color="auto" w:sz="6" w:space="0"/>
              <w:right w:val="outset" w:color="auto" w:sz="6" w:space="0"/>
            </w:tcBorders>
          </w:tcPr>
          <w:p w14:paraId="6453384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3,12</w:t>
            </w:r>
          </w:p>
        </w:tc>
        <w:tc>
          <w:tcPr>
            <w:tcW w:w="1155" w:type="dxa"/>
            <w:tcBorders>
              <w:top w:val="nil"/>
              <w:left w:val="outset" w:color="auto" w:sz="6" w:space="0"/>
              <w:bottom w:val="outset" w:color="auto" w:sz="6" w:space="0"/>
              <w:right w:val="outset" w:color="auto" w:sz="6" w:space="0"/>
            </w:tcBorders>
          </w:tcPr>
          <w:p w14:paraId="67A3957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1,56</w:t>
            </w:r>
          </w:p>
        </w:tc>
        <w:tc>
          <w:tcPr>
            <w:tcW w:w="1155" w:type="dxa"/>
            <w:tcBorders>
              <w:top w:val="nil"/>
              <w:left w:val="outset" w:color="auto" w:sz="6" w:space="0"/>
              <w:bottom w:val="outset" w:color="auto" w:sz="6" w:space="0"/>
              <w:right w:val="outset" w:color="auto" w:sz="6" w:space="0"/>
            </w:tcBorders>
          </w:tcPr>
          <w:p w14:paraId="09A92E7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,78</w:t>
            </w:r>
          </w:p>
        </w:tc>
      </w:tr>
      <w:tr w14:paraId="0F1C2FDE">
        <w:tblPrEx>
          <w:tblCellMar>
            <w:top w:w="15" w:type="dxa"/>
            <w:left w:w="15" w:type="dxa"/>
            <w:bottom w:w="15" w:type="dxa"/>
            <w:right w:w="15" w:type="dxa"/>
          </w:tblCellMar>
        </w:tblPrEx>
        <w:tc>
          <w:tcPr>
            <w:tcW w:w="1755" w:type="dxa"/>
            <w:tcBorders>
              <w:top w:val="nil"/>
              <w:left w:val="outset" w:color="auto" w:sz="6" w:space="0"/>
              <w:bottom w:val="outset" w:color="auto" w:sz="6" w:space="0"/>
              <w:right w:val="outset" w:color="auto" w:sz="6" w:space="0"/>
            </w:tcBorders>
          </w:tcPr>
          <w:p w14:paraId="3AE9FED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C–</w:t>
            </w:r>
            <w:r>
              <w:rPr>
                <w:rFonts w:ascii="Times New Roman" w:hAnsi="Times New Roman" w:eastAsia="Times New Roman" w:cs="Times New Roman"/>
                <w:sz w:val="28"/>
                <w:szCs w:val="28"/>
                <w:lang w:val="en-US"/>
              </w:rPr>
              <w:t>реактивті ақ</w:t>
            </w:r>
            <w:r>
              <w:rPr>
                <w:rFonts w:ascii="Times New Roman" w:hAnsi="Times New Roman" w:eastAsia="Times New Roman" w:cs="Times New Roman"/>
                <w:sz w:val="28"/>
                <w:szCs w:val="28"/>
                <w:lang w:val="en-US" w:eastAsia="ru-RU"/>
              </w:rPr>
              <w:t>уыз</w:t>
            </w:r>
          </w:p>
        </w:tc>
        <w:tc>
          <w:tcPr>
            <w:tcW w:w="1155" w:type="dxa"/>
            <w:tcBorders>
              <w:top w:val="nil"/>
              <w:left w:val="outset" w:color="auto" w:sz="6" w:space="0"/>
              <w:bottom w:val="outset" w:color="auto" w:sz="6" w:space="0"/>
              <w:right w:val="outset" w:color="auto" w:sz="6" w:space="0"/>
            </w:tcBorders>
          </w:tcPr>
          <w:p w14:paraId="3DE2969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20</w:t>
            </w:r>
          </w:p>
        </w:tc>
        <w:tc>
          <w:tcPr>
            <w:tcW w:w="1155" w:type="dxa"/>
            <w:tcBorders>
              <w:top w:val="nil"/>
              <w:left w:val="outset" w:color="auto" w:sz="6" w:space="0"/>
              <w:bottom w:val="outset" w:color="auto" w:sz="6" w:space="0"/>
              <w:right w:val="outset" w:color="auto" w:sz="6" w:space="0"/>
            </w:tcBorders>
          </w:tcPr>
          <w:p w14:paraId="38B7C47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10</w:t>
            </w:r>
          </w:p>
        </w:tc>
        <w:tc>
          <w:tcPr>
            <w:tcW w:w="1155" w:type="dxa"/>
            <w:tcBorders>
              <w:top w:val="nil"/>
              <w:left w:val="outset" w:color="auto" w:sz="6" w:space="0"/>
              <w:bottom w:val="outset" w:color="auto" w:sz="6" w:space="0"/>
              <w:right w:val="outset" w:color="auto" w:sz="6" w:space="0"/>
            </w:tcBorders>
          </w:tcPr>
          <w:p w14:paraId="7CF9107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5</w:t>
            </w:r>
          </w:p>
        </w:tc>
        <w:tc>
          <w:tcPr>
            <w:tcW w:w="1155" w:type="dxa"/>
            <w:tcBorders>
              <w:top w:val="nil"/>
              <w:left w:val="outset" w:color="auto" w:sz="6" w:space="0"/>
              <w:bottom w:val="outset" w:color="auto" w:sz="6" w:space="0"/>
              <w:right w:val="outset" w:color="auto" w:sz="6" w:space="0"/>
            </w:tcBorders>
          </w:tcPr>
          <w:p w14:paraId="79F9ECD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w:t>
            </w:r>
          </w:p>
        </w:tc>
        <w:tc>
          <w:tcPr>
            <w:tcW w:w="1155" w:type="dxa"/>
            <w:tcBorders>
              <w:top w:val="nil"/>
              <w:left w:val="outset" w:color="auto" w:sz="6" w:space="0"/>
              <w:bottom w:val="outset" w:color="auto" w:sz="6" w:space="0"/>
              <w:right w:val="outset" w:color="auto" w:sz="6" w:space="0"/>
            </w:tcBorders>
          </w:tcPr>
          <w:p w14:paraId="03FFC9C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1,25</w:t>
            </w:r>
          </w:p>
        </w:tc>
        <w:tc>
          <w:tcPr>
            <w:tcW w:w="1155" w:type="dxa"/>
            <w:tcBorders>
              <w:top w:val="nil"/>
              <w:left w:val="outset" w:color="auto" w:sz="6" w:space="0"/>
              <w:bottom w:val="outset" w:color="auto" w:sz="6" w:space="0"/>
              <w:right w:val="outset" w:color="auto" w:sz="6" w:space="0"/>
            </w:tcBorders>
          </w:tcPr>
          <w:p w14:paraId="06EB95E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0.625</w:t>
            </w:r>
          </w:p>
        </w:tc>
        <w:tc>
          <w:tcPr>
            <w:tcW w:w="1155" w:type="dxa"/>
            <w:tcBorders>
              <w:top w:val="nil"/>
              <w:left w:val="outset" w:color="auto" w:sz="6" w:space="0"/>
              <w:bottom w:val="outset" w:color="auto" w:sz="6" w:space="0"/>
              <w:right w:val="outset" w:color="auto" w:sz="6" w:space="0"/>
            </w:tcBorders>
          </w:tcPr>
          <w:p w14:paraId="16E29FE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0.312</w:t>
            </w:r>
          </w:p>
        </w:tc>
      </w:tr>
      <w:tr w14:paraId="43D7DFBB">
        <w:tblPrEx>
          <w:tblCellMar>
            <w:top w:w="15" w:type="dxa"/>
            <w:left w:w="15" w:type="dxa"/>
            <w:bottom w:w="15" w:type="dxa"/>
            <w:right w:w="15" w:type="dxa"/>
          </w:tblCellMar>
        </w:tblPrEx>
        <w:tc>
          <w:tcPr>
            <w:tcW w:w="1755" w:type="dxa"/>
            <w:tcBorders>
              <w:top w:val="nil"/>
              <w:left w:val="outset" w:color="auto" w:sz="6" w:space="0"/>
              <w:bottom w:val="outset" w:color="auto" w:sz="6" w:space="0"/>
              <w:right w:val="outset" w:color="auto" w:sz="6" w:space="0"/>
            </w:tcBorders>
          </w:tcPr>
          <w:p w14:paraId="476502C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Ферритин</w:t>
            </w:r>
          </w:p>
        </w:tc>
        <w:tc>
          <w:tcPr>
            <w:tcW w:w="1155" w:type="dxa"/>
            <w:tcBorders>
              <w:top w:val="nil"/>
              <w:left w:val="outset" w:color="auto" w:sz="6" w:space="0"/>
              <w:bottom w:val="outset" w:color="auto" w:sz="6" w:space="0"/>
              <w:right w:val="outset" w:color="auto" w:sz="6" w:space="0"/>
            </w:tcBorders>
          </w:tcPr>
          <w:p w14:paraId="09298AA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10</w:t>
            </w:r>
          </w:p>
        </w:tc>
        <w:tc>
          <w:tcPr>
            <w:tcW w:w="1155" w:type="dxa"/>
            <w:tcBorders>
              <w:top w:val="nil"/>
              <w:left w:val="outset" w:color="auto" w:sz="6" w:space="0"/>
              <w:bottom w:val="outset" w:color="auto" w:sz="6" w:space="0"/>
              <w:right w:val="outset" w:color="auto" w:sz="6" w:space="0"/>
            </w:tcBorders>
          </w:tcPr>
          <w:p w14:paraId="19B8FF23">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5</w:t>
            </w:r>
          </w:p>
        </w:tc>
        <w:tc>
          <w:tcPr>
            <w:tcW w:w="1155" w:type="dxa"/>
            <w:tcBorders>
              <w:top w:val="nil"/>
              <w:left w:val="outset" w:color="auto" w:sz="6" w:space="0"/>
              <w:bottom w:val="outset" w:color="auto" w:sz="6" w:space="0"/>
              <w:right w:val="outset" w:color="auto" w:sz="6" w:space="0"/>
            </w:tcBorders>
          </w:tcPr>
          <w:p w14:paraId="6920ACB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w:t>
            </w:r>
          </w:p>
        </w:tc>
        <w:tc>
          <w:tcPr>
            <w:tcW w:w="1155" w:type="dxa"/>
            <w:tcBorders>
              <w:top w:val="nil"/>
              <w:left w:val="outset" w:color="auto" w:sz="6" w:space="0"/>
              <w:bottom w:val="outset" w:color="auto" w:sz="6" w:space="0"/>
              <w:right w:val="outset" w:color="auto" w:sz="6" w:space="0"/>
            </w:tcBorders>
          </w:tcPr>
          <w:p w14:paraId="258EE1D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1.25</w:t>
            </w:r>
          </w:p>
        </w:tc>
        <w:tc>
          <w:tcPr>
            <w:tcW w:w="1155" w:type="dxa"/>
            <w:tcBorders>
              <w:top w:val="nil"/>
              <w:left w:val="outset" w:color="auto" w:sz="6" w:space="0"/>
              <w:bottom w:val="outset" w:color="auto" w:sz="6" w:space="0"/>
              <w:right w:val="outset" w:color="auto" w:sz="6" w:space="0"/>
            </w:tcBorders>
          </w:tcPr>
          <w:p w14:paraId="757BBF03">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0.625</w:t>
            </w:r>
          </w:p>
        </w:tc>
        <w:tc>
          <w:tcPr>
            <w:tcW w:w="1155" w:type="dxa"/>
            <w:tcBorders>
              <w:top w:val="nil"/>
              <w:left w:val="outset" w:color="auto" w:sz="6" w:space="0"/>
              <w:bottom w:val="outset" w:color="auto" w:sz="6" w:space="0"/>
              <w:right w:val="outset" w:color="auto" w:sz="6" w:space="0"/>
            </w:tcBorders>
          </w:tcPr>
          <w:p w14:paraId="275BCD3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0.312</w:t>
            </w:r>
          </w:p>
        </w:tc>
        <w:tc>
          <w:tcPr>
            <w:tcW w:w="1155" w:type="dxa"/>
            <w:tcBorders>
              <w:top w:val="nil"/>
              <w:left w:val="outset" w:color="auto" w:sz="6" w:space="0"/>
              <w:bottom w:val="outset" w:color="auto" w:sz="6" w:space="0"/>
              <w:right w:val="outset" w:color="auto" w:sz="6" w:space="0"/>
            </w:tcBorders>
          </w:tcPr>
          <w:p w14:paraId="07DCFCB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0.156</w:t>
            </w:r>
          </w:p>
        </w:tc>
      </w:tr>
    </w:tbl>
    <w:p w14:paraId="4BAEEE5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0F943B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3. A анықтау реагенті және B анықтау реагенті – қолданар алдында Detection A және Detection B қоры қысқаша айналдырылды немесе центрифугаланды. Олар A and B Assay еріткішімен тиісінше 100 есе жұмыс концентрациясына дейін сұйылтылды.</w:t>
      </w:r>
    </w:p>
    <w:p w14:paraId="45A67B7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4. Жуу ерітіндісі – 600 мл жуу ерітіндісін (1×) дайындау үшін 20 мл жуу ерітіндісінің концентратын (30 ×) 580 мл деионизацияланған немесе тазартылған сумен сұйылтылды. </w:t>
      </w:r>
    </w:p>
    <w:p w14:paraId="1EDC98B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5. TMB субстраты – стерильденген ұштармен ерітіндінің қажетті дозасын сорып алынды және құтыға қалдық ерітіндіні қайтадан төгіп алынбады.</w:t>
      </w:r>
    </w:p>
    <w:p w14:paraId="0FDAAB2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Сақталған ережелер:</w:t>
      </w:r>
    </w:p>
    <w:p w14:paraId="52E58DE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1.  Тікелей ұңғымаларда сериялық сұйылту жүргізілмеді;</w:t>
      </w:r>
    </w:p>
    <w:p w14:paraId="4B81A55E">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2. Талдау алдында 15 минут ішінде стандарттар дайындап алынды. Реагенттерді 37</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тікелей ерітілмеді;</w:t>
      </w:r>
    </w:p>
    <w:p w14:paraId="47B1E7CE">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3. Нұсқауларға сәйкес Стандарттарға немесе жұмыс істейтін анықтау реагенті A және B мұқият қайта қалпына келтіріліп және көбіктенуді болдырмау қадағаланды және кристалдар толығымен ерігенше ақырын араластырылды. Тамшуырлаудан болатын дәлсіздікті азайту үшін шағын көлемдер пайдаланылып және тамшуырлардың калибрленгеніне көз жеткізілді. Бір тамшуыр үшін 10 мкл–ден артық сору ұсынылды;</w:t>
      </w:r>
    </w:p>
    <w:p w14:paraId="0F16AFD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4. Қалпына келтірілген Стандарттар, А анықтау реагенті және B анықтау реагентін бір рет қана пайдаланылды; </w:t>
      </w:r>
    </w:p>
    <w:p w14:paraId="7463A09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5. Егер жуу ерітіндісінің концентратында кристалдар пайда болса, бөлме температурасына дейін жылытылып және кристалдар толығымен ерігенше араластырылды;</w:t>
      </w:r>
    </w:p>
    <w:p w14:paraId="2D13CAF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6. Ластанған су немесе реагент дайындауға арналған контейнер анықтау нәтижесіне әсер ететіндіктен ауыстырылып отырды;</w:t>
      </w:r>
    </w:p>
    <w:p w14:paraId="6B5F56E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4395B396">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sz w:val="28"/>
          <w:szCs w:val="28"/>
          <w:lang w:eastAsia="ru-RU"/>
        </w:rPr>
        <w:t xml:space="preserve">2.4.3 </w:t>
      </w:r>
      <w:r>
        <w:rPr>
          <w:rFonts w:ascii="Times New Roman" w:hAnsi="Times New Roman" w:eastAsia="Times New Roman" w:cs="Times New Roman"/>
          <w:b/>
          <w:iCs/>
          <w:color w:val="000000"/>
          <w:sz w:val="28"/>
          <w:szCs w:val="28"/>
          <w:lang w:eastAsia="ru-RU"/>
        </w:rPr>
        <w:t>Үлгіні дайындап алу</w:t>
      </w:r>
    </w:p>
    <w:p w14:paraId="6117490C">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iCs/>
          <w:color w:val="000000"/>
          <w:sz w:val="28"/>
          <w:szCs w:val="28"/>
          <w:lang w:eastAsia="ru-RU"/>
        </w:rPr>
        <w:t xml:space="preserve"> </w:t>
      </w:r>
    </w:p>
    <w:p w14:paraId="555A3D1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Бүкіл сынақта пайдаланылған үлгілердің ықтимал мөлшерін есептеу жүргізілді. Жеткілікті үлгілерді алдын ала брондау жасалынды. Талдау алдында концентрация болжаланды. Егер олардың мәндері стандартты қисық диапазонында болмаса, нақты тәжірибелер үшін оңтайлы үлгі сұйылтуларын анықтау жасалынды;</w:t>
      </w:r>
    </w:p>
    <w:p w14:paraId="01E7164B">
      <w:pPr>
        <w:widowControl w:val="0"/>
        <w:numPr>
          <w:ilvl w:val="0"/>
          <w:numId w:val="16"/>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Гепсидинге – үлгіні PBS бойынша сұйылту керек;</w:t>
      </w:r>
    </w:p>
    <w:p w14:paraId="194EFACA">
      <w:pPr>
        <w:widowControl w:val="0"/>
        <w:numPr>
          <w:ilvl w:val="0"/>
          <w:numId w:val="16"/>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Эритропоэтин – үлгіні PBS бойынша сұйылту керек;</w:t>
      </w:r>
    </w:p>
    <w:p w14:paraId="05F7CC10">
      <w:pPr>
        <w:widowControl w:val="0"/>
        <w:numPr>
          <w:ilvl w:val="0"/>
          <w:numId w:val="16"/>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ИЛ–6 –үлгіні PBS бойынша сұйылту керек;</w:t>
      </w:r>
    </w:p>
    <w:p w14:paraId="0E5C4088">
      <w:pPr>
        <w:widowControl w:val="0"/>
        <w:numPr>
          <w:ilvl w:val="0"/>
          <w:numId w:val="16"/>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13970" cy="13970"/>
            <wp:effectExtent l="0" t="0" r="0" b="0"/>
            <wp:docPr id="95" name="Рисунок 95" descr="C:\Users\kgmuuser\AppData\Local\Temp\ksohtml7396\wp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C:\Users\kgmuuser\AppData\Local\Temp\ksohtml7396\wps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3970" cy="1397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CРА – сарысу сынамалары шамамен 500 немесе 500 есе сұйылтуды қажет етеді. Үлгіні 1:500 сұйылтуды дайындау үшін 20μL үлгісін 180μL PBS–ке ауыстыр. Бұл 1:10 сұйылту береді. Әрі қарай 1:10 үлгісін 10μL– ді 490μL PBS–ке ауыстыру арқылы сұйылт. Қазір үлгінің 1:500 сұйылтуы бар. Үлгіні 0,01 моль/Л PBS(PH=7.0–7.2) сұйылту керек;</w:t>
      </w:r>
    </w:p>
    <w:p w14:paraId="04245629">
      <w:pPr>
        <w:widowControl w:val="0"/>
        <w:numPr>
          <w:ilvl w:val="0"/>
          <w:numId w:val="16"/>
        </w:numPr>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Ферритин – сарысу үлгілері шамамен 50 есе сұйылтуды қажет етеді. Ұсынылған 50 еселік сұйылту 10μL үлгісі + 490μL PBS;</w:t>
      </w:r>
    </w:p>
    <w:p w14:paraId="010A119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Әр кезеңде мұқият араластырады. Үлгіні 0,01 моль/л PBS (PH=7,0–7,2) арқылы сұйылту жүргізілді. Егер үлгі әдістемелік құралда  көрсетілмесе Kit–тің жарамдылық уақытына мән беру қажет болады, ол үшін алдын ала тәжірибе жасалынды. Кейбір жағдайларда химиялық лизис буферімен жасалған жасушалардық экстрациясы мен тіндер химиялық қоспалар әсерінен күтпеген нәтижелен беруі мүмкін.</w:t>
      </w:r>
    </w:p>
    <w:p w14:paraId="7A51147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38AC777">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sz w:val="28"/>
          <w:szCs w:val="28"/>
          <w:lang w:eastAsia="ru-RU"/>
        </w:rPr>
        <w:t xml:space="preserve">2.4.4 </w:t>
      </w:r>
      <w:r>
        <w:rPr>
          <w:rFonts w:ascii="Times New Roman" w:hAnsi="Times New Roman" w:eastAsia="Times New Roman" w:cs="Times New Roman"/>
          <w:b/>
          <w:iCs/>
          <w:color w:val="000000"/>
          <w:sz w:val="28"/>
          <w:szCs w:val="28"/>
          <w:lang w:eastAsia="ru-RU"/>
        </w:rPr>
        <w:t>Талдау жүргізу іс–шарасы</w:t>
      </w:r>
    </w:p>
    <w:p w14:paraId="4E12E218">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iCs/>
          <w:color w:val="000000"/>
          <w:sz w:val="28"/>
          <w:szCs w:val="28"/>
          <w:lang w:eastAsia="ru-RU"/>
        </w:rPr>
        <w:t xml:space="preserve"> </w:t>
      </w:r>
    </w:p>
    <w:p w14:paraId="45787F9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1. Сұйылтылған стандарт, дайындама және үлгі үшін ұңғымалар анықталды. Стандарт үшін 7 ұңғыма, дайындама үшін 1 шұңқыр дайындалынды. Стандартты сұйылтулар, дайындаманың және үлгілердің әрқайсысы 100 мкл сәйкес ұяшықтарға қосылды. Пластина тығыздағышпен жабылды. 37</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температурада 1 сағат инкубацияланды;</w:t>
      </w:r>
    </w:p>
    <w:p w14:paraId="3AC3D1F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2.   Әрбір құдықтың сұйықтығы алынды;</w:t>
      </w:r>
    </w:p>
    <w:p w14:paraId="055BED1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3. Әрбір ұңғымаға 100 мкл анықтау реагенті жұмыс ерітіндісі қосылды, ұңғымалар пластинкамен жабылды және 37</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температурада 1 сағат бойы инкубацияланды;</w:t>
      </w:r>
    </w:p>
    <w:p w14:paraId="32A27F5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4. Ерітінді сорып алынып және 350 мкл 1× жуу ерітіндісімен әр ұңғымаға құйылған бөтелке, көп арналы тамшуыр, коллекторлы диспенсер немесе автожуғышты пайдаланып жуылды және ол 1~2 минутқа қалдырылды. Пластинаны сіңіргіш қағазға қысу арқылы барлық ұңғымалардан қалған сұйықтық толығымен алып тасталынды. Толығымен 3 рет жуылды. Соңғы жуудан кейін қалған жуу буферін сорып алу немесе декантациялау арқылы алып тасталынды. Пластинаны төңкеріп, және сіңіргіш қағазға сүртілді; </w:t>
      </w:r>
    </w:p>
    <w:p w14:paraId="1EFB0D9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5. Әрбір ұңғымаға 100 мкл анықтау реагенті В жұмыс ерітіндісі қосылды, ұңғымалар пластинкамен жабылды және 30 минут бойы 37</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температурада тұндырылды;</w:t>
      </w:r>
    </w:p>
    <w:p w14:paraId="2045E29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6.  Аспирация/жуу үрдісін 4–қадамда орындалғандай барлығы 5 рет қайталанылды;</w:t>
      </w:r>
    </w:p>
    <w:p w14:paraId="3412177E">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7. Әрбір ұңғымаға 90 мкл субстрат ерітіндісі қосылды. Жаңа Plate тығыздағышпен жабылды. 10–20 минут 37</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(30 минуттан асырмай) инкубацияланды. Жарықтан қорғатылды. Substrate Solution қосу арқылы сұйықтық көк түске боятылды;</w:t>
      </w:r>
    </w:p>
    <w:p w14:paraId="351BFA7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8. Әрбір ұңғымаға 50 мкл тоқтату ерітіндісі қосылды. Тоқтату ерітіндісін қосқанда сұйықтық сары түске (сурет – 5) айналды. Пластинаның бүйірін түрту арқылы сұйықтық араластырылды. Түс өзгерісі біркелкі болмаса, мұқият араластыруды қамтамасыз ету үшін пластина ақырын түртілді;</w:t>
      </w:r>
    </w:p>
    <w:p w14:paraId="0D63875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3E4BB04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1842770" cy="1565275"/>
            <wp:effectExtent l="0" t="0" r="5080" b="0"/>
            <wp:docPr id="96" name="Рисунок 96" descr="C:\Users\kgmuuser\AppData\Local\Temp\ksohtml7396\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descr="C:\Users\kgmuuser\AppData\Local\Temp\ksohtml7396\wps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842770" cy="156527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78B5886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673F9D2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Сурет – 5. Ұңғымаға ерітінді құю (Cloud–Clone Corporation нұсқаулығынан алынған, 2024 [162])</w:t>
      </w:r>
    </w:p>
    <w:p w14:paraId="0E7BEB9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430A735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9. Пластинаның төменгі жағындағы кез келген су тамшысы және саусақ ізі тазаланып алынды және сұйықтық бетінде көпіршік жоқ екеніне көз жеткізілді. Содан кейін микропластинаны оқу құралын іске қосып, өлшеу бірден 450 нм орындалды;</w:t>
      </w:r>
    </w:p>
    <w:p w14:paraId="02F8EA1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Іс–шараларды жүргізу барысында қатаң сақталған ережелер:</w:t>
      </w:r>
    </w:p>
    <w:p w14:paraId="46F4372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eastAsia="ru-RU"/>
        </w:rPr>
        <w:t>Талдауды дайындау ар</w:t>
      </w:r>
      <w:r>
        <w:rPr>
          <w:rFonts w:ascii="Times New Roman" w:hAnsi="Times New Roman" w:eastAsia="Times New Roman" w:cs="Times New Roman"/>
          <w:sz w:val="28"/>
          <w:szCs w:val="28"/>
          <w:lang w:val="kk-KZ" w:eastAsia="ru-RU"/>
        </w:rPr>
        <w:t xml:space="preserve">қылы </w:t>
      </w:r>
      <w:r>
        <w:rPr>
          <w:rFonts w:ascii="Times New Roman" w:hAnsi="Times New Roman" w:eastAsia="Times New Roman" w:cs="Times New Roman"/>
          <w:sz w:val="28"/>
          <w:szCs w:val="28"/>
          <w:lang w:eastAsia="ru-RU"/>
        </w:rPr>
        <w:t>әрбір тәжірибе үшін ұңғымалардың сәйкес санын сақталынып және микропластиннен тыс ұңғымалар алып тасталынды. Демалыс ұңғымаларын қайта жабу және –20</w:t>
      </w:r>
      <w:r>
        <w:rPr>
          <w:rFonts w:ascii="Times New Roman" w:hAnsi="Times New Roman" w:eastAsia="Times New Roman" w:cs="Times New Roman"/>
          <w:sz w:val="28"/>
          <w:szCs w:val="28"/>
          <w:vertAlign w:val="superscript"/>
          <w:lang w:eastAsia="ru-RU"/>
        </w:rPr>
        <w:t>o</w:t>
      </w:r>
      <w:r>
        <w:rPr>
          <w:rFonts w:ascii="Times New Roman" w:hAnsi="Times New Roman" w:eastAsia="Times New Roman" w:cs="Times New Roman"/>
          <w:sz w:val="28"/>
          <w:szCs w:val="28"/>
          <w:lang w:eastAsia="ru-RU"/>
        </w:rPr>
        <w:t>C температурада сақтау жүргізілді</w:t>
      </w:r>
      <w:r>
        <w:rPr>
          <w:rFonts w:ascii="Times New Roman" w:hAnsi="Times New Roman" w:eastAsia="Times New Roman" w:cs="Times New Roman"/>
          <w:sz w:val="28"/>
          <w:szCs w:val="28"/>
          <w:lang w:val="kk-KZ" w:eastAsia="ru-RU"/>
        </w:rPr>
        <w:t xml:space="preserve">. Сонан соң жаңадан дайындалған стандарт пайдаланылды. </w:t>
      </w:r>
      <w:r>
        <w:rPr>
          <w:rFonts w:ascii="Times New Roman" w:hAnsi="Times New Roman" w:eastAsia="Times New Roman" w:cs="Times New Roman"/>
          <w:sz w:val="28"/>
          <w:szCs w:val="28"/>
          <w:lang w:eastAsia="ru-RU"/>
        </w:rPr>
        <w:t>Ұңғыларға үлгілерді мұқият қосып, көбік пайда болмас үшін ақырын араластырырылды. Құдық қабырғасына қол тигізу болған жоқ. Процедураның әрбір қадамы үшін талдау тақтасына реагенттерді немесе үлгілерді қосуға арналған жалпы бөлу уақыты 10 минуттан асқан жоқ. Бұл тамшуырдың әрбір қадамы үшін үзіліссіз бірдей өту уақытын қамтамасыз етеді. Қажет болмаса да, барлық стандарттар мен үлгілерді қайталау жасалынды. Айқас ластануды болдырмау үшін стандарттардың, үлгілердің және реагенттердің қоспалары арасындағы тамшуыр ұштары ауыстырылып отырды. Сондай–ақ әрбір реагент үшін бөлек резервуарлар қолданылды</w:t>
      </w:r>
      <w:r>
        <w:rPr>
          <w:rFonts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eastAsia="ru-RU"/>
        </w:rPr>
        <w:t>Дәл нәтижелерді қамтамасыз ету үшін инкубация қадамдары кезінде пластина тығыздағыштарын дұрыс жабыстыру қадағаланды. Ұңғымалардың инкубация қадамдары арасында ұзақ уақыт бойы жабық тұруына жол берілмеді. Ұңғыма жолақтарына реагенттер қосылғаннан кейін, талдау кезінде жолақтарды кептіру уақыты қатаң сақталды. Инкубация уақыты мен температура қатаң түрде бақыланды</w:t>
      </w:r>
      <w:r>
        <w:rPr>
          <w:rFonts w:ascii="Times New Roman" w:hAnsi="Times New Roman" w:eastAsia="Times New Roman" w:cs="Times New Roman"/>
          <w:sz w:val="28"/>
          <w:szCs w:val="28"/>
          <w:lang w:val="kk-KZ" w:eastAsia="ru-RU"/>
        </w:rPr>
        <w:t>. Келесі ж</w:t>
      </w:r>
      <w:r>
        <w:rPr>
          <w:rFonts w:ascii="Times New Roman" w:hAnsi="Times New Roman" w:eastAsia="Times New Roman" w:cs="Times New Roman"/>
          <w:sz w:val="28"/>
          <w:szCs w:val="28"/>
          <w:lang w:eastAsia="ru-RU"/>
        </w:rPr>
        <w:t>уу процедурасы өте маңызды. Әр қадамда сұйықтықты толығымен алып тастау жақсы жұмыс істеу үшін маңызды. Соңғы жуудан кейін қалған жуу ерітіндісін сору немесе декантациялау арқылы алып тасталынды және пластинаның төменгі жағындағы кез келген су тамшысын және саусақ болған жоқ. Жеткіліксіз жуу дәлдіктің нашарлауына және сіңірілу көрсеткішінің жалған жоғарыл</w:t>
      </w:r>
      <w:r>
        <w:rPr>
          <w:rFonts w:ascii="Times New Roman" w:hAnsi="Times New Roman" w:eastAsia="Times New Roman" w:cs="Times New Roman"/>
          <w:color w:val="000000"/>
          <w:sz w:val="28"/>
          <w:szCs w:val="28"/>
          <w:lang w:eastAsia="ru-RU"/>
        </w:rPr>
        <w:t>ауына әкеледі.</w:t>
      </w:r>
      <w:r>
        <w:rPr>
          <w:rFonts w:ascii="Times New Roman" w:hAnsi="Times New Roman" w:eastAsia="Times New Roman" w:cs="Times New Roman"/>
          <w:sz w:val="28"/>
          <w:szCs w:val="28"/>
          <w:lang w:val="kk-KZ" w:eastAsia="ru-RU"/>
        </w:rPr>
        <w:t xml:space="preserve"> </w:t>
      </w:r>
      <w:r>
        <w:rPr>
          <w:rFonts w:ascii="Times New Roman" w:hAnsi="Times New Roman" w:eastAsia="Times New Roman" w:cs="Times New Roman"/>
          <w:color w:val="000000"/>
          <w:sz w:val="28"/>
          <w:szCs w:val="28"/>
          <w:lang w:val="kk-KZ" w:eastAsia="ru-RU"/>
        </w:rPr>
        <w:t>TMB субстратын қосқаннан кейін түс өзгерісі қадағаланды (мысалы, 10 минут сайын бір рет бақылау), егер түс тым терең болса, сіңіргіштік көрсеткішінің дәл болмауына әкелетін шамадан тыс күшті реакцияны болдырмау үшін алдын ала тоқтату ерітіндісі қосылды. TMB субстраты оңай ластанатындықтан, оны жарықтан қорғау жүргізілді. Қоршаған ортаның ылғалдылығы 60%–дан төмен болса, соңғы өнімділікке біраз әсер етуі мүмкін, сондықтан бұл жағдайда ылғалдандырғышты пайдалану ұсынылады.</w:t>
      </w:r>
    </w:p>
    <w:p w14:paraId="21F47FAD">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val="kk-KZ" w:eastAsia="ru-RU"/>
        </w:rPr>
      </w:pPr>
      <w:r>
        <w:rPr>
          <w:rFonts w:ascii="Times New Roman" w:hAnsi="Times New Roman" w:eastAsia="Times New Roman" w:cs="Times New Roman"/>
          <w:color w:val="000000"/>
          <w:sz w:val="28"/>
          <w:szCs w:val="28"/>
          <w:lang w:val="kk-KZ" w:eastAsia="ru-RU"/>
        </w:rPr>
        <w:t xml:space="preserve"> </w:t>
      </w:r>
    </w:p>
    <w:p w14:paraId="3BD2E5A4">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color w:val="000000"/>
          <w:sz w:val="28"/>
          <w:szCs w:val="28"/>
          <w:lang w:eastAsia="ru-RU"/>
        </w:rPr>
        <w:t xml:space="preserve">2.4.5 </w:t>
      </w:r>
      <w:r>
        <w:rPr>
          <w:rFonts w:ascii="Times New Roman" w:hAnsi="Times New Roman" w:eastAsia="Times New Roman" w:cs="Times New Roman"/>
          <w:b/>
          <w:iCs/>
          <w:color w:val="000000"/>
          <w:sz w:val="28"/>
          <w:szCs w:val="28"/>
          <w:lang w:eastAsia="ru-RU"/>
        </w:rPr>
        <w:t>Тесттің принципі</w:t>
      </w:r>
    </w:p>
    <w:p w14:paraId="24C09D98">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iCs/>
          <w:color w:val="000000"/>
          <w:sz w:val="28"/>
          <w:szCs w:val="28"/>
          <w:lang w:eastAsia="ru-RU"/>
        </w:rPr>
        <w:t xml:space="preserve"> </w:t>
      </w:r>
    </w:p>
    <w:p w14:paraId="0C6AA1F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Бұл жинақта берілген микропластинаға гепсидинге, эритропоэтинге, </w:t>
      </w:r>
      <w:r>
        <w:rPr>
          <w:rFonts w:ascii="Times New Roman" w:hAnsi="Times New Roman" w:eastAsia="Times New Roman" w:cs="Times New Roman"/>
          <w:sz w:val="28"/>
          <w:szCs w:val="28"/>
          <w:lang w:val="kk-KZ" w:eastAsia="ru-RU"/>
        </w:rPr>
        <w:t>ИЛ</w:t>
      </w:r>
      <w:r>
        <w:rPr>
          <w:rFonts w:ascii="Times New Roman" w:hAnsi="Times New Roman" w:eastAsia="Times New Roman" w:cs="Times New Roman"/>
          <w:sz w:val="28"/>
          <w:szCs w:val="28"/>
          <w:lang w:eastAsia="ru-RU"/>
        </w:rPr>
        <w:t>–6–ға, СРА-ға және ферритинге тән антидене алдын ала қапталған. Содан кейін стандартты үлгілер биотинмен конъюгацияланған спецификалық маркерлердің антиденесі бар тиісті микропластиналық ұяшықтарға қосылады. Әрі қарай, желкек пероксидазасымен (HRP) конъюгацияланған авидин әрбір микропластинаға қосылады және инкубацияланады. ТМВ субстрат ерітіндісін қосқаннан кейін, құрамында гепсидин, биотин–конъюгат–дене–дензим–конъюгацияланған Авидин бар ұяшықтар ғана түсінің өзгеруін көрсетеді. Фермент–субстрат реакциясы күкірт қышқылы ерітіндісін енгізу арқылы тоқтатылады және түс өзгерісі 450нм ± 10нм толқын ұзындығында спектрофотометриялық түрде өлшенеді. Содан кейін үлгілердегі маркерлердің концентрациясы үлгілерді стандартты қисығымен салыстыру арқылы анықталады.</w:t>
      </w:r>
    </w:p>
    <w:p w14:paraId="71D4611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7B9D7975">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sz w:val="28"/>
          <w:szCs w:val="28"/>
          <w:lang w:eastAsia="ru-RU"/>
        </w:rPr>
        <w:t>2.4.6 Зерттеу н</w:t>
      </w:r>
      <w:r>
        <w:rPr>
          <w:rFonts w:ascii="Times New Roman" w:hAnsi="Times New Roman" w:eastAsia="Times New Roman" w:cs="Times New Roman"/>
          <w:b/>
          <w:iCs/>
          <w:color w:val="000000"/>
          <w:sz w:val="28"/>
          <w:szCs w:val="28"/>
          <w:lang w:eastAsia="ru-RU"/>
        </w:rPr>
        <w:t>әтижелерін есептеу</w:t>
      </w:r>
    </w:p>
    <w:p w14:paraId="63497011">
      <w:pPr>
        <w:widowControl w:val="0"/>
        <w:autoSpaceDE w:val="0"/>
        <w:autoSpaceDN w:val="0"/>
        <w:spacing w:after="0" w:line="276" w:lineRule="auto"/>
        <w:ind w:firstLine="709"/>
        <w:jc w:val="both"/>
        <w:outlineLvl w:val="0"/>
        <w:rPr>
          <w:rFonts w:ascii="Times New Roman" w:hAnsi="Times New Roman" w:eastAsia="Times New Roman" w:cs="Times New Roman"/>
          <w:b/>
          <w:iCs/>
          <w:color w:val="000000"/>
          <w:sz w:val="28"/>
          <w:szCs w:val="28"/>
          <w:lang w:eastAsia="ru-RU"/>
        </w:rPr>
      </w:pPr>
      <w:r>
        <w:rPr>
          <w:rFonts w:ascii="Times New Roman" w:hAnsi="Times New Roman" w:eastAsia="Times New Roman" w:cs="Times New Roman"/>
          <w:b/>
          <w:iCs/>
          <w:color w:val="000000"/>
          <w:sz w:val="28"/>
          <w:szCs w:val="28"/>
          <w:lang w:eastAsia="ru-RU"/>
        </w:rPr>
        <w:t xml:space="preserve"> </w:t>
      </w:r>
    </w:p>
    <w:p w14:paraId="135D320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Әрбір стандарт үшін, бақылау және үлгілер үшін қайталанатын көрсеткіштердің орташа мәні алынды және орташа нөлдік стандартты оптикалық тығыздық шегерілді. Y осінде гепсидин концентрациясы және солк осінде сіңіру бар стандартты қисық құрылды. Нүктелер арқылы ең жақсы сәйкес қисық сызылды және оны регрессиялық талдау арқылы анықтауға болады. Үлгі сұйылтылған болса, стандартты қисықтан оқылатын концентрацияны сұйылту коэффициентіне көбейту жүргізілді.</w:t>
      </w:r>
    </w:p>
    <w:p w14:paraId="795578C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Анықтау аралығы мен сезімталдығы бойынша кесте – 4 көрсетілді. Бұндай талдауды анықтау ақуыздығ ең төменгі дәрежесі ретінде анықталады. Ол жиырма нөлдік стандартты қайталаудың тақырыптық тығыздық мәніне екі стандартты ауытқуды қосу және сәйкес концентрацияны есептеу арқылы анықталды.</w:t>
      </w:r>
    </w:p>
    <w:p w14:paraId="5F067D1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6FAF59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Кесте – 4. Маркерлерді анықтау аралығы мен сезімталдығы.</w:t>
      </w:r>
    </w:p>
    <w:p w14:paraId="34AC67D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tbl>
      <w:tblPr>
        <w:tblStyle w:val="13"/>
        <w:tblW w:w="0" w:type="auto"/>
        <w:tblInd w:w="0" w:type="dxa"/>
        <w:tblLayout w:type="autofit"/>
        <w:tblCellMar>
          <w:top w:w="15" w:type="dxa"/>
          <w:left w:w="15" w:type="dxa"/>
          <w:bottom w:w="15" w:type="dxa"/>
          <w:right w:w="15" w:type="dxa"/>
        </w:tblCellMar>
      </w:tblPr>
      <w:tblGrid>
        <w:gridCol w:w="3157"/>
        <w:gridCol w:w="3151"/>
        <w:gridCol w:w="3077"/>
      </w:tblGrid>
      <w:tr w14:paraId="1F01EEBD">
        <w:tblPrEx>
          <w:tblCellMar>
            <w:top w:w="15" w:type="dxa"/>
            <w:left w:w="15" w:type="dxa"/>
            <w:bottom w:w="15" w:type="dxa"/>
            <w:right w:w="15" w:type="dxa"/>
          </w:tblCellMar>
        </w:tblPrEx>
        <w:tc>
          <w:tcPr>
            <w:tcW w:w="3480" w:type="dxa"/>
            <w:tcBorders>
              <w:top w:val="outset" w:color="auto" w:sz="6" w:space="0"/>
              <w:left w:val="outset" w:color="auto" w:sz="6" w:space="0"/>
              <w:bottom w:val="outset" w:color="auto" w:sz="6" w:space="0"/>
              <w:right w:val="outset" w:color="auto" w:sz="6" w:space="0"/>
            </w:tcBorders>
          </w:tcPr>
          <w:p w14:paraId="55186F9B">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Маркерлер</w:t>
            </w:r>
          </w:p>
        </w:tc>
        <w:tc>
          <w:tcPr>
            <w:tcW w:w="3480" w:type="dxa"/>
            <w:tcBorders>
              <w:top w:val="outset" w:color="auto" w:sz="6" w:space="0"/>
              <w:left w:val="outset" w:color="auto" w:sz="6" w:space="0"/>
              <w:bottom w:val="outset" w:color="auto" w:sz="6" w:space="0"/>
              <w:right w:val="outset" w:color="auto" w:sz="6" w:space="0"/>
            </w:tcBorders>
          </w:tcPr>
          <w:p w14:paraId="257E789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Анықтау аралығы</w:t>
            </w:r>
          </w:p>
          <w:p w14:paraId="7FE5B05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пг/мл</w:t>
            </w:r>
          </w:p>
        </w:tc>
        <w:tc>
          <w:tcPr>
            <w:tcW w:w="3480" w:type="dxa"/>
            <w:tcBorders>
              <w:top w:val="outset" w:color="auto" w:sz="6" w:space="0"/>
              <w:left w:val="outset" w:color="auto" w:sz="6" w:space="0"/>
              <w:bottom w:val="outset" w:color="auto" w:sz="6" w:space="0"/>
              <w:right w:val="outset" w:color="auto" w:sz="6" w:space="0"/>
            </w:tcBorders>
          </w:tcPr>
          <w:p w14:paraId="29AAF83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Ең аз анықталатын дозасы пг/мл–ден аз</w:t>
            </w:r>
          </w:p>
        </w:tc>
      </w:tr>
      <w:tr w14:paraId="76A96F57">
        <w:tblPrEx>
          <w:tblCellMar>
            <w:top w:w="15" w:type="dxa"/>
            <w:left w:w="15" w:type="dxa"/>
            <w:bottom w:w="15" w:type="dxa"/>
            <w:right w:w="15" w:type="dxa"/>
          </w:tblCellMar>
        </w:tblPrEx>
        <w:tc>
          <w:tcPr>
            <w:tcW w:w="3480" w:type="dxa"/>
            <w:tcBorders>
              <w:top w:val="nil"/>
              <w:left w:val="outset" w:color="auto" w:sz="6" w:space="0"/>
              <w:bottom w:val="outset" w:color="auto" w:sz="6" w:space="0"/>
              <w:right w:val="outset" w:color="auto" w:sz="6" w:space="0"/>
            </w:tcBorders>
          </w:tcPr>
          <w:p w14:paraId="2830937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Гепсидин</w:t>
            </w:r>
          </w:p>
        </w:tc>
        <w:tc>
          <w:tcPr>
            <w:tcW w:w="3480" w:type="dxa"/>
            <w:tcBorders>
              <w:top w:val="nil"/>
              <w:left w:val="outset" w:color="auto" w:sz="6" w:space="0"/>
              <w:bottom w:val="outset" w:color="auto" w:sz="6" w:space="0"/>
              <w:right w:val="outset" w:color="auto" w:sz="6" w:space="0"/>
            </w:tcBorders>
          </w:tcPr>
          <w:p w14:paraId="6A95142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312</w:t>
            </w:r>
            <w:r>
              <w:rPr>
                <w:rFonts w:ascii="Times New Roman" w:hAnsi="Times New Roman" w:eastAsia="Times New Roman" w:cs="Times New Roman"/>
                <w:sz w:val="28"/>
                <w:szCs w:val="28"/>
                <w:lang w:val="en-US"/>
              </w:rPr>
              <w:t xml:space="preserve">00–200000 </w:t>
            </w:r>
          </w:p>
        </w:tc>
        <w:tc>
          <w:tcPr>
            <w:tcW w:w="3480" w:type="dxa"/>
            <w:tcBorders>
              <w:top w:val="nil"/>
              <w:left w:val="outset" w:color="auto" w:sz="6" w:space="0"/>
              <w:bottom w:val="outset" w:color="auto" w:sz="6" w:space="0"/>
              <w:right w:val="outset" w:color="auto" w:sz="6" w:space="0"/>
            </w:tcBorders>
          </w:tcPr>
          <w:p w14:paraId="74337F5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val="en-US"/>
              </w:rPr>
              <w:t>12</w:t>
            </w:r>
          </w:p>
        </w:tc>
      </w:tr>
      <w:tr w14:paraId="6A56F674">
        <w:tblPrEx>
          <w:tblCellMar>
            <w:top w:w="15" w:type="dxa"/>
            <w:left w:w="15" w:type="dxa"/>
            <w:bottom w:w="15" w:type="dxa"/>
            <w:right w:w="15" w:type="dxa"/>
          </w:tblCellMar>
        </w:tblPrEx>
        <w:tc>
          <w:tcPr>
            <w:tcW w:w="3480" w:type="dxa"/>
            <w:tcBorders>
              <w:top w:val="nil"/>
              <w:left w:val="outset" w:color="auto" w:sz="6" w:space="0"/>
              <w:bottom w:val="outset" w:color="auto" w:sz="6" w:space="0"/>
              <w:right w:val="outset" w:color="auto" w:sz="6" w:space="0"/>
            </w:tcBorders>
          </w:tcPr>
          <w:p w14:paraId="5D21601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Эритропоэтин</w:t>
            </w:r>
          </w:p>
        </w:tc>
        <w:tc>
          <w:tcPr>
            <w:tcW w:w="3480" w:type="dxa"/>
            <w:tcBorders>
              <w:top w:val="nil"/>
              <w:left w:val="outset" w:color="auto" w:sz="6" w:space="0"/>
              <w:bottom w:val="outset" w:color="auto" w:sz="6" w:space="0"/>
              <w:right w:val="outset" w:color="auto" w:sz="6" w:space="0"/>
            </w:tcBorders>
          </w:tcPr>
          <w:p w14:paraId="6470BD4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31,2–2000</w:t>
            </w:r>
          </w:p>
        </w:tc>
        <w:tc>
          <w:tcPr>
            <w:tcW w:w="3480" w:type="dxa"/>
            <w:tcBorders>
              <w:top w:val="nil"/>
              <w:left w:val="outset" w:color="auto" w:sz="6" w:space="0"/>
              <w:bottom w:val="outset" w:color="auto" w:sz="6" w:space="0"/>
              <w:right w:val="outset" w:color="auto" w:sz="6" w:space="0"/>
            </w:tcBorders>
          </w:tcPr>
          <w:p w14:paraId="5419517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11,5</w:t>
            </w:r>
          </w:p>
        </w:tc>
      </w:tr>
      <w:tr w14:paraId="39972428">
        <w:tblPrEx>
          <w:tblCellMar>
            <w:top w:w="15" w:type="dxa"/>
            <w:left w:w="15" w:type="dxa"/>
            <w:bottom w:w="15" w:type="dxa"/>
            <w:right w:w="15" w:type="dxa"/>
          </w:tblCellMar>
        </w:tblPrEx>
        <w:tc>
          <w:tcPr>
            <w:tcW w:w="3480" w:type="dxa"/>
            <w:tcBorders>
              <w:top w:val="nil"/>
              <w:left w:val="outset" w:color="auto" w:sz="6" w:space="0"/>
              <w:bottom w:val="outset" w:color="auto" w:sz="6" w:space="0"/>
              <w:right w:val="outset" w:color="auto" w:sz="6" w:space="0"/>
            </w:tcBorders>
          </w:tcPr>
          <w:p w14:paraId="2539B12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ИЛ</w:t>
            </w:r>
            <w:r>
              <w:rPr>
                <w:rFonts w:ascii="Times New Roman" w:hAnsi="Times New Roman" w:eastAsia="Times New Roman" w:cs="Times New Roman"/>
                <w:sz w:val="28"/>
                <w:szCs w:val="28"/>
                <w:lang w:val="en-US"/>
              </w:rPr>
              <w:t>–6</w:t>
            </w:r>
          </w:p>
        </w:tc>
        <w:tc>
          <w:tcPr>
            <w:tcW w:w="3480" w:type="dxa"/>
            <w:tcBorders>
              <w:top w:val="nil"/>
              <w:left w:val="outset" w:color="auto" w:sz="6" w:space="0"/>
              <w:bottom w:val="outset" w:color="auto" w:sz="6" w:space="0"/>
              <w:right w:val="outset" w:color="auto" w:sz="6" w:space="0"/>
            </w:tcBorders>
          </w:tcPr>
          <w:p w14:paraId="314D3BE5">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,78–50</w:t>
            </w:r>
          </w:p>
        </w:tc>
        <w:tc>
          <w:tcPr>
            <w:tcW w:w="3480" w:type="dxa"/>
            <w:tcBorders>
              <w:top w:val="nil"/>
              <w:left w:val="outset" w:color="auto" w:sz="6" w:space="0"/>
              <w:bottom w:val="outset" w:color="auto" w:sz="6" w:space="0"/>
              <w:right w:val="outset" w:color="auto" w:sz="6" w:space="0"/>
            </w:tcBorders>
          </w:tcPr>
          <w:p w14:paraId="7AFF9229">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,31</w:t>
            </w:r>
          </w:p>
        </w:tc>
      </w:tr>
      <w:tr w14:paraId="7BE64D6F">
        <w:tblPrEx>
          <w:tblCellMar>
            <w:top w:w="15" w:type="dxa"/>
            <w:left w:w="15" w:type="dxa"/>
            <w:bottom w:w="15" w:type="dxa"/>
            <w:right w:w="15" w:type="dxa"/>
          </w:tblCellMar>
        </w:tblPrEx>
        <w:tc>
          <w:tcPr>
            <w:tcW w:w="3480" w:type="dxa"/>
            <w:tcBorders>
              <w:top w:val="nil"/>
              <w:left w:val="outset" w:color="auto" w:sz="6" w:space="0"/>
              <w:bottom w:val="outset" w:color="auto" w:sz="6" w:space="0"/>
              <w:right w:val="outset" w:color="auto" w:sz="6" w:space="0"/>
            </w:tcBorders>
          </w:tcPr>
          <w:p w14:paraId="7652F6B5">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C</w:t>
            </w:r>
            <w:r>
              <w:rPr>
                <w:rFonts w:ascii="Times New Roman" w:hAnsi="Times New Roman" w:eastAsia="Times New Roman" w:cs="Times New Roman"/>
                <w:sz w:val="28"/>
                <w:szCs w:val="28"/>
                <w:lang w:val="en-US"/>
              </w:rPr>
              <w:t>РА</w:t>
            </w:r>
          </w:p>
        </w:tc>
        <w:tc>
          <w:tcPr>
            <w:tcW w:w="3480" w:type="dxa"/>
            <w:tcBorders>
              <w:top w:val="nil"/>
              <w:left w:val="outset" w:color="auto" w:sz="6" w:space="0"/>
              <w:bottom w:val="outset" w:color="auto" w:sz="6" w:space="0"/>
              <w:right w:val="outset" w:color="auto" w:sz="6" w:space="0"/>
            </w:tcBorders>
          </w:tcPr>
          <w:p w14:paraId="67CF785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0.312–20</w:t>
            </w:r>
          </w:p>
        </w:tc>
        <w:tc>
          <w:tcPr>
            <w:tcW w:w="3480" w:type="dxa"/>
            <w:tcBorders>
              <w:top w:val="nil"/>
              <w:left w:val="outset" w:color="auto" w:sz="6" w:space="0"/>
              <w:bottom w:val="outset" w:color="auto" w:sz="6" w:space="0"/>
              <w:right w:val="outset" w:color="auto" w:sz="6" w:space="0"/>
            </w:tcBorders>
          </w:tcPr>
          <w:p w14:paraId="1D485B6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0,129</w:t>
            </w:r>
          </w:p>
        </w:tc>
      </w:tr>
      <w:tr w14:paraId="70E8837A">
        <w:tblPrEx>
          <w:tblCellMar>
            <w:top w:w="15" w:type="dxa"/>
            <w:left w:w="15" w:type="dxa"/>
            <w:bottom w:w="15" w:type="dxa"/>
            <w:right w:w="15" w:type="dxa"/>
          </w:tblCellMar>
        </w:tblPrEx>
        <w:tc>
          <w:tcPr>
            <w:tcW w:w="3480" w:type="dxa"/>
            <w:tcBorders>
              <w:top w:val="nil"/>
              <w:left w:val="outset" w:color="auto" w:sz="6" w:space="0"/>
              <w:bottom w:val="outset" w:color="auto" w:sz="6" w:space="0"/>
              <w:right w:val="outset" w:color="auto" w:sz="6" w:space="0"/>
            </w:tcBorders>
          </w:tcPr>
          <w:p w14:paraId="4D359A2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Ферритин</w:t>
            </w:r>
          </w:p>
        </w:tc>
        <w:tc>
          <w:tcPr>
            <w:tcW w:w="3480" w:type="dxa"/>
            <w:tcBorders>
              <w:top w:val="nil"/>
              <w:left w:val="outset" w:color="auto" w:sz="6" w:space="0"/>
              <w:bottom w:val="outset" w:color="auto" w:sz="6" w:space="0"/>
              <w:right w:val="outset" w:color="auto" w:sz="6" w:space="0"/>
            </w:tcBorders>
          </w:tcPr>
          <w:p w14:paraId="1C689E1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0.156–10</w:t>
            </w:r>
          </w:p>
        </w:tc>
        <w:tc>
          <w:tcPr>
            <w:tcW w:w="3480" w:type="dxa"/>
            <w:tcBorders>
              <w:top w:val="nil"/>
              <w:left w:val="outset" w:color="auto" w:sz="6" w:space="0"/>
              <w:bottom w:val="outset" w:color="auto" w:sz="6" w:space="0"/>
              <w:right w:val="outset" w:color="auto" w:sz="6" w:space="0"/>
            </w:tcBorders>
          </w:tcPr>
          <w:p w14:paraId="7486C2B5">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0,061</w:t>
            </w:r>
          </w:p>
        </w:tc>
      </w:tr>
    </w:tbl>
    <w:p w14:paraId="2308C48D">
      <w:pPr>
        <w:widowControl w:val="0"/>
        <w:autoSpaceDE w:val="0"/>
        <w:autoSpaceDN w:val="0"/>
        <w:spacing w:after="0" w:line="276" w:lineRule="auto"/>
        <w:ind w:firstLine="709"/>
        <w:jc w:val="both"/>
        <w:outlineLvl w:val="0"/>
        <w:rPr>
          <w:rFonts w:ascii="Times New Roman" w:hAnsi="Times New Roman" w:eastAsia="Times New Roman" w:cs="Times New Roman"/>
          <w:i/>
          <w:iCs/>
          <w:sz w:val="28"/>
          <w:szCs w:val="28"/>
          <w:lang w:eastAsia="ru-RU"/>
        </w:rPr>
      </w:pPr>
      <w:r>
        <w:rPr>
          <w:rFonts w:ascii="Times New Roman" w:hAnsi="Times New Roman" w:eastAsia="Times New Roman" w:cs="Times New Roman"/>
          <w:i/>
          <w:iCs/>
          <w:sz w:val="28"/>
          <w:szCs w:val="28"/>
          <w:lang w:eastAsia="ru-RU"/>
        </w:rPr>
        <w:t xml:space="preserve"> </w:t>
      </w:r>
    </w:p>
    <w:p w14:paraId="226917F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Жиын ішіндегі дәлдік:</w:t>
      </w:r>
    </w:p>
    <w:p w14:paraId="34C9F25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Антиген деңгейі төмен, орташа және жоғары 3 үлгі бір пластинада 20 рет сыналған: CV&lt;10%.</w:t>
      </w:r>
    </w:p>
    <w:p w14:paraId="4261EA1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Жиындар арасындағы дәлдік:</w:t>
      </w:r>
    </w:p>
    <w:p w14:paraId="415F287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Төмен, орташа және жоғары антиген деңгейі бар 3 үлгі 8 қайталаудағы 3 пластинада сыналған: CV&lt;12%.</w:t>
      </w:r>
    </w:p>
    <w:p w14:paraId="7AA00D1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Ал ерекшеліктеріне тоқталатын болсақ, бұл талдау әдісі маркерлерді анықтауда сезімталдығы өте жоғары және өзіндік ерекшелігі бар. Қан аркерлері арасындаға кедергі келтіретін байланыстарды немесе кедергілерді болдырмайды </w:t>
      </w:r>
      <w:r>
        <w:rPr>
          <w:rFonts w:ascii="Times New Roman" w:hAnsi="Times New Roman" w:eastAsia="Times New Roman" w:cs="Times New Roman"/>
          <w:color w:val="000000"/>
          <w:sz w:val="28"/>
          <w:szCs w:val="28"/>
          <w:lang w:eastAsia="ru-RU"/>
        </w:rPr>
        <w:t>[162]</w:t>
      </w:r>
      <w:r>
        <w:rPr>
          <w:rFonts w:ascii="Times New Roman" w:hAnsi="Times New Roman" w:eastAsia="Times New Roman" w:cs="Times New Roman"/>
          <w:sz w:val="28"/>
          <w:szCs w:val="28"/>
          <w:lang w:eastAsia="ru-RU"/>
        </w:rPr>
        <w:t xml:space="preserve">. </w:t>
      </w:r>
    </w:p>
    <w:p w14:paraId="6923C7A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CAE7163">
      <w:pPr>
        <w:keepNext/>
        <w:keepLines/>
        <w:widowControl w:val="0"/>
        <w:autoSpaceDE w:val="0"/>
        <w:autoSpaceDN w:val="0"/>
        <w:spacing w:after="0" w:line="276" w:lineRule="auto"/>
        <w:ind w:firstLine="709"/>
        <w:jc w:val="both"/>
        <w:outlineLvl w:val="0"/>
        <w:rPr>
          <w:rFonts w:ascii="Times New Roman" w:hAnsi="Times New Roman" w:eastAsia="等线 Light" w:cs="Times New Roman"/>
          <w:b/>
          <w:bCs/>
          <w:color w:val="000000"/>
          <w:sz w:val="28"/>
          <w:szCs w:val="28"/>
          <w:lang w:eastAsia="ru-RU"/>
        </w:rPr>
      </w:pPr>
      <w:r>
        <w:rPr>
          <w:rFonts w:ascii="Times New Roman" w:hAnsi="Times New Roman" w:eastAsia="等线 Light" w:cs="Times New Roman"/>
          <w:b/>
          <w:bCs/>
          <w:color w:val="000000"/>
          <w:sz w:val="28"/>
          <w:szCs w:val="28"/>
          <w:lang w:eastAsia="ru-RU"/>
        </w:rPr>
        <w:t>2.5 Зерттеу жұмысының нәтижелері бойынша статистикалық талдау жүргізу жұмыстары</w:t>
      </w:r>
    </w:p>
    <w:p w14:paraId="6B40AD2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2B3F378A">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sz w:val="28"/>
          <w:szCs w:val="28"/>
          <w:lang w:eastAsia="ru-RU"/>
        </w:rPr>
        <w:t xml:space="preserve">Зерттеу нәтижелерін статистикалық өңдеу STATISTICA 13.3, </w:t>
      </w:r>
      <w:r>
        <w:rPr>
          <w:rFonts w:ascii="Times New Roman" w:hAnsi="Times New Roman" w:eastAsia="等线 Light" w:cs="Times New Roman"/>
          <w:color w:val="000000"/>
          <w:sz w:val="28"/>
          <w:szCs w:val="28"/>
          <w:lang w:eastAsia="ru-RU"/>
        </w:rPr>
        <w:t xml:space="preserve">SPSS 30.0. </w:t>
      </w:r>
      <w:r>
        <w:rPr>
          <w:rFonts w:ascii="Times New Roman" w:hAnsi="Times New Roman" w:eastAsia="Times New Roman" w:cs="Times New Roman"/>
          <w:sz w:val="28"/>
          <w:szCs w:val="28"/>
          <w:lang w:eastAsia="ru-RU"/>
        </w:rPr>
        <w:t xml:space="preserve"> бағдарламаларын қолдану арқылы жүзеге асырылды. Үлестірудің қалыптылығын тексеру кезінде сипаттамалық статистика әдістері, Шапиро–Уилко критерийіне түзетілген Колмогоров–Смирнов өлшемдері қолданылды. Есептелген критерийлердің статистикалық маңыздылығының мәндері 0,05 (p&gt;0,05) асып кеткен жағдайда, нақты болу ресми түрде қалыптыдан өзгеше болып саналмады. Орташа тенденциялар орташа және стандартты ауытқумен сипатталды</w:t>
      </w:r>
      <w:r>
        <w:rPr>
          <w:rFonts w:ascii="Times New Roman" w:hAnsi="Times New Roman" w:eastAsia="Times New Roman" w:cs="Times New Roman"/>
          <w:sz w:val="28"/>
          <w:szCs w:val="28"/>
          <w:lang w:val="kk-KZ" w:eastAsia="ru-RU"/>
        </w:rPr>
        <w:t>.</w:t>
      </w:r>
      <w:r>
        <w:rPr>
          <w:rFonts w:ascii="Times New Roman" w:hAnsi="Times New Roman" w:eastAsia="Times New Roman" w:cs="Times New Roman"/>
          <w:sz w:val="28"/>
          <w:szCs w:val="28"/>
          <w:lang w:eastAsia="ru-RU"/>
        </w:rPr>
        <w:t xml:space="preserve">  Краскел–Уоллес критерийі төрт топт</w:t>
      </w:r>
      <w:r>
        <w:rPr>
          <w:rFonts w:ascii="Times New Roman" w:hAnsi="Times New Roman" w:eastAsia="Times New Roman" w:cs="Times New Roman"/>
          <w:sz w:val="28"/>
          <w:szCs w:val="28"/>
          <w:lang w:val="kk-KZ" w:eastAsia="ru-RU"/>
        </w:rPr>
        <w:t>ы</w:t>
      </w:r>
      <w:r>
        <w:rPr>
          <w:rFonts w:ascii="Times New Roman" w:hAnsi="Times New Roman" w:eastAsia="Times New Roman" w:cs="Times New Roman"/>
          <w:sz w:val="28"/>
          <w:szCs w:val="28"/>
          <w:lang w:eastAsia="ru-RU"/>
        </w:rPr>
        <w:t xml:space="preserve"> салыстырғанда қолданылды және топарлық жұптық тексерулер үшін Манн–Уитни Z критерийі арқылы анықталды. Айырмашылықтар p&lt;0,05 кезінде статистикалық маңызды болып саналды. Сапалы деректерді талдау бір–біріне тәуелсіз төрт топ болғандықтан Пирсонның Хи–квадрат критерийі және Фишердің нақты критерийі қолданылды көмегімен жүзеге асырылды. Корреляциялық талдау жүргізу </w:t>
      </w:r>
      <w:r>
        <w:rPr>
          <w:rFonts w:ascii="Times New Roman" w:hAnsi="Times New Roman" w:eastAsia="Times New Roman" w:cs="Times New Roman"/>
          <w:color w:val="000000"/>
          <w:sz w:val="28"/>
          <w:szCs w:val="28"/>
          <w:lang w:eastAsia="ru-RU"/>
        </w:rPr>
        <w:t>үшін Спирманның дәрежелік корреляция әдісі қолданылды. Зерттеу барысында тәуелсіз айнымалылардың тәуелді айнымалыға әсерін болжау үшін регрессиондық талдау жүргізілді. Тәуелді айнымалыға әсер ететін бірнеше факторлардың ықпалын бағалау үшін көптік сызықтық регрессия қолданылды. Модель сапасын бағалау үшін детерминация коэффициенті (R²) және жеке коэффициенттердің статистикалық маңыздылығы есептелді. Бинарлық сипаттағы тәуелді айнымалы үшін, оның маңыздылығын болжау үшін логистикалық регрессия қолданылды. Логистикалық регрессия нәтижесінде тәуелсіз айнымалылардың тәуелді айнымалыға әсері шанстар коэффициенттері арқылы көрсетілді. Модель сапасын бағалау үшін қисық астындағы аумақ (AUC) көрсеткіші және Хосмер–Лемешов тесті қолданылды.</w:t>
      </w:r>
    </w:p>
    <w:p w14:paraId="33426D8B">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 xml:space="preserve"> </w:t>
      </w:r>
    </w:p>
    <w:p w14:paraId="1671411E">
      <w:pPr>
        <w:widowControl w:val="0"/>
        <w:autoSpaceDE w:val="0"/>
        <w:autoSpaceDN w:val="0"/>
        <w:spacing w:after="0" w:line="276" w:lineRule="auto"/>
        <w:ind w:firstLine="709"/>
        <w:jc w:val="both"/>
        <w:outlineLvl w:val="0"/>
        <w:rPr>
          <w:rFonts w:ascii="Times New Roman" w:hAnsi="Times New Roman" w:eastAsia="Times New Roman" w:cs="Times New Roman"/>
          <w:b/>
          <w:bCs/>
          <w:color w:val="000000"/>
          <w:sz w:val="28"/>
          <w:szCs w:val="28"/>
          <w:lang w:eastAsia="ru-RU"/>
        </w:rPr>
      </w:pPr>
      <w:r>
        <w:rPr>
          <w:rFonts w:ascii="Times New Roman" w:hAnsi="Times New Roman" w:eastAsia="Times New Roman" w:cs="Times New Roman"/>
          <w:b/>
          <w:bCs/>
          <w:color w:val="000000"/>
          <w:sz w:val="28"/>
          <w:szCs w:val="28"/>
          <w:lang w:eastAsia="ru-RU"/>
        </w:rPr>
        <w:t>2.6 Зерттеу жұмысына этикалық мақұлдау жүргізу</w:t>
      </w:r>
    </w:p>
    <w:p w14:paraId="11DBEAA7">
      <w:pPr>
        <w:widowControl w:val="0"/>
        <w:autoSpaceDE w:val="0"/>
        <w:autoSpaceDN w:val="0"/>
        <w:spacing w:after="0" w:line="276" w:lineRule="auto"/>
        <w:ind w:firstLine="709"/>
        <w:jc w:val="both"/>
        <w:outlineLvl w:val="0"/>
        <w:rPr>
          <w:rFonts w:ascii="Times New Roman" w:hAnsi="Times New Roman" w:eastAsia="Times New Roman" w:cs="Times New Roman"/>
          <w:b/>
          <w:bCs/>
          <w:color w:val="000000"/>
          <w:sz w:val="28"/>
          <w:szCs w:val="28"/>
          <w:lang w:eastAsia="ru-RU"/>
        </w:rPr>
      </w:pPr>
      <w:r>
        <w:rPr>
          <w:rFonts w:ascii="Times New Roman" w:hAnsi="Times New Roman" w:eastAsia="Times New Roman" w:cs="Times New Roman"/>
          <w:b/>
          <w:bCs/>
          <w:color w:val="000000"/>
          <w:sz w:val="28"/>
          <w:szCs w:val="28"/>
          <w:lang w:eastAsia="ru-RU"/>
        </w:rPr>
        <w:t xml:space="preserve"> </w:t>
      </w:r>
    </w:p>
    <w:p w14:paraId="3CC5B87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color w:val="000000"/>
          <w:sz w:val="28"/>
          <w:szCs w:val="28"/>
          <w:lang w:eastAsia="ru-RU"/>
        </w:rPr>
        <w:t xml:space="preserve">Зерттеу жұмысына этикалық тұрғыдан мақұлдау алу КеАҚ «Қарағанды </w:t>
      </w:r>
      <w:r>
        <w:rPr>
          <w:rFonts w:ascii="Times New Roman" w:hAnsi="Times New Roman" w:eastAsia="Times New Roman" w:cs="Times New Roman"/>
          <w:sz w:val="28"/>
          <w:szCs w:val="28"/>
          <w:lang w:eastAsia="ru-RU"/>
        </w:rPr>
        <w:t>Медицина Университет»–нің Биоэтика Комитетінде №14 отырысындағы шешімі бойынша 2021 жылдың 8 ақпанында мақұлданды. Зерттеуге қатысушы жүктілер зерттеу жұмысының мақсататымен таныстырылып және жазбаша ақпараттық келісімдері қол қою арқылы алынды. Зерттеуге қатықан жүктілер туралы барлық мәліметтер электронды базаға тіркелді, және әрбір қатысушының идентификациясы кодпен алмастылылды.</w:t>
      </w:r>
    </w:p>
    <w:p w14:paraId="63BB92BA">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4911A5C1">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812D2BD">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6B9C432F">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791943B4">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01C200D1">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0805634">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44D3E9A">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5781D428">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24291EF">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41627E92">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62F97FA3">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1847B9FA">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75C3EC18">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3FE53502">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7AD0697">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43C877AE">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50547EFF">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36424071">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131D9B30">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5C06A84">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58B05BF8">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1FF6AF70">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1558E78">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36851CEE">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E34E2F3">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15626E7A">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171426EE">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469F39C2">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07061176">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685FB8AB">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7F9AEBB0">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FCD7C95">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CF907DB">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4595AEC5">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2410632E">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val="en-US" w:eastAsia="ru-RU"/>
        </w:rPr>
      </w:pPr>
    </w:p>
    <w:p w14:paraId="0842CF74">
      <w:pPr>
        <w:widowControl w:val="0"/>
        <w:autoSpaceDE w:val="0"/>
        <w:autoSpaceDN w:val="0"/>
        <w:spacing w:after="0" w:line="276" w:lineRule="auto"/>
        <w:ind w:firstLine="709"/>
        <w:jc w:val="center"/>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БӨЛІМ 3. ЗЕРТТЕУ НӘТИЖЕЛЕРІ ЖӘНЕ ОЛАРДЫ ТАЛҚЫЛАУ</w:t>
      </w:r>
    </w:p>
    <w:p w14:paraId="061D5249">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2DEA7663">
      <w:pPr>
        <w:widowControl w:val="0"/>
        <w:autoSpaceDE w:val="0"/>
        <w:autoSpaceDN w:val="0"/>
        <w:spacing w:after="0" w:line="276" w:lineRule="auto"/>
        <w:ind w:firstLine="709"/>
        <w:jc w:val="both"/>
        <w:outlineLvl w:val="0"/>
        <w:rPr>
          <w:rFonts w:ascii="Times New Roman" w:hAnsi="Times New Roman" w:eastAsia="Times New Roman" w:cs="Times New Roman"/>
          <w:b/>
          <w:color w:val="000000"/>
          <w:kern w:val="36"/>
          <w:sz w:val="28"/>
          <w:szCs w:val="28"/>
          <w:lang w:eastAsia="ru-RU"/>
        </w:rPr>
      </w:pPr>
      <w:r>
        <w:rPr>
          <w:rFonts w:ascii="Times New Roman" w:hAnsi="Times New Roman" w:eastAsia="Times New Roman" w:cs="Times New Roman"/>
          <w:b/>
          <w:color w:val="000000"/>
          <w:kern w:val="36"/>
          <w:sz w:val="28"/>
          <w:szCs w:val="28"/>
          <w:lang w:eastAsia="ru-RU"/>
        </w:rPr>
        <w:t>3.1 Зерттеуге қатысқан жүктілердің зертханалық және клиникалық сипаттамалары</w:t>
      </w:r>
    </w:p>
    <w:p w14:paraId="16CC92D4">
      <w:pPr>
        <w:widowControl w:val="0"/>
        <w:autoSpaceDE w:val="0"/>
        <w:autoSpaceDN w:val="0"/>
        <w:spacing w:after="0" w:line="276" w:lineRule="auto"/>
        <w:ind w:firstLine="709"/>
        <w:jc w:val="both"/>
        <w:outlineLvl w:val="0"/>
        <w:rPr>
          <w:rFonts w:ascii="Times New Roman" w:hAnsi="Times New Roman" w:eastAsia="Times New Roman" w:cs="Times New Roman"/>
          <w:b/>
          <w:color w:val="000000"/>
          <w:kern w:val="36"/>
          <w:sz w:val="28"/>
          <w:szCs w:val="28"/>
          <w:lang w:eastAsia="ru-RU"/>
        </w:rPr>
      </w:pPr>
      <w:r>
        <w:rPr>
          <w:rFonts w:ascii="Times New Roman" w:hAnsi="Times New Roman" w:eastAsia="Times New Roman" w:cs="Times New Roman"/>
          <w:b/>
          <w:color w:val="000000"/>
          <w:kern w:val="36"/>
          <w:sz w:val="28"/>
          <w:szCs w:val="28"/>
          <w:lang w:eastAsia="ru-RU"/>
        </w:rPr>
        <w:t xml:space="preserve"> </w:t>
      </w:r>
    </w:p>
    <w:p w14:paraId="412980D8">
      <w:pPr>
        <w:widowControl w:val="0"/>
        <w:autoSpaceDE w:val="0"/>
        <w:autoSpaceDN w:val="0"/>
        <w:spacing w:after="0" w:line="276" w:lineRule="auto"/>
        <w:ind w:firstLine="709"/>
        <w:jc w:val="both"/>
        <w:outlineLvl w:val="0"/>
        <w:rPr>
          <w:rFonts w:ascii="Times New Roman" w:hAnsi="Times New Roman" w:eastAsia="Times New Roman" w:cs="Times New Roman"/>
          <w:bCs/>
          <w:color w:val="000000"/>
          <w:kern w:val="36"/>
          <w:sz w:val="28"/>
          <w:szCs w:val="28"/>
          <w:lang w:eastAsia="ru-RU"/>
        </w:rPr>
      </w:pPr>
      <w:r>
        <w:rPr>
          <w:rFonts w:ascii="Times New Roman" w:hAnsi="Times New Roman" w:eastAsia="Times New Roman" w:cs="Times New Roman"/>
          <w:bCs/>
          <w:color w:val="000000"/>
          <w:kern w:val="36"/>
          <w:sz w:val="28"/>
          <w:szCs w:val="28"/>
          <w:lang w:eastAsia="ru-RU"/>
        </w:rPr>
        <w:t>Бұл зерттеу предгестациялық семіздігі бар жүкті әйелдерде анемияның даму шарттарын зерттеуге бағытталды. Нәтижелер дені сау жүкті әйелдермен және тек анемиясы бар әйелдермен салыстырмалы түрде бағаланды. Бұл үшін жүкті әйелдердің зертханалық (гемограмма, биохимиялық зерттеу, коагулограмма), клиникалық, акушерлік және гинекологиялық анамнездері, аспаптық тексеру нәтижелері және босану ерекшеліктері мұқият талданды. Зерттелушілердің барлық топтарында темір алмасу маркерлері мен қабыну медиаторлары иммуноферменттік анализ арқылы бағаланды.</w:t>
      </w:r>
    </w:p>
    <w:p w14:paraId="7040B04A">
      <w:pPr>
        <w:widowControl w:val="0"/>
        <w:autoSpaceDE w:val="0"/>
        <w:autoSpaceDN w:val="0"/>
        <w:spacing w:after="0" w:line="276" w:lineRule="auto"/>
        <w:ind w:firstLine="709"/>
        <w:jc w:val="both"/>
        <w:outlineLvl w:val="0"/>
        <w:rPr>
          <w:rFonts w:ascii="Times New Roman" w:hAnsi="Times New Roman" w:eastAsia="Times New Roman" w:cs="Times New Roman"/>
          <w:bCs/>
          <w:color w:val="000000"/>
          <w:kern w:val="36"/>
          <w:sz w:val="28"/>
          <w:szCs w:val="28"/>
          <w:lang w:eastAsia="ru-RU"/>
        </w:rPr>
      </w:pPr>
      <w:r>
        <w:rPr>
          <w:rFonts w:ascii="Times New Roman" w:hAnsi="Times New Roman" w:eastAsia="Times New Roman" w:cs="Times New Roman"/>
          <w:bCs/>
          <w:color w:val="000000"/>
          <w:kern w:val="36"/>
          <w:sz w:val="28"/>
          <w:szCs w:val="28"/>
          <w:lang w:eastAsia="ru-RU"/>
        </w:rPr>
        <w:t>Демографиялық және антропометриялық деректер (жасы, жүктілік паритеті, жүктілік мерзімі) 5-кестеде көрсетілген. Орташа жас пен жүктілік мерзімі топтар арасында нақты айырмашылық көрсетпегенімен, жүктілік паритетінде статистикалық маңызды ерекшеліктер анықталды. Біріншілік жүктілік немесе қайта жүктілік болғанына қарамастан, анемияның даму қаупі барлық топтарда байқалды.</w:t>
      </w:r>
    </w:p>
    <w:p w14:paraId="7CB7EE35">
      <w:pPr>
        <w:widowControl w:val="0"/>
        <w:autoSpaceDE w:val="0"/>
        <w:autoSpaceDN w:val="0"/>
        <w:spacing w:after="0" w:line="276" w:lineRule="auto"/>
        <w:ind w:firstLine="709"/>
        <w:jc w:val="both"/>
        <w:outlineLvl w:val="0"/>
        <w:rPr>
          <w:rFonts w:ascii="Times New Roman" w:hAnsi="Times New Roman" w:eastAsia="Times New Roman" w:cs="Times New Roman"/>
          <w:bCs/>
          <w:color w:val="000000"/>
          <w:kern w:val="36"/>
          <w:sz w:val="28"/>
          <w:szCs w:val="28"/>
          <w:lang w:eastAsia="ru-RU"/>
        </w:rPr>
      </w:pPr>
      <w:r>
        <w:rPr>
          <w:rFonts w:ascii="Times New Roman" w:hAnsi="Times New Roman" w:eastAsia="Times New Roman" w:cs="Times New Roman"/>
          <w:bCs/>
          <w:color w:val="000000"/>
          <w:kern w:val="36"/>
          <w:sz w:val="28"/>
          <w:szCs w:val="28"/>
          <w:lang w:eastAsia="ru-RU"/>
        </w:rPr>
        <w:t>Анемияның дамуында анамнезінде анемиясы бар жүкті әйелдер анемияның дамуына бейім екендігі  анықталды. Сонымен қатар, семіздік пен анемияның үйлесуі анамнездегі анемия көрсеткіштерін айтарлықтай жоғарылатты (p&gt;0,043).</w:t>
      </w:r>
    </w:p>
    <w:p w14:paraId="373A53AD">
      <w:pPr>
        <w:widowControl w:val="0"/>
        <w:autoSpaceDE w:val="0"/>
        <w:autoSpaceDN w:val="0"/>
        <w:spacing w:after="0" w:line="276" w:lineRule="auto"/>
        <w:ind w:firstLine="709"/>
        <w:jc w:val="both"/>
        <w:outlineLvl w:val="0"/>
        <w:rPr>
          <w:rFonts w:ascii="Times New Roman" w:hAnsi="Times New Roman" w:eastAsia="Times New Roman" w:cs="Times New Roman"/>
          <w:bCs/>
          <w:color w:val="000000"/>
          <w:kern w:val="36"/>
          <w:sz w:val="28"/>
          <w:szCs w:val="28"/>
          <w:lang w:eastAsia="ru-RU"/>
        </w:rPr>
      </w:pPr>
      <w:r>
        <w:rPr>
          <w:rFonts w:ascii="Times New Roman" w:hAnsi="Times New Roman" w:eastAsia="Times New Roman" w:cs="Times New Roman"/>
          <w:bCs/>
          <w:color w:val="000000"/>
          <w:kern w:val="36"/>
          <w:sz w:val="28"/>
          <w:szCs w:val="28"/>
          <w:lang w:eastAsia="ru-RU"/>
        </w:rPr>
        <w:t xml:space="preserve"> </w:t>
      </w:r>
    </w:p>
    <w:p w14:paraId="53A8E76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Кесте – 5. Зерттеуші топтардың клиникалық сипаттамасы</w:t>
      </w:r>
    </w:p>
    <w:p w14:paraId="11C1D57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tbl>
      <w:tblPr>
        <w:tblStyle w:val="22"/>
        <w:tblW w:w="0" w:type="auto"/>
        <w:tblInd w:w="0" w:type="dxa"/>
        <w:tblLayout w:type="fixed"/>
        <w:tblCellMar>
          <w:top w:w="15" w:type="dxa"/>
          <w:left w:w="15" w:type="dxa"/>
          <w:bottom w:w="15" w:type="dxa"/>
          <w:right w:w="15" w:type="dxa"/>
        </w:tblCellMar>
      </w:tblPr>
      <w:tblGrid>
        <w:gridCol w:w="1980"/>
        <w:gridCol w:w="1995"/>
        <w:gridCol w:w="1410"/>
        <w:gridCol w:w="1845"/>
        <w:gridCol w:w="1305"/>
        <w:gridCol w:w="975"/>
      </w:tblGrid>
      <w:tr w14:paraId="07895919">
        <w:tblPrEx>
          <w:tblCellMar>
            <w:top w:w="15" w:type="dxa"/>
            <w:left w:w="15" w:type="dxa"/>
            <w:bottom w:w="15" w:type="dxa"/>
            <w:right w:w="15" w:type="dxa"/>
          </w:tblCellMar>
        </w:tblPrEx>
        <w:tc>
          <w:tcPr>
            <w:tcW w:w="1980" w:type="dxa"/>
            <w:vMerge w:val="restart"/>
            <w:tcBorders>
              <w:top w:val="outset" w:color="auto" w:sz="6" w:space="0"/>
              <w:left w:val="outset" w:color="auto" w:sz="6" w:space="0"/>
              <w:bottom w:val="outset" w:color="auto" w:sz="6" w:space="0"/>
              <w:right w:val="outset" w:color="auto" w:sz="6" w:space="0"/>
            </w:tcBorders>
          </w:tcPr>
          <w:p w14:paraId="54275D3F">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Көрсеткіштер</w:t>
            </w:r>
          </w:p>
        </w:tc>
        <w:tc>
          <w:tcPr>
            <w:tcW w:w="1995" w:type="dxa"/>
            <w:vMerge w:val="restart"/>
            <w:tcBorders>
              <w:top w:val="outset" w:color="auto" w:sz="6" w:space="0"/>
              <w:left w:val="outset" w:color="auto" w:sz="6" w:space="0"/>
              <w:bottom w:val="outset" w:color="auto" w:sz="6" w:space="0"/>
              <w:right w:val="outset" w:color="auto" w:sz="6" w:space="0"/>
            </w:tcBorders>
          </w:tcPr>
          <w:p w14:paraId="05310F02">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Бақылау</w:t>
            </w:r>
          </w:p>
          <w:p w14:paraId="46198064">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тобы</w:t>
            </w:r>
          </w:p>
          <w:p w14:paraId="5B5F4CCD">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1 топ (n=43)</w:t>
            </w:r>
          </w:p>
        </w:tc>
        <w:tc>
          <w:tcPr>
            <w:tcW w:w="4560" w:type="dxa"/>
            <w:gridSpan w:val="3"/>
            <w:tcBorders>
              <w:top w:val="outset" w:color="auto" w:sz="6" w:space="0"/>
              <w:left w:val="outset" w:color="auto" w:sz="6" w:space="0"/>
              <w:bottom w:val="outset" w:color="auto" w:sz="6" w:space="0"/>
              <w:right w:val="outset" w:color="auto" w:sz="6" w:space="0"/>
            </w:tcBorders>
          </w:tcPr>
          <w:p w14:paraId="72123175">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Негізгі топтар</w:t>
            </w:r>
          </w:p>
        </w:tc>
        <w:tc>
          <w:tcPr>
            <w:tcW w:w="945" w:type="dxa"/>
            <w:vMerge w:val="restart"/>
            <w:tcBorders>
              <w:top w:val="outset" w:color="auto" w:sz="6" w:space="0"/>
              <w:left w:val="outset" w:color="auto" w:sz="6" w:space="0"/>
              <w:bottom w:val="outset" w:color="auto" w:sz="6" w:space="0"/>
              <w:right w:val="outset" w:color="auto" w:sz="6" w:space="0"/>
            </w:tcBorders>
          </w:tcPr>
          <w:p w14:paraId="3F003F4E">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p &lt; 0.05*</w:t>
            </w:r>
          </w:p>
        </w:tc>
      </w:tr>
      <w:tr w14:paraId="0947241D">
        <w:tblPrEx>
          <w:tblCellMar>
            <w:top w:w="15" w:type="dxa"/>
            <w:left w:w="15" w:type="dxa"/>
            <w:bottom w:w="15" w:type="dxa"/>
            <w:right w:w="15" w:type="dxa"/>
          </w:tblCellMar>
        </w:tblPrEx>
        <w:tc>
          <w:tcPr>
            <w:tcW w:w="9510" w:type="dxa"/>
            <w:vMerge w:val="continue"/>
            <w:tcBorders>
              <w:top w:val="outset" w:color="auto" w:sz="6" w:space="0"/>
              <w:left w:val="outset" w:color="auto" w:sz="6" w:space="0"/>
              <w:bottom w:val="outset" w:color="auto" w:sz="6" w:space="0"/>
              <w:right w:val="outset" w:color="auto" w:sz="6" w:space="0"/>
            </w:tcBorders>
            <w:vAlign w:val="center"/>
          </w:tcPr>
          <w:p w14:paraId="3B2BCBAE">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p>
        </w:tc>
        <w:tc>
          <w:tcPr>
            <w:tcW w:w="1995" w:type="dxa"/>
            <w:vMerge w:val="continue"/>
            <w:tcBorders>
              <w:top w:val="outset" w:color="auto" w:sz="6" w:space="0"/>
              <w:left w:val="outset" w:color="auto" w:sz="6" w:space="0"/>
              <w:bottom w:val="outset" w:color="auto" w:sz="6" w:space="0"/>
              <w:right w:val="outset" w:color="auto" w:sz="6" w:space="0"/>
            </w:tcBorders>
            <w:vAlign w:val="center"/>
          </w:tcPr>
          <w:p w14:paraId="1A31A383">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p>
        </w:tc>
        <w:tc>
          <w:tcPr>
            <w:tcW w:w="1410" w:type="dxa"/>
            <w:tcBorders>
              <w:top w:val="nil"/>
              <w:left w:val="outset" w:color="auto" w:sz="6" w:space="0"/>
              <w:bottom w:val="outset" w:color="auto" w:sz="6" w:space="0"/>
              <w:right w:val="outset" w:color="auto" w:sz="6" w:space="0"/>
            </w:tcBorders>
          </w:tcPr>
          <w:p w14:paraId="7D5A8F22">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2 топ  (n=40)</w:t>
            </w:r>
          </w:p>
        </w:tc>
        <w:tc>
          <w:tcPr>
            <w:tcW w:w="1845" w:type="dxa"/>
            <w:tcBorders>
              <w:top w:val="nil"/>
              <w:left w:val="outset" w:color="auto" w:sz="6" w:space="0"/>
              <w:bottom w:val="outset" w:color="auto" w:sz="6" w:space="0"/>
              <w:right w:val="outset" w:color="auto" w:sz="6" w:space="0"/>
            </w:tcBorders>
          </w:tcPr>
          <w:p w14:paraId="1632148C">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3 топ (n=48)</w:t>
            </w:r>
          </w:p>
        </w:tc>
        <w:tc>
          <w:tcPr>
            <w:tcW w:w="1305" w:type="dxa"/>
            <w:tcBorders>
              <w:top w:val="outset" w:color="auto" w:sz="6" w:space="0"/>
              <w:left w:val="outset" w:color="auto" w:sz="6" w:space="0"/>
              <w:bottom w:val="outset" w:color="auto" w:sz="6" w:space="0"/>
              <w:right w:val="outset" w:color="auto" w:sz="6" w:space="0"/>
            </w:tcBorders>
          </w:tcPr>
          <w:p w14:paraId="1A4B08D1">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4 топ</w:t>
            </w:r>
          </w:p>
          <w:p w14:paraId="4B9DF81E">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(n=36)</w:t>
            </w:r>
          </w:p>
        </w:tc>
        <w:tc>
          <w:tcPr>
            <w:tcW w:w="945" w:type="dxa"/>
            <w:vMerge w:val="continue"/>
            <w:tcBorders>
              <w:top w:val="outset" w:color="auto" w:sz="6" w:space="0"/>
              <w:left w:val="outset" w:color="auto" w:sz="6" w:space="0"/>
              <w:bottom w:val="outset" w:color="auto" w:sz="6" w:space="0"/>
              <w:right w:val="outset" w:color="auto" w:sz="6" w:space="0"/>
            </w:tcBorders>
            <w:vAlign w:val="center"/>
          </w:tcPr>
          <w:p w14:paraId="0644679A">
            <w:pPr>
              <w:widowControl w:val="0"/>
              <w:autoSpaceDE w:val="0"/>
              <w:autoSpaceDN w:val="0"/>
              <w:spacing w:after="0" w:line="276" w:lineRule="auto"/>
              <w:jc w:val="both"/>
              <w:outlineLvl w:val="0"/>
              <w:rPr>
                <w:rFonts w:ascii="Times New Roman" w:hAnsi="Times New Roman" w:eastAsia="Times New Roman" w:cs="Times New Roman"/>
                <w:b/>
                <w:sz w:val="28"/>
                <w:szCs w:val="28"/>
                <w:lang w:val="en-US" w:eastAsia="ru-RU"/>
              </w:rPr>
            </w:pPr>
          </w:p>
        </w:tc>
      </w:tr>
      <w:tr w14:paraId="7A24F55C">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0941239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Жасы</w:t>
            </w:r>
          </w:p>
        </w:tc>
        <w:tc>
          <w:tcPr>
            <w:tcW w:w="1995" w:type="dxa"/>
            <w:tcBorders>
              <w:top w:val="nil"/>
              <w:left w:val="outset" w:color="auto" w:sz="6" w:space="0"/>
              <w:bottom w:val="outset" w:color="auto" w:sz="6" w:space="0"/>
              <w:right w:val="outset" w:color="auto" w:sz="6" w:space="0"/>
            </w:tcBorders>
          </w:tcPr>
          <w:p w14:paraId="22FFDE8E">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28,3 ± 3,4</w:t>
            </w:r>
          </w:p>
          <w:p w14:paraId="4D09C0FB">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(23,10–33,30)</w:t>
            </w:r>
          </w:p>
        </w:tc>
        <w:tc>
          <w:tcPr>
            <w:tcW w:w="1410" w:type="dxa"/>
            <w:tcBorders>
              <w:top w:val="nil"/>
              <w:left w:val="outset" w:color="auto" w:sz="6" w:space="0"/>
              <w:bottom w:val="outset" w:color="auto" w:sz="6" w:space="0"/>
              <w:right w:val="outset" w:color="auto" w:sz="6" w:space="0"/>
            </w:tcBorders>
          </w:tcPr>
          <w:p w14:paraId="0A3D3D65">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31,25±7,6</w:t>
            </w:r>
          </w:p>
          <w:p w14:paraId="6A6907DB">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(25,8– 36,7)</w:t>
            </w:r>
          </w:p>
        </w:tc>
        <w:tc>
          <w:tcPr>
            <w:tcW w:w="1845" w:type="dxa"/>
            <w:tcBorders>
              <w:top w:val="nil"/>
              <w:left w:val="outset" w:color="auto" w:sz="6" w:space="0"/>
              <w:bottom w:val="outset" w:color="auto" w:sz="6" w:space="0"/>
              <w:right w:val="outset" w:color="auto" w:sz="6" w:space="0"/>
            </w:tcBorders>
          </w:tcPr>
          <w:p w14:paraId="5A5F574A">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32,55 ±6,0</w:t>
            </w:r>
          </w:p>
          <w:p w14:paraId="16A49FF5">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(30,6–34,5)</w:t>
            </w:r>
          </w:p>
        </w:tc>
        <w:tc>
          <w:tcPr>
            <w:tcW w:w="1305" w:type="dxa"/>
            <w:tcBorders>
              <w:top w:val="nil"/>
              <w:left w:val="outset" w:color="auto" w:sz="6" w:space="0"/>
              <w:bottom w:val="outset" w:color="auto" w:sz="6" w:space="0"/>
              <w:right w:val="outset" w:color="auto" w:sz="6" w:space="0"/>
            </w:tcBorders>
          </w:tcPr>
          <w:p w14:paraId="449926F6">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34,3±8,0</w:t>
            </w:r>
          </w:p>
          <w:p w14:paraId="4278849B">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(30,6–37,9)</w:t>
            </w:r>
          </w:p>
        </w:tc>
        <w:tc>
          <w:tcPr>
            <w:tcW w:w="945" w:type="dxa"/>
            <w:tcBorders>
              <w:top w:val="nil"/>
              <w:left w:val="outset" w:color="auto" w:sz="6" w:space="0"/>
              <w:bottom w:val="outset" w:color="auto" w:sz="6" w:space="0"/>
              <w:right w:val="outset" w:color="auto" w:sz="6" w:space="0"/>
            </w:tcBorders>
          </w:tcPr>
          <w:p w14:paraId="248414F6">
            <w:pPr>
              <w:widowControl w:val="0"/>
              <w:autoSpaceDE w:val="0"/>
              <w:autoSpaceDN w:val="0"/>
              <w:spacing w:after="0" w:line="276" w:lineRule="auto"/>
              <w:jc w:val="both"/>
              <w:outlineLvl w:val="0"/>
              <w:rPr>
                <w:rFonts w:ascii="Times New Roman" w:hAnsi="Times New Roman" w:eastAsia="Times New Roman" w:cs="Times New Roman"/>
                <w:b/>
                <w:iCs/>
                <w:sz w:val="28"/>
                <w:szCs w:val="28"/>
                <w:lang w:val="en-US" w:eastAsia="ru-RU"/>
              </w:rPr>
            </w:pPr>
            <w:r>
              <w:rPr>
                <w:rFonts w:ascii="Times New Roman" w:hAnsi="Times New Roman" w:eastAsia="Times New Roman" w:cs="Times New Roman"/>
                <w:b/>
                <w:iCs/>
                <w:sz w:val="28"/>
                <w:szCs w:val="28"/>
                <w:lang w:val="en-US" w:eastAsia="ru-RU"/>
              </w:rPr>
              <w:t>0,131</w:t>
            </w:r>
          </w:p>
        </w:tc>
      </w:tr>
      <w:tr w14:paraId="07D84B20">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76E5BC0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ДСИ</w:t>
            </w:r>
          </w:p>
        </w:tc>
        <w:tc>
          <w:tcPr>
            <w:tcW w:w="1995" w:type="dxa"/>
            <w:tcBorders>
              <w:top w:val="nil"/>
              <w:left w:val="outset" w:color="auto" w:sz="6" w:space="0"/>
              <w:bottom w:val="outset" w:color="auto" w:sz="6" w:space="0"/>
              <w:right w:val="outset" w:color="auto" w:sz="6" w:space="0"/>
            </w:tcBorders>
          </w:tcPr>
          <w:p w14:paraId="666AA70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22 (20–23)</w:t>
            </w:r>
          </w:p>
        </w:tc>
        <w:tc>
          <w:tcPr>
            <w:tcW w:w="1410" w:type="dxa"/>
            <w:tcBorders>
              <w:top w:val="nil"/>
              <w:left w:val="outset" w:color="auto" w:sz="6" w:space="0"/>
              <w:bottom w:val="outset" w:color="auto" w:sz="6" w:space="0"/>
              <w:right w:val="outset" w:color="auto" w:sz="6" w:space="0"/>
            </w:tcBorders>
          </w:tcPr>
          <w:p w14:paraId="24961BE5">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20 (19,0–23,1)</w:t>
            </w:r>
          </w:p>
        </w:tc>
        <w:tc>
          <w:tcPr>
            <w:tcW w:w="1845" w:type="dxa"/>
            <w:tcBorders>
              <w:top w:val="nil"/>
              <w:left w:val="nil"/>
              <w:bottom w:val="outset" w:color="auto" w:sz="6" w:space="0"/>
              <w:right w:val="outset" w:color="auto" w:sz="6" w:space="0"/>
            </w:tcBorders>
          </w:tcPr>
          <w:p w14:paraId="2DB8F90F">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34,30 (31,6–39,1)</w:t>
            </w:r>
          </w:p>
        </w:tc>
        <w:tc>
          <w:tcPr>
            <w:tcW w:w="1305" w:type="dxa"/>
            <w:tcBorders>
              <w:top w:val="nil"/>
              <w:left w:val="outset" w:color="auto" w:sz="6" w:space="0"/>
              <w:bottom w:val="outset" w:color="auto" w:sz="6" w:space="0"/>
              <w:right w:val="outset" w:color="auto" w:sz="6" w:space="0"/>
            </w:tcBorders>
          </w:tcPr>
          <w:p w14:paraId="2C37784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34 (32,02–37.90)</w:t>
            </w:r>
          </w:p>
        </w:tc>
        <w:tc>
          <w:tcPr>
            <w:tcW w:w="945" w:type="dxa"/>
            <w:tcBorders>
              <w:top w:val="nil"/>
              <w:left w:val="outset" w:color="auto" w:sz="6" w:space="0"/>
              <w:bottom w:val="outset" w:color="auto" w:sz="6" w:space="0"/>
              <w:right w:val="outset" w:color="auto" w:sz="6" w:space="0"/>
            </w:tcBorders>
          </w:tcPr>
          <w:p w14:paraId="670D649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b/>
                <w:i/>
                <w:sz w:val="28"/>
                <w:szCs w:val="28"/>
                <w:lang w:val="en-US" w:eastAsia="ru-RU"/>
              </w:rPr>
              <w:t>0,000*</w:t>
            </w:r>
          </w:p>
        </w:tc>
      </w:tr>
      <w:tr w14:paraId="504254EE">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0FC6B76F">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Жүктілік мерзімі</w:t>
            </w:r>
          </w:p>
        </w:tc>
        <w:tc>
          <w:tcPr>
            <w:tcW w:w="1995" w:type="dxa"/>
            <w:tcBorders>
              <w:top w:val="nil"/>
              <w:left w:val="outset" w:color="auto" w:sz="6" w:space="0"/>
              <w:bottom w:val="outset" w:color="auto" w:sz="6" w:space="0"/>
              <w:right w:val="outset" w:color="auto" w:sz="6" w:space="0"/>
            </w:tcBorders>
          </w:tcPr>
          <w:p w14:paraId="5577E8A0">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40 (38,0–39,0)</w:t>
            </w:r>
          </w:p>
        </w:tc>
        <w:tc>
          <w:tcPr>
            <w:tcW w:w="1410" w:type="dxa"/>
            <w:tcBorders>
              <w:top w:val="nil"/>
              <w:left w:val="outset" w:color="auto" w:sz="6" w:space="0"/>
              <w:bottom w:val="outset" w:color="auto" w:sz="6" w:space="0"/>
              <w:right w:val="outset" w:color="auto" w:sz="6" w:space="0"/>
            </w:tcBorders>
          </w:tcPr>
          <w:p w14:paraId="74243104">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38  (37,0–39,0)</w:t>
            </w:r>
          </w:p>
        </w:tc>
        <w:tc>
          <w:tcPr>
            <w:tcW w:w="1845" w:type="dxa"/>
            <w:tcBorders>
              <w:top w:val="nil"/>
              <w:left w:val="nil"/>
              <w:bottom w:val="outset" w:color="auto" w:sz="6" w:space="0"/>
              <w:right w:val="outset" w:color="auto" w:sz="6" w:space="0"/>
            </w:tcBorders>
          </w:tcPr>
          <w:p w14:paraId="2B796010">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38 (36,0–39,0)</w:t>
            </w:r>
          </w:p>
        </w:tc>
        <w:tc>
          <w:tcPr>
            <w:tcW w:w="1305" w:type="dxa"/>
            <w:tcBorders>
              <w:top w:val="nil"/>
              <w:left w:val="outset" w:color="auto" w:sz="6" w:space="0"/>
              <w:bottom w:val="outset" w:color="auto" w:sz="6" w:space="0"/>
              <w:right w:val="outset" w:color="auto" w:sz="6" w:space="0"/>
            </w:tcBorders>
          </w:tcPr>
          <w:p w14:paraId="6A671828">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37 (35,0–39,0)</w:t>
            </w:r>
          </w:p>
        </w:tc>
        <w:tc>
          <w:tcPr>
            <w:tcW w:w="945" w:type="dxa"/>
            <w:tcBorders>
              <w:top w:val="nil"/>
              <w:left w:val="outset" w:color="auto" w:sz="6" w:space="0"/>
              <w:bottom w:val="outset" w:color="auto" w:sz="6" w:space="0"/>
              <w:right w:val="outset" w:color="auto" w:sz="6" w:space="0"/>
            </w:tcBorders>
          </w:tcPr>
          <w:p w14:paraId="1016A847">
            <w:pPr>
              <w:widowControl w:val="0"/>
              <w:autoSpaceDE w:val="0"/>
              <w:autoSpaceDN w:val="0"/>
              <w:spacing w:after="0" w:line="276" w:lineRule="auto"/>
              <w:jc w:val="both"/>
              <w:outlineLvl w:val="0"/>
              <w:rPr>
                <w:rFonts w:ascii="Times New Roman" w:hAnsi="Times New Roman" w:eastAsia="Times New Roman" w:cs="Times New Roman"/>
                <w:b/>
                <w:i/>
                <w:sz w:val="28"/>
                <w:szCs w:val="28"/>
                <w:lang w:val="en-US" w:eastAsia="ru-RU"/>
              </w:rPr>
            </w:pPr>
            <w:r>
              <w:rPr>
                <w:rFonts w:ascii="Times New Roman" w:hAnsi="Times New Roman" w:eastAsia="Times New Roman" w:cs="Times New Roman"/>
                <w:sz w:val="28"/>
                <w:szCs w:val="28"/>
                <w:lang w:val="en-US" w:eastAsia="ru-RU"/>
              </w:rPr>
              <w:t>0,726</w:t>
            </w:r>
          </w:p>
        </w:tc>
      </w:tr>
      <w:tr w14:paraId="23D511AE">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1BC0FD96">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Гемоглобин</w:t>
            </w:r>
          </w:p>
        </w:tc>
        <w:tc>
          <w:tcPr>
            <w:tcW w:w="1995" w:type="dxa"/>
            <w:tcBorders>
              <w:top w:val="nil"/>
              <w:left w:val="outset" w:color="auto" w:sz="6" w:space="0"/>
              <w:bottom w:val="outset" w:color="auto" w:sz="6" w:space="0"/>
              <w:right w:val="outset" w:color="auto" w:sz="6" w:space="0"/>
            </w:tcBorders>
          </w:tcPr>
          <w:p w14:paraId="55CD3623">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117 (113–121)</w:t>
            </w:r>
          </w:p>
        </w:tc>
        <w:tc>
          <w:tcPr>
            <w:tcW w:w="1410" w:type="dxa"/>
            <w:tcBorders>
              <w:top w:val="nil"/>
              <w:left w:val="outset" w:color="auto" w:sz="6" w:space="0"/>
              <w:bottom w:val="outset" w:color="auto" w:sz="6" w:space="0"/>
              <w:right w:val="outset" w:color="auto" w:sz="6" w:space="0"/>
            </w:tcBorders>
          </w:tcPr>
          <w:p w14:paraId="3CA2C3F7">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96 (89–103)</w:t>
            </w:r>
          </w:p>
        </w:tc>
        <w:tc>
          <w:tcPr>
            <w:tcW w:w="1845" w:type="dxa"/>
            <w:tcBorders>
              <w:top w:val="nil"/>
              <w:left w:val="outset" w:color="auto" w:sz="6" w:space="0"/>
              <w:bottom w:val="outset" w:color="auto" w:sz="6" w:space="0"/>
              <w:right w:val="outset" w:color="auto" w:sz="6" w:space="0"/>
            </w:tcBorders>
          </w:tcPr>
          <w:p w14:paraId="4B44C01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117 (115–124)</w:t>
            </w:r>
          </w:p>
        </w:tc>
        <w:tc>
          <w:tcPr>
            <w:tcW w:w="1305" w:type="dxa"/>
            <w:tcBorders>
              <w:top w:val="nil"/>
              <w:left w:val="outset" w:color="auto" w:sz="6" w:space="0"/>
              <w:bottom w:val="outset" w:color="auto" w:sz="6" w:space="0"/>
              <w:right w:val="outset" w:color="auto" w:sz="6" w:space="0"/>
            </w:tcBorders>
          </w:tcPr>
          <w:p w14:paraId="278AC2C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98 (92–104)</w:t>
            </w:r>
          </w:p>
        </w:tc>
        <w:tc>
          <w:tcPr>
            <w:tcW w:w="945" w:type="dxa"/>
            <w:tcBorders>
              <w:top w:val="nil"/>
              <w:left w:val="outset" w:color="auto" w:sz="6" w:space="0"/>
              <w:bottom w:val="outset" w:color="auto" w:sz="6" w:space="0"/>
              <w:right w:val="outset" w:color="auto" w:sz="6" w:space="0"/>
            </w:tcBorders>
          </w:tcPr>
          <w:p w14:paraId="115FD0A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0,000*</w:t>
            </w:r>
          </w:p>
        </w:tc>
      </w:tr>
      <w:tr w14:paraId="1CCB7BAB">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401406B8">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Анамнезінде анемияның болуы</w:t>
            </w:r>
          </w:p>
        </w:tc>
        <w:tc>
          <w:tcPr>
            <w:tcW w:w="1995" w:type="dxa"/>
            <w:tcBorders>
              <w:top w:val="nil"/>
              <w:left w:val="outset" w:color="auto" w:sz="6" w:space="0"/>
              <w:bottom w:val="outset" w:color="auto" w:sz="6" w:space="0"/>
              <w:right w:val="outset" w:color="auto" w:sz="6" w:space="0"/>
            </w:tcBorders>
          </w:tcPr>
          <w:p w14:paraId="5B5297C2">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5 (11,6%)</w:t>
            </w:r>
          </w:p>
        </w:tc>
        <w:tc>
          <w:tcPr>
            <w:tcW w:w="1410" w:type="dxa"/>
            <w:tcBorders>
              <w:top w:val="nil"/>
              <w:left w:val="outset" w:color="auto" w:sz="6" w:space="0"/>
              <w:bottom w:val="outset" w:color="auto" w:sz="6" w:space="0"/>
              <w:right w:val="outset" w:color="auto" w:sz="6" w:space="0"/>
            </w:tcBorders>
          </w:tcPr>
          <w:p w14:paraId="0A94E24B">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40 (100%)</w:t>
            </w:r>
          </w:p>
        </w:tc>
        <w:tc>
          <w:tcPr>
            <w:tcW w:w="1845" w:type="dxa"/>
            <w:tcBorders>
              <w:top w:val="nil"/>
              <w:left w:val="outset" w:color="auto" w:sz="6" w:space="0"/>
              <w:bottom w:val="outset" w:color="auto" w:sz="6" w:space="0"/>
              <w:right w:val="outset" w:color="auto" w:sz="6" w:space="0"/>
            </w:tcBorders>
          </w:tcPr>
          <w:p w14:paraId="0CBA118B">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12 (25%)</w:t>
            </w:r>
          </w:p>
        </w:tc>
        <w:tc>
          <w:tcPr>
            <w:tcW w:w="1305" w:type="dxa"/>
            <w:tcBorders>
              <w:top w:val="nil"/>
              <w:left w:val="outset" w:color="auto" w:sz="6" w:space="0"/>
              <w:bottom w:val="outset" w:color="auto" w:sz="6" w:space="0"/>
              <w:right w:val="outset" w:color="auto" w:sz="6" w:space="0"/>
            </w:tcBorders>
          </w:tcPr>
          <w:p w14:paraId="593FC11C">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36 (100%)</w:t>
            </w:r>
          </w:p>
        </w:tc>
        <w:tc>
          <w:tcPr>
            <w:tcW w:w="945" w:type="dxa"/>
            <w:tcBorders>
              <w:top w:val="nil"/>
              <w:left w:val="outset" w:color="auto" w:sz="6" w:space="0"/>
              <w:bottom w:val="outset" w:color="auto" w:sz="6" w:space="0"/>
              <w:right w:val="outset" w:color="auto" w:sz="6" w:space="0"/>
            </w:tcBorders>
          </w:tcPr>
          <w:p w14:paraId="7DE0312D">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0,043*</w:t>
            </w:r>
          </w:p>
        </w:tc>
      </w:tr>
      <w:tr w14:paraId="449266A2">
        <w:tblPrEx>
          <w:tblCellMar>
            <w:top w:w="15" w:type="dxa"/>
            <w:left w:w="15" w:type="dxa"/>
            <w:bottom w:w="15" w:type="dxa"/>
            <w:right w:w="15" w:type="dxa"/>
          </w:tblCellMar>
        </w:tblPrEx>
        <w:tc>
          <w:tcPr>
            <w:tcW w:w="9510" w:type="dxa"/>
            <w:gridSpan w:val="6"/>
            <w:tcBorders>
              <w:top w:val="nil"/>
              <w:left w:val="outset" w:color="auto" w:sz="6" w:space="0"/>
              <w:bottom w:val="outset" w:color="auto" w:sz="6" w:space="0"/>
              <w:right w:val="outset" w:color="auto" w:sz="6" w:space="0"/>
            </w:tcBorders>
          </w:tcPr>
          <w:p w14:paraId="45540D63">
            <w:pPr>
              <w:widowControl w:val="0"/>
              <w:autoSpaceDE w:val="0"/>
              <w:autoSpaceDN w:val="0"/>
              <w:spacing w:after="0" w:line="276" w:lineRule="auto"/>
              <w:jc w:val="both"/>
              <w:outlineLvl w:val="0"/>
              <w:rPr>
                <w:rFonts w:ascii="Times New Roman" w:hAnsi="Times New Roman" w:eastAsia="Times New Roman" w:cs="Times New Roman"/>
                <w:b/>
                <w:i/>
                <w:sz w:val="28"/>
                <w:szCs w:val="28"/>
                <w:lang w:val="en-US" w:eastAsia="ru-RU"/>
              </w:rPr>
            </w:pPr>
            <w:r>
              <w:rPr>
                <w:rFonts w:ascii="Times New Roman" w:hAnsi="Times New Roman" w:eastAsia="Times New Roman" w:cs="Times New Roman"/>
                <w:b/>
                <w:i/>
                <w:sz w:val="28"/>
                <w:szCs w:val="28"/>
                <w:lang w:val="en-US" w:eastAsia="ru-RU"/>
              </w:rPr>
              <w:t>Жүктілік паритеті бойынша</w:t>
            </w:r>
          </w:p>
        </w:tc>
      </w:tr>
      <w:tr w14:paraId="0FD011BE">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3F781C42">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Біріншілік жүктілік</w:t>
            </w:r>
          </w:p>
        </w:tc>
        <w:tc>
          <w:tcPr>
            <w:tcW w:w="1995" w:type="dxa"/>
            <w:tcBorders>
              <w:top w:val="outset" w:color="auto" w:sz="6" w:space="0"/>
              <w:left w:val="outset" w:color="auto" w:sz="6" w:space="0"/>
              <w:bottom w:val="outset" w:color="auto" w:sz="6" w:space="0"/>
              <w:right w:val="outset" w:color="auto" w:sz="6" w:space="0"/>
            </w:tcBorders>
          </w:tcPr>
          <w:p w14:paraId="7DE0EDC9">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18 (41,8%)</w:t>
            </w:r>
          </w:p>
        </w:tc>
        <w:tc>
          <w:tcPr>
            <w:tcW w:w="1410" w:type="dxa"/>
            <w:tcBorders>
              <w:top w:val="outset" w:color="auto" w:sz="6" w:space="0"/>
              <w:left w:val="outset" w:color="auto" w:sz="6" w:space="0"/>
              <w:bottom w:val="outset" w:color="auto" w:sz="6" w:space="0"/>
              <w:right w:val="outset" w:color="auto" w:sz="6" w:space="0"/>
            </w:tcBorders>
          </w:tcPr>
          <w:p w14:paraId="390F21BE">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12 (30%)</w:t>
            </w:r>
          </w:p>
        </w:tc>
        <w:tc>
          <w:tcPr>
            <w:tcW w:w="1845" w:type="dxa"/>
            <w:tcBorders>
              <w:top w:val="outset" w:color="auto" w:sz="6" w:space="0"/>
              <w:left w:val="outset" w:color="auto" w:sz="6" w:space="0"/>
              <w:bottom w:val="outset" w:color="auto" w:sz="6" w:space="0"/>
              <w:right w:val="outset" w:color="auto" w:sz="6" w:space="0"/>
            </w:tcBorders>
          </w:tcPr>
          <w:p w14:paraId="148E5B41">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7 (14,5%)</w:t>
            </w:r>
          </w:p>
        </w:tc>
        <w:tc>
          <w:tcPr>
            <w:tcW w:w="1305" w:type="dxa"/>
            <w:tcBorders>
              <w:top w:val="outset" w:color="auto" w:sz="6" w:space="0"/>
              <w:left w:val="outset" w:color="auto" w:sz="6" w:space="0"/>
              <w:bottom w:val="outset" w:color="auto" w:sz="6" w:space="0"/>
              <w:right w:val="outset" w:color="auto" w:sz="6" w:space="0"/>
            </w:tcBorders>
          </w:tcPr>
          <w:p w14:paraId="344F8F4D">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13 (36,2%)</w:t>
            </w:r>
          </w:p>
        </w:tc>
        <w:tc>
          <w:tcPr>
            <w:tcW w:w="945" w:type="dxa"/>
            <w:tcBorders>
              <w:top w:val="outset" w:color="auto" w:sz="6" w:space="0"/>
              <w:left w:val="outset" w:color="auto" w:sz="6" w:space="0"/>
              <w:bottom w:val="outset" w:color="auto" w:sz="6" w:space="0"/>
              <w:right w:val="outset" w:color="auto" w:sz="6" w:space="0"/>
            </w:tcBorders>
          </w:tcPr>
          <w:p w14:paraId="6B3949C6">
            <w:pPr>
              <w:widowControl w:val="0"/>
              <w:autoSpaceDE w:val="0"/>
              <w:autoSpaceDN w:val="0"/>
              <w:spacing w:after="0" w:line="276" w:lineRule="auto"/>
              <w:jc w:val="both"/>
              <w:outlineLvl w:val="0"/>
              <w:rPr>
                <w:rFonts w:ascii="Times New Roman" w:hAnsi="Times New Roman" w:eastAsia="Times New Roman" w:cs="Times New Roman"/>
                <w:i/>
                <w:sz w:val="28"/>
                <w:szCs w:val="28"/>
                <w:lang w:val="en-US" w:eastAsia="ru-RU"/>
              </w:rPr>
            </w:pPr>
            <w:r>
              <w:rPr>
                <w:rFonts w:ascii="Times New Roman" w:hAnsi="Times New Roman" w:eastAsia="Times New Roman" w:cs="Times New Roman"/>
                <w:i/>
                <w:sz w:val="28"/>
                <w:szCs w:val="28"/>
                <w:lang w:val="en-US" w:eastAsia="ru-RU"/>
              </w:rPr>
              <w:t>0,048*</w:t>
            </w:r>
          </w:p>
        </w:tc>
      </w:tr>
      <w:tr w14:paraId="0D85AC91">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3C454D36">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Қайта жүктілік</w:t>
            </w:r>
          </w:p>
        </w:tc>
        <w:tc>
          <w:tcPr>
            <w:tcW w:w="1995" w:type="dxa"/>
            <w:tcBorders>
              <w:top w:val="nil"/>
              <w:left w:val="outset" w:color="auto" w:sz="6" w:space="0"/>
              <w:bottom w:val="outset" w:color="auto" w:sz="6" w:space="0"/>
              <w:right w:val="outset" w:color="auto" w:sz="6" w:space="0"/>
            </w:tcBorders>
          </w:tcPr>
          <w:p w14:paraId="49AFEA62">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25 (58,13%)</w:t>
            </w:r>
          </w:p>
        </w:tc>
        <w:tc>
          <w:tcPr>
            <w:tcW w:w="1410" w:type="dxa"/>
            <w:tcBorders>
              <w:top w:val="nil"/>
              <w:left w:val="outset" w:color="auto" w:sz="6" w:space="0"/>
              <w:bottom w:val="outset" w:color="auto" w:sz="6" w:space="0"/>
              <w:right w:val="outset" w:color="auto" w:sz="6" w:space="0"/>
            </w:tcBorders>
          </w:tcPr>
          <w:p w14:paraId="7CBF7C4D">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28 (70%)</w:t>
            </w:r>
          </w:p>
        </w:tc>
        <w:tc>
          <w:tcPr>
            <w:tcW w:w="1845" w:type="dxa"/>
            <w:tcBorders>
              <w:top w:val="nil"/>
              <w:left w:val="outset" w:color="auto" w:sz="6" w:space="0"/>
              <w:bottom w:val="outset" w:color="auto" w:sz="6" w:space="0"/>
              <w:right w:val="outset" w:color="auto" w:sz="6" w:space="0"/>
            </w:tcBorders>
          </w:tcPr>
          <w:p w14:paraId="591099D8">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41 (85,41%)</w:t>
            </w:r>
          </w:p>
        </w:tc>
        <w:tc>
          <w:tcPr>
            <w:tcW w:w="1305" w:type="dxa"/>
            <w:tcBorders>
              <w:top w:val="nil"/>
              <w:left w:val="outset" w:color="auto" w:sz="6" w:space="0"/>
              <w:bottom w:val="outset" w:color="auto" w:sz="6" w:space="0"/>
              <w:right w:val="outset" w:color="auto" w:sz="6" w:space="0"/>
            </w:tcBorders>
          </w:tcPr>
          <w:p w14:paraId="6CEAE7AE">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23 (63,8%)</w:t>
            </w:r>
          </w:p>
        </w:tc>
        <w:tc>
          <w:tcPr>
            <w:tcW w:w="945" w:type="dxa"/>
            <w:tcBorders>
              <w:top w:val="nil"/>
              <w:left w:val="outset" w:color="auto" w:sz="6" w:space="0"/>
              <w:bottom w:val="outset" w:color="auto" w:sz="6" w:space="0"/>
              <w:right w:val="outset" w:color="auto" w:sz="6" w:space="0"/>
            </w:tcBorders>
          </w:tcPr>
          <w:p w14:paraId="0AC6F3DA">
            <w:pPr>
              <w:widowControl w:val="0"/>
              <w:autoSpaceDE w:val="0"/>
              <w:autoSpaceDN w:val="0"/>
              <w:spacing w:after="0" w:line="276" w:lineRule="auto"/>
              <w:jc w:val="both"/>
              <w:outlineLvl w:val="0"/>
              <w:rPr>
                <w:rFonts w:ascii="Times New Roman" w:hAnsi="Times New Roman" w:eastAsia="Times New Roman" w:cs="Times New Roman"/>
                <w:i/>
                <w:sz w:val="28"/>
                <w:szCs w:val="28"/>
                <w:lang w:val="en-US" w:eastAsia="ru-RU"/>
              </w:rPr>
            </w:pPr>
            <w:r>
              <w:rPr>
                <w:rFonts w:ascii="Times New Roman" w:hAnsi="Times New Roman" w:eastAsia="Times New Roman" w:cs="Times New Roman"/>
                <w:i/>
                <w:sz w:val="28"/>
                <w:szCs w:val="28"/>
                <w:lang w:val="en-US" w:eastAsia="ru-RU"/>
              </w:rPr>
              <w:t>0,023*</w:t>
            </w:r>
          </w:p>
        </w:tc>
      </w:tr>
      <w:tr w14:paraId="37B5AADD">
        <w:tblPrEx>
          <w:tblCellMar>
            <w:top w:w="15" w:type="dxa"/>
            <w:left w:w="15" w:type="dxa"/>
            <w:bottom w:w="15" w:type="dxa"/>
            <w:right w:w="15" w:type="dxa"/>
          </w:tblCellMar>
        </w:tblPrEx>
        <w:tc>
          <w:tcPr>
            <w:tcW w:w="9510" w:type="dxa"/>
            <w:gridSpan w:val="6"/>
            <w:tcBorders>
              <w:top w:val="nil"/>
              <w:left w:val="outset" w:color="auto" w:sz="6" w:space="0"/>
              <w:bottom w:val="outset" w:color="auto" w:sz="6" w:space="0"/>
              <w:right w:val="outset" w:color="auto" w:sz="6" w:space="0"/>
            </w:tcBorders>
          </w:tcPr>
          <w:p w14:paraId="5C39FD42">
            <w:pPr>
              <w:widowControl w:val="0"/>
              <w:autoSpaceDE w:val="0"/>
              <w:autoSpaceDN w:val="0"/>
              <w:spacing w:after="0" w:line="276" w:lineRule="auto"/>
              <w:jc w:val="both"/>
              <w:outlineLvl w:val="0"/>
              <w:rPr>
                <w:rFonts w:ascii="Times New Roman" w:hAnsi="Times New Roman" w:eastAsia="Times New Roman" w:cs="Times New Roman"/>
                <w:b/>
                <w:i/>
                <w:sz w:val="28"/>
                <w:szCs w:val="28"/>
                <w:lang w:val="en-US" w:eastAsia="ru-RU"/>
              </w:rPr>
            </w:pPr>
            <w:r>
              <w:rPr>
                <w:rFonts w:ascii="Times New Roman" w:hAnsi="Times New Roman" w:eastAsia="Times New Roman" w:cs="Times New Roman"/>
                <w:b/>
                <w:i/>
                <w:sz w:val="28"/>
                <w:szCs w:val="28"/>
                <w:lang w:val="en-US" w:eastAsia="ru-RU"/>
              </w:rPr>
              <w:t>Зиянды әдеттері бойынша (темекі ішу,</w:t>
            </w:r>
            <w:r>
              <w:rPr>
                <w:rFonts w:ascii="Times New Roman" w:hAnsi="Times New Roman" w:eastAsia="Times New Roman" w:cs="Times New Roman"/>
                <w:b/>
                <w:i/>
                <w:sz w:val="28"/>
                <w:szCs w:val="28"/>
                <w:shd w:val="clear" w:color="auto" w:fill="FFFFFF"/>
                <w:lang w:val="en-US" w:eastAsia="ru-RU"/>
              </w:rPr>
              <w:t xml:space="preserve"> арақ ішу </w:t>
            </w:r>
            <w:r>
              <w:rPr>
                <w:rFonts w:ascii="Times New Roman" w:hAnsi="Times New Roman" w:eastAsia="Times New Roman" w:cs="Times New Roman"/>
                <w:b/>
                <w:i/>
                <w:sz w:val="28"/>
                <w:szCs w:val="28"/>
                <w:lang w:val="en-US" w:eastAsia="ru-RU"/>
              </w:rPr>
              <w:t>және наркотикалық заттар қолдану)</w:t>
            </w:r>
          </w:p>
        </w:tc>
      </w:tr>
      <w:tr w14:paraId="37BE358C">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4F68AA9D">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Зиянды әдеттері бар</w:t>
            </w:r>
          </w:p>
        </w:tc>
        <w:tc>
          <w:tcPr>
            <w:tcW w:w="1995" w:type="dxa"/>
            <w:tcBorders>
              <w:top w:val="outset" w:color="auto" w:sz="6" w:space="0"/>
              <w:left w:val="outset" w:color="auto" w:sz="6" w:space="0"/>
              <w:bottom w:val="outset" w:color="auto" w:sz="6" w:space="0"/>
              <w:right w:val="outset" w:color="auto" w:sz="6" w:space="0"/>
            </w:tcBorders>
          </w:tcPr>
          <w:p w14:paraId="7D662A10">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 (2,3%)</w:t>
            </w:r>
          </w:p>
        </w:tc>
        <w:tc>
          <w:tcPr>
            <w:tcW w:w="1410" w:type="dxa"/>
            <w:tcBorders>
              <w:top w:val="outset" w:color="auto" w:sz="6" w:space="0"/>
              <w:left w:val="outset" w:color="auto" w:sz="6" w:space="0"/>
              <w:bottom w:val="outset" w:color="auto" w:sz="6" w:space="0"/>
              <w:right w:val="outset" w:color="auto" w:sz="6" w:space="0"/>
            </w:tcBorders>
          </w:tcPr>
          <w:p w14:paraId="5368B0A1">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8 (20%)</w:t>
            </w:r>
          </w:p>
        </w:tc>
        <w:tc>
          <w:tcPr>
            <w:tcW w:w="1845" w:type="dxa"/>
            <w:tcBorders>
              <w:top w:val="outset" w:color="auto" w:sz="6" w:space="0"/>
              <w:left w:val="outset" w:color="auto" w:sz="6" w:space="0"/>
              <w:bottom w:val="outset" w:color="auto" w:sz="6" w:space="0"/>
              <w:right w:val="outset" w:color="auto" w:sz="6" w:space="0"/>
            </w:tcBorders>
          </w:tcPr>
          <w:p w14:paraId="724D0466">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 (8,3%)</w:t>
            </w:r>
          </w:p>
        </w:tc>
        <w:tc>
          <w:tcPr>
            <w:tcW w:w="1305" w:type="dxa"/>
            <w:tcBorders>
              <w:top w:val="outset" w:color="auto" w:sz="6" w:space="0"/>
              <w:left w:val="outset" w:color="auto" w:sz="6" w:space="0"/>
              <w:bottom w:val="outset" w:color="auto" w:sz="6" w:space="0"/>
              <w:right w:val="outset" w:color="auto" w:sz="6" w:space="0"/>
            </w:tcBorders>
          </w:tcPr>
          <w:p w14:paraId="0FAEBD2F">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13 (36,1%)</w:t>
            </w:r>
          </w:p>
        </w:tc>
        <w:tc>
          <w:tcPr>
            <w:tcW w:w="945" w:type="dxa"/>
            <w:tcBorders>
              <w:top w:val="outset" w:color="auto" w:sz="6" w:space="0"/>
              <w:left w:val="outset" w:color="auto" w:sz="6" w:space="0"/>
              <w:bottom w:val="outset" w:color="auto" w:sz="6" w:space="0"/>
              <w:right w:val="outset" w:color="auto" w:sz="6" w:space="0"/>
            </w:tcBorders>
          </w:tcPr>
          <w:p w14:paraId="3D9C7EEE">
            <w:pPr>
              <w:widowControl w:val="0"/>
              <w:autoSpaceDE w:val="0"/>
              <w:autoSpaceDN w:val="0"/>
              <w:spacing w:after="0" w:line="276" w:lineRule="auto"/>
              <w:jc w:val="both"/>
              <w:outlineLvl w:val="0"/>
              <w:rPr>
                <w:rFonts w:ascii="Times New Roman" w:hAnsi="Times New Roman" w:eastAsia="Times New Roman" w:cs="Times New Roman"/>
                <w:b/>
                <w:i/>
                <w:sz w:val="28"/>
                <w:szCs w:val="28"/>
                <w:lang w:val="en-US" w:eastAsia="ru-RU"/>
              </w:rPr>
            </w:pPr>
            <w:r>
              <w:rPr>
                <w:rFonts w:ascii="Times New Roman" w:hAnsi="Times New Roman" w:eastAsia="Times New Roman" w:cs="Times New Roman"/>
                <w:b/>
                <w:i/>
                <w:sz w:val="28"/>
                <w:szCs w:val="28"/>
                <w:lang w:val="en-US" w:eastAsia="ru-RU"/>
              </w:rPr>
              <w:t>0,027*</w:t>
            </w:r>
          </w:p>
        </w:tc>
      </w:tr>
      <w:tr w14:paraId="6903ED05">
        <w:tblPrEx>
          <w:tblCellMar>
            <w:top w:w="15" w:type="dxa"/>
            <w:left w:w="15" w:type="dxa"/>
            <w:bottom w:w="15" w:type="dxa"/>
            <w:right w:w="15" w:type="dxa"/>
          </w:tblCellMar>
        </w:tblPrEx>
        <w:tc>
          <w:tcPr>
            <w:tcW w:w="1980" w:type="dxa"/>
            <w:tcBorders>
              <w:top w:val="nil"/>
              <w:left w:val="outset" w:color="auto" w:sz="6" w:space="0"/>
              <w:bottom w:val="outset" w:color="auto" w:sz="6" w:space="0"/>
              <w:right w:val="outset" w:color="auto" w:sz="6" w:space="0"/>
            </w:tcBorders>
          </w:tcPr>
          <w:p w14:paraId="17190178">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Зиянды әдеттері жоқ</w:t>
            </w:r>
          </w:p>
        </w:tc>
        <w:tc>
          <w:tcPr>
            <w:tcW w:w="1995" w:type="dxa"/>
            <w:tcBorders>
              <w:top w:val="nil"/>
              <w:left w:val="outset" w:color="auto" w:sz="6" w:space="0"/>
              <w:bottom w:val="outset" w:color="auto" w:sz="6" w:space="0"/>
              <w:right w:val="outset" w:color="auto" w:sz="6" w:space="0"/>
            </w:tcBorders>
          </w:tcPr>
          <w:p w14:paraId="355A289E">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42 (97,27%)</w:t>
            </w:r>
          </w:p>
        </w:tc>
        <w:tc>
          <w:tcPr>
            <w:tcW w:w="1410" w:type="dxa"/>
            <w:tcBorders>
              <w:top w:val="nil"/>
              <w:left w:val="outset" w:color="auto" w:sz="6" w:space="0"/>
              <w:bottom w:val="outset" w:color="auto" w:sz="6" w:space="0"/>
              <w:right w:val="outset" w:color="auto" w:sz="6" w:space="0"/>
            </w:tcBorders>
          </w:tcPr>
          <w:p w14:paraId="5ED50EF0">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32 (80%)</w:t>
            </w:r>
          </w:p>
        </w:tc>
        <w:tc>
          <w:tcPr>
            <w:tcW w:w="1845" w:type="dxa"/>
            <w:tcBorders>
              <w:top w:val="nil"/>
              <w:left w:val="outset" w:color="auto" w:sz="6" w:space="0"/>
              <w:bottom w:val="outset" w:color="auto" w:sz="6" w:space="0"/>
              <w:right w:val="outset" w:color="auto" w:sz="6" w:space="0"/>
            </w:tcBorders>
          </w:tcPr>
          <w:p w14:paraId="2EAAE95A">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44 (91,66%)</w:t>
            </w:r>
          </w:p>
        </w:tc>
        <w:tc>
          <w:tcPr>
            <w:tcW w:w="1305" w:type="dxa"/>
            <w:tcBorders>
              <w:top w:val="nil"/>
              <w:left w:val="outset" w:color="auto" w:sz="6" w:space="0"/>
              <w:bottom w:val="outset" w:color="auto" w:sz="6" w:space="0"/>
              <w:right w:val="outset" w:color="auto" w:sz="6" w:space="0"/>
            </w:tcBorders>
          </w:tcPr>
          <w:p w14:paraId="6DC6E534">
            <w:pPr>
              <w:widowControl w:val="0"/>
              <w:autoSpaceDE w:val="0"/>
              <w:autoSpaceDN w:val="0"/>
              <w:spacing w:after="0" w:line="276" w:lineRule="auto"/>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23 (63,9%)</w:t>
            </w:r>
          </w:p>
        </w:tc>
        <w:tc>
          <w:tcPr>
            <w:tcW w:w="945" w:type="dxa"/>
            <w:tcBorders>
              <w:top w:val="nil"/>
              <w:left w:val="outset" w:color="auto" w:sz="6" w:space="0"/>
              <w:bottom w:val="outset" w:color="auto" w:sz="6" w:space="0"/>
              <w:right w:val="outset" w:color="auto" w:sz="6" w:space="0"/>
            </w:tcBorders>
          </w:tcPr>
          <w:p w14:paraId="0253EEFC">
            <w:pPr>
              <w:widowControl w:val="0"/>
              <w:autoSpaceDE w:val="0"/>
              <w:autoSpaceDN w:val="0"/>
              <w:spacing w:after="0" w:line="276" w:lineRule="auto"/>
              <w:jc w:val="both"/>
              <w:outlineLvl w:val="0"/>
              <w:rPr>
                <w:rFonts w:ascii="Times New Roman" w:hAnsi="Times New Roman" w:eastAsia="Times New Roman" w:cs="Times New Roman"/>
                <w:b/>
                <w:i/>
                <w:sz w:val="28"/>
                <w:szCs w:val="28"/>
                <w:lang w:val="en-US" w:eastAsia="ru-RU"/>
              </w:rPr>
            </w:pPr>
            <w:r>
              <w:rPr>
                <w:rFonts w:ascii="Times New Roman" w:hAnsi="Times New Roman" w:eastAsia="Times New Roman" w:cs="Times New Roman"/>
                <w:b/>
                <w:i/>
                <w:sz w:val="28"/>
                <w:szCs w:val="28"/>
                <w:lang w:val="en-US" w:eastAsia="ru-RU"/>
              </w:rPr>
              <w:t>0,000*</w:t>
            </w:r>
          </w:p>
        </w:tc>
      </w:tr>
      <w:tr w14:paraId="25612B97">
        <w:tblPrEx>
          <w:tblCellMar>
            <w:top w:w="15" w:type="dxa"/>
            <w:left w:w="15" w:type="dxa"/>
            <w:bottom w:w="15" w:type="dxa"/>
            <w:right w:w="15" w:type="dxa"/>
          </w:tblCellMar>
        </w:tblPrEx>
        <w:tc>
          <w:tcPr>
            <w:tcW w:w="9510" w:type="dxa"/>
            <w:gridSpan w:val="6"/>
            <w:tcBorders>
              <w:top w:val="nil"/>
              <w:left w:val="outset" w:color="auto" w:sz="6" w:space="0"/>
              <w:bottom w:val="outset" w:color="auto" w:sz="6" w:space="0"/>
              <w:right w:val="outset" w:color="auto" w:sz="6" w:space="0"/>
            </w:tcBorders>
          </w:tcPr>
          <w:p w14:paraId="56A8D0DA">
            <w:pPr>
              <w:widowControl w:val="0"/>
              <w:autoSpaceDE w:val="0"/>
              <w:autoSpaceDN w:val="0"/>
              <w:spacing w:after="0" w:line="276" w:lineRule="auto"/>
              <w:jc w:val="both"/>
              <w:outlineLvl w:val="0"/>
              <w:rPr>
                <w:rFonts w:ascii="Times New Roman" w:hAnsi="Times New Roman" w:eastAsia="Times New Roman" w:cs="Times New Roman"/>
                <w:b/>
                <w:i/>
                <w:sz w:val="28"/>
                <w:szCs w:val="28"/>
                <w:lang w:val="en-US" w:eastAsia="ru-RU"/>
              </w:rPr>
            </w:pPr>
            <w:r>
              <w:rPr>
                <w:rFonts w:ascii="Times New Roman" w:hAnsi="Times New Roman" w:eastAsia="Times New Roman" w:cs="Times New Roman"/>
                <w:i/>
                <w:sz w:val="28"/>
                <w:szCs w:val="28"/>
                <w:lang w:val="en-US" w:eastAsia="ru-RU"/>
              </w:rPr>
              <w:t xml:space="preserve">*–Краскел–Уоллис критерийі бойынша айырмашылығы, көрсеткіштердің өзгеруінің растығы бойынша р&lt;0.05  </w:t>
            </w:r>
          </w:p>
        </w:tc>
      </w:tr>
    </w:tbl>
    <w:p w14:paraId="1BD20504">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 xml:space="preserve"> </w:t>
      </w:r>
    </w:p>
    <w:p w14:paraId="63173707">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Зерттеуге қатысқан жүкті әйелдердің зиянды әдеттері жалпы сипатталғанымен, олардың әрқайсысының ерекшеліктері тереңірек талданған жоқ. Нәтижелер көрсеткендей, анемиясы мен семіздігі бар төртінші топта зиянды әдеттердің көрсеткіштері айтарлықтай жоғары болды (p&lt;0,027). Бұл нәтижелер зиянды әдеттердің анемия мен семіздікке ықпалын тереңірек зерттеуді қажет етеді.</w:t>
      </w:r>
    </w:p>
    <w:p w14:paraId="0CA6F9D0">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Зерттеуге госпитализацияланған жүкті әйелдердің перифериялық қан көрсеткіштері енгізілді, олардың ішінде: гемоглобин, гематокрит, лейкоциттер, нейтрофилдер, лимфоциттер, тромбоциттер, эозинофилдер және базофилдер сияқты негізгі маркерлер талданды. Зерттеуге гемограмма параметрлеріне ықпал етуі мүмкін дәрілерді қабылдаған пациенттер енгізілген жоқ. Краскел–Уоллис критерийін қолдану арқылы зерттелген топтар арасындағы көрсеткіштердің статистикалық маңызды айырмашылықтары анықталды. Әсіресе келесі параметрлер бойынша маңызды айырмашылықтар тіркелді: гемоглобин (p=0,000), 3-топта қалыпты деңгей байқалса да, 2 және 4-топтарда айтарлықтай төмен болды, бұл анемияның бар екенін растайды. ЭТЖ (p=0,000), 4-топта ең жоғары деңгей тіркелді, бұл қабыну процестерінің белсенділігін көрсетеді. Эритроциттер (p=0,002): 4-топта деңгейі бақылау тобымен салыстырғанда шамамен 5%-ға төмендеді. Гематокрит (p=0,000) 2 және 4-топтарда айтарлықтай төмен.</w:t>
      </w:r>
    </w:p>
    <w:p w14:paraId="7CCA541C">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Семіздігі бар топта (3-топ) лимфоциттер (p=0,003) басқа топтарға қарағанда 4%-ға төмендеді, таяқша ядролық нейтрофилдер (p=0,000) бұл топта айтарлықтай жоғары болды, бұл қабыну процестерінің көрсеткіші болуы мүмкін. Эозинофилдер де (p=0,013)  3-топта ең жоғары мәндері анықталды (6-кесте). Сегментті ядролы нейтрофилдер деңгейінде топтар арасында статистикалық маңызды айырмашылық анықталмады (</w:t>
      </w:r>
      <w:r>
        <w:rPr>
          <w:rFonts w:ascii="Times New Roman" w:hAnsi="Times New Roman" w:eastAsia="Times New Roman" w:cs="Times New Roman"/>
          <w:i/>
          <w:iCs/>
          <w:color w:val="000000"/>
          <w:sz w:val="28"/>
          <w:szCs w:val="28"/>
          <w:lang w:eastAsia="ru-RU"/>
        </w:rPr>
        <w:t>р</w:t>
      </w:r>
      <w:r>
        <w:rPr>
          <w:rFonts w:ascii="Times New Roman" w:hAnsi="Times New Roman" w:eastAsia="Times New Roman" w:cs="Times New Roman"/>
          <w:color w:val="000000"/>
          <w:sz w:val="28"/>
          <w:szCs w:val="28"/>
          <w:lang w:eastAsia="ru-RU"/>
        </w:rPr>
        <w:t>=0,404). Бұл көрсеткіш семіздік немесе анемия жағдайларында сегментті ядролы нейтрофилдер деңгейінің айтарлықтай өзгермейтінін көрсетеді.</w:t>
      </w:r>
    </w:p>
    <w:p w14:paraId="7909B52C">
      <w:pPr>
        <w:widowControl w:val="0"/>
        <w:autoSpaceDE w:val="0"/>
        <w:autoSpaceDN w:val="0"/>
        <w:spacing w:after="0" w:line="276" w:lineRule="auto"/>
        <w:ind w:firstLine="709"/>
        <w:jc w:val="both"/>
        <w:outlineLvl w:val="0"/>
        <w:rPr>
          <w:rFonts w:ascii="Times New Roman" w:hAnsi="Times New Roman" w:eastAsia="Times New Roman" w:cs="Times New Roman"/>
          <w:iCs/>
          <w:color w:val="000000"/>
          <w:sz w:val="28"/>
          <w:szCs w:val="28"/>
          <w:lang w:eastAsia="ru-RU"/>
        </w:rPr>
      </w:pPr>
      <w:r>
        <w:rPr>
          <w:rFonts w:ascii="Times New Roman" w:hAnsi="Times New Roman" w:eastAsia="Times New Roman" w:cs="Times New Roman"/>
          <w:iCs/>
          <w:color w:val="000000"/>
          <w:sz w:val="28"/>
          <w:szCs w:val="28"/>
          <w:lang w:eastAsia="ru-RU"/>
        </w:rPr>
        <w:t xml:space="preserve"> </w:t>
      </w:r>
    </w:p>
    <w:p w14:paraId="047854B2">
      <w:pPr>
        <w:widowControl w:val="0"/>
        <w:autoSpaceDE w:val="0"/>
        <w:autoSpaceDN w:val="0"/>
        <w:spacing w:after="0" w:line="276" w:lineRule="auto"/>
        <w:ind w:firstLine="709"/>
        <w:jc w:val="both"/>
        <w:outlineLvl w:val="0"/>
        <w:rPr>
          <w:rFonts w:ascii="Times New Roman" w:hAnsi="Times New Roman" w:eastAsia="Times New Roman" w:cs="Times New Roman"/>
          <w:iCs/>
          <w:color w:val="000000"/>
          <w:sz w:val="28"/>
          <w:szCs w:val="28"/>
          <w:lang w:eastAsia="ru-RU"/>
        </w:rPr>
      </w:pPr>
      <w:r>
        <w:rPr>
          <w:rFonts w:ascii="Times New Roman" w:hAnsi="Times New Roman" w:eastAsia="Times New Roman" w:cs="Times New Roman"/>
          <w:iCs/>
          <w:color w:val="000000"/>
          <w:sz w:val="28"/>
          <w:szCs w:val="28"/>
          <w:lang w:eastAsia="ru-RU"/>
        </w:rPr>
        <w:t>Кесте – 6. Жүкті әйелдердің зертханалық көрсеткіштерін (гемограмма) салыстырмалы бағалау</w:t>
      </w:r>
    </w:p>
    <w:p w14:paraId="1755DFF2">
      <w:pPr>
        <w:widowControl w:val="0"/>
        <w:autoSpaceDE w:val="0"/>
        <w:autoSpaceDN w:val="0"/>
        <w:spacing w:after="0" w:line="276" w:lineRule="auto"/>
        <w:ind w:firstLine="709"/>
        <w:jc w:val="both"/>
        <w:outlineLvl w:val="0"/>
        <w:rPr>
          <w:rFonts w:ascii="Times New Roman" w:hAnsi="Times New Roman" w:eastAsia="Times New Roman" w:cs="Times New Roman"/>
          <w:iCs/>
          <w:color w:val="000000"/>
          <w:sz w:val="28"/>
          <w:szCs w:val="28"/>
          <w:lang w:eastAsia="ru-RU"/>
        </w:rPr>
      </w:pPr>
    </w:p>
    <w:tbl>
      <w:tblPr>
        <w:tblStyle w:val="5"/>
        <w:tblW w:w="0" w:type="auto"/>
        <w:tblInd w:w="0" w:type="dxa"/>
        <w:tblLayout w:type="fixed"/>
        <w:tblCellMar>
          <w:top w:w="15" w:type="dxa"/>
          <w:left w:w="15" w:type="dxa"/>
          <w:bottom w:w="15" w:type="dxa"/>
          <w:right w:w="15" w:type="dxa"/>
        </w:tblCellMar>
      </w:tblPr>
      <w:tblGrid>
        <w:gridCol w:w="1404"/>
        <w:gridCol w:w="513"/>
        <w:gridCol w:w="1104"/>
        <w:gridCol w:w="513"/>
        <w:gridCol w:w="1104"/>
        <w:gridCol w:w="513"/>
        <w:gridCol w:w="1104"/>
        <w:gridCol w:w="513"/>
        <w:gridCol w:w="1105"/>
        <w:gridCol w:w="1512"/>
      </w:tblGrid>
      <w:tr w14:paraId="5D281743">
        <w:tblPrEx>
          <w:tblCellMar>
            <w:top w:w="15" w:type="dxa"/>
            <w:left w:w="15" w:type="dxa"/>
            <w:bottom w:w="15" w:type="dxa"/>
            <w:right w:w="15" w:type="dxa"/>
          </w:tblCellMar>
        </w:tblPrEx>
        <w:tc>
          <w:tcPr>
            <w:tcW w:w="9385" w:type="dxa"/>
            <w:gridSpan w:val="10"/>
            <w:tcBorders>
              <w:top w:val="outset" w:color="auto" w:sz="6" w:space="0"/>
              <w:left w:val="outset" w:color="auto" w:sz="6" w:space="0"/>
              <w:bottom w:val="outset" w:color="auto" w:sz="6" w:space="0"/>
              <w:right w:val="outset" w:color="auto" w:sz="6" w:space="0"/>
            </w:tcBorders>
          </w:tcPr>
          <w:p w14:paraId="547D11FE">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i/>
                <w:iCs/>
                <w:sz w:val="28"/>
                <w:szCs w:val="28"/>
              </w:rPr>
              <w:t>Гемограмма</w:t>
            </w:r>
          </w:p>
        </w:tc>
      </w:tr>
      <w:tr w14:paraId="26FB5FA2">
        <w:tblPrEx>
          <w:tblCellMar>
            <w:top w:w="15" w:type="dxa"/>
            <w:left w:w="15" w:type="dxa"/>
            <w:bottom w:w="15" w:type="dxa"/>
            <w:right w:w="15" w:type="dxa"/>
          </w:tblCellMar>
        </w:tblPrEx>
        <w:tc>
          <w:tcPr>
            <w:tcW w:w="1404" w:type="dxa"/>
            <w:vMerge w:val="restart"/>
            <w:tcBorders>
              <w:top w:val="nil"/>
              <w:left w:val="outset" w:color="auto" w:sz="6" w:space="0"/>
              <w:bottom w:val="outset" w:color="auto" w:sz="6" w:space="0"/>
              <w:right w:val="outset" w:color="auto" w:sz="6" w:space="0"/>
            </w:tcBorders>
          </w:tcPr>
          <w:p w14:paraId="661144F2">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Көрсеткіштер</w:t>
            </w:r>
          </w:p>
        </w:tc>
        <w:tc>
          <w:tcPr>
            <w:tcW w:w="1617" w:type="dxa"/>
            <w:gridSpan w:val="2"/>
            <w:tcBorders>
              <w:top w:val="outset" w:color="auto" w:sz="6" w:space="0"/>
              <w:left w:val="outset" w:color="auto" w:sz="6" w:space="0"/>
              <w:bottom w:val="outset" w:color="auto" w:sz="6" w:space="0"/>
              <w:right w:val="outset" w:color="auto" w:sz="6" w:space="0"/>
            </w:tcBorders>
          </w:tcPr>
          <w:p w14:paraId="3F8EEF6D">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Бақылау</w:t>
            </w:r>
          </w:p>
          <w:p w14:paraId="6983F792">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тобы</w:t>
            </w:r>
          </w:p>
        </w:tc>
        <w:tc>
          <w:tcPr>
            <w:tcW w:w="4852" w:type="dxa"/>
            <w:gridSpan w:val="6"/>
            <w:tcBorders>
              <w:top w:val="outset" w:color="auto" w:sz="6" w:space="0"/>
              <w:left w:val="outset" w:color="auto" w:sz="6" w:space="0"/>
              <w:bottom w:val="outset" w:color="auto" w:sz="6" w:space="0"/>
              <w:right w:val="outset" w:color="auto" w:sz="6" w:space="0"/>
            </w:tcBorders>
          </w:tcPr>
          <w:p w14:paraId="06BD871E">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Негізгі топтар</w:t>
            </w:r>
          </w:p>
        </w:tc>
        <w:tc>
          <w:tcPr>
            <w:tcW w:w="1512" w:type="dxa"/>
            <w:vMerge w:val="restart"/>
            <w:tcBorders>
              <w:top w:val="outset" w:color="auto" w:sz="6" w:space="0"/>
              <w:left w:val="outset" w:color="auto" w:sz="6" w:space="0"/>
              <w:right w:val="single" w:color="auto" w:sz="4" w:space="0"/>
            </w:tcBorders>
          </w:tcPr>
          <w:p w14:paraId="2FF52CAB">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Kruskal–Wallis test (H)</w:t>
            </w:r>
          </w:p>
          <w:p w14:paraId="6BBF5A62">
            <w:pPr>
              <w:spacing w:after="0" w:line="276" w:lineRule="auto"/>
              <w:jc w:val="both"/>
              <w:outlineLvl w:val="0"/>
              <w:rPr>
                <w:rFonts w:ascii="Times New Roman" w:hAnsi="Times New Roman" w:eastAsia="Times New Roman" w:cs="Times New Roman"/>
                <w:sz w:val="28"/>
                <w:szCs w:val="28"/>
                <w:lang w:eastAsia="ru-RU"/>
              </w:rPr>
            </w:pPr>
          </w:p>
        </w:tc>
      </w:tr>
      <w:tr w14:paraId="727E9BEF">
        <w:tblPrEx>
          <w:tblCellMar>
            <w:top w:w="15" w:type="dxa"/>
            <w:left w:w="15" w:type="dxa"/>
            <w:bottom w:w="15" w:type="dxa"/>
            <w:right w:w="15" w:type="dxa"/>
          </w:tblCellMar>
        </w:tblPrEx>
        <w:tc>
          <w:tcPr>
            <w:tcW w:w="1404" w:type="dxa"/>
            <w:vMerge w:val="continue"/>
            <w:tcBorders>
              <w:top w:val="nil"/>
              <w:left w:val="outset" w:color="auto" w:sz="6" w:space="0"/>
              <w:bottom w:val="outset" w:color="auto" w:sz="6" w:space="0"/>
              <w:right w:val="outset" w:color="auto" w:sz="6" w:space="0"/>
            </w:tcBorders>
            <w:vAlign w:val="center"/>
          </w:tcPr>
          <w:p w14:paraId="14909169">
            <w:pPr>
              <w:spacing w:after="0" w:line="276" w:lineRule="auto"/>
              <w:jc w:val="both"/>
              <w:outlineLvl w:val="0"/>
              <w:rPr>
                <w:rFonts w:ascii="Times New Roman" w:hAnsi="Times New Roman" w:eastAsia="Times New Roman" w:cs="Times New Roman"/>
                <w:b/>
                <w:bCs/>
                <w:sz w:val="28"/>
                <w:szCs w:val="28"/>
              </w:rPr>
            </w:pPr>
          </w:p>
        </w:tc>
        <w:tc>
          <w:tcPr>
            <w:tcW w:w="1617" w:type="dxa"/>
            <w:gridSpan w:val="2"/>
            <w:tcBorders>
              <w:top w:val="nil"/>
              <w:left w:val="outset" w:color="auto" w:sz="6" w:space="0"/>
              <w:bottom w:val="outset" w:color="auto" w:sz="6" w:space="0"/>
              <w:right w:val="outset" w:color="auto" w:sz="6" w:space="0"/>
            </w:tcBorders>
          </w:tcPr>
          <w:p w14:paraId="09272E88">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топ</w:t>
            </w:r>
          </w:p>
          <w:p w14:paraId="3F30D28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(n=43)</w:t>
            </w:r>
          </w:p>
        </w:tc>
        <w:tc>
          <w:tcPr>
            <w:tcW w:w="1617" w:type="dxa"/>
            <w:gridSpan w:val="2"/>
            <w:tcBorders>
              <w:top w:val="nil"/>
              <w:left w:val="outset" w:color="auto" w:sz="6" w:space="0"/>
              <w:bottom w:val="outset" w:color="auto" w:sz="6" w:space="0"/>
              <w:right w:val="outset" w:color="auto" w:sz="6" w:space="0"/>
            </w:tcBorders>
          </w:tcPr>
          <w:p w14:paraId="4F094495">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топ</w:t>
            </w:r>
          </w:p>
          <w:p w14:paraId="3198E32B">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(n=40)</w:t>
            </w:r>
          </w:p>
        </w:tc>
        <w:tc>
          <w:tcPr>
            <w:tcW w:w="1617" w:type="dxa"/>
            <w:gridSpan w:val="2"/>
            <w:tcBorders>
              <w:top w:val="nil"/>
              <w:left w:val="outset" w:color="auto" w:sz="6" w:space="0"/>
              <w:bottom w:val="outset" w:color="auto" w:sz="6" w:space="0"/>
              <w:right w:val="outset" w:color="auto" w:sz="6" w:space="0"/>
            </w:tcBorders>
          </w:tcPr>
          <w:p w14:paraId="514FB6B2">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топ</w:t>
            </w:r>
          </w:p>
          <w:p w14:paraId="7A20AED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(n=48)</w:t>
            </w:r>
          </w:p>
        </w:tc>
        <w:tc>
          <w:tcPr>
            <w:tcW w:w="1618" w:type="dxa"/>
            <w:gridSpan w:val="2"/>
            <w:tcBorders>
              <w:top w:val="outset" w:color="auto" w:sz="6" w:space="0"/>
              <w:left w:val="outset" w:color="auto" w:sz="6" w:space="0"/>
              <w:bottom w:val="outset" w:color="auto" w:sz="6" w:space="0"/>
              <w:right w:val="outset" w:color="auto" w:sz="6" w:space="0"/>
            </w:tcBorders>
          </w:tcPr>
          <w:p w14:paraId="52E068B0">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4 топ</w:t>
            </w:r>
          </w:p>
          <w:p w14:paraId="061D081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(n=36)</w:t>
            </w:r>
          </w:p>
        </w:tc>
        <w:tc>
          <w:tcPr>
            <w:tcW w:w="1512" w:type="dxa"/>
            <w:vMerge w:val="continue"/>
            <w:tcBorders>
              <w:left w:val="outset" w:color="auto" w:sz="6" w:space="0"/>
              <w:bottom w:val="outset" w:color="auto" w:sz="6" w:space="0"/>
              <w:right w:val="single" w:color="auto" w:sz="4" w:space="0"/>
            </w:tcBorders>
            <w:vAlign w:val="center"/>
          </w:tcPr>
          <w:p w14:paraId="22CB761B">
            <w:pPr>
              <w:spacing w:after="0" w:line="276" w:lineRule="auto"/>
              <w:jc w:val="both"/>
              <w:outlineLvl w:val="0"/>
              <w:rPr>
                <w:rFonts w:ascii="Times New Roman" w:hAnsi="Times New Roman" w:eastAsia="Times New Roman" w:cs="Times New Roman"/>
                <w:sz w:val="28"/>
                <w:szCs w:val="28"/>
                <w:lang w:eastAsia="ru-RU"/>
              </w:rPr>
            </w:pPr>
          </w:p>
        </w:tc>
      </w:tr>
      <w:tr w14:paraId="0E766832">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7E310D84">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513" w:type="dxa"/>
            <w:tcBorders>
              <w:top w:val="nil"/>
              <w:left w:val="outset" w:color="auto" w:sz="6" w:space="0"/>
              <w:bottom w:val="outset" w:color="auto" w:sz="6" w:space="0"/>
              <w:right w:val="outset" w:color="auto" w:sz="6" w:space="0"/>
            </w:tcBorders>
          </w:tcPr>
          <w:p w14:paraId="3AE07E2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1104" w:type="dxa"/>
            <w:tcBorders>
              <w:top w:val="nil"/>
              <w:left w:val="outset" w:color="auto" w:sz="6" w:space="0"/>
              <w:bottom w:val="outset" w:color="auto" w:sz="6" w:space="0"/>
              <w:right w:val="outset" w:color="auto" w:sz="6" w:space="0"/>
            </w:tcBorders>
          </w:tcPr>
          <w:p w14:paraId="5154B27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513" w:type="dxa"/>
            <w:tcBorders>
              <w:top w:val="nil"/>
              <w:left w:val="outset" w:color="auto" w:sz="6" w:space="0"/>
              <w:bottom w:val="outset" w:color="auto" w:sz="6" w:space="0"/>
              <w:right w:val="outset" w:color="auto" w:sz="6" w:space="0"/>
            </w:tcBorders>
          </w:tcPr>
          <w:p w14:paraId="394ED18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1104" w:type="dxa"/>
            <w:tcBorders>
              <w:top w:val="nil"/>
              <w:left w:val="outset" w:color="auto" w:sz="6" w:space="0"/>
              <w:bottom w:val="outset" w:color="auto" w:sz="6" w:space="0"/>
              <w:right w:val="outset" w:color="auto" w:sz="6" w:space="0"/>
            </w:tcBorders>
          </w:tcPr>
          <w:p w14:paraId="1FC8E32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513" w:type="dxa"/>
            <w:tcBorders>
              <w:top w:val="nil"/>
              <w:left w:val="outset" w:color="auto" w:sz="6" w:space="0"/>
              <w:bottom w:val="outset" w:color="auto" w:sz="6" w:space="0"/>
              <w:right w:val="outset" w:color="auto" w:sz="6" w:space="0"/>
            </w:tcBorders>
          </w:tcPr>
          <w:p w14:paraId="78BF81C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1104" w:type="dxa"/>
            <w:tcBorders>
              <w:top w:val="outset" w:color="auto" w:sz="6" w:space="0"/>
              <w:left w:val="outset" w:color="auto" w:sz="6" w:space="0"/>
              <w:bottom w:val="outset" w:color="auto" w:sz="6" w:space="0"/>
              <w:right w:val="outset" w:color="auto" w:sz="6" w:space="0"/>
            </w:tcBorders>
          </w:tcPr>
          <w:p w14:paraId="65E34A2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513" w:type="dxa"/>
            <w:tcBorders>
              <w:top w:val="outset" w:color="auto" w:sz="6" w:space="0"/>
              <w:left w:val="outset" w:color="auto" w:sz="6" w:space="0"/>
              <w:bottom w:val="outset" w:color="auto" w:sz="6" w:space="0"/>
              <w:right w:val="outset" w:color="auto" w:sz="6" w:space="0"/>
            </w:tcBorders>
          </w:tcPr>
          <w:p w14:paraId="5BA061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1105" w:type="dxa"/>
            <w:tcBorders>
              <w:top w:val="outset" w:color="auto" w:sz="6" w:space="0"/>
              <w:left w:val="outset" w:color="auto" w:sz="6" w:space="0"/>
              <w:bottom w:val="outset" w:color="auto" w:sz="6" w:space="0"/>
              <w:right w:val="outset" w:color="auto" w:sz="6" w:space="0"/>
            </w:tcBorders>
          </w:tcPr>
          <w:p w14:paraId="32DAB8C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1512" w:type="dxa"/>
            <w:tcBorders>
              <w:top w:val="outset" w:color="auto" w:sz="6" w:space="0"/>
              <w:left w:val="outset" w:color="auto" w:sz="6" w:space="0"/>
              <w:bottom w:val="outset" w:color="auto" w:sz="6" w:space="0"/>
              <w:right w:val="single" w:color="auto" w:sz="4" w:space="0"/>
            </w:tcBorders>
          </w:tcPr>
          <w:p w14:paraId="0BEFED7C">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rPr>
              <w:t>p &lt; 0.05*</w:t>
            </w:r>
          </w:p>
        </w:tc>
      </w:tr>
      <w:tr w14:paraId="0335A256">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6F87F7D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Гемоглобин, г/л</w:t>
            </w:r>
          </w:p>
        </w:tc>
        <w:tc>
          <w:tcPr>
            <w:tcW w:w="513" w:type="dxa"/>
            <w:tcBorders>
              <w:top w:val="nil"/>
              <w:left w:val="outset" w:color="auto" w:sz="6" w:space="0"/>
              <w:bottom w:val="outset" w:color="auto" w:sz="6" w:space="0"/>
              <w:right w:val="outset" w:color="auto" w:sz="6" w:space="0"/>
            </w:tcBorders>
          </w:tcPr>
          <w:p w14:paraId="4E3BDD5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112,0</w:t>
            </w:r>
          </w:p>
        </w:tc>
        <w:tc>
          <w:tcPr>
            <w:tcW w:w="1104" w:type="dxa"/>
            <w:tcBorders>
              <w:top w:val="nil"/>
              <w:left w:val="outset" w:color="auto" w:sz="6" w:space="0"/>
              <w:bottom w:val="outset" w:color="auto" w:sz="6" w:space="0"/>
              <w:right w:val="outset" w:color="auto" w:sz="6" w:space="0"/>
            </w:tcBorders>
          </w:tcPr>
          <w:p w14:paraId="69A7B56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99,0–115,0</w:t>
            </w:r>
          </w:p>
        </w:tc>
        <w:tc>
          <w:tcPr>
            <w:tcW w:w="513" w:type="dxa"/>
            <w:tcBorders>
              <w:top w:val="nil"/>
              <w:left w:val="outset" w:color="auto" w:sz="6" w:space="0"/>
              <w:bottom w:val="outset" w:color="auto" w:sz="6" w:space="0"/>
              <w:right w:val="outset" w:color="auto" w:sz="6" w:space="0"/>
            </w:tcBorders>
          </w:tcPr>
          <w:p w14:paraId="61E776A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96,0</w:t>
            </w:r>
          </w:p>
        </w:tc>
        <w:tc>
          <w:tcPr>
            <w:tcW w:w="1104" w:type="dxa"/>
            <w:tcBorders>
              <w:top w:val="nil"/>
              <w:left w:val="outset" w:color="auto" w:sz="6" w:space="0"/>
              <w:bottom w:val="outset" w:color="auto" w:sz="6" w:space="0"/>
              <w:right w:val="outset" w:color="auto" w:sz="6" w:space="0"/>
            </w:tcBorders>
          </w:tcPr>
          <w:p w14:paraId="07C0BC8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89,0–103,0</w:t>
            </w:r>
          </w:p>
        </w:tc>
        <w:tc>
          <w:tcPr>
            <w:tcW w:w="513" w:type="dxa"/>
            <w:tcBorders>
              <w:top w:val="nil"/>
              <w:left w:val="outset" w:color="auto" w:sz="6" w:space="0"/>
              <w:bottom w:val="outset" w:color="auto" w:sz="6" w:space="0"/>
              <w:right w:val="outset" w:color="auto" w:sz="6" w:space="0"/>
            </w:tcBorders>
          </w:tcPr>
          <w:p w14:paraId="080CDC7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117,0</w:t>
            </w:r>
          </w:p>
        </w:tc>
        <w:tc>
          <w:tcPr>
            <w:tcW w:w="1104" w:type="dxa"/>
            <w:tcBorders>
              <w:top w:val="nil"/>
              <w:left w:val="outset" w:color="auto" w:sz="6" w:space="0"/>
              <w:bottom w:val="outset" w:color="auto" w:sz="6" w:space="0"/>
              <w:right w:val="outset" w:color="auto" w:sz="6" w:space="0"/>
            </w:tcBorders>
          </w:tcPr>
          <w:p w14:paraId="7073544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115,0–124,0</w:t>
            </w:r>
          </w:p>
        </w:tc>
        <w:tc>
          <w:tcPr>
            <w:tcW w:w="513" w:type="dxa"/>
            <w:tcBorders>
              <w:top w:val="nil"/>
              <w:left w:val="outset" w:color="auto" w:sz="6" w:space="0"/>
              <w:bottom w:val="outset" w:color="auto" w:sz="6" w:space="0"/>
              <w:right w:val="outset" w:color="auto" w:sz="6" w:space="0"/>
            </w:tcBorders>
          </w:tcPr>
          <w:p w14:paraId="1375938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98,0</w:t>
            </w:r>
          </w:p>
        </w:tc>
        <w:tc>
          <w:tcPr>
            <w:tcW w:w="1105" w:type="dxa"/>
            <w:tcBorders>
              <w:top w:val="nil"/>
              <w:left w:val="outset" w:color="auto" w:sz="6" w:space="0"/>
              <w:bottom w:val="outset" w:color="auto" w:sz="6" w:space="0"/>
              <w:right w:val="outset" w:color="auto" w:sz="6" w:space="0"/>
            </w:tcBorders>
          </w:tcPr>
          <w:p w14:paraId="20A919E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92,0–104,0</w:t>
            </w:r>
          </w:p>
        </w:tc>
        <w:tc>
          <w:tcPr>
            <w:tcW w:w="1512" w:type="dxa"/>
            <w:tcBorders>
              <w:top w:val="nil"/>
              <w:left w:val="outset" w:color="auto" w:sz="6" w:space="0"/>
              <w:bottom w:val="outset" w:color="auto" w:sz="6" w:space="0"/>
              <w:right w:val="single" w:color="auto" w:sz="4" w:space="0"/>
            </w:tcBorders>
          </w:tcPr>
          <w:p w14:paraId="125287EF">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r>
      <w:tr w14:paraId="43AE3300">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3BA16DC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ЭТТ</w:t>
            </w:r>
          </w:p>
        </w:tc>
        <w:tc>
          <w:tcPr>
            <w:tcW w:w="513" w:type="dxa"/>
            <w:tcBorders>
              <w:top w:val="nil"/>
              <w:left w:val="outset" w:color="auto" w:sz="6" w:space="0"/>
              <w:bottom w:val="outset" w:color="auto" w:sz="6" w:space="0"/>
              <w:right w:val="outset" w:color="auto" w:sz="6" w:space="0"/>
            </w:tcBorders>
          </w:tcPr>
          <w:p w14:paraId="3AFDF99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30,0</w:t>
            </w:r>
          </w:p>
        </w:tc>
        <w:tc>
          <w:tcPr>
            <w:tcW w:w="1104" w:type="dxa"/>
            <w:tcBorders>
              <w:top w:val="nil"/>
              <w:left w:val="outset" w:color="auto" w:sz="6" w:space="0"/>
              <w:bottom w:val="outset" w:color="auto" w:sz="6" w:space="0"/>
              <w:right w:val="outset" w:color="auto" w:sz="6" w:space="0"/>
            </w:tcBorders>
          </w:tcPr>
          <w:p w14:paraId="3C5BDA9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26,0–30,0</w:t>
            </w:r>
          </w:p>
        </w:tc>
        <w:tc>
          <w:tcPr>
            <w:tcW w:w="513" w:type="dxa"/>
            <w:tcBorders>
              <w:top w:val="nil"/>
              <w:left w:val="outset" w:color="auto" w:sz="6" w:space="0"/>
              <w:bottom w:val="outset" w:color="auto" w:sz="6" w:space="0"/>
              <w:right w:val="outset" w:color="auto" w:sz="6" w:space="0"/>
            </w:tcBorders>
          </w:tcPr>
          <w:p w14:paraId="2ADE6F9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33,0</w:t>
            </w:r>
          </w:p>
        </w:tc>
        <w:tc>
          <w:tcPr>
            <w:tcW w:w="1104" w:type="dxa"/>
            <w:tcBorders>
              <w:top w:val="nil"/>
              <w:left w:val="outset" w:color="auto" w:sz="6" w:space="0"/>
              <w:bottom w:val="outset" w:color="auto" w:sz="6" w:space="0"/>
              <w:right w:val="outset" w:color="auto" w:sz="6" w:space="0"/>
            </w:tcBorders>
          </w:tcPr>
          <w:p w14:paraId="326B89F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31,0–38,0</w:t>
            </w:r>
          </w:p>
        </w:tc>
        <w:tc>
          <w:tcPr>
            <w:tcW w:w="513" w:type="dxa"/>
            <w:tcBorders>
              <w:top w:val="nil"/>
              <w:left w:val="outset" w:color="auto" w:sz="6" w:space="0"/>
              <w:bottom w:val="outset" w:color="auto" w:sz="6" w:space="0"/>
              <w:right w:val="outset" w:color="auto" w:sz="6" w:space="0"/>
            </w:tcBorders>
          </w:tcPr>
          <w:p w14:paraId="62986C3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35,0</w:t>
            </w:r>
          </w:p>
        </w:tc>
        <w:tc>
          <w:tcPr>
            <w:tcW w:w="1104" w:type="dxa"/>
            <w:tcBorders>
              <w:top w:val="nil"/>
              <w:left w:val="outset" w:color="auto" w:sz="6" w:space="0"/>
              <w:bottom w:val="outset" w:color="auto" w:sz="6" w:space="0"/>
              <w:right w:val="outset" w:color="auto" w:sz="6" w:space="0"/>
            </w:tcBorders>
          </w:tcPr>
          <w:p w14:paraId="0C7D8A7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33,0–36,0</w:t>
            </w:r>
          </w:p>
        </w:tc>
        <w:tc>
          <w:tcPr>
            <w:tcW w:w="513" w:type="dxa"/>
            <w:tcBorders>
              <w:top w:val="nil"/>
              <w:left w:val="outset" w:color="auto" w:sz="6" w:space="0"/>
              <w:bottom w:val="outset" w:color="auto" w:sz="6" w:space="0"/>
              <w:right w:val="outset" w:color="auto" w:sz="6" w:space="0"/>
            </w:tcBorders>
          </w:tcPr>
          <w:p w14:paraId="473618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38,0</w:t>
            </w:r>
          </w:p>
        </w:tc>
        <w:tc>
          <w:tcPr>
            <w:tcW w:w="1105" w:type="dxa"/>
            <w:tcBorders>
              <w:top w:val="nil"/>
              <w:left w:val="outset" w:color="auto" w:sz="6" w:space="0"/>
              <w:bottom w:val="outset" w:color="auto" w:sz="6" w:space="0"/>
              <w:right w:val="outset" w:color="auto" w:sz="6" w:space="0"/>
            </w:tcBorders>
          </w:tcPr>
          <w:p w14:paraId="0161557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33,0–39,0</w:t>
            </w:r>
          </w:p>
        </w:tc>
        <w:tc>
          <w:tcPr>
            <w:tcW w:w="1512" w:type="dxa"/>
            <w:tcBorders>
              <w:top w:val="nil"/>
              <w:left w:val="outset" w:color="auto" w:sz="6" w:space="0"/>
              <w:bottom w:val="outset" w:color="auto" w:sz="6" w:space="0"/>
              <w:right w:val="single" w:color="auto" w:sz="4" w:space="0"/>
            </w:tcBorders>
          </w:tcPr>
          <w:p w14:paraId="0E17D760">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r>
      <w:tr w14:paraId="2936788C">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0CE7640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Лейкоциттер, х 10</w:t>
            </w:r>
            <w:r>
              <w:rPr>
                <w:rFonts w:ascii="Times New Roman" w:hAnsi="Times New Roman" w:eastAsia="Times New Roman" w:cs="Times New Roman"/>
                <w:sz w:val="28"/>
                <w:szCs w:val="28"/>
                <w:vertAlign w:val="superscript"/>
              </w:rPr>
              <w:t>9</w:t>
            </w:r>
          </w:p>
        </w:tc>
        <w:tc>
          <w:tcPr>
            <w:tcW w:w="513" w:type="dxa"/>
            <w:tcBorders>
              <w:top w:val="nil"/>
              <w:left w:val="outset" w:color="auto" w:sz="6" w:space="0"/>
              <w:bottom w:val="outset" w:color="auto" w:sz="6" w:space="0"/>
              <w:right w:val="outset" w:color="auto" w:sz="6" w:space="0"/>
            </w:tcBorders>
          </w:tcPr>
          <w:p w14:paraId="23F5143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8,4</w:t>
            </w:r>
          </w:p>
        </w:tc>
        <w:tc>
          <w:tcPr>
            <w:tcW w:w="1104" w:type="dxa"/>
            <w:tcBorders>
              <w:top w:val="nil"/>
              <w:left w:val="outset" w:color="auto" w:sz="6" w:space="0"/>
              <w:bottom w:val="outset" w:color="auto" w:sz="6" w:space="0"/>
              <w:right w:val="outset" w:color="auto" w:sz="6" w:space="0"/>
            </w:tcBorders>
          </w:tcPr>
          <w:p w14:paraId="0C16751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7,7–10,7</w:t>
            </w:r>
          </w:p>
        </w:tc>
        <w:tc>
          <w:tcPr>
            <w:tcW w:w="513" w:type="dxa"/>
            <w:tcBorders>
              <w:top w:val="nil"/>
              <w:left w:val="outset" w:color="auto" w:sz="6" w:space="0"/>
              <w:bottom w:val="outset" w:color="auto" w:sz="6" w:space="0"/>
              <w:right w:val="outset" w:color="auto" w:sz="6" w:space="0"/>
            </w:tcBorders>
          </w:tcPr>
          <w:p w14:paraId="5497337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9,95</w:t>
            </w:r>
          </w:p>
        </w:tc>
        <w:tc>
          <w:tcPr>
            <w:tcW w:w="1104" w:type="dxa"/>
            <w:tcBorders>
              <w:top w:val="nil"/>
              <w:left w:val="outset" w:color="auto" w:sz="6" w:space="0"/>
              <w:bottom w:val="outset" w:color="auto" w:sz="6" w:space="0"/>
              <w:right w:val="outset" w:color="auto" w:sz="6" w:space="0"/>
            </w:tcBorders>
          </w:tcPr>
          <w:p w14:paraId="479E784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8,0–12,4</w:t>
            </w:r>
          </w:p>
        </w:tc>
        <w:tc>
          <w:tcPr>
            <w:tcW w:w="513" w:type="dxa"/>
            <w:tcBorders>
              <w:top w:val="nil"/>
              <w:left w:val="outset" w:color="auto" w:sz="6" w:space="0"/>
              <w:bottom w:val="outset" w:color="auto" w:sz="6" w:space="0"/>
              <w:right w:val="outset" w:color="auto" w:sz="6" w:space="0"/>
            </w:tcBorders>
          </w:tcPr>
          <w:p w14:paraId="257A2FE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10,5</w:t>
            </w:r>
          </w:p>
        </w:tc>
        <w:tc>
          <w:tcPr>
            <w:tcW w:w="1104" w:type="dxa"/>
            <w:tcBorders>
              <w:top w:val="nil"/>
              <w:left w:val="outset" w:color="auto" w:sz="6" w:space="0"/>
              <w:bottom w:val="outset" w:color="auto" w:sz="6" w:space="0"/>
              <w:right w:val="outset" w:color="auto" w:sz="6" w:space="0"/>
            </w:tcBorders>
          </w:tcPr>
          <w:p w14:paraId="5B8BF25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8,3–12,0</w:t>
            </w:r>
          </w:p>
        </w:tc>
        <w:tc>
          <w:tcPr>
            <w:tcW w:w="513" w:type="dxa"/>
            <w:tcBorders>
              <w:top w:val="nil"/>
              <w:left w:val="outset" w:color="auto" w:sz="6" w:space="0"/>
              <w:bottom w:val="outset" w:color="auto" w:sz="6" w:space="0"/>
              <w:right w:val="outset" w:color="auto" w:sz="6" w:space="0"/>
            </w:tcBorders>
          </w:tcPr>
          <w:p w14:paraId="22DD4D3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11,5</w:t>
            </w:r>
          </w:p>
        </w:tc>
        <w:tc>
          <w:tcPr>
            <w:tcW w:w="1105" w:type="dxa"/>
            <w:tcBorders>
              <w:top w:val="nil"/>
              <w:left w:val="outset" w:color="auto" w:sz="6" w:space="0"/>
              <w:bottom w:val="outset" w:color="auto" w:sz="6" w:space="0"/>
              <w:right w:val="outset" w:color="auto" w:sz="6" w:space="0"/>
            </w:tcBorders>
          </w:tcPr>
          <w:p w14:paraId="1EE7639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8,7–14,5</w:t>
            </w:r>
          </w:p>
        </w:tc>
        <w:tc>
          <w:tcPr>
            <w:tcW w:w="1512" w:type="dxa"/>
            <w:tcBorders>
              <w:top w:val="nil"/>
              <w:left w:val="outset" w:color="auto" w:sz="6" w:space="0"/>
              <w:bottom w:val="outset" w:color="auto" w:sz="6" w:space="0"/>
              <w:right w:val="single" w:color="auto" w:sz="4" w:space="0"/>
            </w:tcBorders>
          </w:tcPr>
          <w:p w14:paraId="2DE444F7">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rPr>
              <w:t>0,081</w:t>
            </w:r>
          </w:p>
        </w:tc>
      </w:tr>
      <w:tr w14:paraId="591B9BE4">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29BB4AE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Эритроциттер, х 10</w:t>
            </w:r>
            <w:r>
              <w:rPr>
                <w:rFonts w:ascii="Times New Roman" w:hAnsi="Times New Roman" w:eastAsia="Times New Roman" w:cs="Times New Roman"/>
                <w:sz w:val="28"/>
                <w:szCs w:val="28"/>
                <w:vertAlign w:val="superscript"/>
              </w:rPr>
              <w:t>12</w:t>
            </w:r>
          </w:p>
        </w:tc>
        <w:tc>
          <w:tcPr>
            <w:tcW w:w="513" w:type="dxa"/>
            <w:tcBorders>
              <w:top w:val="nil"/>
              <w:left w:val="outset" w:color="auto" w:sz="6" w:space="0"/>
              <w:bottom w:val="outset" w:color="auto" w:sz="6" w:space="0"/>
              <w:right w:val="outset" w:color="auto" w:sz="6" w:space="0"/>
            </w:tcBorders>
          </w:tcPr>
          <w:p w14:paraId="11357B0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4,63</w:t>
            </w:r>
          </w:p>
        </w:tc>
        <w:tc>
          <w:tcPr>
            <w:tcW w:w="1104" w:type="dxa"/>
            <w:tcBorders>
              <w:top w:val="nil"/>
              <w:left w:val="outset" w:color="auto" w:sz="6" w:space="0"/>
              <w:bottom w:val="outset" w:color="auto" w:sz="6" w:space="0"/>
              <w:right w:val="outset" w:color="auto" w:sz="6" w:space="0"/>
            </w:tcBorders>
          </w:tcPr>
          <w:p w14:paraId="4BBD7FB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4,04–5,34</w:t>
            </w:r>
          </w:p>
        </w:tc>
        <w:tc>
          <w:tcPr>
            <w:tcW w:w="513" w:type="dxa"/>
            <w:tcBorders>
              <w:top w:val="nil"/>
              <w:left w:val="outset" w:color="auto" w:sz="6" w:space="0"/>
              <w:bottom w:val="outset" w:color="auto" w:sz="6" w:space="0"/>
              <w:right w:val="outset" w:color="auto" w:sz="6" w:space="0"/>
            </w:tcBorders>
          </w:tcPr>
          <w:p w14:paraId="3FD9E7A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3,98</w:t>
            </w:r>
          </w:p>
        </w:tc>
        <w:tc>
          <w:tcPr>
            <w:tcW w:w="1104" w:type="dxa"/>
            <w:tcBorders>
              <w:top w:val="nil"/>
              <w:left w:val="outset" w:color="auto" w:sz="6" w:space="0"/>
              <w:bottom w:val="outset" w:color="auto" w:sz="6" w:space="0"/>
              <w:right w:val="outset" w:color="auto" w:sz="6" w:space="0"/>
            </w:tcBorders>
          </w:tcPr>
          <w:p w14:paraId="2598A66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3,74–4,20</w:t>
            </w:r>
          </w:p>
        </w:tc>
        <w:tc>
          <w:tcPr>
            <w:tcW w:w="513" w:type="dxa"/>
            <w:tcBorders>
              <w:top w:val="nil"/>
              <w:left w:val="outset" w:color="auto" w:sz="6" w:space="0"/>
              <w:bottom w:val="outset" w:color="auto" w:sz="6" w:space="0"/>
              <w:right w:val="outset" w:color="auto" w:sz="6" w:space="0"/>
            </w:tcBorders>
          </w:tcPr>
          <w:p w14:paraId="6C352BE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4,12</w:t>
            </w:r>
          </w:p>
        </w:tc>
        <w:tc>
          <w:tcPr>
            <w:tcW w:w="1104" w:type="dxa"/>
            <w:tcBorders>
              <w:top w:val="nil"/>
              <w:left w:val="outset" w:color="auto" w:sz="6" w:space="0"/>
              <w:bottom w:val="outset" w:color="auto" w:sz="6" w:space="0"/>
              <w:right w:val="outset" w:color="auto" w:sz="6" w:space="0"/>
            </w:tcBorders>
          </w:tcPr>
          <w:p w14:paraId="4EE2901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3,96–4,29</w:t>
            </w:r>
          </w:p>
        </w:tc>
        <w:tc>
          <w:tcPr>
            <w:tcW w:w="513" w:type="dxa"/>
            <w:tcBorders>
              <w:top w:val="nil"/>
              <w:left w:val="outset" w:color="auto" w:sz="6" w:space="0"/>
              <w:bottom w:val="outset" w:color="auto" w:sz="6" w:space="0"/>
              <w:right w:val="outset" w:color="auto" w:sz="6" w:space="0"/>
            </w:tcBorders>
          </w:tcPr>
          <w:p w14:paraId="64BDB0E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3,88</w:t>
            </w:r>
          </w:p>
        </w:tc>
        <w:tc>
          <w:tcPr>
            <w:tcW w:w="1105" w:type="dxa"/>
            <w:tcBorders>
              <w:top w:val="nil"/>
              <w:left w:val="outset" w:color="auto" w:sz="6" w:space="0"/>
              <w:bottom w:val="outset" w:color="auto" w:sz="6" w:space="0"/>
              <w:right w:val="outset" w:color="auto" w:sz="6" w:space="0"/>
            </w:tcBorders>
          </w:tcPr>
          <w:p w14:paraId="5C3911E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3,42–4,07</w:t>
            </w:r>
          </w:p>
        </w:tc>
        <w:tc>
          <w:tcPr>
            <w:tcW w:w="1512" w:type="dxa"/>
            <w:tcBorders>
              <w:top w:val="nil"/>
              <w:left w:val="outset" w:color="auto" w:sz="6" w:space="0"/>
              <w:bottom w:val="outset" w:color="auto" w:sz="6" w:space="0"/>
              <w:right w:val="single" w:color="auto" w:sz="4" w:space="0"/>
            </w:tcBorders>
          </w:tcPr>
          <w:p w14:paraId="14714974">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0,002</w:t>
            </w:r>
            <w:r>
              <w:rPr>
                <w:rFonts w:ascii="Times New Roman" w:hAnsi="Times New Roman" w:eastAsia="Times New Roman" w:cs="Times New Roman"/>
                <w:b/>
                <w:i/>
                <w:sz w:val="28"/>
                <w:szCs w:val="28"/>
              </w:rPr>
              <w:t>*</w:t>
            </w:r>
          </w:p>
        </w:tc>
      </w:tr>
      <w:tr w14:paraId="1EEA5981">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13384EE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Гемотокрит</w:t>
            </w:r>
          </w:p>
        </w:tc>
        <w:tc>
          <w:tcPr>
            <w:tcW w:w="513" w:type="dxa"/>
            <w:tcBorders>
              <w:top w:val="nil"/>
              <w:left w:val="outset" w:color="auto" w:sz="6" w:space="0"/>
              <w:bottom w:val="outset" w:color="auto" w:sz="6" w:space="0"/>
              <w:right w:val="outset" w:color="auto" w:sz="6" w:space="0"/>
            </w:tcBorders>
          </w:tcPr>
          <w:p w14:paraId="7236A11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0,35</w:t>
            </w:r>
          </w:p>
        </w:tc>
        <w:tc>
          <w:tcPr>
            <w:tcW w:w="1104" w:type="dxa"/>
            <w:tcBorders>
              <w:top w:val="nil"/>
              <w:left w:val="outset" w:color="auto" w:sz="6" w:space="0"/>
              <w:bottom w:val="outset" w:color="auto" w:sz="6" w:space="0"/>
              <w:right w:val="outset" w:color="auto" w:sz="6" w:space="0"/>
            </w:tcBorders>
          </w:tcPr>
          <w:p w14:paraId="34CE042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0,33–0,36</w:t>
            </w:r>
          </w:p>
        </w:tc>
        <w:tc>
          <w:tcPr>
            <w:tcW w:w="513" w:type="dxa"/>
            <w:tcBorders>
              <w:top w:val="nil"/>
              <w:left w:val="outset" w:color="auto" w:sz="6" w:space="0"/>
              <w:bottom w:val="outset" w:color="auto" w:sz="6" w:space="0"/>
              <w:right w:val="outset" w:color="auto" w:sz="6" w:space="0"/>
            </w:tcBorders>
          </w:tcPr>
          <w:p w14:paraId="5E81690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0,31</w:t>
            </w:r>
          </w:p>
        </w:tc>
        <w:tc>
          <w:tcPr>
            <w:tcW w:w="1104" w:type="dxa"/>
            <w:tcBorders>
              <w:top w:val="nil"/>
              <w:left w:val="outset" w:color="auto" w:sz="6" w:space="0"/>
              <w:bottom w:val="outset" w:color="auto" w:sz="6" w:space="0"/>
              <w:right w:val="outset" w:color="auto" w:sz="6" w:space="0"/>
            </w:tcBorders>
          </w:tcPr>
          <w:p w14:paraId="25A7728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0,29–0,31</w:t>
            </w:r>
          </w:p>
        </w:tc>
        <w:tc>
          <w:tcPr>
            <w:tcW w:w="513" w:type="dxa"/>
            <w:tcBorders>
              <w:top w:val="nil"/>
              <w:left w:val="outset" w:color="auto" w:sz="6" w:space="0"/>
              <w:bottom w:val="outset" w:color="auto" w:sz="6" w:space="0"/>
              <w:right w:val="outset" w:color="auto" w:sz="6" w:space="0"/>
            </w:tcBorders>
          </w:tcPr>
          <w:p w14:paraId="23E2AE3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0,33</w:t>
            </w:r>
          </w:p>
        </w:tc>
        <w:tc>
          <w:tcPr>
            <w:tcW w:w="1104" w:type="dxa"/>
            <w:tcBorders>
              <w:top w:val="nil"/>
              <w:left w:val="outset" w:color="auto" w:sz="6" w:space="0"/>
              <w:bottom w:val="outset" w:color="auto" w:sz="6" w:space="0"/>
              <w:right w:val="outset" w:color="auto" w:sz="6" w:space="0"/>
            </w:tcBorders>
          </w:tcPr>
          <w:p w14:paraId="4A416A4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0,32–0,35</w:t>
            </w:r>
          </w:p>
        </w:tc>
        <w:tc>
          <w:tcPr>
            <w:tcW w:w="513" w:type="dxa"/>
            <w:tcBorders>
              <w:top w:val="nil"/>
              <w:left w:val="outset" w:color="auto" w:sz="6" w:space="0"/>
              <w:bottom w:val="outset" w:color="auto" w:sz="6" w:space="0"/>
              <w:right w:val="outset" w:color="auto" w:sz="6" w:space="0"/>
            </w:tcBorders>
          </w:tcPr>
          <w:p w14:paraId="4A966BB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0,30</w:t>
            </w:r>
          </w:p>
        </w:tc>
        <w:tc>
          <w:tcPr>
            <w:tcW w:w="1105" w:type="dxa"/>
            <w:tcBorders>
              <w:top w:val="nil"/>
              <w:left w:val="outset" w:color="auto" w:sz="6" w:space="0"/>
              <w:bottom w:val="outset" w:color="auto" w:sz="6" w:space="0"/>
              <w:right w:val="outset" w:color="auto" w:sz="6" w:space="0"/>
            </w:tcBorders>
          </w:tcPr>
          <w:p w14:paraId="07AF7AD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0,29–0,31</w:t>
            </w:r>
          </w:p>
        </w:tc>
        <w:tc>
          <w:tcPr>
            <w:tcW w:w="1512" w:type="dxa"/>
            <w:tcBorders>
              <w:top w:val="nil"/>
              <w:left w:val="outset" w:color="auto" w:sz="6" w:space="0"/>
              <w:bottom w:val="outset" w:color="auto" w:sz="6" w:space="0"/>
              <w:right w:val="single" w:color="auto" w:sz="4" w:space="0"/>
            </w:tcBorders>
          </w:tcPr>
          <w:p w14:paraId="720758E6">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r>
      <w:tr w14:paraId="1A99DF78">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1F787DB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Тромбоциттер, х 10</w:t>
            </w:r>
            <w:r>
              <w:rPr>
                <w:rFonts w:ascii="Times New Roman" w:hAnsi="Times New Roman" w:eastAsia="Times New Roman" w:cs="Times New Roman"/>
                <w:sz w:val="28"/>
                <w:szCs w:val="28"/>
                <w:vertAlign w:val="superscript"/>
              </w:rPr>
              <w:t>9</w:t>
            </w:r>
          </w:p>
        </w:tc>
        <w:tc>
          <w:tcPr>
            <w:tcW w:w="513" w:type="dxa"/>
            <w:tcBorders>
              <w:top w:val="nil"/>
              <w:left w:val="outset" w:color="auto" w:sz="6" w:space="0"/>
              <w:bottom w:val="outset" w:color="auto" w:sz="6" w:space="0"/>
              <w:right w:val="outset" w:color="auto" w:sz="6" w:space="0"/>
            </w:tcBorders>
          </w:tcPr>
          <w:p w14:paraId="6C7B6C6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235,0</w:t>
            </w:r>
          </w:p>
        </w:tc>
        <w:tc>
          <w:tcPr>
            <w:tcW w:w="1104" w:type="dxa"/>
            <w:tcBorders>
              <w:top w:val="nil"/>
              <w:left w:val="outset" w:color="auto" w:sz="6" w:space="0"/>
              <w:bottom w:val="outset" w:color="auto" w:sz="6" w:space="0"/>
              <w:right w:val="outset" w:color="auto" w:sz="6" w:space="0"/>
            </w:tcBorders>
          </w:tcPr>
          <w:p w14:paraId="55FAC1F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185,0–271,0</w:t>
            </w:r>
          </w:p>
        </w:tc>
        <w:tc>
          <w:tcPr>
            <w:tcW w:w="513" w:type="dxa"/>
            <w:tcBorders>
              <w:top w:val="nil"/>
              <w:left w:val="outset" w:color="auto" w:sz="6" w:space="0"/>
              <w:bottom w:val="outset" w:color="auto" w:sz="6" w:space="0"/>
              <w:right w:val="outset" w:color="auto" w:sz="6" w:space="0"/>
            </w:tcBorders>
          </w:tcPr>
          <w:p w14:paraId="0FEF5DF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252,0</w:t>
            </w:r>
          </w:p>
        </w:tc>
        <w:tc>
          <w:tcPr>
            <w:tcW w:w="1104" w:type="dxa"/>
            <w:tcBorders>
              <w:top w:val="nil"/>
              <w:left w:val="outset" w:color="auto" w:sz="6" w:space="0"/>
              <w:bottom w:val="outset" w:color="auto" w:sz="6" w:space="0"/>
              <w:right w:val="outset" w:color="auto" w:sz="6" w:space="0"/>
            </w:tcBorders>
          </w:tcPr>
          <w:p w14:paraId="6CF4D30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225,0–330,0</w:t>
            </w:r>
          </w:p>
        </w:tc>
        <w:tc>
          <w:tcPr>
            <w:tcW w:w="513" w:type="dxa"/>
            <w:tcBorders>
              <w:top w:val="nil"/>
              <w:left w:val="outset" w:color="auto" w:sz="6" w:space="0"/>
              <w:bottom w:val="outset" w:color="auto" w:sz="6" w:space="0"/>
              <w:right w:val="outset" w:color="auto" w:sz="6" w:space="0"/>
            </w:tcBorders>
          </w:tcPr>
          <w:p w14:paraId="074F940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227,0</w:t>
            </w:r>
          </w:p>
        </w:tc>
        <w:tc>
          <w:tcPr>
            <w:tcW w:w="1104" w:type="dxa"/>
            <w:tcBorders>
              <w:top w:val="nil"/>
              <w:left w:val="outset" w:color="auto" w:sz="6" w:space="0"/>
              <w:bottom w:val="outset" w:color="auto" w:sz="6" w:space="0"/>
              <w:right w:val="outset" w:color="auto" w:sz="6" w:space="0"/>
            </w:tcBorders>
          </w:tcPr>
          <w:p w14:paraId="12EE68B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201,0–292,0</w:t>
            </w:r>
          </w:p>
        </w:tc>
        <w:tc>
          <w:tcPr>
            <w:tcW w:w="513" w:type="dxa"/>
            <w:tcBorders>
              <w:top w:val="nil"/>
              <w:left w:val="outset" w:color="auto" w:sz="6" w:space="0"/>
              <w:bottom w:val="outset" w:color="auto" w:sz="6" w:space="0"/>
              <w:right w:val="outset" w:color="auto" w:sz="6" w:space="0"/>
            </w:tcBorders>
          </w:tcPr>
          <w:p w14:paraId="5F35349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262,0</w:t>
            </w:r>
          </w:p>
        </w:tc>
        <w:tc>
          <w:tcPr>
            <w:tcW w:w="1105" w:type="dxa"/>
            <w:tcBorders>
              <w:top w:val="nil"/>
              <w:left w:val="outset" w:color="auto" w:sz="6" w:space="0"/>
              <w:bottom w:val="outset" w:color="auto" w:sz="6" w:space="0"/>
              <w:right w:val="outset" w:color="auto" w:sz="6" w:space="0"/>
            </w:tcBorders>
          </w:tcPr>
          <w:p w14:paraId="172E559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250,0–282,0</w:t>
            </w:r>
          </w:p>
        </w:tc>
        <w:tc>
          <w:tcPr>
            <w:tcW w:w="1512" w:type="dxa"/>
            <w:tcBorders>
              <w:top w:val="nil"/>
              <w:left w:val="outset" w:color="auto" w:sz="6" w:space="0"/>
              <w:bottom w:val="outset" w:color="auto" w:sz="6" w:space="0"/>
              <w:right w:val="single" w:color="auto" w:sz="4" w:space="0"/>
            </w:tcBorders>
          </w:tcPr>
          <w:p w14:paraId="6796ADE4">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rPr>
              <w:t>0,184</w:t>
            </w:r>
          </w:p>
        </w:tc>
      </w:tr>
      <w:tr w14:paraId="2DC9037F">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1C1EB7B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Лимфоциттер</w:t>
            </w:r>
          </w:p>
        </w:tc>
        <w:tc>
          <w:tcPr>
            <w:tcW w:w="513" w:type="dxa"/>
            <w:tcBorders>
              <w:top w:val="nil"/>
              <w:left w:val="outset" w:color="auto" w:sz="6" w:space="0"/>
              <w:bottom w:val="outset" w:color="auto" w:sz="6" w:space="0"/>
              <w:right w:val="outset" w:color="auto" w:sz="6" w:space="0"/>
            </w:tcBorders>
          </w:tcPr>
          <w:p w14:paraId="6179C4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20,0</w:t>
            </w:r>
          </w:p>
        </w:tc>
        <w:tc>
          <w:tcPr>
            <w:tcW w:w="1104" w:type="dxa"/>
            <w:tcBorders>
              <w:top w:val="nil"/>
              <w:left w:val="outset" w:color="auto" w:sz="6" w:space="0"/>
              <w:bottom w:val="outset" w:color="auto" w:sz="6" w:space="0"/>
              <w:right w:val="outset" w:color="auto" w:sz="6" w:space="0"/>
            </w:tcBorders>
          </w:tcPr>
          <w:p w14:paraId="1774ACC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14,0–24,0</w:t>
            </w:r>
          </w:p>
        </w:tc>
        <w:tc>
          <w:tcPr>
            <w:tcW w:w="513" w:type="dxa"/>
            <w:tcBorders>
              <w:top w:val="nil"/>
              <w:left w:val="outset" w:color="auto" w:sz="6" w:space="0"/>
              <w:bottom w:val="outset" w:color="auto" w:sz="6" w:space="0"/>
              <w:right w:val="outset" w:color="auto" w:sz="6" w:space="0"/>
            </w:tcBorders>
          </w:tcPr>
          <w:p w14:paraId="7216452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21,5</w:t>
            </w:r>
          </w:p>
        </w:tc>
        <w:tc>
          <w:tcPr>
            <w:tcW w:w="1104" w:type="dxa"/>
            <w:tcBorders>
              <w:top w:val="nil"/>
              <w:left w:val="outset" w:color="auto" w:sz="6" w:space="0"/>
              <w:bottom w:val="outset" w:color="auto" w:sz="6" w:space="0"/>
              <w:right w:val="outset" w:color="auto" w:sz="6" w:space="0"/>
            </w:tcBorders>
          </w:tcPr>
          <w:p w14:paraId="5B68061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16,0–29,0</w:t>
            </w:r>
          </w:p>
        </w:tc>
        <w:tc>
          <w:tcPr>
            <w:tcW w:w="513" w:type="dxa"/>
            <w:tcBorders>
              <w:top w:val="nil"/>
              <w:left w:val="outset" w:color="auto" w:sz="6" w:space="0"/>
              <w:bottom w:val="outset" w:color="auto" w:sz="6" w:space="0"/>
              <w:right w:val="outset" w:color="auto" w:sz="6" w:space="0"/>
            </w:tcBorders>
          </w:tcPr>
          <w:p w14:paraId="40BDA1C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17,0</w:t>
            </w:r>
          </w:p>
        </w:tc>
        <w:tc>
          <w:tcPr>
            <w:tcW w:w="1104" w:type="dxa"/>
            <w:tcBorders>
              <w:top w:val="nil"/>
              <w:left w:val="outset" w:color="auto" w:sz="6" w:space="0"/>
              <w:bottom w:val="outset" w:color="auto" w:sz="6" w:space="0"/>
              <w:right w:val="outset" w:color="auto" w:sz="6" w:space="0"/>
            </w:tcBorders>
          </w:tcPr>
          <w:p w14:paraId="45F5175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15,0–22,0</w:t>
            </w:r>
          </w:p>
        </w:tc>
        <w:tc>
          <w:tcPr>
            <w:tcW w:w="513" w:type="dxa"/>
            <w:tcBorders>
              <w:top w:val="nil"/>
              <w:left w:val="outset" w:color="auto" w:sz="6" w:space="0"/>
              <w:bottom w:val="outset" w:color="auto" w:sz="6" w:space="0"/>
              <w:right w:val="outset" w:color="auto" w:sz="6" w:space="0"/>
            </w:tcBorders>
          </w:tcPr>
          <w:p w14:paraId="668CD3E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w:t>
            </w:r>
          </w:p>
        </w:tc>
        <w:tc>
          <w:tcPr>
            <w:tcW w:w="1105" w:type="dxa"/>
            <w:tcBorders>
              <w:top w:val="nil"/>
              <w:left w:val="outset" w:color="auto" w:sz="6" w:space="0"/>
              <w:bottom w:val="outset" w:color="auto" w:sz="6" w:space="0"/>
              <w:right w:val="outset" w:color="auto" w:sz="6" w:space="0"/>
            </w:tcBorders>
          </w:tcPr>
          <w:p w14:paraId="43A9E4F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10,0–19,0</w:t>
            </w:r>
          </w:p>
        </w:tc>
        <w:tc>
          <w:tcPr>
            <w:tcW w:w="1512" w:type="dxa"/>
            <w:tcBorders>
              <w:top w:val="nil"/>
              <w:left w:val="outset" w:color="auto" w:sz="6" w:space="0"/>
              <w:bottom w:val="outset" w:color="auto" w:sz="6" w:space="0"/>
              <w:right w:val="single" w:color="auto" w:sz="4" w:space="0"/>
            </w:tcBorders>
          </w:tcPr>
          <w:p w14:paraId="67C28DDB">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0,003</w:t>
            </w:r>
            <w:r>
              <w:rPr>
                <w:rFonts w:ascii="Times New Roman" w:hAnsi="Times New Roman" w:eastAsia="Times New Roman" w:cs="Times New Roman"/>
                <w:b/>
                <w:i/>
                <w:sz w:val="28"/>
                <w:szCs w:val="28"/>
              </w:rPr>
              <w:t>*</w:t>
            </w:r>
          </w:p>
        </w:tc>
      </w:tr>
      <w:tr w14:paraId="764E7AA0">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1397D90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Моноциттер</w:t>
            </w:r>
          </w:p>
        </w:tc>
        <w:tc>
          <w:tcPr>
            <w:tcW w:w="513" w:type="dxa"/>
            <w:tcBorders>
              <w:top w:val="nil"/>
              <w:left w:val="outset" w:color="auto" w:sz="6" w:space="0"/>
              <w:bottom w:val="outset" w:color="auto" w:sz="6" w:space="0"/>
              <w:right w:val="outset" w:color="auto" w:sz="6" w:space="0"/>
            </w:tcBorders>
          </w:tcPr>
          <w:p w14:paraId="436ED79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w:t>
            </w:r>
          </w:p>
        </w:tc>
        <w:tc>
          <w:tcPr>
            <w:tcW w:w="1104" w:type="dxa"/>
            <w:tcBorders>
              <w:top w:val="nil"/>
              <w:left w:val="outset" w:color="auto" w:sz="6" w:space="0"/>
              <w:bottom w:val="outset" w:color="auto" w:sz="6" w:space="0"/>
              <w:right w:val="outset" w:color="auto" w:sz="6" w:space="0"/>
            </w:tcBorders>
          </w:tcPr>
          <w:p w14:paraId="0E5165B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3,0–4,0</w:t>
            </w:r>
          </w:p>
        </w:tc>
        <w:tc>
          <w:tcPr>
            <w:tcW w:w="513" w:type="dxa"/>
            <w:tcBorders>
              <w:top w:val="nil"/>
              <w:left w:val="outset" w:color="auto" w:sz="6" w:space="0"/>
              <w:bottom w:val="outset" w:color="auto" w:sz="6" w:space="0"/>
              <w:right w:val="outset" w:color="auto" w:sz="6" w:space="0"/>
            </w:tcBorders>
          </w:tcPr>
          <w:p w14:paraId="63B8F21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w:t>
            </w:r>
          </w:p>
        </w:tc>
        <w:tc>
          <w:tcPr>
            <w:tcW w:w="1104" w:type="dxa"/>
            <w:tcBorders>
              <w:top w:val="nil"/>
              <w:left w:val="outset" w:color="auto" w:sz="6" w:space="0"/>
              <w:bottom w:val="outset" w:color="auto" w:sz="6" w:space="0"/>
              <w:right w:val="outset" w:color="auto" w:sz="6" w:space="0"/>
            </w:tcBorders>
          </w:tcPr>
          <w:p w14:paraId="492CC59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3,0–4,0</w:t>
            </w:r>
          </w:p>
        </w:tc>
        <w:tc>
          <w:tcPr>
            <w:tcW w:w="513" w:type="dxa"/>
            <w:tcBorders>
              <w:top w:val="nil"/>
              <w:left w:val="outset" w:color="auto" w:sz="6" w:space="0"/>
              <w:bottom w:val="outset" w:color="auto" w:sz="6" w:space="0"/>
              <w:right w:val="outset" w:color="auto" w:sz="6" w:space="0"/>
            </w:tcBorders>
          </w:tcPr>
          <w:p w14:paraId="55A5B64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w:t>
            </w:r>
          </w:p>
        </w:tc>
        <w:tc>
          <w:tcPr>
            <w:tcW w:w="1104" w:type="dxa"/>
            <w:tcBorders>
              <w:top w:val="nil"/>
              <w:left w:val="outset" w:color="auto" w:sz="6" w:space="0"/>
              <w:bottom w:val="outset" w:color="auto" w:sz="6" w:space="0"/>
              <w:right w:val="outset" w:color="auto" w:sz="6" w:space="0"/>
            </w:tcBorders>
          </w:tcPr>
          <w:p w14:paraId="514FB6D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3,0–5,0</w:t>
            </w:r>
          </w:p>
        </w:tc>
        <w:tc>
          <w:tcPr>
            <w:tcW w:w="513" w:type="dxa"/>
            <w:tcBorders>
              <w:top w:val="nil"/>
              <w:left w:val="outset" w:color="auto" w:sz="6" w:space="0"/>
              <w:bottom w:val="outset" w:color="auto" w:sz="6" w:space="0"/>
              <w:right w:val="outset" w:color="auto" w:sz="6" w:space="0"/>
            </w:tcBorders>
          </w:tcPr>
          <w:p w14:paraId="7A26FEA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w:t>
            </w:r>
          </w:p>
        </w:tc>
        <w:tc>
          <w:tcPr>
            <w:tcW w:w="1105" w:type="dxa"/>
            <w:tcBorders>
              <w:top w:val="nil"/>
              <w:left w:val="outset" w:color="auto" w:sz="6" w:space="0"/>
              <w:bottom w:val="outset" w:color="auto" w:sz="6" w:space="0"/>
              <w:right w:val="outset" w:color="auto" w:sz="6" w:space="0"/>
            </w:tcBorders>
          </w:tcPr>
          <w:p w14:paraId="4504E3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3,0–5,00</w:t>
            </w:r>
          </w:p>
        </w:tc>
        <w:tc>
          <w:tcPr>
            <w:tcW w:w="1512" w:type="dxa"/>
            <w:tcBorders>
              <w:top w:val="nil"/>
              <w:left w:val="outset" w:color="auto" w:sz="6" w:space="0"/>
              <w:bottom w:val="outset" w:color="auto" w:sz="6" w:space="0"/>
              <w:right w:val="single" w:color="auto" w:sz="4" w:space="0"/>
            </w:tcBorders>
          </w:tcPr>
          <w:p w14:paraId="67A3144B">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rPr>
              <w:t>0,942</w:t>
            </w:r>
          </w:p>
        </w:tc>
      </w:tr>
      <w:tr w14:paraId="33A7ADC4">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vAlign w:val="center"/>
          </w:tcPr>
          <w:p w14:paraId="3BC3563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Таяқша ядролық нейтрофилдер</w:t>
            </w:r>
          </w:p>
        </w:tc>
        <w:tc>
          <w:tcPr>
            <w:tcW w:w="513" w:type="dxa"/>
            <w:tcBorders>
              <w:top w:val="nil"/>
              <w:left w:val="outset" w:color="auto" w:sz="6" w:space="0"/>
              <w:bottom w:val="outset" w:color="auto" w:sz="6" w:space="0"/>
              <w:right w:val="outset" w:color="auto" w:sz="6" w:space="0"/>
            </w:tcBorders>
          </w:tcPr>
          <w:p w14:paraId="4FCF73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w:t>
            </w:r>
          </w:p>
        </w:tc>
        <w:tc>
          <w:tcPr>
            <w:tcW w:w="1104" w:type="dxa"/>
            <w:tcBorders>
              <w:top w:val="nil"/>
              <w:left w:val="outset" w:color="auto" w:sz="6" w:space="0"/>
              <w:bottom w:val="outset" w:color="auto" w:sz="6" w:space="0"/>
              <w:right w:val="outset" w:color="auto" w:sz="6" w:space="0"/>
            </w:tcBorders>
          </w:tcPr>
          <w:p w14:paraId="6482F84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2,0–3,0</w:t>
            </w:r>
          </w:p>
        </w:tc>
        <w:tc>
          <w:tcPr>
            <w:tcW w:w="513" w:type="dxa"/>
            <w:tcBorders>
              <w:top w:val="nil"/>
              <w:left w:val="outset" w:color="auto" w:sz="6" w:space="0"/>
              <w:bottom w:val="outset" w:color="auto" w:sz="6" w:space="0"/>
              <w:right w:val="outset" w:color="auto" w:sz="6" w:space="0"/>
            </w:tcBorders>
          </w:tcPr>
          <w:p w14:paraId="0F7B1DE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w:t>
            </w:r>
          </w:p>
        </w:tc>
        <w:tc>
          <w:tcPr>
            <w:tcW w:w="1104" w:type="dxa"/>
            <w:tcBorders>
              <w:top w:val="nil"/>
              <w:left w:val="outset" w:color="auto" w:sz="6" w:space="0"/>
              <w:bottom w:val="outset" w:color="auto" w:sz="6" w:space="0"/>
              <w:right w:val="outset" w:color="auto" w:sz="6" w:space="0"/>
            </w:tcBorders>
          </w:tcPr>
          <w:p w14:paraId="0136C8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1,0–4,0</w:t>
            </w:r>
          </w:p>
        </w:tc>
        <w:tc>
          <w:tcPr>
            <w:tcW w:w="513" w:type="dxa"/>
            <w:tcBorders>
              <w:top w:val="nil"/>
              <w:left w:val="outset" w:color="auto" w:sz="6" w:space="0"/>
              <w:bottom w:val="outset" w:color="auto" w:sz="6" w:space="0"/>
              <w:right w:val="outset" w:color="auto" w:sz="6" w:space="0"/>
            </w:tcBorders>
          </w:tcPr>
          <w:p w14:paraId="2DAAA5C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7,0</w:t>
            </w:r>
          </w:p>
        </w:tc>
        <w:tc>
          <w:tcPr>
            <w:tcW w:w="1104" w:type="dxa"/>
            <w:tcBorders>
              <w:top w:val="nil"/>
              <w:left w:val="outset" w:color="auto" w:sz="6" w:space="0"/>
              <w:bottom w:val="outset" w:color="auto" w:sz="6" w:space="0"/>
              <w:right w:val="outset" w:color="auto" w:sz="6" w:space="0"/>
            </w:tcBorders>
          </w:tcPr>
          <w:p w14:paraId="06A713C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4,0–8,0</w:t>
            </w:r>
          </w:p>
        </w:tc>
        <w:tc>
          <w:tcPr>
            <w:tcW w:w="513" w:type="dxa"/>
            <w:tcBorders>
              <w:top w:val="nil"/>
              <w:left w:val="outset" w:color="auto" w:sz="6" w:space="0"/>
              <w:bottom w:val="outset" w:color="auto" w:sz="6" w:space="0"/>
              <w:right w:val="outset" w:color="auto" w:sz="6" w:space="0"/>
            </w:tcBorders>
          </w:tcPr>
          <w:p w14:paraId="52AD51C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7,0</w:t>
            </w:r>
          </w:p>
        </w:tc>
        <w:tc>
          <w:tcPr>
            <w:tcW w:w="1105" w:type="dxa"/>
            <w:tcBorders>
              <w:top w:val="nil"/>
              <w:left w:val="outset" w:color="auto" w:sz="6" w:space="0"/>
              <w:bottom w:val="outset" w:color="auto" w:sz="6" w:space="0"/>
              <w:right w:val="outset" w:color="auto" w:sz="6" w:space="0"/>
            </w:tcBorders>
          </w:tcPr>
          <w:p w14:paraId="5E280BA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6,0–9,00</w:t>
            </w:r>
          </w:p>
        </w:tc>
        <w:tc>
          <w:tcPr>
            <w:tcW w:w="1512" w:type="dxa"/>
            <w:tcBorders>
              <w:top w:val="nil"/>
              <w:left w:val="outset" w:color="auto" w:sz="6" w:space="0"/>
              <w:bottom w:val="outset" w:color="auto" w:sz="6" w:space="0"/>
              <w:right w:val="single" w:color="auto" w:sz="4" w:space="0"/>
            </w:tcBorders>
          </w:tcPr>
          <w:p w14:paraId="41534C6C">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r>
      <w:tr w14:paraId="5E351FC7">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42C20C9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Сегментті ядролық</w:t>
            </w:r>
          </w:p>
          <w:p w14:paraId="29692B1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513" w:type="dxa"/>
            <w:tcBorders>
              <w:top w:val="nil"/>
              <w:left w:val="outset" w:color="auto" w:sz="6" w:space="0"/>
              <w:bottom w:val="outset" w:color="auto" w:sz="6" w:space="0"/>
              <w:right w:val="outset" w:color="auto" w:sz="6" w:space="0"/>
            </w:tcBorders>
          </w:tcPr>
          <w:p w14:paraId="42A7A47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71,0</w:t>
            </w:r>
          </w:p>
        </w:tc>
        <w:tc>
          <w:tcPr>
            <w:tcW w:w="1104" w:type="dxa"/>
            <w:tcBorders>
              <w:top w:val="nil"/>
              <w:left w:val="outset" w:color="auto" w:sz="6" w:space="0"/>
              <w:bottom w:val="outset" w:color="auto" w:sz="6" w:space="0"/>
              <w:right w:val="outset" w:color="auto" w:sz="6" w:space="0"/>
            </w:tcBorders>
          </w:tcPr>
          <w:p w14:paraId="345E4F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68,0–76,0</w:t>
            </w:r>
          </w:p>
        </w:tc>
        <w:tc>
          <w:tcPr>
            <w:tcW w:w="513" w:type="dxa"/>
            <w:tcBorders>
              <w:top w:val="nil"/>
              <w:left w:val="outset" w:color="auto" w:sz="6" w:space="0"/>
              <w:bottom w:val="outset" w:color="auto" w:sz="6" w:space="0"/>
              <w:right w:val="outset" w:color="auto" w:sz="6" w:space="0"/>
            </w:tcBorders>
          </w:tcPr>
          <w:p w14:paraId="210A0CB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71,0</w:t>
            </w:r>
          </w:p>
        </w:tc>
        <w:tc>
          <w:tcPr>
            <w:tcW w:w="1104" w:type="dxa"/>
            <w:tcBorders>
              <w:top w:val="nil"/>
              <w:left w:val="outset" w:color="auto" w:sz="6" w:space="0"/>
              <w:bottom w:val="outset" w:color="auto" w:sz="6" w:space="0"/>
              <w:right w:val="outset" w:color="auto" w:sz="6" w:space="0"/>
            </w:tcBorders>
          </w:tcPr>
          <w:p w14:paraId="1997A90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65,0–74,0</w:t>
            </w:r>
          </w:p>
        </w:tc>
        <w:tc>
          <w:tcPr>
            <w:tcW w:w="513" w:type="dxa"/>
            <w:tcBorders>
              <w:top w:val="nil"/>
              <w:left w:val="outset" w:color="auto" w:sz="6" w:space="0"/>
              <w:bottom w:val="outset" w:color="auto" w:sz="6" w:space="0"/>
              <w:right w:val="outset" w:color="auto" w:sz="6" w:space="0"/>
            </w:tcBorders>
          </w:tcPr>
          <w:p w14:paraId="6A3BF00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70,0</w:t>
            </w:r>
          </w:p>
        </w:tc>
        <w:tc>
          <w:tcPr>
            <w:tcW w:w="1104" w:type="dxa"/>
            <w:tcBorders>
              <w:top w:val="nil"/>
              <w:left w:val="outset" w:color="auto" w:sz="6" w:space="0"/>
              <w:bottom w:val="outset" w:color="auto" w:sz="6" w:space="0"/>
              <w:right w:val="outset" w:color="auto" w:sz="6" w:space="0"/>
            </w:tcBorders>
          </w:tcPr>
          <w:p w14:paraId="1874BDE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64,0–72,0</w:t>
            </w:r>
          </w:p>
        </w:tc>
        <w:tc>
          <w:tcPr>
            <w:tcW w:w="513" w:type="dxa"/>
            <w:tcBorders>
              <w:top w:val="nil"/>
              <w:left w:val="outset" w:color="auto" w:sz="6" w:space="0"/>
              <w:bottom w:val="outset" w:color="auto" w:sz="6" w:space="0"/>
              <w:right w:val="outset" w:color="auto" w:sz="6" w:space="0"/>
            </w:tcBorders>
          </w:tcPr>
          <w:p w14:paraId="51A6DE1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72,0</w:t>
            </w:r>
          </w:p>
        </w:tc>
        <w:tc>
          <w:tcPr>
            <w:tcW w:w="1105" w:type="dxa"/>
            <w:tcBorders>
              <w:top w:val="nil"/>
              <w:left w:val="outset" w:color="auto" w:sz="6" w:space="0"/>
              <w:bottom w:val="outset" w:color="auto" w:sz="6" w:space="0"/>
              <w:right w:val="outset" w:color="auto" w:sz="6" w:space="0"/>
            </w:tcBorders>
          </w:tcPr>
          <w:p w14:paraId="09A35D5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69,0–74,00</w:t>
            </w:r>
          </w:p>
        </w:tc>
        <w:tc>
          <w:tcPr>
            <w:tcW w:w="1512" w:type="dxa"/>
            <w:tcBorders>
              <w:top w:val="nil"/>
              <w:left w:val="outset" w:color="auto" w:sz="6" w:space="0"/>
              <w:bottom w:val="outset" w:color="auto" w:sz="6" w:space="0"/>
              <w:right w:val="single" w:color="auto" w:sz="4" w:space="0"/>
            </w:tcBorders>
          </w:tcPr>
          <w:p w14:paraId="5B40C0E6">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rPr>
              <w:t>0,404</w:t>
            </w:r>
          </w:p>
        </w:tc>
      </w:tr>
      <w:tr w14:paraId="38C18E54">
        <w:tblPrEx>
          <w:tblCellMar>
            <w:top w:w="15" w:type="dxa"/>
            <w:left w:w="15" w:type="dxa"/>
            <w:bottom w:w="15" w:type="dxa"/>
            <w:right w:w="15" w:type="dxa"/>
          </w:tblCellMar>
        </w:tblPrEx>
        <w:tc>
          <w:tcPr>
            <w:tcW w:w="1404" w:type="dxa"/>
            <w:tcBorders>
              <w:top w:val="nil"/>
              <w:left w:val="outset" w:color="auto" w:sz="6" w:space="0"/>
              <w:bottom w:val="outset" w:color="auto" w:sz="6" w:space="0"/>
              <w:right w:val="outset" w:color="auto" w:sz="6" w:space="0"/>
            </w:tcBorders>
          </w:tcPr>
          <w:p w14:paraId="3711088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Эозинофилдер</w:t>
            </w:r>
          </w:p>
        </w:tc>
        <w:tc>
          <w:tcPr>
            <w:tcW w:w="513" w:type="dxa"/>
            <w:tcBorders>
              <w:top w:val="nil"/>
              <w:left w:val="outset" w:color="auto" w:sz="6" w:space="0"/>
              <w:bottom w:val="outset" w:color="auto" w:sz="6" w:space="0"/>
              <w:right w:val="outset" w:color="auto" w:sz="6" w:space="0"/>
            </w:tcBorders>
          </w:tcPr>
          <w:p w14:paraId="2381312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w:t>
            </w:r>
          </w:p>
        </w:tc>
        <w:tc>
          <w:tcPr>
            <w:tcW w:w="1104" w:type="dxa"/>
            <w:tcBorders>
              <w:top w:val="nil"/>
              <w:left w:val="outset" w:color="auto" w:sz="6" w:space="0"/>
              <w:bottom w:val="outset" w:color="auto" w:sz="6" w:space="0"/>
              <w:right w:val="outset" w:color="auto" w:sz="6" w:space="0"/>
            </w:tcBorders>
          </w:tcPr>
          <w:p w14:paraId="2E48A18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2,0–3,0</w:t>
            </w:r>
          </w:p>
        </w:tc>
        <w:tc>
          <w:tcPr>
            <w:tcW w:w="513" w:type="dxa"/>
            <w:tcBorders>
              <w:top w:val="nil"/>
              <w:left w:val="outset" w:color="auto" w:sz="6" w:space="0"/>
              <w:bottom w:val="outset" w:color="auto" w:sz="6" w:space="0"/>
              <w:right w:val="outset" w:color="auto" w:sz="6" w:space="0"/>
            </w:tcBorders>
          </w:tcPr>
          <w:p w14:paraId="3368AC0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w:t>
            </w:r>
          </w:p>
        </w:tc>
        <w:tc>
          <w:tcPr>
            <w:tcW w:w="1104" w:type="dxa"/>
            <w:tcBorders>
              <w:top w:val="nil"/>
              <w:left w:val="outset" w:color="auto" w:sz="6" w:space="0"/>
              <w:bottom w:val="outset" w:color="auto" w:sz="6" w:space="0"/>
              <w:right w:val="outset" w:color="auto" w:sz="6" w:space="0"/>
            </w:tcBorders>
          </w:tcPr>
          <w:p w14:paraId="519B698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1,0–3,0</w:t>
            </w:r>
          </w:p>
        </w:tc>
        <w:tc>
          <w:tcPr>
            <w:tcW w:w="513" w:type="dxa"/>
            <w:tcBorders>
              <w:top w:val="nil"/>
              <w:left w:val="outset" w:color="auto" w:sz="6" w:space="0"/>
              <w:bottom w:val="outset" w:color="auto" w:sz="6" w:space="0"/>
              <w:right w:val="outset" w:color="auto" w:sz="6" w:space="0"/>
            </w:tcBorders>
          </w:tcPr>
          <w:p w14:paraId="522CE8C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w:t>
            </w:r>
          </w:p>
        </w:tc>
        <w:tc>
          <w:tcPr>
            <w:tcW w:w="1104" w:type="dxa"/>
            <w:tcBorders>
              <w:top w:val="nil"/>
              <w:left w:val="outset" w:color="auto" w:sz="6" w:space="0"/>
              <w:bottom w:val="outset" w:color="auto" w:sz="6" w:space="0"/>
              <w:right w:val="outset" w:color="auto" w:sz="6" w:space="0"/>
            </w:tcBorders>
          </w:tcPr>
          <w:p w14:paraId="1FEA76E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2,0–4,0</w:t>
            </w:r>
          </w:p>
        </w:tc>
        <w:tc>
          <w:tcPr>
            <w:tcW w:w="513" w:type="dxa"/>
            <w:tcBorders>
              <w:top w:val="nil"/>
              <w:left w:val="outset" w:color="auto" w:sz="6" w:space="0"/>
              <w:bottom w:val="outset" w:color="auto" w:sz="6" w:space="0"/>
              <w:right w:val="outset" w:color="auto" w:sz="6" w:space="0"/>
            </w:tcBorders>
          </w:tcPr>
          <w:p w14:paraId="00E1462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w:t>
            </w:r>
          </w:p>
        </w:tc>
        <w:tc>
          <w:tcPr>
            <w:tcW w:w="1105" w:type="dxa"/>
            <w:tcBorders>
              <w:top w:val="nil"/>
              <w:left w:val="outset" w:color="auto" w:sz="6" w:space="0"/>
              <w:bottom w:val="outset" w:color="auto" w:sz="6" w:space="0"/>
              <w:right w:val="outset" w:color="auto" w:sz="6" w:space="0"/>
            </w:tcBorders>
          </w:tcPr>
          <w:p w14:paraId="5D4C264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2,0–4,00</w:t>
            </w:r>
          </w:p>
        </w:tc>
        <w:tc>
          <w:tcPr>
            <w:tcW w:w="1512" w:type="dxa"/>
            <w:tcBorders>
              <w:top w:val="nil"/>
              <w:left w:val="outset" w:color="auto" w:sz="6" w:space="0"/>
              <w:bottom w:val="outset" w:color="auto" w:sz="6" w:space="0"/>
              <w:right w:val="single" w:color="auto" w:sz="4" w:space="0"/>
            </w:tcBorders>
          </w:tcPr>
          <w:p w14:paraId="4D650D71">
            <w:pPr>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rPr>
              <w:t>0,013</w:t>
            </w:r>
            <w:r>
              <w:rPr>
                <w:rFonts w:ascii="Times New Roman" w:hAnsi="Times New Roman" w:eastAsia="Times New Roman" w:cs="Times New Roman"/>
                <w:b/>
                <w:i/>
                <w:sz w:val="28"/>
                <w:szCs w:val="28"/>
              </w:rPr>
              <w:t>*</w:t>
            </w:r>
          </w:p>
        </w:tc>
      </w:tr>
      <w:tr w14:paraId="216D86BE">
        <w:tblPrEx>
          <w:tblCellMar>
            <w:top w:w="15" w:type="dxa"/>
            <w:left w:w="15" w:type="dxa"/>
            <w:bottom w:w="15" w:type="dxa"/>
            <w:right w:w="15" w:type="dxa"/>
          </w:tblCellMar>
        </w:tblPrEx>
        <w:tc>
          <w:tcPr>
            <w:tcW w:w="9385" w:type="dxa"/>
            <w:gridSpan w:val="10"/>
            <w:tcBorders>
              <w:top w:val="nil"/>
              <w:left w:val="outset" w:color="auto" w:sz="6" w:space="0"/>
              <w:bottom w:val="outset" w:color="auto" w:sz="6" w:space="0"/>
              <w:right w:val="outset" w:color="auto" w:sz="6" w:space="0"/>
            </w:tcBorders>
          </w:tcPr>
          <w:p w14:paraId="747E0407">
            <w:pPr>
              <w:widowControl w:val="0"/>
              <w:autoSpaceDE w:val="0"/>
              <w:autoSpaceDN w:val="0"/>
              <w:spacing w:after="0" w:line="276" w:lineRule="auto"/>
              <w:jc w:val="both"/>
              <w:outlineLvl w:val="0"/>
              <w:rPr>
                <w:rFonts w:ascii="Times New Roman" w:hAnsi="Times New Roman" w:eastAsia="Times New Roman" w:cs="Times New Roman"/>
                <w:b/>
                <w:i/>
                <w:sz w:val="28"/>
                <w:szCs w:val="28"/>
              </w:rPr>
            </w:pPr>
            <w:r>
              <w:rPr>
                <w:rFonts w:ascii="Times New Roman" w:hAnsi="Times New Roman" w:eastAsia="Times New Roman" w:cs="Times New Roman"/>
                <w:i/>
                <w:sz w:val="28"/>
                <w:szCs w:val="28"/>
              </w:rPr>
              <w:t xml:space="preserve">*–Краскел–Уоллис критерийі бойынша айырмашылығы, көрсеткіштердің өзгеруінің растығы бойынша р&lt;0.05  </w:t>
            </w:r>
          </w:p>
        </w:tc>
      </w:tr>
    </w:tbl>
    <w:p w14:paraId="01D6E6C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2C609CF7">
      <w:pPr>
        <w:widowControl w:val="0"/>
        <w:autoSpaceDE w:val="0"/>
        <w:autoSpaceDN w:val="0"/>
        <w:spacing w:after="0" w:line="276" w:lineRule="auto"/>
        <w:ind w:firstLine="709"/>
        <w:jc w:val="both"/>
        <w:outlineLvl w:val="0"/>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 xml:space="preserve">Семіздігі бар жүкті әйелдер тобында (3-топ) гемоглобин деңгейі қалыпты болғанымен, эритроциттер деңгейінің шамамен 5%-ға төмендеуі және лимфоциттердің төмендеуі қабыну және гипоксия механизмдері арқылы қан жасушаларына әсер етуі мүмкіндігін көрсетеді. Таяқша ядролы нейтрофилдердің жоғарылауы және ЭТЖ деңгейінің артуы қабыну процестерінің белсенділігін растайды. Бұл семіздік пен қабынудың өзара байланысын зерттеу қажеттілігін көрсетеді. </w:t>
      </w:r>
    </w:p>
    <w:p w14:paraId="1172717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color w:val="000000"/>
          <w:sz w:val="28"/>
          <w:szCs w:val="28"/>
          <w:lang w:eastAsia="ru-RU"/>
        </w:rPr>
        <w:t>Тромбоциттер мен моноциттер көрсеткіштері бойынша топтар арасында маңызды айырмашылық анықталмады, бірақ семіздігі бар топтарда қалыпты деңгейге жақын мәндер тіркелді.</w:t>
      </w:r>
    </w:p>
    <w:p w14:paraId="6E76F85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Жүкті әйелдерден стандартты зертханалық тексеру аясында коагулограмма көрсеткіштері алынды. Талдау нәтижелері бойынша топтар арасында жалпы коагулограммалық көрсеткіштерде айтарлықтай статистикалық маңызды айырмашылықтар анықталған жоқ. Дегенмен, протромбин индексі бақылау тобымен салыстырғанда негізгі топтарда шамалы жоғарылағаны байқалды (7-кесте). </w:t>
      </w:r>
    </w:p>
    <w:p w14:paraId="6522A20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7CAE16BE">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Кесте – 7. Жүкті әйелдердің зертханалық көрсеткіштерін (коагулограмма) салыстырмалы бағалау</w:t>
      </w:r>
    </w:p>
    <w:p w14:paraId="3DAB6611">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tbl>
      <w:tblPr>
        <w:tblStyle w:val="5"/>
        <w:tblW w:w="0" w:type="auto"/>
        <w:tblInd w:w="0" w:type="dxa"/>
        <w:tblLayout w:type="autofit"/>
        <w:tblCellMar>
          <w:top w:w="15" w:type="dxa"/>
          <w:left w:w="15" w:type="dxa"/>
          <w:bottom w:w="15" w:type="dxa"/>
          <w:right w:w="15" w:type="dxa"/>
        </w:tblCellMar>
      </w:tblPr>
      <w:tblGrid>
        <w:gridCol w:w="1606"/>
        <w:gridCol w:w="464"/>
        <w:gridCol w:w="1024"/>
        <w:gridCol w:w="465"/>
        <w:gridCol w:w="1024"/>
        <w:gridCol w:w="465"/>
        <w:gridCol w:w="1024"/>
        <w:gridCol w:w="465"/>
        <w:gridCol w:w="1148"/>
        <w:gridCol w:w="1700"/>
      </w:tblGrid>
      <w:tr w14:paraId="49CA0231">
        <w:tblPrEx>
          <w:tblCellMar>
            <w:top w:w="15" w:type="dxa"/>
            <w:left w:w="15" w:type="dxa"/>
            <w:bottom w:w="15" w:type="dxa"/>
            <w:right w:w="15" w:type="dxa"/>
          </w:tblCellMar>
        </w:tblPrEx>
        <w:tc>
          <w:tcPr>
            <w:tcW w:w="0" w:type="auto"/>
            <w:gridSpan w:val="10"/>
            <w:tcBorders>
              <w:top w:val="outset" w:color="auto" w:sz="6" w:space="0"/>
              <w:left w:val="outset" w:color="auto" w:sz="6" w:space="0"/>
              <w:bottom w:val="outset" w:color="auto" w:sz="6" w:space="0"/>
              <w:right w:val="outset" w:color="auto" w:sz="6" w:space="0"/>
            </w:tcBorders>
          </w:tcPr>
          <w:p w14:paraId="73777B8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Коагулограмма</w:t>
            </w:r>
          </w:p>
        </w:tc>
      </w:tr>
      <w:tr w14:paraId="60565B77">
        <w:tblPrEx>
          <w:tblCellMar>
            <w:top w:w="15" w:type="dxa"/>
            <w:left w:w="15" w:type="dxa"/>
            <w:bottom w:w="15" w:type="dxa"/>
            <w:right w:w="15" w:type="dxa"/>
          </w:tblCellMar>
        </w:tblPrEx>
        <w:tc>
          <w:tcPr>
            <w:tcW w:w="0" w:type="auto"/>
            <w:vMerge w:val="restart"/>
            <w:tcBorders>
              <w:top w:val="nil"/>
              <w:left w:val="outset" w:color="auto" w:sz="6" w:space="0"/>
              <w:bottom w:val="outset" w:color="auto" w:sz="6" w:space="0"/>
              <w:right w:val="outset" w:color="auto" w:sz="6" w:space="0"/>
            </w:tcBorders>
          </w:tcPr>
          <w:p w14:paraId="65C2F53B">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Көрсеткіштер</w:t>
            </w:r>
          </w:p>
        </w:tc>
        <w:tc>
          <w:tcPr>
            <w:tcW w:w="0" w:type="auto"/>
            <w:gridSpan w:val="2"/>
            <w:tcBorders>
              <w:top w:val="outset" w:color="auto" w:sz="6" w:space="0"/>
              <w:left w:val="outset" w:color="auto" w:sz="6" w:space="0"/>
              <w:bottom w:val="outset" w:color="auto" w:sz="6" w:space="0"/>
              <w:right w:val="outset" w:color="auto" w:sz="6" w:space="0"/>
            </w:tcBorders>
          </w:tcPr>
          <w:p w14:paraId="0346B3B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Бақылау</w:t>
            </w:r>
          </w:p>
          <w:p w14:paraId="4A6896A5">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тобы</w:t>
            </w:r>
          </w:p>
        </w:tc>
        <w:tc>
          <w:tcPr>
            <w:tcW w:w="0" w:type="auto"/>
            <w:gridSpan w:val="6"/>
            <w:tcBorders>
              <w:top w:val="outset" w:color="auto" w:sz="6" w:space="0"/>
              <w:left w:val="outset" w:color="auto" w:sz="6" w:space="0"/>
              <w:bottom w:val="outset" w:color="auto" w:sz="6" w:space="0"/>
              <w:right w:val="outset" w:color="auto" w:sz="6" w:space="0"/>
            </w:tcBorders>
          </w:tcPr>
          <w:p w14:paraId="29680FC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Негізгі топтар</w:t>
            </w:r>
          </w:p>
        </w:tc>
        <w:tc>
          <w:tcPr>
            <w:tcW w:w="0" w:type="auto"/>
            <w:vMerge w:val="restart"/>
            <w:tcBorders>
              <w:top w:val="outset" w:color="auto" w:sz="6" w:space="0"/>
              <w:left w:val="outset" w:color="auto" w:sz="6" w:space="0"/>
              <w:bottom w:val="outset" w:color="auto" w:sz="6" w:space="0"/>
              <w:right w:val="outset" w:color="auto" w:sz="6" w:space="0"/>
            </w:tcBorders>
          </w:tcPr>
          <w:p w14:paraId="183171D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Kruskal–Wallis test </w:t>
            </w:r>
          </w:p>
          <w:p w14:paraId="3BE87828">
            <w:pPr>
              <w:widowControl w:val="0"/>
              <w:autoSpaceDE w:val="0"/>
              <w:autoSpaceDN w:val="0"/>
              <w:spacing w:after="0" w:line="276" w:lineRule="auto"/>
              <w:jc w:val="both"/>
              <w:outlineLvl w:val="0"/>
              <w:rPr>
                <w:rFonts w:ascii="Times New Roman" w:hAnsi="Times New Roman" w:eastAsia="Times New Roman" w:cs="Times New Roman"/>
                <w:b/>
                <w:bCs/>
                <w:sz w:val="28"/>
                <w:szCs w:val="28"/>
              </w:rPr>
            </w:pPr>
          </w:p>
        </w:tc>
      </w:tr>
      <w:tr w14:paraId="35A2944E">
        <w:tblPrEx>
          <w:tblCellMar>
            <w:top w:w="15" w:type="dxa"/>
            <w:left w:w="15" w:type="dxa"/>
            <w:bottom w:w="15" w:type="dxa"/>
            <w:right w:w="15" w:type="dxa"/>
          </w:tblCellMar>
        </w:tblPrEx>
        <w:tc>
          <w:tcPr>
            <w:tcW w:w="0" w:type="auto"/>
            <w:vMerge w:val="continue"/>
            <w:tcBorders>
              <w:top w:val="nil"/>
              <w:left w:val="outset" w:color="auto" w:sz="6" w:space="0"/>
              <w:bottom w:val="outset" w:color="auto" w:sz="6" w:space="0"/>
              <w:right w:val="outset" w:color="auto" w:sz="6" w:space="0"/>
            </w:tcBorders>
            <w:vAlign w:val="center"/>
          </w:tcPr>
          <w:p w14:paraId="6BFFC243">
            <w:pPr>
              <w:spacing w:after="0" w:line="276" w:lineRule="auto"/>
              <w:jc w:val="both"/>
              <w:outlineLvl w:val="0"/>
              <w:rPr>
                <w:rFonts w:ascii="Times New Roman" w:hAnsi="Times New Roman" w:eastAsia="Times New Roman" w:cs="Times New Roman"/>
                <w:b/>
                <w:bCs/>
                <w:sz w:val="28"/>
                <w:szCs w:val="28"/>
              </w:rPr>
            </w:pPr>
          </w:p>
        </w:tc>
        <w:tc>
          <w:tcPr>
            <w:tcW w:w="0" w:type="auto"/>
            <w:gridSpan w:val="2"/>
            <w:tcBorders>
              <w:top w:val="nil"/>
              <w:left w:val="outset" w:color="auto" w:sz="6" w:space="0"/>
              <w:bottom w:val="outset" w:color="auto" w:sz="6" w:space="0"/>
              <w:right w:val="outset" w:color="auto" w:sz="6" w:space="0"/>
            </w:tcBorders>
          </w:tcPr>
          <w:p w14:paraId="4DCC82F8">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топ</w:t>
            </w:r>
          </w:p>
          <w:p w14:paraId="39C93D09">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(n=43)</w:t>
            </w:r>
          </w:p>
        </w:tc>
        <w:tc>
          <w:tcPr>
            <w:tcW w:w="0" w:type="auto"/>
            <w:gridSpan w:val="2"/>
            <w:tcBorders>
              <w:top w:val="nil"/>
              <w:left w:val="outset" w:color="auto" w:sz="6" w:space="0"/>
              <w:bottom w:val="outset" w:color="auto" w:sz="6" w:space="0"/>
              <w:right w:val="outset" w:color="auto" w:sz="6" w:space="0"/>
            </w:tcBorders>
          </w:tcPr>
          <w:p w14:paraId="78374D0B">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топ</w:t>
            </w:r>
          </w:p>
          <w:p w14:paraId="7C93A9D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(n=40)</w:t>
            </w:r>
          </w:p>
        </w:tc>
        <w:tc>
          <w:tcPr>
            <w:tcW w:w="0" w:type="auto"/>
            <w:gridSpan w:val="2"/>
            <w:tcBorders>
              <w:top w:val="nil"/>
              <w:left w:val="outset" w:color="auto" w:sz="6" w:space="0"/>
              <w:bottom w:val="outset" w:color="auto" w:sz="6" w:space="0"/>
              <w:right w:val="outset" w:color="auto" w:sz="6" w:space="0"/>
            </w:tcBorders>
          </w:tcPr>
          <w:p w14:paraId="47E766E9">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топ</w:t>
            </w:r>
          </w:p>
          <w:p w14:paraId="1363CF5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(n=48)</w:t>
            </w:r>
          </w:p>
        </w:tc>
        <w:tc>
          <w:tcPr>
            <w:tcW w:w="0" w:type="auto"/>
            <w:gridSpan w:val="2"/>
            <w:tcBorders>
              <w:top w:val="outset" w:color="auto" w:sz="6" w:space="0"/>
              <w:left w:val="outset" w:color="auto" w:sz="6" w:space="0"/>
              <w:bottom w:val="outset" w:color="auto" w:sz="6" w:space="0"/>
              <w:right w:val="outset" w:color="auto" w:sz="6" w:space="0"/>
            </w:tcBorders>
          </w:tcPr>
          <w:p w14:paraId="7715F62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4 топ</w:t>
            </w:r>
          </w:p>
          <w:p w14:paraId="2090FCD4">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(n=36)</w:t>
            </w:r>
          </w:p>
        </w:tc>
        <w:tc>
          <w:tcPr>
            <w:tcW w:w="0" w:type="auto"/>
            <w:vMerge w:val="continue"/>
            <w:tcBorders>
              <w:top w:val="outset" w:color="auto" w:sz="6" w:space="0"/>
              <w:left w:val="outset" w:color="auto" w:sz="6" w:space="0"/>
              <w:bottom w:val="outset" w:color="auto" w:sz="6" w:space="0"/>
              <w:right w:val="outset" w:color="auto" w:sz="6" w:space="0"/>
            </w:tcBorders>
            <w:vAlign w:val="center"/>
          </w:tcPr>
          <w:p w14:paraId="75400F94">
            <w:pPr>
              <w:spacing w:after="0" w:line="276" w:lineRule="auto"/>
              <w:jc w:val="both"/>
              <w:outlineLvl w:val="0"/>
              <w:rPr>
                <w:rFonts w:ascii="Times New Roman" w:hAnsi="Times New Roman" w:eastAsia="Times New Roman" w:cs="Times New Roman"/>
                <w:b/>
                <w:bCs/>
                <w:sz w:val="28"/>
                <w:szCs w:val="28"/>
              </w:rPr>
            </w:pPr>
          </w:p>
        </w:tc>
      </w:tr>
      <w:tr w14:paraId="6470C296">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392051C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0" w:type="auto"/>
            <w:tcBorders>
              <w:top w:val="nil"/>
              <w:left w:val="outset" w:color="auto" w:sz="6" w:space="0"/>
              <w:bottom w:val="outset" w:color="auto" w:sz="6" w:space="0"/>
              <w:right w:val="outset" w:color="auto" w:sz="6" w:space="0"/>
            </w:tcBorders>
          </w:tcPr>
          <w:p w14:paraId="27EDDFD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nil"/>
              <w:left w:val="outset" w:color="auto" w:sz="6" w:space="0"/>
              <w:bottom w:val="outset" w:color="auto" w:sz="6" w:space="0"/>
              <w:right w:val="outset" w:color="auto" w:sz="6" w:space="0"/>
            </w:tcBorders>
          </w:tcPr>
          <w:p w14:paraId="6BB001F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nil"/>
              <w:left w:val="outset" w:color="auto" w:sz="6" w:space="0"/>
              <w:bottom w:val="outset" w:color="auto" w:sz="6" w:space="0"/>
              <w:right w:val="outset" w:color="auto" w:sz="6" w:space="0"/>
            </w:tcBorders>
          </w:tcPr>
          <w:p w14:paraId="5A47F43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nil"/>
              <w:left w:val="outset" w:color="auto" w:sz="6" w:space="0"/>
              <w:bottom w:val="outset" w:color="auto" w:sz="6" w:space="0"/>
              <w:right w:val="outset" w:color="auto" w:sz="6" w:space="0"/>
            </w:tcBorders>
          </w:tcPr>
          <w:p w14:paraId="15709E2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nil"/>
              <w:left w:val="outset" w:color="auto" w:sz="6" w:space="0"/>
              <w:bottom w:val="outset" w:color="auto" w:sz="6" w:space="0"/>
              <w:right w:val="outset" w:color="auto" w:sz="6" w:space="0"/>
            </w:tcBorders>
          </w:tcPr>
          <w:p w14:paraId="1C6FEC2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outset" w:color="auto" w:sz="6" w:space="0"/>
              <w:left w:val="outset" w:color="auto" w:sz="6" w:space="0"/>
              <w:bottom w:val="outset" w:color="auto" w:sz="6" w:space="0"/>
              <w:right w:val="outset" w:color="auto" w:sz="6" w:space="0"/>
            </w:tcBorders>
          </w:tcPr>
          <w:p w14:paraId="0CC4420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outset" w:color="auto" w:sz="6" w:space="0"/>
              <w:left w:val="outset" w:color="auto" w:sz="6" w:space="0"/>
              <w:bottom w:val="outset" w:color="auto" w:sz="6" w:space="0"/>
              <w:right w:val="outset" w:color="auto" w:sz="6" w:space="0"/>
            </w:tcBorders>
          </w:tcPr>
          <w:p w14:paraId="6026E66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outset" w:color="auto" w:sz="6" w:space="0"/>
              <w:left w:val="outset" w:color="auto" w:sz="6" w:space="0"/>
              <w:bottom w:val="outset" w:color="auto" w:sz="6" w:space="0"/>
              <w:right w:val="outset" w:color="auto" w:sz="6" w:space="0"/>
            </w:tcBorders>
          </w:tcPr>
          <w:p w14:paraId="4F61FD0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outset" w:color="auto" w:sz="6" w:space="0"/>
              <w:left w:val="outset" w:color="auto" w:sz="6" w:space="0"/>
              <w:bottom w:val="outset" w:color="auto" w:sz="6" w:space="0"/>
              <w:right w:val="outset" w:color="auto" w:sz="6" w:space="0"/>
            </w:tcBorders>
          </w:tcPr>
          <w:p w14:paraId="7D348F7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p &lt; 0.05*</w:t>
            </w:r>
          </w:p>
        </w:tc>
      </w:tr>
      <w:tr w14:paraId="3A92E4C0">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54E5E62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Calibri" w:cs="Times New Roman"/>
                <w:sz w:val="28"/>
                <w:szCs w:val="28"/>
              </w:rPr>
              <w:t>Халықаралық қалыптасқан қатынас</w:t>
            </w:r>
            <w:r>
              <w:rPr>
                <w:rFonts w:ascii="Times New Roman" w:hAnsi="Times New Roman" w:eastAsia="Times New Roman" w:cs="Times New Roman"/>
                <w:sz w:val="28"/>
                <w:szCs w:val="28"/>
              </w:rPr>
              <w:t xml:space="preserve"> (ХҚҚ)</w:t>
            </w:r>
          </w:p>
        </w:tc>
        <w:tc>
          <w:tcPr>
            <w:tcW w:w="0" w:type="auto"/>
            <w:tcBorders>
              <w:top w:val="nil"/>
              <w:left w:val="outset" w:color="auto" w:sz="6" w:space="0"/>
              <w:bottom w:val="outset" w:color="auto" w:sz="6" w:space="0"/>
              <w:right w:val="outset" w:color="auto" w:sz="6" w:space="0"/>
            </w:tcBorders>
          </w:tcPr>
          <w:p w14:paraId="12BB7B6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w:t>
            </w:r>
          </w:p>
        </w:tc>
        <w:tc>
          <w:tcPr>
            <w:tcW w:w="0" w:type="auto"/>
            <w:tcBorders>
              <w:top w:val="nil"/>
              <w:left w:val="outset" w:color="auto" w:sz="6" w:space="0"/>
              <w:bottom w:val="outset" w:color="auto" w:sz="6" w:space="0"/>
              <w:right w:val="outset" w:color="auto" w:sz="6" w:space="0"/>
            </w:tcBorders>
          </w:tcPr>
          <w:p w14:paraId="3D7AD7D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1,0–1,1</w:t>
            </w:r>
          </w:p>
        </w:tc>
        <w:tc>
          <w:tcPr>
            <w:tcW w:w="0" w:type="auto"/>
            <w:tcBorders>
              <w:top w:val="nil"/>
              <w:left w:val="outset" w:color="auto" w:sz="6" w:space="0"/>
              <w:bottom w:val="outset" w:color="auto" w:sz="6" w:space="0"/>
              <w:right w:val="outset" w:color="auto" w:sz="6" w:space="0"/>
            </w:tcBorders>
          </w:tcPr>
          <w:p w14:paraId="2CB74BB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1,01</w:t>
            </w:r>
          </w:p>
        </w:tc>
        <w:tc>
          <w:tcPr>
            <w:tcW w:w="0" w:type="auto"/>
            <w:tcBorders>
              <w:top w:val="nil"/>
              <w:left w:val="outset" w:color="auto" w:sz="6" w:space="0"/>
              <w:bottom w:val="outset" w:color="auto" w:sz="6" w:space="0"/>
              <w:right w:val="outset" w:color="auto" w:sz="6" w:space="0"/>
            </w:tcBorders>
          </w:tcPr>
          <w:p w14:paraId="0EE17C7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1,0–1,08</w:t>
            </w:r>
          </w:p>
        </w:tc>
        <w:tc>
          <w:tcPr>
            <w:tcW w:w="0" w:type="auto"/>
            <w:tcBorders>
              <w:top w:val="nil"/>
              <w:left w:val="outset" w:color="auto" w:sz="6" w:space="0"/>
              <w:bottom w:val="outset" w:color="auto" w:sz="6" w:space="0"/>
              <w:right w:val="outset" w:color="auto" w:sz="6" w:space="0"/>
            </w:tcBorders>
          </w:tcPr>
          <w:p w14:paraId="7B6F81F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w:t>
            </w:r>
          </w:p>
        </w:tc>
        <w:tc>
          <w:tcPr>
            <w:tcW w:w="0" w:type="auto"/>
            <w:tcBorders>
              <w:top w:val="nil"/>
              <w:left w:val="outset" w:color="auto" w:sz="6" w:space="0"/>
              <w:bottom w:val="outset" w:color="auto" w:sz="6" w:space="0"/>
              <w:right w:val="outset" w:color="auto" w:sz="6" w:space="0"/>
            </w:tcBorders>
          </w:tcPr>
          <w:p w14:paraId="7FD8EFA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1,0–1,1</w:t>
            </w:r>
          </w:p>
        </w:tc>
        <w:tc>
          <w:tcPr>
            <w:tcW w:w="0" w:type="auto"/>
            <w:tcBorders>
              <w:top w:val="nil"/>
              <w:left w:val="outset" w:color="auto" w:sz="6" w:space="0"/>
              <w:bottom w:val="outset" w:color="auto" w:sz="6" w:space="0"/>
              <w:right w:val="outset" w:color="auto" w:sz="6" w:space="0"/>
            </w:tcBorders>
          </w:tcPr>
          <w:p w14:paraId="406F230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w:t>
            </w:r>
          </w:p>
        </w:tc>
        <w:tc>
          <w:tcPr>
            <w:tcW w:w="0" w:type="auto"/>
            <w:tcBorders>
              <w:top w:val="nil"/>
              <w:left w:val="outset" w:color="auto" w:sz="6" w:space="0"/>
              <w:bottom w:val="outset" w:color="auto" w:sz="6" w:space="0"/>
              <w:right w:val="outset" w:color="auto" w:sz="6" w:space="0"/>
            </w:tcBorders>
          </w:tcPr>
          <w:p w14:paraId="029E938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1,0–1,10</w:t>
            </w:r>
          </w:p>
        </w:tc>
        <w:tc>
          <w:tcPr>
            <w:tcW w:w="0" w:type="auto"/>
            <w:tcBorders>
              <w:top w:val="nil"/>
              <w:left w:val="outset" w:color="auto" w:sz="6" w:space="0"/>
              <w:bottom w:val="outset" w:color="auto" w:sz="6" w:space="0"/>
              <w:right w:val="outset" w:color="auto" w:sz="6" w:space="0"/>
            </w:tcBorders>
          </w:tcPr>
          <w:p w14:paraId="188ED52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0,099</w:t>
            </w:r>
          </w:p>
        </w:tc>
      </w:tr>
      <w:tr w14:paraId="340226D4">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305E661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Протромбиндік индекс</w:t>
            </w:r>
          </w:p>
        </w:tc>
        <w:tc>
          <w:tcPr>
            <w:tcW w:w="0" w:type="auto"/>
            <w:tcBorders>
              <w:top w:val="nil"/>
              <w:left w:val="outset" w:color="auto" w:sz="6" w:space="0"/>
              <w:bottom w:val="outset" w:color="auto" w:sz="6" w:space="0"/>
              <w:right w:val="outset" w:color="auto" w:sz="6" w:space="0"/>
            </w:tcBorders>
          </w:tcPr>
          <w:p w14:paraId="307FD0C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96,0</w:t>
            </w:r>
          </w:p>
        </w:tc>
        <w:tc>
          <w:tcPr>
            <w:tcW w:w="0" w:type="auto"/>
            <w:tcBorders>
              <w:top w:val="nil"/>
              <w:left w:val="outset" w:color="auto" w:sz="6" w:space="0"/>
              <w:bottom w:val="outset" w:color="auto" w:sz="6" w:space="0"/>
              <w:right w:val="outset" w:color="auto" w:sz="6" w:space="0"/>
            </w:tcBorders>
          </w:tcPr>
          <w:p w14:paraId="327A551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95,0–98,0</w:t>
            </w:r>
          </w:p>
        </w:tc>
        <w:tc>
          <w:tcPr>
            <w:tcW w:w="0" w:type="auto"/>
            <w:tcBorders>
              <w:top w:val="nil"/>
              <w:left w:val="outset" w:color="auto" w:sz="6" w:space="0"/>
              <w:bottom w:val="outset" w:color="auto" w:sz="6" w:space="0"/>
              <w:right w:val="outset" w:color="auto" w:sz="6" w:space="0"/>
            </w:tcBorders>
          </w:tcPr>
          <w:p w14:paraId="1A20110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97,5</w:t>
            </w:r>
          </w:p>
        </w:tc>
        <w:tc>
          <w:tcPr>
            <w:tcW w:w="0" w:type="auto"/>
            <w:tcBorders>
              <w:top w:val="nil"/>
              <w:left w:val="outset" w:color="auto" w:sz="6" w:space="0"/>
              <w:bottom w:val="outset" w:color="auto" w:sz="6" w:space="0"/>
              <w:right w:val="outset" w:color="auto" w:sz="6" w:space="0"/>
            </w:tcBorders>
          </w:tcPr>
          <w:p w14:paraId="5B3AFF8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95,0–98,0</w:t>
            </w:r>
          </w:p>
        </w:tc>
        <w:tc>
          <w:tcPr>
            <w:tcW w:w="0" w:type="auto"/>
            <w:tcBorders>
              <w:top w:val="nil"/>
              <w:left w:val="outset" w:color="auto" w:sz="6" w:space="0"/>
              <w:bottom w:val="outset" w:color="auto" w:sz="6" w:space="0"/>
              <w:right w:val="outset" w:color="auto" w:sz="6" w:space="0"/>
            </w:tcBorders>
          </w:tcPr>
          <w:p w14:paraId="016AD0A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95,0</w:t>
            </w:r>
          </w:p>
        </w:tc>
        <w:tc>
          <w:tcPr>
            <w:tcW w:w="0" w:type="auto"/>
            <w:tcBorders>
              <w:top w:val="nil"/>
              <w:left w:val="outset" w:color="auto" w:sz="6" w:space="0"/>
              <w:bottom w:val="outset" w:color="auto" w:sz="6" w:space="0"/>
              <w:right w:val="outset" w:color="auto" w:sz="6" w:space="0"/>
            </w:tcBorders>
          </w:tcPr>
          <w:p w14:paraId="79D2E63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93,0–97,0</w:t>
            </w:r>
          </w:p>
        </w:tc>
        <w:tc>
          <w:tcPr>
            <w:tcW w:w="0" w:type="auto"/>
            <w:tcBorders>
              <w:top w:val="nil"/>
              <w:left w:val="outset" w:color="auto" w:sz="6" w:space="0"/>
              <w:bottom w:val="outset" w:color="auto" w:sz="6" w:space="0"/>
              <w:right w:val="outset" w:color="auto" w:sz="6" w:space="0"/>
            </w:tcBorders>
          </w:tcPr>
          <w:p w14:paraId="2AD5ABA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95,0</w:t>
            </w:r>
          </w:p>
        </w:tc>
        <w:tc>
          <w:tcPr>
            <w:tcW w:w="0" w:type="auto"/>
            <w:tcBorders>
              <w:top w:val="nil"/>
              <w:left w:val="outset" w:color="auto" w:sz="6" w:space="0"/>
              <w:bottom w:val="outset" w:color="auto" w:sz="6" w:space="0"/>
              <w:right w:val="outset" w:color="auto" w:sz="6" w:space="0"/>
            </w:tcBorders>
          </w:tcPr>
          <w:p w14:paraId="6226565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94,0–96,00</w:t>
            </w:r>
          </w:p>
        </w:tc>
        <w:tc>
          <w:tcPr>
            <w:tcW w:w="0" w:type="auto"/>
            <w:tcBorders>
              <w:top w:val="nil"/>
              <w:left w:val="outset" w:color="auto" w:sz="6" w:space="0"/>
              <w:bottom w:val="outset" w:color="auto" w:sz="6" w:space="0"/>
              <w:right w:val="outset" w:color="auto" w:sz="6" w:space="0"/>
            </w:tcBorders>
          </w:tcPr>
          <w:p w14:paraId="73CA53E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0,039</w:t>
            </w:r>
            <w:r>
              <w:rPr>
                <w:rFonts w:ascii="Times New Roman" w:hAnsi="Times New Roman" w:eastAsia="Times New Roman" w:cs="Times New Roman"/>
                <w:b/>
                <w:i/>
                <w:sz w:val="28"/>
                <w:szCs w:val="28"/>
              </w:rPr>
              <w:t>*</w:t>
            </w:r>
          </w:p>
        </w:tc>
      </w:tr>
      <w:tr w14:paraId="2FAAEB4B">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51985F5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Протромбиндік уақыт</w:t>
            </w:r>
          </w:p>
        </w:tc>
        <w:tc>
          <w:tcPr>
            <w:tcW w:w="0" w:type="auto"/>
            <w:tcBorders>
              <w:top w:val="nil"/>
              <w:left w:val="outset" w:color="auto" w:sz="6" w:space="0"/>
              <w:bottom w:val="outset" w:color="auto" w:sz="6" w:space="0"/>
              <w:right w:val="outset" w:color="auto" w:sz="6" w:space="0"/>
            </w:tcBorders>
          </w:tcPr>
          <w:p w14:paraId="5D8F76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16,0</w:t>
            </w:r>
          </w:p>
        </w:tc>
        <w:tc>
          <w:tcPr>
            <w:tcW w:w="0" w:type="auto"/>
            <w:tcBorders>
              <w:top w:val="nil"/>
              <w:left w:val="outset" w:color="auto" w:sz="6" w:space="0"/>
              <w:bottom w:val="outset" w:color="auto" w:sz="6" w:space="0"/>
              <w:right w:val="outset" w:color="auto" w:sz="6" w:space="0"/>
            </w:tcBorders>
          </w:tcPr>
          <w:p w14:paraId="63C23F8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15,0–16,0</w:t>
            </w:r>
          </w:p>
        </w:tc>
        <w:tc>
          <w:tcPr>
            <w:tcW w:w="0" w:type="auto"/>
            <w:tcBorders>
              <w:top w:val="nil"/>
              <w:left w:val="outset" w:color="auto" w:sz="6" w:space="0"/>
              <w:bottom w:val="outset" w:color="auto" w:sz="6" w:space="0"/>
              <w:right w:val="outset" w:color="auto" w:sz="6" w:space="0"/>
            </w:tcBorders>
          </w:tcPr>
          <w:p w14:paraId="2E0B0F6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16,0</w:t>
            </w:r>
          </w:p>
        </w:tc>
        <w:tc>
          <w:tcPr>
            <w:tcW w:w="0" w:type="auto"/>
            <w:tcBorders>
              <w:top w:val="nil"/>
              <w:left w:val="outset" w:color="auto" w:sz="6" w:space="0"/>
              <w:bottom w:val="outset" w:color="auto" w:sz="6" w:space="0"/>
              <w:right w:val="outset" w:color="auto" w:sz="6" w:space="0"/>
            </w:tcBorders>
          </w:tcPr>
          <w:p w14:paraId="7959DC1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15,0–17,0</w:t>
            </w:r>
          </w:p>
        </w:tc>
        <w:tc>
          <w:tcPr>
            <w:tcW w:w="0" w:type="auto"/>
            <w:tcBorders>
              <w:top w:val="nil"/>
              <w:left w:val="outset" w:color="auto" w:sz="6" w:space="0"/>
              <w:bottom w:val="outset" w:color="auto" w:sz="6" w:space="0"/>
              <w:right w:val="outset" w:color="auto" w:sz="6" w:space="0"/>
            </w:tcBorders>
          </w:tcPr>
          <w:p w14:paraId="075C849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16,0</w:t>
            </w:r>
          </w:p>
        </w:tc>
        <w:tc>
          <w:tcPr>
            <w:tcW w:w="0" w:type="auto"/>
            <w:tcBorders>
              <w:top w:val="nil"/>
              <w:left w:val="outset" w:color="auto" w:sz="6" w:space="0"/>
              <w:bottom w:val="outset" w:color="auto" w:sz="6" w:space="0"/>
              <w:right w:val="outset" w:color="auto" w:sz="6" w:space="0"/>
            </w:tcBorders>
          </w:tcPr>
          <w:p w14:paraId="03577DF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15,0–17,0</w:t>
            </w:r>
          </w:p>
        </w:tc>
        <w:tc>
          <w:tcPr>
            <w:tcW w:w="0" w:type="auto"/>
            <w:tcBorders>
              <w:top w:val="nil"/>
              <w:left w:val="outset" w:color="auto" w:sz="6" w:space="0"/>
              <w:bottom w:val="outset" w:color="auto" w:sz="6" w:space="0"/>
              <w:right w:val="outset" w:color="auto" w:sz="6" w:space="0"/>
            </w:tcBorders>
          </w:tcPr>
          <w:p w14:paraId="4E88D9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15,5</w:t>
            </w:r>
          </w:p>
        </w:tc>
        <w:tc>
          <w:tcPr>
            <w:tcW w:w="0" w:type="auto"/>
            <w:tcBorders>
              <w:top w:val="nil"/>
              <w:left w:val="outset" w:color="auto" w:sz="6" w:space="0"/>
              <w:bottom w:val="outset" w:color="auto" w:sz="6" w:space="0"/>
              <w:right w:val="outset" w:color="auto" w:sz="6" w:space="0"/>
            </w:tcBorders>
          </w:tcPr>
          <w:p w14:paraId="731E425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15,0–17,00</w:t>
            </w:r>
          </w:p>
        </w:tc>
        <w:tc>
          <w:tcPr>
            <w:tcW w:w="0" w:type="auto"/>
            <w:tcBorders>
              <w:top w:val="nil"/>
              <w:left w:val="outset" w:color="auto" w:sz="6" w:space="0"/>
              <w:bottom w:val="outset" w:color="auto" w:sz="6" w:space="0"/>
              <w:right w:val="outset" w:color="auto" w:sz="6" w:space="0"/>
            </w:tcBorders>
          </w:tcPr>
          <w:p w14:paraId="6AE35E7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0,902</w:t>
            </w:r>
          </w:p>
        </w:tc>
      </w:tr>
      <w:tr w14:paraId="5F3BCD01">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4B1178C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Белсендірілген жартылай тромбопластиндік уақыт (БЖТУ) </w:t>
            </w:r>
          </w:p>
        </w:tc>
        <w:tc>
          <w:tcPr>
            <w:tcW w:w="0" w:type="auto"/>
            <w:tcBorders>
              <w:top w:val="nil"/>
              <w:left w:val="outset" w:color="auto" w:sz="6" w:space="0"/>
              <w:bottom w:val="outset" w:color="auto" w:sz="6" w:space="0"/>
              <w:right w:val="outset" w:color="auto" w:sz="6" w:space="0"/>
            </w:tcBorders>
          </w:tcPr>
          <w:p w14:paraId="7853770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30,0</w:t>
            </w:r>
          </w:p>
        </w:tc>
        <w:tc>
          <w:tcPr>
            <w:tcW w:w="0" w:type="auto"/>
            <w:tcBorders>
              <w:top w:val="nil"/>
              <w:left w:val="outset" w:color="auto" w:sz="6" w:space="0"/>
              <w:bottom w:val="outset" w:color="auto" w:sz="6" w:space="0"/>
              <w:right w:val="outset" w:color="auto" w:sz="6" w:space="0"/>
            </w:tcBorders>
          </w:tcPr>
          <w:p w14:paraId="3509663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28,0–31,0</w:t>
            </w:r>
          </w:p>
        </w:tc>
        <w:tc>
          <w:tcPr>
            <w:tcW w:w="0" w:type="auto"/>
            <w:tcBorders>
              <w:top w:val="nil"/>
              <w:left w:val="outset" w:color="auto" w:sz="6" w:space="0"/>
              <w:bottom w:val="outset" w:color="auto" w:sz="6" w:space="0"/>
              <w:right w:val="outset" w:color="auto" w:sz="6" w:space="0"/>
            </w:tcBorders>
          </w:tcPr>
          <w:p w14:paraId="44A3016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30,0</w:t>
            </w:r>
          </w:p>
        </w:tc>
        <w:tc>
          <w:tcPr>
            <w:tcW w:w="0" w:type="auto"/>
            <w:tcBorders>
              <w:top w:val="nil"/>
              <w:left w:val="outset" w:color="auto" w:sz="6" w:space="0"/>
              <w:bottom w:val="outset" w:color="auto" w:sz="6" w:space="0"/>
              <w:right w:val="outset" w:color="auto" w:sz="6" w:space="0"/>
            </w:tcBorders>
          </w:tcPr>
          <w:p w14:paraId="3C79B9D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28,0–30,4</w:t>
            </w:r>
          </w:p>
        </w:tc>
        <w:tc>
          <w:tcPr>
            <w:tcW w:w="0" w:type="auto"/>
            <w:tcBorders>
              <w:top w:val="nil"/>
              <w:left w:val="outset" w:color="auto" w:sz="6" w:space="0"/>
              <w:bottom w:val="outset" w:color="auto" w:sz="6" w:space="0"/>
              <w:right w:val="outset" w:color="auto" w:sz="6" w:space="0"/>
            </w:tcBorders>
          </w:tcPr>
          <w:p w14:paraId="24DA41E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29,0</w:t>
            </w:r>
          </w:p>
        </w:tc>
        <w:tc>
          <w:tcPr>
            <w:tcW w:w="0" w:type="auto"/>
            <w:tcBorders>
              <w:top w:val="nil"/>
              <w:left w:val="outset" w:color="auto" w:sz="6" w:space="0"/>
              <w:bottom w:val="outset" w:color="auto" w:sz="6" w:space="0"/>
              <w:right w:val="outset" w:color="auto" w:sz="6" w:space="0"/>
            </w:tcBorders>
          </w:tcPr>
          <w:p w14:paraId="641EC62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28,0–30,0</w:t>
            </w:r>
          </w:p>
        </w:tc>
        <w:tc>
          <w:tcPr>
            <w:tcW w:w="0" w:type="auto"/>
            <w:tcBorders>
              <w:top w:val="nil"/>
              <w:left w:val="outset" w:color="auto" w:sz="6" w:space="0"/>
              <w:bottom w:val="outset" w:color="auto" w:sz="6" w:space="0"/>
              <w:right w:val="outset" w:color="auto" w:sz="6" w:space="0"/>
            </w:tcBorders>
          </w:tcPr>
          <w:p w14:paraId="0BA4CFD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29,0</w:t>
            </w:r>
          </w:p>
        </w:tc>
        <w:tc>
          <w:tcPr>
            <w:tcW w:w="0" w:type="auto"/>
            <w:tcBorders>
              <w:top w:val="nil"/>
              <w:left w:val="outset" w:color="auto" w:sz="6" w:space="0"/>
              <w:bottom w:val="outset" w:color="auto" w:sz="6" w:space="0"/>
              <w:right w:val="outset" w:color="auto" w:sz="6" w:space="0"/>
            </w:tcBorders>
          </w:tcPr>
          <w:p w14:paraId="4CC52BE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28,0–29,00</w:t>
            </w:r>
          </w:p>
        </w:tc>
        <w:tc>
          <w:tcPr>
            <w:tcW w:w="0" w:type="auto"/>
            <w:tcBorders>
              <w:top w:val="nil"/>
              <w:left w:val="outset" w:color="auto" w:sz="6" w:space="0"/>
              <w:bottom w:val="outset" w:color="auto" w:sz="6" w:space="0"/>
              <w:right w:val="outset" w:color="auto" w:sz="6" w:space="0"/>
            </w:tcBorders>
          </w:tcPr>
          <w:p w14:paraId="43318EB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0,330</w:t>
            </w:r>
          </w:p>
        </w:tc>
      </w:tr>
      <w:tr w14:paraId="154D7248">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14347BC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Фибрионоген, г/л</w:t>
            </w:r>
          </w:p>
        </w:tc>
        <w:tc>
          <w:tcPr>
            <w:tcW w:w="0" w:type="auto"/>
            <w:tcBorders>
              <w:top w:val="nil"/>
              <w:left w:val="outset" w:color="auto" w:sz="6" w:space="0"/>
              <w:bottom w:val="outset" w:color="auto" w:sz="6" w:space="0"/>
              <w:right w:val="outset" w:color="auto" w:sz="6" w:space="0"/>
            </w:tcBorders>
          </w:tcPr>
          <w:p w14:paraId="3C7C4D2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3,86</w:t>
            </w:r>
          </w:p>
        </w:tc>
        <w:tc>
          <w:tcPr>
            <w:tcW w:w="0" w:type="auto"/>
            <w:tcBorders>
              <w:top w:val="nil"/>
              <w:left w:val="outset" w:color="auto" w:sz="6" w:space="0"/>
              <w:bottom w:val="outset" w:color="auto" w:sz="6" w:space="0"/>
              <w:right w:val="outset" w:color="auto" w:sz="6" w:space="0"/>
            </w:tcBorders>
          </w:tcPr>
          <w:p w14:paraId="07A92AF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3,79–4,0</w:t>
            </w:r>
          </w:p>
        </w:tc>
        <w:tc>
          <w:tcPr>
            <w:tcW w:w="0" w:type="auto"/>
            <w:tcBorders>
              <w:top w:val="nil"/>
              <w:left w:val="outset" w:color="auto" w:sz="6" w:space="0"/>
              <w:bottom w:val="outset" w:color="auto" w:sz="6" w:space="0"/>
              <w:right w:val="outset" w:color="auto" w:sz="6" w:space="0"/>
            </w:tcBorders>
          </w:tcPr>
          <w:p w14:paraId="7FE2E0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3,86</w:t>
            </w:r>
          </w:p>
        </w:tc>
        <w:tc>
          <w:tcPr>
            <w:tcW w:w="0" w:type="auto"/>
            <w:tcBorders>
              <w:top w:val="nil"/>
              <w:left w:val="outset" w:color="auto" w:sz="6" w:space="0"/>
              <w:bottom w:val="outset" w:color="auto" w:sz="6" w:space="0"/>
              <w:right w:val="outset" w:color="auto" w:sz="6" w:space="0"/>
            </w:tcBorders>
          </w:tcPr>
          <w:p w14:paraId="3DCBC8B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3,74–3,94</w:t>
            </w:r>
          </w:p>
        </w:tc>
        <w:tc>
          <w:tcPr>
            <w:tcW w:w="0" w:type="auto"/>
            <w:tcBorders>
              <w:top w:val="nil"/>
              <w:left w:val="outset" w:color="auto" w:sz="6" w:space="0"/>
              <w:bottom w:val="outset" w:color="auto" w:sz="6" w:space="0"/>
              <w:right w:val="outset" w:color="auto" w:sz="6" w:space="0"/>
            </w:tcBorders>
          </w:tcPr>
          <w:p w14:paraId="4DDF3D0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3,76</w:t>
            </w:r>
          </w:p>
        </w:tc>
        <w:tc>
          <w:tcPr>
            <w:tcW w:w="0" w:type="auto"/>
            <w:tcBorders>
              <w:top w:val="nil"/>
              <w:left w:val="outset" w:color="auto" w:sz="6" w:space="0"/>
              <w:bottom w:val="outset" w:color="auto" w:sz="6" w:space="0"/>
              <w:right w:val="outset" w:color="auto" w:sz="6" w:space="0"/>
            </w:tcBorders>
          </w:tcPr>
          <w:p w14:paraId="0835837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3,62–3,92</w:t>
            </w:r>
          </w:p>
        </w:tc>
        <w:tc>
          <w:tcPr>
            <w:tcW w:w="0" w:type="auto"/>
            <w:tcBorders>
              <w:top w:val="nil"/>
              <w:left w:val="outset" w:color="auto" w:sz="6" w:space="0"/>
              <w:bottom w:val="outset" w:color="auto" w:sz="6" w:space="0"/>
              <w:right w:val="outset" w:color="auto" w:sz="6" w:space="0"/>
            </w:tcBorders>
          </w:tcPr>
          <w:p w14:paraId="08008B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3,92</w:t>
            </w:r>
          </w:p>
        </w:tc>
        <w:tc>
          <w:tcPr>
            <w:tcW w:w="0" w:type="auto"/>
            <w:tcBorders>
              <w:top w:val="nil"/>
              <w:left w:val="outset" w:color="auto" w:sz="6" w:space="0"/>
              <w:bottom w:val="outset" w:color="auto" w:sz="6" w:space="0"/>
              <w:right w:val="outset" w:color="auto" w:sz="6" w:space="0"/>
            </w:tcBorders>
          </w:tcPr>
          <w:p w14:paraId="1805B37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3,87–4,17</w:t>
            </w:r>
          </w:p>
        </w:tc>
        <w:tc>
          <w:tcPr>
            <w:tcW w:w="0" w:type="auto"/>
            <w:tcBorders>
              <w:top w:val="nil"/>
              <w:left w:val="outset" w:color="auto" w:sz="6" w:space="0"/>
              <w:bottom w:val="outset" w:color="auto" w:sz="6" w:space="0"/>
              <w:right w:val="outset" w:color="auto" w:sz="6" w:space="0"/>
            </w:tcBorders>
          </w:tcPr>
          <w:p w14:paraId="2DC2629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0,092</w:t>
            </w:r>
          </w:p>
        </w:tc>
      </w:tr>
      <w:tr w14:paraId="67F9D811">
        <w:tblPrEx>
          <w:tblCellMar>
            <w:top w:w="15" w:type="dxa"/>
            <w:left w:w="15" w:type="dxa"/>
            <w:bottom w:w="15" w:type="dxa"/>
            <w:right w:w="15" w:type="dxa"/>
          </w:tblCellMar>
        </w:tblPrEx>
        <w:tc>
          <w:tcPr>
            <w:tcW w:w="0" w:type="auto"/>
            <w:gridSpan w:val="10"/>
            <w:tcBorders>
              <w:top w:val="nil"/>
              <w:left w:val="outset" w:color="auto" w:sz="6" w:space="0"/>
              <w:bottom w:val="outset" w:color="auto" w:sz="6" w:space="0"/>
              <w:right w:val="outset" w:color="auto" w:sz="6" w:space="0"/>
            </w:tcBorders>
          </w:tcPr>
          <w:p w14:paraId="572600C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i/>
                <w:sz w:val="28"/>
                <w:szCs w:val="28"/>
              </w:rPr>
              <w:t xml:space="preserve">*–Краскел–Уоллис критерийі бойынша айырмашылығы, көрсеткіштердің өзгеруінің растығы бойынша р&lt;0.05 </w:t>
            </w:r>
          </w:p>
        </w:tc>
      </w:tr>
    </w:tbl>
    <w:p w14:paraId="76E3005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7D9095E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Бұл өзгеріс статистикалық тұрғыдан маңызды болғанымен (p=0,039), клиникалық мәні айтарлықтай емес және қалыпты шектерде сақталған. </w:t>
      </w:r>
      <w:r>
        <w:rPr>
          <w:rFonts w:ascii="Times New Roman" w:hAnsi="Times New Roman" w:eastAsia="Times New Roman" w:cs="Times New Roman"/>
          <w:bCs/>
          <w:sz w:val="28"/>
          <w:szCs w:val="28"/>
          <w:lang w:val="kk-KZ" w:eastAsia="ru-RU"/>
        </w:rPr>
        <w:t>БЖТУ</w:t>
      </w:r>
      <w:r>
        <w:rPr>
          <w:rFonts w:ascii="Times New Roman" w:hAnsi="Times New Roman" w:eastAsia="Times New Roman" w:cs="Times New Roman"/>
          <w:bCs/>
          <w:sz w:val="28"/>
          <w:szCs w:val="28"/>
          <w:lang w:eastAsia="ru-RU"/>
        </w:rPr>
        <w:t>, фибриноген деңгейлері және ХҚҚ сияқты басқа коагулограмма көрсеткіштерінде топтар арасында елеулі айырмашылықтар анықталған жоқ. Бұл нәтижелер, жүкті әйелдерде қан ұю жүйесінің физиологиялық өзгерістері белгілі бір деңгейде болғанымен, клиникалық тұрғыдан гемостаз жүйесінің жалпы тұрақтылығы сақталатынын көрсетеді.</w:t>
      </w:r>
    </w:p>
    <w:p w14:paraId="2ED343F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Биохимиялық көрсеткіштер арасында жалпы ақуыз (p=0,002), зәр қышқылы (p=0,019), тікелей билирубин (p=0,026) және АСТ (p=0,002) деңгейлері бойынша бақылау тобымен салыстырғанда статистикалық маңызды айырмашылықтар анықталды (8-кесте). Бұл нәтижелер анемия мен семіздіктің ағзадағы метаболикалық процестерге, әсіресе белок алмасу, зәр қышқылының метаболизмі және бауыр қызметі маркерлеріне тигізетін әсерін дәлелдейді. Бұл өзгерістердің клиникалық маңыздылығы семіздік пен анемияның алдын алу және емдеу стратегияларын жетілдіруге бағытталған болашақ зерттеулерге негіз бола алады.</w:t>
      </w:r>
    </w:p>
    <w:p w14:paraId="79E22E9E">
      <w:pPr>
        <w:widowControl w:val="0"/>
        <w:autoSpaceDE w:val="0"/>
        <w:autoSpaceDN w:val="0"/>
        <w:spacing w:after="0" w:line="276" w:lineRule="auto"/>
        <w:ind w:firstLine="709"/>
        <w:jc w:val="both"/>
        <w:outlineLvl w:val="0"/>
        <w:rPr>
          <w:rFonts w:ascii="Times New Roman" w:hAnsi="Times New Roman" w:eastAsia="Times New Roman" w:cs="Times New Roman"/>
          <w:bCs/>
          <w:i/>
          <w:sz w:val="28"/>
          <w:szCs w:val="28"/>
          <w:lang w:eastAsia="ru-RU"/>
        </w:rPr>
      </w:pPr>
      <w:r>
        <w:rPr>
          <w:rFonts w:ascii="Times New Roman" w:hAnsi="Times New Roman" w:eastAsia="Times New Roman" w:cs="Times New Roman"/>
          <w:bCs/>
          <w:i/>
          <w:sz w:val="28"/>
          <w:szCs w:val="28"/>
          <w:lang w:eastAsia="ru-RU"/>
        </w:rPr>
        <w:t xml:space="preserve"> </w:t>
      </w:r>
    </w:p>
    <w:p w14:paraId="75235AD5">
      <w:pPr>
        <w:widowControl w:val="0"/>
        <w:autoSpaceDE w:val="0"/>
        <w:autoSpaceDN w:val="0"/>
        <w:spacing w:after="0" w:line="276" w:lineRule="auto"/>
        <w:ind w:firstLine="709"/>
        <w:jc w:val="both"/>
        <w:outlineLvl w:val="0"/>
        <w:rPr>
          <w:rFonts w:ascii="Times New Roman" w:hAnsi="Times New Roman" w:eastAsia="Times New Roman" w:cs="Times New Roman"/>
          <w:iCs/>
          <w:color w:val="000000"/>
          <w:sz w:val="28"/>
          <w:szCs w:val="28"/>
          <w:lang w:eastAsia="ru-RU"/>
        </w:rPr>
      </w:pPr>
      <w:r>
        <w:rPr>
          <w:rFonts w:ascii="Times New Roman" w:hAnsi="Times New Roman" w:eastAsia="Times New Roman" w:cs="Times New Roman"/>
          <w:bCs/>
          <w:iCs/>
          <w:sz w:val="28"/>
          <w:szCs w:val="28"/>
          <w:lang w:eastAsia="ru-RU"/>
        </w:rPr>
        <w:t>Кесте – 8</w:t>
      </w:r>
      <w:r>
        <w:rPr>
          <w:rFonts w:ascii="Times New Roman" w:hAnsi="Times New Roman" w:eastAsia="Times New Roman" w:cs="Times New Roman"/>
          <w:iCs/>
          <w:sz w:val="28"/>
          <w:szCs w:val="28"/>
          <w:lang w:eastAsia="ru-RU"/>
        </w:rPr>
        <w:t xml:space="preserve">. Жүкті әйелдердің зертханалық көрсеткіштерін (биохимиялық анализ) салыстырмалы </w:t>
      </w:r>
      <w:r>
        <w:rPr>
          <w:rFonts w:ascii="Times New Roman" w:hAnsi="Times New Roman" w:eastAsia="Times New Roman" w:cs="Times New Roman"/>
          <w:iCs/>
          <w:color w:val="000000"/>
          <w:sz w:val="28"/>
          <w:szCs w:val="28"/>
          <w:lang w:eastAsia="ru-RU"/>
        </w:rPr>
        <w:t>бағалау</w:t>
      </w:r>
    </w:p>
    <w:p w14:paraId="68608BE5">
      <w:pPr>
        <w:widowControl w:val="0"/>
        <w:autoSpaceDE w:val="0"/>
        <w:autoSpaceDN w:val="0"/>
        <w:spacing w:after="0" w:line="276" w:lineRule="auto"/>
        <w:ind w:firstLine="709"/>
        <w:jc w:val="both"/>
        <w:outlineLvl w:val="0"/>
        <w:rPr>
          <w:rFonts w:ascii="Times New Roman" w:hAnsi="Times New Roman" w:eastAsia="Times New Roman" w:cs="Times New Roman"/>
          <w:iCs/>
          <w:color w:val="000000"/>
          <w:sz w:val="28"/>
          <w:szCs w:val="28"/>
          <w:lang w:eastAsia="ru-RU"/>
        </w:rPr>
      </w:pPr>
    </w:p>
    <w:tbl>
      <w:tblPr>
        <w:tblStyle w:val="5"/>
        <w:tblW w:w="0" w:type="auto"/>
        <w:tblInd w:w="0" w:type="dxa"/>
        <w:tblLayout w:type="autofit"/>
        <w:tblCellMar>
          <w:top w:w="15" w:type="dxa"/>
          <w:left w:w="15" w:type="dxa"/>
          <w:bottom w:w="15" w:type="dxa"/>
          <w:right w:w="15" w:type="dxa"/>
        </w:tblCellMar>
      </w:tblPr>
      <w:tblGrid>
        <w:gridCol w:w="1586"/>
        <w:gridCol w:w="459"/>
        <w:gridCol w:w="1010"/>
        <w:gridCol w:w="459"/>
        <w:gridCol w:w="1010"/>
        <w:gridCol w:w="459"/>
        <w:gridCol w:w="1010"/>
        <w:gridCol w:w="581"/>
        <w:gridCol w:w="1133"/>
        <w:gridCol w:w="1678"/>
      </w:tblGrid>
      <w:tr w14:paraId="704B8989">
        <w:tblPrEx>
          <w:tblCellMar>
            <w:top w:w="15" w:type="dxa"/>
            <w:left w:w="15" w:type="dxa"/>
            <w:bottom w:w="15" w:type="dxa"/>
            <w:right w:w="15" w:type="dxa"/>
          </w:tblCellMar>
        </w:tblPrEx>
        <w:tc>
          <w:tcPr>
            <w:tcW w:w="0" w:type="auto"/>
            <w:gridSpan w:val="10"/>
            <w:tcBorders>
              <w:top w:val="outset" w:color="auto" w:sz="6" w:space="0"/>
              <w:left w:val="outset" w:color="auto" w:sz="6" w:space="0"/>
              <w:bottom w:val="outset" w:color="auto" w:sz="6" w:space="0"/>
              <w:right w:val="outset" w:color="auto" w:sz="6" w:space="0"/>
            </w:tcBorders>
          </w:tcPr>
          <w:p w14:paraId="5AE3CD65">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Биохимиялық анализ</w:t>
            </w:r>
          </w:p>
        </w:tc>
      </w:tr>
      <w:tr w14:paraId="772566EF">
        <w:tblPrEx>
          <w:tblCellMar>
            <w:top w:w="15" w:type="dxa"/>
            <w:left w:w="15" w:type="dxa"/>
            <w:bottom w:w="15" w:type="dxa"/>
            <w:right w:w="15" w:type="dxa"/>
          </w:tblCellMar>
        </w:tblPrEx>
        <w:tc>
          <w:tcPr>
            <w:tcW w:w="0" w:type="auto"/>
            <w:vMerge w:val="restart"/>
            <w:tcBorders>
              <w:top w:val="nil"/>
              <w:left w:val="outset" w:color="auto" w:sz="6" w:space="0"/>
              <w:bottom w:val="outset" w:color="auto" w:sz="6" w:space="0"/>
              <w:right w:val="outset" w:color="auto" w:sz="6" w:space="0"/>
            </w:tcBorders>
          </w:tcPr>
          <w:p w14:paraId="1CE8318D">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Көрсеткіштер</w:t>
            </w:r>
          </w:p>
        </w:tc>
        <w:tc>
          <w:tcPr>
            <w:tcW w:w="0" w:type="auto"/>
            <w:gridSpan w:val="2"/>
            <w:tcBorders>
              <w:top w:val="outset" w:color="auto" w:sz="6" w:space="0"/>
              <w:left w:val="outset" w:color="auto" w:sz="6" w:space="0"/>
              <w:bottom w:val="outset" w:color="auto" w:sz="6" w:space="0"/>
              <w:right w:val="outset" w:color="auto" w:sz="6" w:space="0"/>
            </w:tcBorders>
          </w:tcPr>
          <w:p w14:paraId="12C1AD8A">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Бақылау</w:t>
            </w:r>
          </w:p>
          <w:p w14:paraId="2B2B4D44">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тобы</w:t>
            </w:r>
          </w:p>
        </w:tc>
        <w:tc>
          <w:tcPr>
            <w:tcW w:w="0" w:type="auto"/>
            <w:gridSpan w:val="6"/>
            <w:tcBorders>
              <w:top w:val="outset" w:color="auto" w:sz="6" w:space="0"/>
              <w:left w:val="outset" w:color="auto" w:sz="6" w:space="0"/>
              <w:bottom w:val="outset" w:color="auto" w:sz="6" w:space="0"/>
              <w:right w:val="outset" w:color="auto" w:sz="6" w:space="0"/>
            </w:tcBorders>
          </w:tcPr>
          <w:p w14:paraId="37400424">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Негізгі топтар</w:t>
            </w:r>
          </w:p>
        </w:tc>
        <w:tc>
          <w:tcPr>
            <w:tcW w:w="0" w:type="auto"/>
            <w:vMerge w:val="restart"/>
            <w:tcBorders>
              <w:top w:val="outset" w:color="auto" w:sz="6" w:space="0"/>
              <w:left w:val="outset" w:color="auto" w:sz="6" w:space="0"/>
              <w:bottom w:val="outset" w:color="auto" w:sz="6" w:space="0"/>
              <w:right w:val="outset" w:color="auto" w:sz="6" w:space="0"/>
            </w:tcBorders>
          </w:tcPr>
          <w:p w14:paraId="2DEBBC22">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Kruskal–Wallis test </w:t>
            </w:r>
          </w:p>
          <w:p w14:paraId="479D432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p>
        </w:tc>
      </w:tr>
      <w:tr w14:paraId="341C11C4">
        <w:tblPrEx>
          <w:tblCellMar>
            <w:top w:w="15" w:type="dxa"/>
            <w:left w:w="15" w:type="dxa"/>
            <w:bottom w:w="15" w:type="dxa"/>
            <w:right w:w="15" w:type="dxa"/>
          </w:tblCellMar>
        </w:tblPrEx>
        <w:tc>
          <w:tcPr>
            <w:tcW w:w="0" w:type="auto"/>
            <w:vMerge w:val="continue"/>
            <w:tcBorders>
              <w:top w:val="nil"/>
              <w:left w:val="outset" w:color="auto" w:sz="6" w:space="0"/>
              <w:bottom w:val="outset" w:color="auto" w:sz="6" w:space="0"/>
              <w:right w:val="outset" w:color="auto" w:sz="6" w:space="0"/>
            </w:tcBorders>
            <w:vAlign w:val="center"/>
          </w:tcPr>
          <w:p w14:paraId="70EADB21">
            <w:pPr>
              <w:spacing w:after="0" w:line="276" w:lineRule="auto"/>
              <w:jc w:val="both"/>
              <w:outlineLvl w:val="0"/>
              <w:rPr>
                <w:rFonts w:ascii="Times New Roman" w:hAnsi="Times New Roman" w:eastAsia="Times New Roman" w:cs="Times New Roman"/>
                <w:b/>
                <w:bCs/>
                <w:sz w:val="28"/>
                <w:szCs w:val="28"/>
              </w:rPr>
            </w:pPr>
          </w:p>
        </w:tc>
        <w:tc>
          <w:tcPr>
            <w:tcW w:w="0" w:type="auto"/>
            <w:gridSpan w:val="2"/>
            <w:tcBorders>
              <w:top w:val="nil"/>
              <w:left w:val="outset" w:color="auto" w:sz="6" w:space="0"/>
              <w:bottom w:val="outset" w:color="auto" w:sz="6" w:space="0"/>
              <w:right w:val="outset" w:color="auto" w:sz="6" w:space="0"/>
            </w:tcBorders>
          </w:tcPr>
          <w:p w14:paraId="7CE5680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топ</w:t>
            </w:r>
          </w:p>
          <w:p w14:paraId="07D4320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(n=43)</w:t>
            </w:r>
          </w:p>
        </w:tc>
        <w:tc>
          <w:tcPr>
            <w:tcW w:w="0" w:type="auto"/>
            <w:gridSpan w:val="2"/>
            <w:tcBorders>
              <w:top w:val="nil"/>
              <w:left w:val="outset" w:color="auto" w:sz="6" w:space="0"/>
              <w:bottom w:val="outset" w:color="auto" w:sz="6" w:space="0"/>
              <w:right w:val="outset" w:color="auto" w:sz="6" w:space="0"/>
            </w:tcBorders>
          </w:tcPr>
          <w:p w14:paraId="728F0E0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топ</w:t>
            </w:r>
          </w:p>
          <w:p w14:paraId="751A0F30">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(n=40)</w:t>
            </w:r>
          </w:p>
        </w:tc>
        <w:tc>
          <w:tcPr>
            <w:tcW w:w="0" w:type="auto"/>
            <w:gridSpan w:val="2"/>
            <w:tcBorders>
              <w:top w:val="nil"/>
              <w:left w:val="outset" w:color="auto" w:sz="6" w:space="0"/>
              <w:bottom w:val="outset" w:color="auto" w:sz="6" w:space="0"/>
              <w:right w:val="outset" w:color="auto" w:sz="6" w:space="0"/>
            </w:tcBorders>
          </w:tcPr>
          <w:p w14:paraId="03C58CF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топ</w:t>
            </w:r>
          </w:p>
          <w:p w14:paraId="4CBDA23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(n=48)</w:t>
            </w:r>
          </w:p>
        </w:tc>
        <w:tc>
          <w:tcPr>
            <w:tcW w:w="0" w:type="auto"/>
            <w:gridSpan w:val="2"/>
            <w:tcBorders>
              <w:top w:val="outset" w:color="auto" w:sz="6" w:space="0"/>
              <w:left w:val="outset" w:color="auto" w:sz="6" w:space="0"/>
              <w:bottom w:val="outset" w:color="auto" w:sz="6" w:space="0"/>
              <w:right w:val="outset" w:color="auto" w:sz="6" w:space="0"/>
            </w:tcBorders>
          </w:tcPr>
          <w:p w14:paraId="22041010">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4 топ</w:t>
            </w:r>
          </w:p>
          <w:p w14:paraId="10E8FC9F">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(n=36)</w:t>
            </w:r>
          </w:p>
        </w:tc>
        <w:tc>
          <w:tcPr>
            <w:tcW w:w="0" w:type="auto"/>
            <w:vMerge w:val="continue"/>
            <w:tcBorders>
              <w:top w:val="outset" w:color="auto" w:sz="6" w:space="0"/>
              <w:left w:val="outset" w:color="auto" w:sz="6" w:space="0"/>
              <w:bottom w:val="outset" w:color="auto" w:sz="6" w:space="0"/>
              <w:right w:val="outset" w:color="auto" w:sz="6" w:space="0"/>
            </w:tcBorders>
            <w:vAlign w:val="center"/>
          </w:tcPr>
          <w:p w14:paraId="55302C30">
            <w:pPr>
              <w:spacing w:after="0" w:line="276" w:lineRule="auto"/>
              <w:jc w:val="both"/>
              <w:outlineLvl w:val="0"/>
              <w:rPr>
                <w:rFonts w:ascii="Times New Roman" w:hAnsi="Times New Roman" w:eastAsia="Times New Roman" w:cs="Times New Roman"/>
                <w:b/>
                <w:bCs/>
                <w:sz w:val="28"/>
                <w:szCs w:val="28"/>
              </w:rPr>
            </w:pPr>
          </w:p>
        </w:tc>
      </w:tr>
      <w:tr w14:paraId="7E272E1A">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33E26E5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0" w:type="auto"/>
            <w:tcBorders>
              <w:top w:val="nil"/>
              <w:left w:val="outset" w:color="auto" w:sz="6" w:space="0"/>
              <w:bottom w:val="outset" w:color="auto" w:sz="6" w:space="0"/>
              <w:right w:val="outset" w:color="auto" w:sz="6" w:space="0"/>
            </w:tcBorders>
          </w:tcPr>
          <w:p w14:paraId="10B0975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nil"/>
              <w:left w:val="outset" w:color="auto" w:sz="6" w:space="0"/>
              <w:bottom w:val="outset" w:color="auto" w:sz="6" w:space="0"/>
              <w:right w:val="outset" w:color="auto" w:sz="6" w:space="0"/>
            </w:tcBorders>
          </w:tcPr>
          <w:p w14:paraId="61A9B45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nil"/>
              <w:left w:val="outset" w:color="auto" w:sz="6" w:space="0"/>
              <w:bottom w:val="outset" w:color="auto" w:sz="6" w:space="0"/>
              <w:right w:val="outset" w:color="auto" w:sz="6" w:space="0"/>
            </w:tcBorders>
          </w:tcPr>
          <w:p w14:paraId="4679985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nil"/>
              <w:left w:val="outset" w:color="auto" w:sz="6" w:space="0"/>
              <w:bottom w:val="outset" w:color="auto" w:sz="6" w:space="0"/>
              <w:right w:val="outset" w:color="auto" w:sz="6" w:space="0"/>
            </w:tcBorders>
          </w:tcPr>
          <w:p w14:paraId="41D56CA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nil"/>
              <w:left w:val="outset" w:color="auto" w:sz="6" w:space="0"/>
              <w:bottom w:val="outset" w:color="auto" w:sz="6" w:space="0"/>
              <w:right w:val="outset" w:color="auto" w:sz="6" w:space="0"/>
            </w:tcBorders>
          </w:tcPr>
          <w:p w14:paraId="33B583C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outset" w:color="auto" w:sz="6" w:space="0"/>
              <w:left w:val="outset" w:color="auto" w:sz="6" w:space="0"/>
              <w:bottom w:val="outset" w:color="auto" w:sz="6" w:space="0"/>
              <w:right w:val="outset" w:color="auto" w:sz="6" w:space="0"/>
            </w:tcBorders>
          </w:tcPr>
          <w:p w14:paraId="558E407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outset" w:color="auto" w:sz="6" w:space="0"/>
              <w:left w:val="outset" w:color="auto" w:sz="6" w:space="0"/>
              <w:bottom w:val="outset" w:color="auto" w:sz="6" w:space="0"/>
              <w:right w:val="outset" w:color="auto" w:sz="6" w:space="0"/>
            </w:tcBorders>
          </w:tcPr>
          <w:p w14:paraId="4D4BEBC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w:t>
            </w:r>
          </w:p>
        </w:tc>
        <w:tc>
          <w:tcPr>
            <w:tcW w:w="0" w:type="auto"/>
            <w:tcBorders>
              <w:top w:val="outset" w:color="auto" w:sz="6" w:space="0"/>
              <w:left w:val="outset" w:color="auto" w:sz="6" w:space="0"/>
              <w:bottom w:val="outset" w:color="auto" w:sz="6" w:space="0"/>
              <w:right w:val="outset" w:color="auto" w:sz="6" w:space="0"/>
            </w:tcBorders>
          </w:tcPr>
          <w:p w14:paraId="74A0DCE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Q25– Q75</w:t>
            </w:r>
          </w:p>
        </w:tc>
        <w:tc>
          <w:tcPr>
            <w:tcW w:w="0" w:type="auto"/>
            <w:tcBorders>
              <w:top w:val="outset" w:color="auto" w:sz="6" w:space="0"/>
              <w:left w:val="outset" w:color="auto" w:sz="6" w:space="0"/>
              <w:bottom w:val="outset" w:color="auto" w:sz="6" w:space="0"/>
              <w:right w:val="outset" w:color="auto" w:sz="6" w:space="0"/>
            </w:tcBorders>
          </w:tcPr>
          <w:p w14:paraId="5A4758D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p &lt; 0.05*</w:t>
            </w:r>
          </w:p>
        </w:tc>
      </w:tr>
      <w:tr w14:paraId="2F82C765">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4020960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Жалпы ақуыз</w:t>
            </w:r>
          </w:p>
        </w:tc>
        <w:tc>
          <w:tcPr>
            <w:tcW w:w="0" w:type="auto"/>
            <w:tcBorders>
              <w:top w:val="nil"/>
              <w:left w:val="outset" w:color="auto" w:sz="6" w:space="0"/>
              <w:bottom w:val="outset" w:color="auto" w:sz="6" w:space="0"/>
              <w:right w:val="outset" w:color="auto" w:sz="6" w:space="0"/>
            </w:tcBorders>
          </w:tcPr>
          <w:p w14:paraId="3D286AA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64,0</w:t>
            </w:r>
          </w:p>
        </w:tc>
        <w:tc>
          <w:tcPr>
            <w:tcW w:w="0" w:type="auto"/>
            <w:tcBorders>
              <w:top w:val="nil"/>
              <w:left w:val="outset" w:color="auto" w:sz="6" w:space="0"/>
              <w:bottom w:val="outset" w:color="auto" w:sz="6" w:space="0"/>
              <w:right w:val="outset" w:color="auto" w:sz="6" w:space="0"/>
            </w:tcBorders>
          </w:tcPr>
          <w:p w14:paraId="52914A6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62,0–68,0</w:t>
            </w:r>
          </w:p>
        </w:tc>
        <w:tc>
          <w:tcPr>
            <w:tcW w:w="0" w:type="auto"/>
            <w:tcBorders>
              <w:top w:val="nil"/>
              <w:left w:val="outset" w:color="auto" w:sz="6" w:space="0"/>
              <w:bottom w:val="outset" w:color="auto" w:sz="6" w:space="0"/>
              <w:right w:val="outset" w:color="auto" w:sz="6" w:space="0"/>
            </w:tcBorders>
          </w:tcPr>
          <w:p w14:paraId="2AE076A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63,5</w:t>
            </w:r>
          </w:p>
        </w:tc>
        <w:tc>
          <w:tcPr>
            <w:tcW w:w="0" w:type="auto"/>
            <w:tcBorders>
              <w:top w:val="nil"/>
              <w:left w:val="outset" w:color="auto" w:sz="6" w:space="0"/>
              <w:bottom w:val="outset" w:color="auto" w:sz="6" w:space="0"/>
              <w:right w:val="outset" w:color="auto" w:sz="6" w:space="0"/>
            </w:tcBorders>
          </w:tcPr>
          <w:p w14:paraId="0034128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61,0–66,0</w:t>
            </w:r>
          </w:p>
        </w:tc>
        <w:tc>
          <w:tcPr>
            <w:tcW w:w="0" w:type="auto"/>
            <w:tcBorders>
              <w:top w:val="nil"/>
              <w:left w:val="outset" w:color="auto" w:sz="6" w:space="0"/>
              <w:bottom w:val="outset" w:color="auto" w:sz="6" w:space="0"/>
              <w:right w:val="outset" w:color="auto" w:sz="6" w:space="0"/>
            </w:tcBorders>
          </w:tcPr>
          <w:p w14:paraId="68B85BB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60,0</w:t>
            </w:r>
          </w:p>
        </w:tc>
        <w:tc>
          <w:tcPr>
            <w:tcW w:w="0" w:type="auto"/>
            <w:tcBorders>
              <w:top w:val="nil"/>
              <w:left w:val="outset" w:color="auto" w:sz="6" w:space="0"/>
              <w:bottom w:val="outset" w:color="auto" w:sz="6" w:space="0"/>
              <w:right w:val="outset" w:color="auto" w:sz="6" w:space="0"/>
            </w:tcBorders>
          </w:tcPr>
          <w:p w14:paraId="03A2CFE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59,0–63,0</w:t>
            </w:r>
          </w:p>
        </w:tc>
        <w:tc>
          <w:tcPr>
            <w:tcW w:w="0" w:type="auto"/>
            <w:tcBorders>
              <w:top w:val="nil"/>
              <w:left w:val="outset" w:color="auto" w:sz="6" w:space="0"/>
              <w:bottom w:val="outset" w:color="auto" w:sz="6" w:space="0"/>
              <w:right w:val="outset" w:color="auto" w:sz="6" w:space="0"/>
            </w:tcBorders>
          </w:tcPr>
          <w:p w14:paraId="180D912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60,0</w:t>
            </w:r>
          </w:p>
        </w:tc>
        <w:tc>
          <w:tcPr>
            <w:tcW w:w="0" w:type="auto"/>
            <w:tcBorders>
              <w:top w:val="nil"/>
              <w:left w:val="outset" w:color="auto" w:sz="6" w:space="0"/>
              <w:bottom w:val="outset" w:color="auto" w:sz="6" w:space="0"/>
              <w:right w:val="outset" w:color="auto" w:sz="6" w:space="0"/>
            </w:tcBorders>
          </w:tcPr>
          <w:p w14:paraId="5B874C2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58,0–63,00</w:t>
            </w:r>
          </w:p>
        </w:tc>
        <w:tc>
          <w:tcPr>
            <w:tcW w:w="0" w:type="auto"/>
            <w:tcBorders>
              <w:top w:val="nil"/>
              <w:left w:val="outset" w:color="auto" w:sz="6" w:space="0"/>
              <w:bottom w:val="outset" w:color="auto" w:sz="6" w:space="0"/>
              <w:right w:val="outset" w:color="auto" w:sz="6" w:space="0"/>
            </w:tcBorders>
          </w:tcPr>
          <w:p w14:paraId="70816814">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0,002</w:t>
            </w:r>
            <w:r>
              <w:rPr>
                <w:rFonts w:ascii="Times New Roman" w:hAnsi="Times New Roman" w:eastAsia="Times New Roman" w:cs="Times New Roman"/>
                <w:b/>
                <w:i/>
                <w:sz w:val="28"/>
                <w:szCs w:val="28"/>
              </w:rPr>
              <w:t>*</w:t>
            </w:r>
          </w:p>
        </w:tc>
      </w:tr>
      <w:tr w14:paraId="23C0DD51">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4728388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Зәр қышқылы</w:t>
            </w:r>
          </w:p>
        </w:tc>
        <w:tc>
          <w:tcPr>
            <w:tcW w:w="0" w:type="auto"/>
            <w:tcBorders>
              <w:top w:val="nil"/>
              <w:left w:val="outset" w:color="auto" w:sz="6" w:space="0"/>
              <w:bottom w:val="outset" w:color="auto" w:sz="6" w:space="0"/>
              <w:right w:val="outset" w:color="auto" w:sz="6" w:space="0"/>
            </w:tcBorders>
          </w:tcPr>
          <w:p w14:paraId="6D0E17F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w:t>
            </w:r>
          </w:p>
        </w:tc>
        <w:tc>
          <w:tcPr>
            <w:tcW w:w="0" w:type="auto"/>
            <w:tcBorders>
              <w:top w:val="nil"/>
              <w:left w:val="outset" w:color="auto" w:sz="6" w:space="0"/>
              <w:bottom w:val="outset" w:color="auto" w:sz="6" w:space="0"/>
              <w:right w:val="outset" w:color="auto" w:sz="6" w:space="0"/>
            </w:tcBorders>
          </w:tcPr>
          <w:p w14:paraId="50B9648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3,5–4,3</w:t>
            </w:r>
          </w:p>
        </w:tc>
        <w:tc>
          <w:tcPr>
            <w:tcW w:w="0" w:type="auto"/>
            <w:tcBorders>
              <w:top w:val="nil"/>
              <w:left w:val="outset" w:color="auto" w:sz="6" w:space="0"/>
              <w:bottom w:val="outset" w:color="auto" w:sz="6" w:space="0"/>
              <w:right w:val="outset" w:color="auto" w:sz="6" w:space="0"/>
            </w:tcBorders>
          </w:tcPr>
          <w:p w14:paraId="735238C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3,4</w:t>
            </w:r>
          </w:p>
        </w:tc>
        <w:tc>
          <w:tcPr>
            <w:tcW w:w="0" w:type="auto"/>
            <w:tcBorders>
              <w:top w:val="nil"/>
              <w:left w:val="outset" w:color="auto" w:sz="6" w:space="0"/>
              <w:bottom w:val="outset" w:color="auto" w:sz="6" w:space="0"/>
              <w:right w:val="outset" w:color="auto" w:sz="6" w:space="0"/>
            </w:tcBorders>
          </w:tcPr>
          <w:p w14:paraId="34590AC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3,2–4,1</w:t>
            </w:r>
          </w:p>
        </w:tc>
        <w:tc>
          <w:tcPr>
            <w:tcW w:w="0" w:type="auto"/>
            <w:tcBorders>
              <w:top w:val="nil"/>
              <w:left w:val="outset" w:color="auto" w:sz="6" w:space="0"/>
              <w:bottom w:val="outset" w:color="auto" w:sz="6" w:space="0"/>
              <w:right w:val="outset" w:color="auto" w:sz="6" w:space="0"/>
            </w:tcBorders>
          </w:tcPr>
          <w:p w14:paraId="5700328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3,6</w:t>
            </w:r>
          </w:p>
        </w:tc>
        <w:tc>
          <w:tcPr>
            <w:tcW w:w="0" w:type="auto"/>
            <w:tcBorders>
              <w:top w:val="nil"/>
              <w:left w:val="outset" w:color="auto" w:sz="6" w:space="0"/>
              <w:bottom w:val="outset" w:color="auto" w:sz="6" w:space="0"/>
              <w:right w:val="outset" w:color="auto" w:sz="6" w:space="0"/>
            </w:tcBorders>
          </w:tcPr>
          <w:p w14:paraId="3D9EB5D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3,3–3,9</w:t>
            </w:r>
          </w:p>
        </w:tc>
        <w:tc>
          <w:tcPr>
            <w:tcW w:w="0" w:type="auto"/>
            <w:tcBorders>
              <w:top w:val="nil"/>
              <w:left w:val="outset" w:color="auto" w:sz="6" w:space="0"/>
              <w:bottom w:val="outset" w:color="auto" w:sz="6" w:space="0"/>
              <w:right w:val="outset" w:color="auto" w:sz="6" w:space="0"/>
            </w:tcBorders>
          </w:tcPr>
          <w:p w14:paraId="0CB2C25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3,85</w:t>
            </w:r>
          </w:p>
        </w:tc>
        <w:tc>
          <w:tcPr>
            <w:tcW w:w="0" w:type="auto"/>
            <w:tcBorders>
              <w:top w:val="nil"/>
              <w:left w:val="outset" w:color="auto" w:sz="6" w:space="0"/>
              <w:bottom w:val="outset" w:color="auto" w:sz="6" w:space="0"/>
              <w:right w:val="outset" w:color="auto" w:sz="6" w:space="0"/>
            </w:tcBorders>
          </w:tcPr>
          <w:p w14:paraId="40D53C4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3,7–4,30</w:t>
            </w:r>
          </w:p>
        </w:tc>
        <w:tc>
          <w:tcPr>
            <w:tcW w:w="0" w:type="auto"/>
            <w:tcBorders>
              <w:top w:val="nil"/>
              <w:left w:val="outset" w:color="auto" w:sz="6" w:space="0"/>
              <w:bottom w:val="outset" w:color="auto" w:sz="6" w:space="0"/>
              <w:right w:val="outset" w:color="auto" w:sz="6" w:space="0"/>
            </w:tcBorders>
          </w:tcPr>
          <w:p w14:paraId="4F770327">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0,019</w:t>
            </w:r>
            <w:r>
              <w:rPr>
                <w:rFonts w:ascii="Times New Roman" w:hAnsi="Times New Roman" w:eastAsia="Times New Roman" w:cs="Times New Roman"/>
                <w:b/>
                <w:i/>
                <w:sz w:val="28"/>
                <w:szCs w:val="28"/>
              </w:rPr>
              <w:t>*</w:t>
            </w:r>
          </w:p>
        </w:tc>
      </w:tr>
      <w:tr w14:paraId="15B3688C">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38F7205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Креатинин</w:t>
            </w:r>
          </w:p>
        </w:tc>
        <w:tc>
          <w:tcPr>
            <w:tcW w:w="0" w:type="auto"/>
            <w:tcBorders>
              <w:top w:val="nil"/>
              <w:left w:val="outset" w:color="auto" w:sz="6" w:space="0"/>
              <w:bottom w:val="outset" w:color="auto" w:sz="6" w:space="0"/>
              <w:right w:val="outset" w:color="auto" w:sz="6" w:space="0"/>
            </w:tcBorders>
          </w:tcPr>
          <w:p w14:paraId="7BA0F1C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61,6</w:t>
            </w:r>
          </w:p>
        </w:tc>
        <w:tc>
          <w:tcPr>
            <w:tcW w:w="0" w:type="auto"/>
            <w:tcBorders>
              <w:top w:val="nil"/>
              <w:left w:val="outset" w:color="auto" w:sz="6" w:space="0"/>
              <w:bottom w:val="outset" w:color="auto" w:sz="6" w:space="0"/>
              <w:right w:val="outset" w:color="auto" w:sz="6" w:space="0"/>
            </w:tcBorders>
          </w:tcPr>
          <w:p w14:paraId="68699F9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57,2–69,8</w:t>
            </w:r>
          </w:p>
        </w:tc>
        <w:tc>
          <w:tcPr>
            <w:tcW w:w="0" w:type="auto"/>
            <w:tcBorders>
              <w:top w:val="nil"/>
              <w:left w:val="outset" w:color="auto" w:sz="6" w:space="0"/>
              <w:bottom w:val="outset" w:color="auto" w:sz="6" w:space="0"/>
              <w:right w:val="outset" w:color="auto" w:sz="6" w:space="0"/>
            </w:tcBorders>
          </w:tcPr>
          <w:p w14:paraId="371C346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56,5</w:t>
            </w:r>
          </w:p>
        </w:tc>
        <w:tc>
          <w:tcPr>
            <w:tcW w:w="0" w:type="auto"/>
            <w:tcBorders>
              <w:top w:val="nil"/>
              <w:left w:val="outset" w:color="auto" w:sz="6" w:space="0"/>
              <w:bottom w:val="outset" w:color="auto" w:sz="6" w:space="0"/>
              <w:right w:val="outset" w:color="auto" w:sz="6" w:space="0"/>
            </w:tcBorders>
          </w:tcPr>
          <w:p w14:paraId="5013375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51,1–60,6</w:t>
            </w:r>
          </w:p>
        </w:tc>
        <w:tc>
          <w:tcPr>
            <w:tcW w:w="0" w:type="auto"/>
            <w:tcBorders>
              <w:top w:val="nil"/>
              <w:left w:val="outset" w:color="auto" w:sz="6" w:space="0"/>
              <w:bottom w:val="outset" w:color="auto" w:sz="6" w:space="0"/>
              <w:right w:val="outset" w:color="auto" w:sz="6" w:space="0"/>
            </w:tcBorders>
          </w:tcPr>
          <w:p w14:paraId="0C401D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58,7</w:t>
            </w:r>
          </w:p>
        </w:tc>
        <w:tc>
          <w:tcPr>
            <w:tcW w:w="0" w:type="auto"/>
            <w:tcBorders>
              <w:top w:val="nil"/>
              <w:left w:val="outset" w:color="auto" w:sz="6" w:space="0"/>
              <w:bottom w:val="outset" w:color="auto" w:sz="6" w:space="0"/>
              <w:right w:val="outset" w:color="auto" w:sz="6" w:space="0"/>
            </w:tcBorders>
          </w:tcPr>
          <w:p w14:paraId="12ACA6F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56,6–65,5</w:t>
            </w:r>
          </w:p>
        </w:tc>
        <w:tc>
          <w:tcPr>
            <w:tcW w:w="0" w:type="auto"/>
            <w:tcBorders>
              <w:top w:val="nil"/>
              <w:left w:val="outset" w:color="auto" w:sz="6" w:space="0"/>
              <w:bottom w:val="outset" w:color="auto" w:sz="6" w:space="0"/>
              <w:right w:val="outset" w:color="auto" w:sz="6" w:space="0"/>
            </w:tcBorders>
          </w:tcPr>
          <w:p w14:paraId="048CF94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59,0</w:t>
            </w:r>
          </w:p>
        </w:tc>
        <w:tc>
          <w:tcPr>
            <w:tcW w:w="0" w:type="auto"/>
            <w:tcBorders>
              <w:top w:val="nil"/>
              <w:left w:val="outset" w:color="auto" w:sz="6" w:space="0"/>
              <w:bottom w:val="outset" w:color="auto" w:sz="6" w:space="0"/>
              <w:right w:val="outset" w:color="auto" w:sz="6" w:space="0"/>
            </w:tcBorders>
          </w:tcPr>
          <w:p w14:paraId="2F43626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55,3–69,50</w:t>
            </w:r>
          </w:p>
        </w:tc>
        <w:tc>
          <w:tcPr>
            <w:tcW w:w="0" w:type="auto"/>
            <w:tcBorders>
              <w:top w:val="nil"/>
              <w:left w:val="outset" w:color="auto" w:sz="6" w:space="0"/>
              <w:bottom w:val="outset" w:color="auto" w:sz="6" w:space="0"/>
              <w:right w:val="outset" w:color="auto" w:sz="6" w:space="0"/>
            </w:tcBorders>
          </w:tcPr>
          <w:p w14:paraId="47229B7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0,154</w:t>
            </w:r>
          </w:p>
        </w:tc>
      </w:tr>
      <w:tr w14:paraId="09B761CB">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1EBE727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Тікелей билирубин</w:t>
            </w:r>
          </w:p>
        </w:tc>
        <w:tc>
          <w:tcPr>
            <w:tcW w:w="0" w:type="auto"/>
            <w:tcBorders>
              <w:top w:val="nil"/>
              <w:left w:val="outset" w:color="auto" w:sz="6" w:space="0"/>
              <w:bottom w:val="outset" w:color="auto" w:sz="6" w:space="0"/>
              <w:right w:val="outset" w:color="auto" w:sz="6" w:space="0"/>
            </w:tcBorders>
          </w:tcPr>
          <w:p w14:paraId="0B3919A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4,3</w:t>
            </w:r>
          </w:p>
        </w:tc>
        <w:tc>
          <w:tcPr>
            <w:tcW w:w="0" w:type="auto"/>
            <w:tcBorders>
              <w:top w:val="nil"/>
              <w:left w:val="outset" w:color="auto" w:sz="6" w:space="0"/>
              <w:bottom w:val="outset" w:color="auto" w:sz="6" w:space="0"/>
              <w:right w:val="outset" w:color="auto" w:sz="6" w:space="0"/>
            </w:tcBorders>
          </w:tcPr>
          <w:p w14:paraId="2899721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4,1–4,6</w:t>
            </w:r>
          </w:p>
        </w:tc>
        <w:tc>
          <w:tcPr>
            <w:tcW w:w="0" w:type="auto"/>
            <w:tcBorders>
              <w:top w:val="nil"/>
              <w:left w:val="outset" w:color="auto" w:sz="6" w:space="0"/>
              <w:bottom w:val="outset" w:color="auto" w:sz="6" w:space="0"/>
              <w:right w:val="outset" w:color="auto" w:sz="6" w:space="0"/>
            </w:tcBorders>
          </w:tcPr>
          <w:p w14:paraId="21BA70B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4,25</w:t>
            </w:r>
          </w:p>
        </w:tc>
        <w:tc>
          <w:tcPr>
            <w:tcW w:w="0" w:type="auto"/>
            <w:tcBorders>
              <w:top w:val="nil"/>
              <w:left w:val="outset" w:color="auto" w:sz="6" w:space="0"/>
              <w:bottom w:val="outset" w:color="auto" w:sz="6" w:space="0"/>
              <w:right w:val="outset" w:color="auto" w:sz="6" w:space="0"/>
            </w:tcBorders>
          </w:tcPr>
          <w:p w14:paraId="0883C5B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4,2–4,3</w:t>
            </w:r>
          </w:p>
        </w:tc>
        <w:tc>
          <w:tcPr>
            <w:tcW w:w="0" w:type="auto"/>
            <w:tcBorders>
              <w:top w:val="nil"/>
              <w:left w:val="outset" w:color="auto" w:sz="6" w:space="0"/>
              <w:bottom w:val="outset" w:color="auto" w:sz="6" w:space="0"/>
              <w:right w:val="outset" w:color="auto" w:sz="6" w:space="0"/>
            </w:tcBorders>
          </w:tcPr>
          <w:p w14:paraId="4245137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4,4</w:t>
            </w:r>
          </w:p>
        </w:tc>
        <w:tc>
          <w:tcPr>
            <w:tcW w:w="0" w:type="auto"/>
            <w:tcBorders>
              <w:top w:val="nil"/>
              <w:left w:val="outset" w:color="auto" w:sz="6" w:space="0"/>
              <w:bottom w:val="outset" w:color="auto" w:sz="6" w:space="0"/>
              <w:right w:val="outset" w:color="auto" w:sz="6" w:space="0"/>
            </w:tcBorders>
          </w:tcPr>
          <w:p w14:paraId="6F096E9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4,0–4,6</w:t>
            </w:r>
          </w:p>
        </w:tc>
        <w:tc>
          <w:tcPr>
            <w:tcW w:w="0" w:type="auto"/>
            <w:tcBorders>
              <w:top w:val="nil"/>
              <w:left w:val="outset" w:color="auto" w:sz="6" w:space="0"/>
              <w:bottom w:val="outset" w:color="auto" w:sz="6" w:space="0"/>
              <w:right w:val="outset" w:color="auto" w:sz="6" w:space="0"/>
            </w:tcBorders>
          </w:tcPr>
          <w:p w14:paraId="57E54C7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4,1</w:t>
            </w:r>
          </w:p>
        </w:tc>
        <w:tc>
          <w:tcPr>
            <w:tcW w:w="0" w:type="auto"/>
            <w:tcBorders>
              <w:top w:val="nil"/>
              <w:left w:val="outset" w:color="auto" w:sz="6" w:space="0"/>
              <w:bottom w:val="outset" w:color="auto" w:sz="6" w:space="0"/>
              <w:right w:val="outset" w:color="auto" w:sz="6" w:space="0"/>
            </w:tcBorders>
          </w:tcPr>
          <w:p w14:paraId="12B3130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3,7–4,20</w:t>
            </w:r>
          </w:p>
        </w:tc>
        <w:tc>
          <w:tcPr>
            <w:tcW w:w="0" w:type="auto"/>
            <w:tcBorders>
              <w:top w:val="nil"/>
              <w:left w:val="outset" w:color="auto" w:sz="6" w:space="0"/>
              <w:bottom w:val="outset" w:color="auto" w:sz="6" w:space="0"/>
              <w:right w:val="outset" w:color="auto" w:sz="6" w:space="0"/>
            </w:tcBorders>
          </w:tcPr>
          <w:p w14:paraId="7AEDA3F2">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0,026</w:t>
            </w:r>
            <w:r>
              <w:rPr>
                <w:rFonts w:ascii="Times New Roman" w:hAnsi="Times New Roman" w:eastAsia="Times New Roman" w:cs="Times New Roman"/>
                <w:b/>
                <w:i/>
                <w:sz w:val="28"/>
                <w:szCs w:val="28"/>
              </w:rPr>
              <w:t>*</w:t>
            </w:r>
          </w:p>
        </w:tc>
      </w:tr>
      <w:tr w14:paraId="1652590F">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5B2F6B5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Жалпы</w:t>
            </w:r>
          </w:p>
          <w:p w14:paraId="45366E4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билирубин</w:t>
            </w:r>
          </w:p>
        </w:tc>
        <w:tc>
          <w:tcPr>
            <w:tcW w:w="0" w:type="auto"/>
            <w:tcBorders>
              <w:top w:val="nil"/>
              <w:left w:val="outset" w:color="auto" w:sz="6" w:space="0"/>
              <w:bottom w:val="outset" w:color="auto" w:sz="6" w:space="0"/>
              <w:right w:val="outset" w:color="auto" w:sz="6" w:space="0"/>
            </w:tcBorders>
          </w:tcPr>
          <w:p w14:paraId="5430988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14,5</w:t>
            </w:r>
          </w:p>
        </w:tc>
        <w:tc>
          <w:tcPr>
            <w:tcW w:w="0" w:type="auto"/>
            <w:tcBorders>
              <w:top w:val="nil"/>
              <w:left w:val="outset" w:color="auto" w:sz="6" w:space="0"/>
              <w:bottom w:val="outset" w:color="auto" w:sz="6" w:space="0"/>
              <w:right w:val="outset" w:color="auto" w:sz="6" w:space="0"/>
            </w:tcBorders>
          </w:tcPr>
          <w:p w14:paraId="6758D9A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14,4–14,9</w:t>
            </w:r>
          </w:p>
        </w:tc>
        <w:tc>
          <w:tcPr>
            <w:tcW w:w="0" w:type="auto"/>
            <w:tcBorders>
              <w:top w:val="nil"/>
              <w:left w:val="outset" w:color="auto" w:sz="6" w:space="0"/>
              <w:bottom w:val="outset" w:color="auto" w:sz="6" w:space="0"/>
              <w:right w:val="outset" w:color="auto" w:sz="6" w:space="0"/>
            </w:tcBorders>
          </w:tcPr>
          <w:p w14:paraId="56A378C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14,5</w:t>
            </w:r>
          </w:p>
        </w:tc>
        <w:tc>
          <w:tcPr>
            <w:tcW w:w="0" w:type="auto"/>
            <w:tcBorders>
              <w:top w:val="nil"/>
              <w:left w:val="outset" w:color="auto" w:sz="6" w:space="0"/>
              <w:bottom w:val="outset" w:color="auto" w:sz="6" w:space="0"/>
              <w:right w:val="outset" w:color="auto" w:sz="6" w:space="0"/>
            </w:tcBorders>
          </w:tcPr>
          <w:p w14:paraId="585CFCE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13,8–14,6</w:t>
            </w:r>
          </w:p>
        </w:tc>
        <w:tc>
          <w:tcPr>
            <w:tcW w:w="0" w:type="auto"/>
            <w:tcBorders>
              <w:top w:val="nil"/>
              <w:left w:val="outset" w:color="auto" w:sz="6" w:space="0"/>
              <w:bottom w:val="outset" w:color="auto" w:sz="6" w:space="0"/>
              <w:right w:val="outset" w:color="auto" w:sz="6" w:space="0"/>
            </w:tcBorders>
          </w:tcPr>
          <w:p w14:paraId="025DF9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14,5</w:t>
            </w:r>
          </w:p>
        </w:tc>
        <w:tc>
          <w:tcPr>
            <w:tcW w:w="0" w:type="auto"/>
            <w:tcBorders>
              <w:top w:val="nil"/>
              <w:left w:val="outset" w:color="auto" w:sz="6" w:space="0"/>
              <w:bottom w:val="outset" w:color="auto" w:sz="6" w:space="0"/>
              <w:right w:val="outset" w:color="auto" w:sz="6" w:space="0"/>
            </w:tcBorders>
          </w:tcPr>
          <w:p w14:paraId="6A26C78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14,2–14,7</w:t>
            </w:r>
          </w:p>
        </w:tc>
        <w:tc>
          <w:tcPr>
            <w:tcW w:w="0" w:type="auto"/>
            <w:tcBorders>
              <w:top w:val="nil"/>
              <w:left w:val="outset" w:color="auto" w:sz="6" w:space="0"/>
              <w:bottom w:val="outset" w:color="auto" w:sz="6" w:space="0"/>
              <w:right w:val="outset" w:color="auto" w:sz="6" w:space="0"/>
            </w:tcBorders>
          </w:tcPr>
          <w:p w14:paraId="6CC22F6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14,25</w:t>
            </w:r>
          </w:p>
        </w:tc>
        <w:tc>
          <w:tcPr>
            <w:tcW w:w="0" w:type="auto"/>
            <w:tcBorders>
              <w:top w:val="nil"/>
              <w:left w:val="outset" w:color="auto" w:sz="6" w:space="0"/>
              <w:bottom w:val="outset" w:color="auto" w:sz="6" w:space="0"/>
              <w:right w:val="outset" w:color="auto" w:sz="6" w:space="0"/>
            </w:tcBorders>
          </w:tcPr>
          <w:p w14:paraId="70A2A38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13,9–14,60</w:t>
            </w:r>
          </w:p>
        </w:tc>
        <w:tc>
          <w:tcPr>
            <w:tcW w:w="0" w:type="auto"/>
            <w:tcBorders>
              <w:top w:val="nil"/>
              <w:left w:val="outset" w:color="auto" w:sz="6" w:space="0"/>
              <w:bottom w:val="outset" w:color="auto" w:sz="6" w:space="0"/>
              <w:right w:val="outset" w:color="auto" w:sz="6" w:space="0"/>
            </w:tcBorders>
          </w:tcPr>
          <w:p w14:paraId="2A68ECD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0,099</w:t>
            </w:r>
          </w:p>
        </w:tc>
      </w:tr>
      <w:tr w14:paraId="76D3FA82">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702F585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АЛТ</w:t>
            </w:r>
          </w:p>
        </w:tc>
        <w:tc>
          <w:tcPr>
            <w:tcW w:w="0" w:type="auto"/>
            <w:tcBorders>
              <w:top w:val="nil"/>
              <w:left w:val="outset" w:color="auto" w:sz="6" w:space="0"/>
              <w:bottom w:val="outset" w:color="auto" w:sz="6" w:space="0"/>
              <w:right w:val="outset" w:color="auto" w:sz="6" w:space="0"/>
            </w:tcBorders>
          </w:tcPr>
          <w:p w14:paraId="635CA47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17,0</w:t>
            </w:r>
          </w:p>
        </w:tc>
        <w:tc>
          <w:tcPr>
            <w:tcW w:w="0" w:type="auto"/>
            <w:tcBorders>
              <w:top w:val="nil"/>
              <w:left w:val="outset" w:color="auto" w:sz="6" w:space="0"/>
              <w:bottom w:val="outset" w:color="auto" w:sz="6" w:space="0"/>
              <w:right w:val="outset" w:color="auto" w:sz="6" w:space="0"/>
            </w:tcBorders>
          </w:tcPr>
          <w:p w14:paraId="741D951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13,0–21,0</w:t>
            </w:r>
          </w:p>
        </w:tc>
        <w:tc>
          <w:tcPr>
            <w:tcW w:w="0" w:type="auto"/>
            <w:tcBorders>
              <w:top w:val="nil"/>
              <w:left w:val="outset" w:color="auto" w:sz="6" w:space="0"/>
              <w:bottom w:val="outset" w:color="auto" w:sz="6" w:space="0"/>
              <w:right w:val="outset" w:color="auto" w:sz="6" w:space="0"/>
            </w:tcBorders>
          </w:tcPr>
          <w:p w14:paraId="2DED47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15,5</w:t>
            </w:r>
          </w:p>
        </w:tc>
        <w:tc>
          <w:tcPr>
            <w:tcW w:w="0" w:type="auto"/>
            <w:tcBorders>
              <w:top w:val="nil"/>
              <w:left w:val="outset" w:color="auto" w:sz="6" w:space="0"/>
              <w:bottom w:val="outset" w:color="auto" w:sz="6" w:space="0"/>
              <w:right w:val="outset" w:color="auto" w:sz="6" w:space="0"/>
            </w:tcBorders>
          </w:tcPr>
          <w:p w14:paraId="02DD09E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10,0–18,0</w:t>
            </w:r>
          </w:p>
        </w:tc>
        <w:tc>
          <w:tcPr>
            <w:tcW w:w="0" w:type="auto"/>
            <w:tcBorders>
              <w:top w:val="nil"/>
              <w:left w:val="outset" w:color="auto" w:sz="6" w:space="0"/>
              <w:bottom w:val="outset" w:color="auto" w:sz="6" w:space="0"/>
              <w:right w:val="outset" w:color="auto" w:sz="6" w:space="0"/>
            </w:tcBorders>
          </w:tcPr>
          <w:p w14:paraId="74D1242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13,0</w:t>
            </w:r>
          </w:p>
        </w:tc>
        <w:tc>
          <w:tcPr>
            <w:tcW w:w="0" w:type="auto"/>
            <w:tcBorders>
              <w:top w:val="nil"/>
              <w:left w:val="outset" w:color="auto" w:sz="6" w:space="0"/>
              <w:bottom w:val="outset" w:color="auto" w:sz="6" w:space="0"/>
              <w:right w:val="outset" w:color="auto" w:sz="6" w:space="0"/>
            </w:tcBorders>
          </w:tcPr>
          <w:p w14:paraId="1663D79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11,0–18,0</w:t>
            </w:r>
          </w:p>
        </w:tc>
        <w:tc>
          <w:tcPr>
            <w:tcW w:w="0" w:type="auto"/>
            <w:tcBorders>
              <w:top w:val="nil"/>
              <w:left w:val="outset" w:color="auto" w:sz="6" w:space="0"/>
              <w:bottom w:val="outset" w:color="auto" w:sz="6" w:space="0"/>
              <w:right w:val="outset" w:color="auto" w:sz="6" w:space="0"/>
            </w:tcBorders>
          </w:tcPr>
          <w:p w14:paraId="0F527EE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w:t>
            </w:r>
          </w:p>
        </w:tc>
        <w:tc>
          <w:tcPr>
            <w:tcW w:w="0" w:type="auto"/>
            <w:tcBorders>
              <w:top w:val="nil"/>
              <w:left w:val="outset" w:color="auto" w:sz="6" w:space="0"/>
              <w:bottom w:val="outset" w:color="auto" w:sz="6" w:space="0"/>
              <w:right w:val="outset" w:color="auto" w:sz="6" w:space="0"/>
            </w:tcBorders>
          </w:tcPr>
          <w:p w14:paraId="6ADBC6A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10,0–15,00</w:t>
            </w:r>
          </w:p>
        </w:tc>
        <w:tc>
          <w:tcPr>
            <w:tcW w:w="0" w:type="auto"/>
            <w:tcBorders>
              <w:top w:val="nil"/>
              <w:left w:val="outset" w:color="auto" w:sz="6" w:space="0"/>
              <w:bottom w:val="outset" w:color="auto" w:sz="6" w:space="0"/>
              <w:right w:val="outset" w:color="auto" w:sz="6" w:space="0"/>
            </w:tcBorders>
          </w:tcPr>
          <w:p w14:paraId="0C60C0E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0,096</w:t>
            </w:r>
          </w:p>
        </w:tc>
      </w:tr>
      <w:tr w14:paraId="5AEA6AFB">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3D3E42B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АСТ</w:t>
            </w:r>
          </w:p>
        </w:tc>
        <w:tc>
          <w:tcPr>
            <w:tcW w:w="0" w:type="auto"/>
            <w:tcBorders>
              <w:top w:val="nil"/>
              <w:left w:val="outset" w:color="auto" w:sz="6" w:space="0"/>
              <w:bottom w:val="outset" w:color="auto" w:sz="6" w:space="0"/>
              <w:right w:val="outset" w:color="auto" w:sz="6" w:space="0"/>
            </w:tcBorders>
          </w:tcPr>
          <w:p w14:paraId="1892392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19,0</w:t>
            </w:r>
          </w:p>
        </w:tc>
        <w:tc>
          <w:tcPr>
            <w:tcW w:w="0" w:type="auto"/>
            <w:tcBorders>
              <w:top w:val="nil"/>
              <w:left w:val="outset" w:color="auto" w:sz="6" w:space="0"/>
              <w:bottom w:val="outset" w:color="auto" w:sz="6" w:space="0"/>
              <w:right w:val="outset" w:color="auto" w:sz="6" w:space="0"/>
            </w:tcBorders>
          </w:tcPr>
          <w:p w14:paraId="3CA667E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14,0–24,0</w:t>
            </w:r>
          </w:p>
        </w:tc>
        <w:tc>
          <w:tcPr>
            <w:tcW w:w="0" w:type="auto"/>
            <w:tcBorders>
              <w:top w:val="nil"/>
              <w:left w:val="outset" w:color="auto" w:sz="6" w:space="0"/>
              <w:bottom w:val="outset" w:color="auto" w:sz="6" w:space="0"/>
              <w:right w:val="outset" w:color="auto" w:sz="6" w:space="0"/>
            </w:tcBorders>
          </w:tcPr>
          <w:p w14:paraId="56EBE1C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14,0</w:t>
            </w:r>
          </w:p>
        </w:tc>
        <w:tc>
          <w:tcPr>
            <w:tcW w:w="0" w:type="auto"/>
            <w:tcBorders>
              <w:top w:val="nil"/>
              <w:left w:val="outset" w:color="auto" w:sz="6" w:space="0"/>
              <w:bottom w:val="outset" w:color="auto" w:sz="6" w:space="0"/>
              <w:right w:val="outset" w:color="auto" w:sz="6" w:space="0"/>
            </w:tcBorders>
          </w:tcPr>
          <w:p w14:paraId="324079B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12,0–17,0</w:t>
            </w:r>
          </w:p>
        </w:tc>
        <w:tc>
          <w:tcPr>
            <w:tcW w:w="0" w:type="auto"/>
            <w:tcBorders>
              <w:top w:val="nil"/>
              <w:left w:val="outset" w:color="auto" w:sz="6" w:space="0"/>
              <w:bottom w:val="outset" w:color="auto" w:sz="6" w:space="0"/>
              <w:right w:val="outset" w:color="auto" w:sz="6" w:space="0"/>
            </w:tcBorders>
          </w:tcPr>
          <w:p w14:paraId="6E8B0C3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17,0</w:t>
            </w:r>
          </w:p>
        </w:tc>
        <w:tc>
          <w:tcPr>
            <w:tcW w:w="0" w:type="auto"/>
            <w:tcBorders>
              <w:top w:val="nil"/>
              <w:left w:val="outset" w:color="auto" w:sz="6" w:space="0"/>
              <w:bottom w:val="outset" w:color="auto" w:sz="6" w:space="0"/>
              <w:right w:val="outset" w:color="auto" w:sz="6" w:space="0"/>
            </w:tcBorders>
          </w:tcPr>
          <w:p w14:paraId="6760A1E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13,0–20,0</w:t>
            </w:r>
          </w:p>
        </w:tc>
        <w:tc>
          <w:tcPr>
            <w:tcW w:w="0" w:type="auto"/>
            <w:tcBorders>
              <w:top w:val="nil"/>
              <w:left w:val="outset" w:color="auto" w:sz="6" w:space="0"/>
              <w:bottom w:val="outset" w:color="auto" w:sz="6" w:space="0"/>
              <w:right w:val="outset" w:color="auto" w:sz="6" w:space="0"/>
            </w:tcBorders>
          </w:tcPr>
          <w:p w14:paraId="012FE19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13,0</w:t>
            </w:r>
          </w:p>
        </w:tc>
        <w:tc>
          <w:tcPr>
            <w:tcW w:w="0" w:type="auto"/>
            <w:tcBorders>
              <w:top w:val="nil"/>
              <w:left w:val="outset" w:color="auto" w:sz="6" w:space="0"/>
              <w:bottom w:val="outset" w:color="auto" w:sz="6" w:space="0"/>
              <w:right w:val="outset" w:color="auto" w:sz="6" w:space="0"/>
            </w:tcBorders>
          </w:tcPr>
          <w:p w14:paraId="24EDA94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10,0–15,00</w:t>
            </w:r>
          </w:p>
        </w:tc>
        <w:tc>
          <w:tcPr>
            <w:tcW w:w="0" w:type="auto"/>
            <w:tcBorders>
              <w:top w:val="nil"/>
              <w:left w:val="outset" w:color="auto" w:sz="6" w:space="0"/>
              <w:bottom w:val="outset" w:color="auto" w:sz="6" w:space="0"/>
              <w:right w:val="outset" w:color="auto" w:sz="6" w:space="0"/>
            </w:tcBorders>
          </w:tcPr>
          <w:p w14:paraId="4C830F2F">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0,002</w:t>
            </w:r>
            <w:r>
              <w:rPr>
                <w:rFonts w:ascii="Times New Roman" w:hAnsi="Times New Roman" w:eastAsia="Times New Roman" w:cs="Times New Roman"/>
                <w:b/>
                <w:i/>
                <w:sz w:val="28"/>
                <w:szCs w:val="28"/>
              </w:rPr>
              <w:t>*</w:t>
            </w:r>
          </w:p>
        </w:tc>
      </w:tr>
      <w:tr w14:paraId="05502AD8">
        <w:tblPrEx>
          <w:tblCellMar>
            <w:top w:w="15" w:type="dxa"/>
            <w:left w:w="15" w:type="dxa"/>
            <w:bottom w:w="15" w:type="dxa"/>
            <w:right w:w="15" w:type="dxa"/>
          </w:tblCellMar>
        </w:tblPrEx>
        <w:tc>
          <w:tcPr>
            <w:tcW w:w="0" w:type="auto"/>
            <w:gridSpan w:val="10"/>
            <w:tcBorders>
              <w:top w:val="nil"/>
              <w:left w:val="outset" w:color="auto" w:sz="6" w:space="0"/>
              <w:bottom w:val="outset" w:color="auto" w:sz="6" w:space="0"/>
              <w:right w:val="outset" w:color="auto" w:sz="6" w:space="0"/>
            </w:tcBorders>
          </w:tcPr>
          <w:p w14:paraId="6E170CBA">
            <w:pPr>
              <w:widowControl w:val="0"/>
              <w:autoSpaceDE w:val="0"/>
              <w:autoSpaceDN w:val="0"/>
              <w:spacing w:after="0" w:line="276" w:lineRule="auto"/>
              <w:jc w:val="both"/>
              <w:outlineLvl w:val="0"/>
              <w:rPr>
                <w:rFonts w:ascii="Times New Roman" w:hAnsi="Times New Roman" w:eastAsia="Times New Roman" w:cs="Times New Roman"/>
                <w:b/>
                <w:i/>
                <w:sz w:val="28"/>
                <w:szCs w:val="28"/>
              </w:rPr>
            </w:pPr>
            <w:r>
              <w:rPr>
                <w:rFonts w:ascii="Times New Roman" w:hAnsi="Times New Roman" w:eastAsia="Times New Roman" w:cs="Times New Roman"/>
                <w:i/>
                <w:sz w:val="28"/>
                <w:szCs w:val="28"/>
              </w:rPr>
              <w:t xml:space="preserve">*–Краскел–Уоллис критерийі бойынша айырмашылығы, көрсеткіштердің өзгеруінің растығы бойынша р&lt;0.05  </w:t>
            </w:r>
          </w:p>
        </w:tc>
      </w:tr>
    </w:tbl>
    <w:p w14:paraId="6F8849E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5A880DE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Зерттеудің маңызды көрсеткіштерін тереңірек талдау үшін Краскел–Уоллис критерийі арқылы статистикалық айырмашылықтар анықталған параметрлер бойынша Манн–Уитни Z критерийімен топаралық салыстыру жүргізілді (Кесте 9).</w:t>
      </w:r>
    </w:p>
    <w:p w14:paraId="308AB289">
      <w:pPr>
        <w:widowControl w:val="0"/>
        <w:autoSpaceDE w:val="0"/>
        <w:autoSpaceDN w:val="0"/>
        <w:spacing w:after="0" w:line="276" w:lineRule="auto"/>
        <w:ind w:firstLine="709"/>
        <w:jc w:val="both"/>
        <w:outlineLvl w:val="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Семіздігі бар жүкті әйелдерде (3-топ) және анемиясы бар жүкті әйелдерде (2-топ) эритроциттердің тұну жылдамдығы (ЭТЖ) жоғарылағаны анықталды (p &lt; 0,05). Семіздік пен анемияның үйлесуі (4-топ) қабыну көрсеткіштерін айтарлықтай күшейтті, бұл таяқша ядролық нейтрофилдер деңгейінің жоғарылауымен (p &lt; 0,05) және лимфоцит деңгейінің төмендеуімен (p &lt; 0,01) дәлелденді. Қабыну процестерінің белсенділігі созылмалы қабыну синдромының жүкті әйелдердегі анемияның патогенезіне ықпал ететінін көрсетеді. </w:t>
      </w:r>
    </w:p>
    <w:p w14:paraId="53EFF428">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sz w:val="28"/>
          <w:szCs w:val="28"/>
          <w:lang w:eastAsia="ru-RU"/>
        </w:rPr>
        <w:t xml:space="preserve"> Протромбин индексі бақылау тобымен салыстырғанда анемиясы және семіздігі бар жүкті әйелдерде (4-топ) жоғарылаған (p = 0,039). </w:t>
      </w:r>
      <w:r>
        <w:rPr>
          <w:rFonts w:ascii="Times New Roman" w:hAnsi="Times New Roman" w:eastAsia="Times New Roman"/>
          <w:sz w:val="28"/>
          <w:szCs w:val="28"/>
          <w:lang w:val="kk-KZ" w:eastAsia="ru-RU"/>
        </w:rPr>
        <w:t>БЖТУ</w:t>
      </w:r>
      <w:r>
        <w:rPr>
          <w:rFonts w:ascii="Times New Roman" w:hAnsi="Times New Roman" w:eastAsia="Times New Roman"/>
          <w:sz w:val="28"/>
          <w:szCs w:val="28"/>
          <w:lang w:eastAsia="ru-RU"/>
        </w:rPr>
        <w:t xml:space="preserve">, ХҚҚ және фибриноген деңгейлері бойынша клиникалық маңызды айырмашылықтар анықталған жоқ, бұл қан ұю жүйесінің жалпы тұрақтылығы сақталғанын көрсетеді. </w:t>
      </w:r>
      <w:r>
        <w:rPr>
          <w:rFonts w:ascii="Times New Roman" w:hAnsi="Times New Roman" w:eastAsia="Times New Roman" w:cs="Times New Roman"/>
          <w:i/>
          <w:sz w:val="28"/>
          <w:szCs w:val="28"/>
          <w:lang w:eastAsia="ru-RU"/>
        </w:rPr>
        <w:t xml:space="preserve"> </w:t>
      </w:r>
    </w:p>
    <w:p w14:paraId="377679D3">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p>
    <w:p w14:paraId="572C5E94">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Кесте – 9. Жүкті әйелдердің зертханалық көрсеткіштерін топаралық салыстырмалы бағалау</w:t>
      </w:r>
    </w:p>
    <w:p w14:paraId="5C35462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5"/>
        <w:tblW w:w="0" w:type="auto"/>
        <w:tblInd w:w="0" w:type="dxa"/>
        <w:tblLayout w:type="autofit"/>
        <w:tblCellMar>
          <w:top w:w="15" w:type="dxa"/>
          <w:left w:w="15" w:type="dxa"/>
          <w:bottom w:w="15" w:type="dxa"/>
          <w:right w:w="15" w:type="dxa"/>
        </w:tblCellMar>
      </w:tblPr>
      <w:tblGrid>
        <w:gridCol w:w="1481"/>
        <w:gridCol w:w="658"/>
        <w:gridCol w:w="658"/>
        <w:gridCol w:w="658"/>
        <w:gridCol w:w="658"/>
        <w:gridCol w:w="659"/>
        <w:gridCol w:w="659"/>
        <w:gridCol w:w="659"/>
        <w:gridCol w:w="659"/>
        <w:gridCol w:w="659"/>
        <w:gridCol w:w="659"/>
        <w:gridCol w:w="659"/>
        <w:gridCol w:w="659"/>
      </w:tblGrid>
      <w:tr w14:paraId="13C2EEE1">
        <w:tblPrEx>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tcPr>
          <w:p w14:paraId="02D23A9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bookmarkStart w:id="5" w:name="_Hlk163996945"/>
            <w:r>
              <w:rPr>
                <w:rFonts w:ascii="Times New Roman" w:hAnsi="Times New Roman" w:eastAsia="Times New Roman" w:cs="Times New Roman"/>
                <w:b/>
                <w:bCs/>
                <w:sz w:val="28"/>
                <w:szCs w:val="28"/>
              </w:rPr>
              <w:t>Көрсеткіштер</w:t>
            </w:r>
            <w:bookmarkEnd w:id="5"/>
          </w:p>
        </w:tc>
        <w:tc>
          <w:tcPr>
            <w:tcW w:w="0" w:type="auto"/>
            <w:gridSpan w:val="2"/>
            <w:tcBorders>
              <w:top w:val="outset" w:color="auto" w:sz="6" w:space="0"/>
              <w:left w:val="outset" w:color="auto" w:sz="6" w:space="0"/>
              <w:bottom w:val="outset" w:color="auto" w:sz="6" w:space="0"/>
              <w:right w:val="outset" w:color="auto" w:sz="6" w:space="0"/>
            </w:tcBorders>
          </w:tcPr>
          <w:p w14:paraId="561D76B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және 2 топтар</w:t>
            </w:r>
          </w:p>
        </w:tc>
        <w:tc>
          <w:tcPr>
            <w:tcW w:w="0" w:type="auto"/>
            <w:gridSpan w:val="2"/>
            <w:tcBorders>
              <w:top w:val="outset" w:color="auto" w:sz="6" w:space="0"/>
              <w:left w:val="outset" w:color="auto" w:sz="6" w:space="0"/>
              <w:bottom w:val="outset" w:color="auto" w:sz="6" w:space="0"/>
              <w:right w:val="outset" w:color="auto" w:sz="6" w:space="0"/>
            </w:tcBorders>
          </w:tcPr>
          <w:p w14:paraId="435FFA2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және 3 топтар</w:t>
            </w:r>
          </w:p>
        </w:tc>
        <w:tc>
          <w:tcPr>
            <w:tcW w:w="0" w:type="auto"/>
            <w:gridSpan w:val="2"/>
            <w:tcBorders>
              <w:top w:val="outset" w:color="auto" w:sz="6" w:space="0"/>
              <w:left w:val="outset" w:color="auto" w:sz="6" w:space="0"/>
              <w:bottom w:val="outset" w:color="auto" w:sz="6" w:space="0"/>
              <w:right w:val="outset" w:color="auto" w:sz="6" w:space="0"/>
            </w:tcBorders>
          </w:tcPr>
          <w:p w14:paraId="540BEF4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және 4 топтар</w:t>
            </w:r>
          </w:p>
        </w:tc>
        <w:tc>
          <w:tcPr>
            <w:tcW w:w="0" w:type="auto"/>
            <w:gridSpan w:val="2"/>
            <w:tcBorders>
              <w:top w:val="outset" w:color="auto" w:sz="6" w:space="0"/>
              <w:left w:val="outset" w:color="auto" w:sz="6" w:space="0"/>
              <w:bottom w:val="outset" w:color="auto" w:sz="6" w:space="0"/>
              <w:right w:val="outset" w:color="auto" w:sz="6" w:space="0"/>
            </w:tcBorders>
          </w:tcPr>
          <w:p w14:paraId="68E7331C">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және 3 топтар</w:t>
            </w:r>
          </w:p>
        </w:tc>
        <w:tc>
          <w:tcPr>
            <w:tcW w:w="0" w:type="auto"/>
            <w:gridSpan w:val="2"/>
            <w:tcBorders>
              <w:top w:val="outset" w:color="auto" w:sz="6" w:space="0"/>
              <w:left w:val="outset" w:color="auto" w:sz="6" w:space="0"/>
              <w:bottom w:val="outset" w:color="auto" w:sz="6" w:space="0"/>
              <w:right w:val="outset" w:color="auto" w:sz="6" w:space="0"/>
            </w:tcBorders>
          </w:tcPr>
          <w:p w14:paraId="08A09B7B">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және 4 топтар</w:t>
            </w:r>
          </w:p>
        </w:tc>
        <w:tc>
          <w:tcPr>
            <w:tcW w:w="0" w:type="auto"/>
            <w:gridSpan w:val="2"/>
            <w:tcBorders>
              <w:top w:val="outset" w:color="auto" w:sz="6" w:space="0"/>
              <w:left w:val="outset" w:color="auto" w:sz="6" w:space="0"/>
              <w:bottom w:val="outset" w:color="auto" w:sz="6" w:space="0"/>
              <w:right w:val="outset" w:color="auto" w:sz="6" w:space="0"/>
            </w:tcBorders>
          </w:tcPr>
          <w:p w14:paraId="14797D2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және 4 топтар</w:t>
            </w:r>
          </w:p>
        </w:tc>
      </w:tr>
      <w:tr w14:paraId="4F9BF1C6">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3852D992">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0" w:type="auto"/>
            <w:tcBorders>
              <w:top w:val="nil"/>
              <w:left w:val="outset" w:color="auto" w:sz="6" w:space="0"/>
              <w:bottom w:val="outset" w:color="auto" w:sz="6" w:space="0"/>
              <w:right w:val="outset" w:color="auto" w:sz="6" w:space="0"/>
            </w:tcBorders>
          </w:tcPr>
          <w:p w14:paraId="5D7199D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Z</w:t>
            </w:r>
          </w:p>
        </w:tc>
        <w:tc>
          <w:tcPr>
            <w:tcW w:w="0" w:type="auto"/>
            <w:tcBorders>
              <w:top w:val="nil"/>
              <w:left w:val="outset" w:color="auto" w:sz="6" w:space="0"/>
              <w:bottom w:val="outset" w:color="auto" w:sz="6" w:space="0"/>
              <w:right w:val="outset" w:color="auto" w:sz="6" w:space="0"/>
            </w:tcBorders>
          </w:tcPr>
          <w:p w14:paraId="6A27CB3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w:t>
            </w:r>
          </w:p>
        </w:tc>
        <w:tc>
          <w:tcPr>
            <w:tcW w:w="0" w:type="auto"/>
            <w:tcBorders>
              <w:top w:val="nil"/>
              <w:left w:val="outset" w:color="auto" w:sz="6" w:space="0"/>
              <w:bottom w:val="outset" w:color="auto" w:sz="6" w:space="0"/>
              <w:right w:val="outset" w:color="auto" w:sz="6" w:space="0"/>
            </w:tcBorders>
          </w:tcPr>
          <w:p w14:paraId="13ABA4F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Z</w:t>
            </w:r>
          </w:p>
        </w:tc>
        <w:tc>
          <w:tcPr>
            <w:tcW w:w="0" w:type="auto"/>
            <w:tcBorders>
              <w:top w:val="nil"/>
              <w:left w:val="outset" w:color="auto" w:sz="6" w:space="0"/>
              <w:bottom w:val="outset" w:color="auto" w:sz="6" w:space="0"/>
              <w:right w:val="outset" w:color="auto" w:sz="6" w:space="0"/>
            </w:tcBorders>
          </w:tcPr>
          <w:p w14:paraId="3AE57DF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w:t>
            </w:r>
          </w:p>
        </w:tc>
        <w:tc>
          <w:tcPr>
            <w:tcW w:w="0" w:type="auto"/>
            <w:tcBorders>
              <w:top w:val="nil"/>
              <w:left w:val="outset" w:color="auto" w:sz="6" w:space="0"/>
              <w:bottom w:val="outset" w:color="auto" w:sz="6" w:space="0"/>
              <w:right w:val="outset" w:color="auto" w:sz="6" w:space="0"/>
            </w:tcBorders>
          </w:tcPr>
          <w:p w14:paraId="111E307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Z</w:t>
            </w:r>
          </w:p>
        </w:tc>
        <w:tc>
          <w:tcPr>
            <w:tcW w:w="0" w:type="auto"/>
            <w:tcBorders>
              <w:top w:val="nil"/>
              <w:left w:val="outset" w:color="auto" w:sz="6" w:space="0"/>
              <w:bottom w:val="outset" w:color="auto" w:sz="6" w:space="0"/>
              <w:right w:val="outset" w:color="auto" w:sz="6" w:space="0"/>
            </w:tcBorders>
          </w:tcPr>
          <w:p w14:paraId="4E3626D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w:t>
            </w:r>
          </w:p>
        </w:tc>
        <w:tc>
          <w:tcPr>
            <w:tcW w:w="0" w:type="auto"/>
            <w:tcBorders>
              <w:top w:val="outset" w:color="auto" w:sz="6" w:space="0"/>
              <w:left w:val="outset" w:color="auto" w:sz="6" w:space="0"/>
              <w:bottom w:val="outset" w:color="auto" w:sz="6" w:space="0"/>
              <w:right w:val="outset" w:color="auto" w:sz="6" w:space="0"/>
            </w:tcBorders>
          </w:tcPr>
          <w:p w14:paraId="0E7DB9C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Z</w:t>
            </w:r>
          </w:p>
        </w:tc>
        <w:tc>
          <w:tcPr>
            <w:tcW w:w="0" w:type="auto"/>
            <w:tcBorders>
              <w:top w:val="outset" w:color="auto" w:sz="6" w:space="0"/>
              <w:left w:val="outset" w:color="auto" w:sz="6" w:space="0"/>
              <w:bottom w:val="outset" w:color="auto" w:sz="6" w:space="0"/>
              <w:right w:val="outset" w:color="auto" w:sz="6" w:space="0"/>
            </w:tcBorders>
          </w:tcPr>
          <w:p w14:paraId="084C40A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w:t>
            </w:r>
          </w:p>
        </w:tc>
        <w:tc>
          <w:tcPr>
            <w:tcW w:w="0" w:type="auto"/>
            <w:tcBorders>
              <w:top w:val="outset" w:color="auto" w:sz="6" w:space="0"/>
              <w:left w:val="outset" w:color="auto" w:sz="6" w:space="0"/>
              <w:bottom w:val="outset" w:color="auto" w:sz="6" w:space="0"/>
              <w:right w:val="outset" w:color="auto" w:sz="6" w:space="0"/>
            </w:tcBorders>
          </w:tcPr>
          <w:p w14:paraId="70587C0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Z</w:t>
            </w:r>
          </w:p>
        </w:tc>
        <w:tc>
          <w:tcPr>
            <w:tcW w:w="0" w:type="auto"/>
            <w:tcBorders>
              <w:top w:val="outset" w:color="auto" w:sz="6" w:space="0"/>
              <w:left w:val="outset" w:color="auto" w:sz="6" w:space="0"/>
              <w:bottom w:val="outset" w:color="auto" w:sz="6" w:space="0"/>
              <w:right w:val="outset" w:color="auto" w:sz="6" w:space="0"/>
            </w:tcBorders>
          </w:tcPr>
          <w:p w14:paraId="0D9B68C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w:t>
            </w:r>
          </w:p>
        </w:tc>
        <w:tc>
          <w:tcPr>
            <w:tcW w:w="0" w:type="auto"/>
            <w:tcBorders>
              <w:top w:val="outset" w:color="auto" w:sz="6" w:space="0"/>
              <w:left w:val="outset" w:color="auto" w:sz="6" w:space="0"/>
              <w:bottom w:val="outset" w:color="auto" w:sz="6" w:space="0"/>
              <w:right w:val="outset" w:color="auto" w:sz="6" w:space="0"/>
            </w:tcBorders>
          </w:tcPr>
          <w:p w14:paraId="1E0F1F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Z</w:t>
            </w:r>
          </w:p>
        </w:tc>
        <w:tc>
          <w:tcPr>
            <w:tcW w:w="0" w:type="auto"/>
            <w:tcBorders>
              <w:top w:val="outset" w:color="auto" w:sz="6" w:space="0"/>
              <w:left w:val="outset" w:color="auto" w:sz="6" w:space="0"/>
              <w:bottom w:val="outset" w:color="auto" w:sz="6" w:space="0"/>
              <w:right w:val="outset" w:color="auto" w:sz="6" w:space="0"/>
            </w:tcBorders>
          </w:tcPr>
          <w:p w14:paraId="4525A0F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р</w:t>
            </w:r>
          </w:p>
        </w:tc>
      </w:tr>
      <w:tr w14:paraId="3E301947">
        <w:tblPrEx>
          <w:tblCellMar>
            <w:top w:w="15" w:type="dxa"/>
            <w:left w:w="15" w:type="dxa"/>
            <w:bottom w:w="15" w:type="dxa"/>
            <w:right w:w="15" w:type="dxa"/>
          </w:tblCellMar>
        </w:tblPrEx>
        <w:tc>
          <w:tcPr>
            <w:tcW w:w="0" w:type="auto"/>
            <w:gridSpan w:val="13"/>
            <w:tcBorders>
              <w:top w:val="nil"/>
              <w:left w:val="outset" w:color="auto" w:sz="6" w:space="0"/>
              <w:bottom w:val="outset" w:color="auto" w:sz="6" w:space="0"/>
              <w:right w:val="outset" w:color="auto" w:sz="6" w:space="0"/>
            </w:tcBorders>
          </w:tcPr>
          <w:p w14:paraId="2C9729EC">
            <w:pPr>
              <w:widowControl w:val="0"/>
              <w:autoSpaceDE w:val="0"/>
              <w:autoSpaceDN w:val="0"/>
              <w:spacing w:after="0" w:line="276" w:lineRule="auto"/>
              <w:jc w:val="both"/>
              <w:outlineLvl w:val="0"/>
              <w:rPr>
                <w:rFonts w:ascii="Times New Roman" w:hAnsi="Times New Roman" w:eastAsia="Times New Roman" w:cs="Times New Roman"/>
                <w:b/>
                <w:bCs/>
                <w:i/>
                <w:iCs/>
                <w:sz w:val="28"/>
                <w:szCs w:val="28"/>
              </w:rPr>
            </w:pPr>
            <w:r>
              <w:rPr>
                <w:rFonts w:ascii="Times New Roman" w:hAnsi="Times New Roman" w:eastAsia="Times New Roman" w:cs="Times New Roman"/>
                <w:b/>
                <w:bCs/>
                <w:i/>
                <w:iCs/>
                <w:sz w:val="28"/>
                <w:szCs w:val="28"/>
              </w:rPr>
              <w:t>Гемограмма, коагулограмма, биохимиялық анализ</w:t>
            </w:r>
          </w:p>
        </w:tc>
      </w:tr>
      <w:tr w14:paraId="5D22685E">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56468AC3">
            <w:pPr>
              <w:widowControl w:val="0"/>
              <w:autoSpaceDE w:val="0"/>
              <w:autoSpaceDN w:val="0"/>
              <w:spacing w:after="0" w:line="276" w:lineRule="auto"/>
              <w:jc w:val="both"/>
              <w:outlineLvl w:val="0"/>
              <w:rPr>
                <w:rFonts w:ascii="Times New Roman" w:hAnsi="Times New Roman" w:eastAsia="Times New Roman" w:cs="Times New Roman"/>
                <w:sz w:val="28"/>
                <w:szCs w:val="28"/>
                <w:lang w:val="kk-KZ"/>
              </w:rPr>
            </w:pPr>
            <w:r>
              <w:rPr>
                <w:rFonts w:ascii="Times New Roman" w:hAnsi="Times New Roman" w:eastAsia="Times New Roman" w:cs="Times New Roman"/>
                <w:sz w:val="28"/>
                <w:szCs w:val="28"/>
              </w:rPr>
              <w:t>Э</w:t>
            </w:r>
            <w:r>
              <w:rPr>
                <w:rFonts w:ascii="Times New Roman" w:hAnsi="Times New Roman" w:eastAsia="Times New Roman" w:cs="Times New Roman"/>
                <w:sz w:val="28"/>
                <w:szCs w:val="28"/>
                <w:lang w:val="kk-KZ"/>
              </w:rPr>
              <w:t>ритроциттер</w:t>
            </w:r>
          </w:p>
        </w:tc>
        <w:tc>
          <w:tcPr>
            <w:tcW w:w="0" w:type="auto"/>
            <w:tcBorders>
              <w:top w:val="outset" w:color="auto" w:sz="6" w:space="0"/>
              <w:left w:val="outset" w:color="auto" w:sz="6" w:space="0"/>
              <w:bottom w:val="outset" w:color="auto" w:sz="6" w:space="0"/>
              <w:right w:val="outset" w:color="auto" w:sz="6" w:space="0"/>
            </w:tcBorders>
          </w:tcPr>
          <w:p w14:paraId="6B46501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–3,885</w:t>
            </w:r>
          </w:p>
        </w:tc>
        <w:tc>
          <w:tcPr>
            <w:tcW w:w="0" w:type="auto"/>
            <w:tcBorders>
              <w:top w:val="outset" w:color="auto" w:sz="6" w:space="0"/>
              <w:left w:val="outset" w:color="auto" w:sz="6" w:space="0"/>
              <w:bottom w:val="outset" w:color="auto" w:sz="6" w:space="0"/>
              <w:right w:val="outset" w:color="auto" w:sz="6" w:space="0"/>
            </w:tcBorders>
          </w:tcPr>
          <w:p w14:paraId="037BD98E">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outset" w:color="auto" w:sz="6" w:space="0"/>
              <w:left w:val="outset" w:color="auto" w:sz="6" w:space="0"/>
              <w:bottom w:val="outset" w:color="auto" w:sz="6" w:space="0"/>
              <w:right w:val="outset" w:color="auto" w:sz="6" w:space="0"/>
            </w:tcBorders>
          </w:tcPr>
          <w:p w14:paraId="4155C37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–4,244</w:t>
            </w:r>
          </w:p>
        </w:tc>
        <w:tc>
          <w:tcPr>
            <w:tcW w:w="0" w:type="auto"/>
            <w:tcBorders>
              <w:top w:val="outset" w:color="auto" w:sz="6" w:space="0"/>
              <w:left w:val="outset" w:color="auto" w:sz="6" w:space="0"/>
              <w:bottom w:val="outset" w:color="auto" w:sz="6" w:space="0"/>
              <w:right w:val="outset" w:color="auto" w:sz="6" w:space="0"/>
            </w:tcBorders>
          </w:tcPr>
          <w:p w14:paraId="1238DD37">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outset" w:color="auto" w:sz="6" w:space="0"/>
              <w:left w:val="outset" w:color="auto" w:sz="6" w:space="0"/>
              <w:bottom w:val="outset" w:color="auto" w:sz="6" w:space="0"/>
              <w:right w:val="outset" w:color="auto" w:sz="6" w:space="0"/>
            </w:tcBorders>
          </w:tcPr>
          <w:p w14:paraId="2A8B3BCE">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–4,680</w:t>
            </w:r>
          </w:p>
        </w:tc>
        <w:tc>
          <w:tcPr>
            <w:tcW w:w="0" w:type="auto"/>
            <w:tcBorders>
              <w:top w:val="outset" w:color="auto" w:sz="6" w:space="0"/>
              <w:left w:val="outset" w:color="auto" w:sz="6" w:space="0"/>
              <w:bottom w:val="outset" w:color="auto" w:sz="6" w:space="0"/>
              <w:right w:val="outset" w:color="auto" w:sz="6" w:space="0"/>
            </w:tcBorders>
          </w:tcPr>
          <w:p w14:paraId="3A8229D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outset" w:color="auto" w:sz="6" w:space="0"/>
              <w:left w:val="outset" w:color="auto" w:sz="6" w:space="0"/>
              <w:bottom w:val="outset" w:color="auto" w:sz="6" w:space="0"/>
              <w:right w:val="outset" w:color="auto" w:sz="6" w:space="0"/>
            </w:tcBorders>
          </w:tcPr>
          <w:p w14:paraId="2E8C45C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–0,627</w:t>
            </w:r>
          </w:p>
        </w:tc>
        <w:tc>
          <w:tcPr>
            <w:tcW w:w="0" w:type="auto"/>
            <w:tcBorders>
              <w:top w:val="outset" w:color="auto" w:sz="6" w:space="0"/>
              <w:left w:val="outset" w:color="auto" w:sz="6" w:space="0"/>
              <w:bottom w:val="outset" w:color="auto" w:sz="6" w:space="0"/>
              <w:right w:val="outset" w:color="auto" w:sz="6" w:space="0"/>
            </w:tcBorders>
          </w:tcPr>
          <w:p w14:paraId="565D6B8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0,531</w:t>
            </w:r>
          </w:p>
        </w:tc>
        <w:tc>
          <w:tcPr>
            <w:tcW w:w="0" w:type="auto"/>
            <w:tcBorders>
              <w:top w:val="outset" w:color="auto" w:sz="6" w:space="0"/>
              <w:left w:val="outset" w:color="auto" w:sz="6" w:space="0"/>
              <w:bottom w:val="outset" w:color="auto" w:sz="6" w:space="0"/>
              <w:right w:val="outset" w:color="auto" w:sz="6" w:space="0"/>
            </w:tcBorders>
          </w:tcPr>
          <w:p w14:paraId="58F33FD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–1,379</w:t>
            </w:r>
          </w:p>
        </w:tc>
        <w:tc>
          <w:tcPr>
            <w:tcW w:w="0" w:type="auto"/>
            <w:tcBorders>
              <w:top w:val="outset" w:color="auto" w:sz="6" w:space="0"/>
              <w:left w:val="outset" w:color="auto" w:sz="6" w:space="0"/>
              <w:bottom w:val="outset" w:color="auto" w:sz="6" w:space="0"/>
              <w:right w:val="outset" w:color="auto" w:sz="6" w:space="0"/>
            </w:tcBorders>
          </w:tcPr>
          <w:p w14:paraId="06E5B3A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0,168</w:t>
            </w:r>
          </w:p>
        </w:tc>
        <w:tc>
          <w:tcPr>
            <w:tcW w:w="0" w:type="auto"/>
            <w:tcBorders>
              <w:top w:val="outset" w:color="auto" w:sz="6" w:space="0"/>
              <w:left w:val="outset" w:color="auto" w:sz="6" w:space="0"/>
              <w:bottom w:val="outset" w:color="auto" w:sz="6" w:space="0"/>
              <w:right w:val="outset" w:color="auto" w:sz="6" w:space="0"/>
            </w:tcBorders>
          </w:tcPr>
          <w:p w14:paraId="3529507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–1,404</w:t>
            </w:r>
          </w:p>
        </w:tc>
        <w:tc>
          <w:tcPr>
            <w:tcW w:w="0" w:type="auto"/>
            <w:tcBorders>
              <w:top w:val="outset" w:color="auto" w:sz="6" w:space="0"/>
              <w:left w:val="outset" w:color="auto" w:sz="6" w:space="0"/>
              <w:bottom w:val="outset" w:color="auto" w:sz="6" w:space="0"/>
              <w:right w:val="outset" w:color="auto" w:sz="6" w:space="0"/>
            </w:tcBorders>
          </w:tcPr>
          <w:p w14:paraId="0D003C9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0,160</w:t>
            </w:r>
          </w:p>
        </w:tc>
      </w:tr>
      <w:tr w14:paraId="6D106135">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0C0AB85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Лейкоциттер</w:t>
            </w:r>
          </w:p>
        </w:tc>
        <w:tc>
          <w:tcPr>
            <w:tcW w:w="0" w:type="auto"/>
            <w:tcBorders>
              <w:top w:val="nil"/>
              <w:left w:val="outset" w:color="auto" w:sz="6" w:space="0"/>
              <w:bottom w:val="outset" w:color="auto" w:sz="6" w:space="0"/>
              <w:right w:val="outset" w:color="auto" w:sz="6" w:space="0"/>
            </w:tcBorders>
          </w:tcPr>
          <w:p w14:paraId="124F95F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–0,789</w:t>
            </w:r>
          </w:p>
        </w:tc>
        <w:tc>
          <w:tcPr>
            <w:tcW w:w="0" w:type="auto"/>
            <w:tcBorders>
              <w:top w:val="nil"/>
              <w:left w:val="outset" w:color="auto" w:sz="6" w:space="0"/>
              <w:bottom w:val="outset" w:color="auto" w:sz="6" w:space="0"/>
              <w:right w:val="outset" w:color="auto" w:sz="6" w:space="0"/>
            </w:tcBorders>
          </w:tcPr>
          <w:p w14:paraId="1237DCF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0,430</w:t>
            </w:r>
          </w:p>
        </w:tc>
        <w:tc>
          <w:tcPr>
            <w:tcW w:w="0" w:type="auto"/>
            <w:tcBorders>
              <w:top w:val="nil"/>
              <w:left w:val="outset" w:color="auto" w:sz="6" w:space="0"/>
              <w:bottom w:val="outset" w:color="auto" w:sz="6" w:space="0"/>
              <w:right w:val="outset" w:color="auto" w:sz="6" w:space="0"/>
            </w:tcBorders>
          </w:tcPr>
          <w:p w14:paraId="04250C8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–1,156</w:t>
            </w:r>
          </w:p>
        </w:tc>
        <w:tc>
          <w:tcPr>
            <w:tcW w:w="0" w:type="auto"/>
            <w:tcBorders>
              <w:top w:val="nil"/>
              <w:left w:val="outset" w:color="auto" w:sz="6" w:space="0"/>
              <w:bottom w:val="outset" w:color="auto" w:sz="6" w:space="0"/>
              <w:right w:val="outset" w:color="auto" w:sz="6" w:space="0"/>
            </w:tcBorders>
          </w:tcPr>
          <w:p w14:paraId="1C5F841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0,248</w:t>
            </w:r>
          </w:p>
        </w:tc>
        <w:tc>
          <w:tcPr>
            <w:tcW w:w="0" w:type="auto"/>
            <w:tcBorders>
              <w:top w:val="nil"/>
              <w:left w:val="outset" w:color="auto" w:sz="6" w:space="0"/>
              <w:bottom w:val="outset" w:color="auto" w:sz="6" w:space="0"/>
              <w:right w:val="outset" w:color="auto" w:sz="6" w:space="0"/>
            </w:tcBorders>
          </w:tcPr>
          <w:p w14:paraId="175B64C3">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–2,389</w:t>
            </w:r>
          </w:p>
        </w:tc>
        <w:tc>
          <w:tcPr>
            <w:tcW w:w="0" w:type="auto"/>
            <w:tcBorders>
              <w:top w:val="nil"/>
              <w:left w:val="outset" w:color="auto" w:sz="6" w:space="0"/>
              <w:bottom w:val="outset" w:color="auto" w:sz="6" w:space="0"/>
              <w:right w:val="outset" w:color="auto" w:sz="6" w:space="0"/>
            </w:tcBorders>
          </w:tcPr>
          <w:p w14:paraId="283550B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0,017</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2066B8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–0,318</w:t>
            </w:r>
          </w:p>
        </w:tc>
        <w:tc>
          <w:tcPr>
            <w:tcW w:w="0" w:type="auto"/>
            <w:tcBorders>
              <w:top w:val="nil"/>
              <w:left w:val="outset" w:color="auto" w:sz="6" w:space="0"/>
              <w:bottom w:val="outset" w:color="auto" w:sz="6" w:space="0"/>
              <w:right w:val="outset" w:color="auto" w:sz="6" w:space="0"/>
            </w:tcBorders>
          </w:tcPr>
          <w:p w14:paraId="1FCB6F8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0,751</w:t>
            </w:r>
          </w:p>
        </w:tc>
        <w:tc>
          <w:tcPr>
            <w:tcW w:w="0" w:type="auto"/>
            <w:tcBorders>
              <w:top w:val="nil"/>
              <w:left w:val="outset" w:color="auto" w:sz="6" w:space="0"/>
              <w:bottom w:val="outset" w:color="auto" w:sz="6" w:space="0"/>
              <w:right w:val="outset" w:color="auto" w:sz="6" w:space="0"/>
            </w:tcBorders>
          </w:tcPr>
          <w:p w14:paraId="5A82619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–1,750</w:t>
            </w:r>
          </w:p>
        </w:tc>
        <w:tc>
          <w:tcPr>
            <w:tcW w:w="0" w:type="auto"/>
            <w:tcBorders>
              <w:top w:val="nil"/>
              <w:left w:val="outset" w:color="auto" w:sz="6" w:space="0"/>
              <w:bottom w:val="outset" w:color="auto" w:sz="6" w:space="0"/>
              <w:right w:val="outset" w:color="auto" w:sz="6" w:space="0"/>
            </w:tcBorders>
          </w:tcPr>
          <w:p w14:paraId="56E6A5A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0,080</w:t>
            </w:r>
          </w:p>
        </w:tc>
        <w:tc>
          <w:tcPr>
            <w:tcW w:w="0" w:type="auto"/>
            <w:tcBorders>
              <w:top w:val="nil"/>
              <w:left w:val="outset" w:color="auto" w:sz="6" w:space="0"/>
              <w:bottom w:val="outset" w:color="auto" w:sz="6" w:space="0"/>
              <w:right w:val="outset" w:color="auto" w:sz="6" w:space="0"/>
            </w:tcBorders>
          </w:tcPr>
          <w:p w14:paraId="696D388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–1,590</w:t>
            </w:r>
          </w:p>
        </w:tc>
        <w:tc>
          <w:tcPr>
            <w:tcW w:w="0" w:type="auto"/>
            <w:tcBorders>
              <w:top w:val="nil"/>
              <w:left w:val="outset" w:color="auto" w:sz="6" w:space="0"/>
              <w:bottom w:val="outset" w:color="auto" w:sz="6" w:space="0"/>
              <w:right w:val="outset" w:color="auto" w:sz="6" w:space="0"/>
            </w:tcBorders>
          </w:tcPr>
          <w:p w14:paraId="1E1D81F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0,112</w:t>
            </w:r>
          </w:p>
        </w:tc>
      </w:tr>
      <w:tr w14:paraId="7C7D7D9D">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286E251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Лимфоциттер</w:t>
            </w:r>
          </w:p>
        </w:tc>
        <w:tc>
          <w:tcPr>
            <w:tcW w:w="0" w:type="auto"/>
            <w:tcBorders>
              <w:top w:val="nil"/>
              <w:left w:val="outset" w:color="auto" w:sz="6" w:space="0"/>
              <w:bottom w:val="outset" w:color="auto" w:sz="6" w:space="0"/>
              <w:right w:val="outset" w:color="auto" w:sz="6" w:space="0"/>
            </w:tcBorders>
          </w:tcPr>
          <w:p w14:paraId="2491C07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–1,497</w:t>
            </w:r>
          </w:p>
        </w:tc>
        <w:tc>
          <w:tcPr>
            <w:tcW w:w="0" w:type="auto"/>
            <w:tcBorders>
              <w:top w:val="nil"/>
              <w:left w:val="outset" w:color="auto" w:sz="6" w:space="0"/>
              <w:bottom w:val="outset" w:color="auto" w:sz="6" w:space="0"/>
              <w:right w:val="outset" w:color="auto" w:sz="6" w:space="0"/>
            </w:tcBorders>
          </w:tcPr>
          <w:p w14:paraId="0692732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0,134</w:t>
            </w:r>
          </w:p>
        </w:tc>
        <w:tc>
          <w:tcPr>
            <w:tcW w:w="0" w:type="auto"/>
            <w:tcBorders>
              <w:top w:val="nil"/>
              <w:left w:val="outset" w:color="auto" w:sz="6" w:space="0"/>
              <w:bottom w:val="outset" w:color="auto" w:sz="6" w:space="0"/>
              <w:right w:val="outset" w:color="auto" w:sz="6" w:space="0"/>
            </w:tcBorders>
          </w:tcPr>
          <w:p w14:paraId="3B58365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0,290</w:t>
            </w:r>
          </w:p>
        </w:tc>
        <w:tc>
          <w:tcPr>
            <w:tcW w:w="0" w:type="auto"/>
            <w:tcBorders>
              <w:top w:val="nil"/>
              <w:left w:val="outset" w:color="auto" w:sz="6" w:space="0"/>
              <w:bottom w:val="outset" w:color="auto" w:sz="6" w:space="0"/>
              <w:right w:val="outset" w:color="auto" w:sz="6" w:space="0"/>
            </w:tcBorders>
          </w:tcPr>
          <w:p w14:paraId="4228C68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lang w:eastAsia="ru-RU"/>
              </w:rPr>
              <w:drawing>
                <wp:inline distT="0" distB="0" distL="0" distR="0">
                  <wp:extent cx="13970" cy="13970"/>
                  <wp:effectExtent l="0" t="0" r="0" b="0"/>
                  <wp:docPr id="97" name="Рисунок 97" descr="C:\Users\kgmuuser\AppData\Local\Temp\ksohtml7396\wp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C:\Users\kgmuuser\AppData\Local\Temp\ksohtml7396\wps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3970" cy="13970"/>
                          </a:xfrm>
                          <a:prstGeom prst="rect">
                            <a:avLst/>
                          </a:prstGeom>
                          <a:noFill/>
                          <a:ln>
                            <a:noFill/>
                          </a:ln>
                        </pic:spPr>
                      </pic:pic>
                    </a:graphicData>
                  </a:graphic>
                </wp:inline>
              </w:drawing>
            </w:r>
            <w:r>
              <w:rPr>
                <w:rFonts w:ascii="Times New Roman" w:hAnsi="Times New Roman" w:eastAsia="Times New Roman" w:cs="Times New Roman"/>
                <w:sz w:val="28"/>
                <w:szCs w:val="28"/>
              </w:rPr>
              <w:t>0,772</w:t>
            </w:r>
          </w:p>
        </w:tc>
        <w:tc>
          <w:tcPr>
            <w:tcW w:w="0" w:type="auto"/>
            <w:tcBorders>
              <w:top w:val="nil"/>
              <w:left w:val="outset" w:color="auto" w:sz="6" w:space="0"/>
              <w:bottom w:val="outset" w:color="auto" w:sz="6" w:space="0"/>
              <w:right w:val="outset" w:color="auto" w:sz="6" w:space="0"/>
            </w:tcBorders>
          </w:tcPr>
          <w:p w14:paraId="3153E6C1">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2,343</w:t>
            </w:r>
          </w:p>
        </w:tc>
        <w:tc>
          <w:tcPr>
            <w:tcW w:w="0" w:type="auto"/>
            <w:tcBorders>
              <w:top w:val="nil"/>
              <w:left w:val="outset" w:color="auto" w:sz="6" w:space="0"/>
              <w:bottom w:val="outset" w:color="auto" w:sz="6" w:space="0"/>
              <w:right w:val="outset" w:color="auto" w:sz="6" w:space="0"/>
            </w:tcBorders>
          </w:tcPr>
          <w:p w14:paraId="7AC8542C">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0,019</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725228E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1,869</w:t>
            </w:r>
          </w:p>
        </w:tc>
        <w:tc>
          <w:tcPr>
            <w:tcW w:w="0" w:type="auto"/>
            <w:tcBorders>
              <w:top w:val="nil"/>
              <w:left w:val="outset" w:color="auto" w:sz="6" w:space="0"/>
              <w:bottom w:val="outset" w:color="auto" w:sz="6" w:space="0"/>
              <w:right w:val="outset" w:color="auto" w:sz="6" w:space="0"/>
            </w:tcBorders>
          </w:tcPr>
          <w:p w14:paraId="54F8D93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0,062</w:t>
            </w:r>
          </w:p>
        </w:tc>
        <w:tc>
          <w:tcPr>
            <w:tcW w:w="0" w:type="auto"/>
            <w:tcBorders>
              <w:top w:val="nil"/>
              <w:left w:val="outset" w:color="auto" w:sz="6" w:space="0"/>
              <w:bottom w:val="outset" w:color="auto" w:sz="6" w:space="0"/>
              <w:right w:val="outset" w:color="auto" w:sz="6" w:space="0"/>
            </w:tcBorders>
          </w:tcPr>
          <w:p w14:paraId="69B14FEB">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3,549</w:t>
            </w:r>
          </w:p>
        </w:tc>
        <w:tc>
          <w:tcPr>
            <w:tcW w:w="0" w:type="auto"/>
            <w:tcBorders>
              <w:top w:val="nil"/>
              <w:left w:val="outset" w:color="auto" w:sz="6" w:space="0"/>
              <w:bottom w:val="outset" w:color="auto" w:sz="6" w:space="0"/>
              <w:right w:val="outset" w:color="auto" w:sz="6" w:space="0"/>
            </w:tcBorders>
          </w:tcPr>
          <w:p w14:paraId="5253D4C5">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751660B5">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2,259</w:t>
            </w:r>
          </w:p>
        </w:tc>
        <w:tc>
          <w:tcPr>
            <w:tcW w:w="0" w:type="auto"/>
            <w:tcBorders>
              <w:top w:val="nil"/>
              <w:left w:val="outset" w:color="auto" w:sz="6" w:space="0"/>
              <w:bottom w:val="outset" w:color="auto" w:sz="6" w:space="0"/>
              <w:right w:val="outset" w:color="auto" w:sz="6" w:space="0"/>
            </w:tcBorders>
          </w:tcPr>
          <w:p w14:paraId="7688E31B">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0,024</w:t>
            </w:r>
            <w:r>
              <w:rPr>
                <w:rFonts w:ascii="Times New Roman" w:hAnsi="Times New Roman" w:eastAsia="Times New Roman" w:cs="Times New Roman"/>
                <w:b/>
                <w:i/>
                <w:sz w:val="28"/>
                <w:szCs w:val="28"/>
              </w:rPr>
              <w:t>*</w:t>
            </w:r>
          </w:p>
        </w:tc>
      </w:tr>
      <w:tr w14:paraId="6081262F">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7548E52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Таяқша ядролық нейтрофилдер</w:t>
            </w:r>
          </w:p>
        </w:tc>
        <w:tc>
          <w:tcPr>
            <w:tcW w:w="0" w:type="auto"/>
            <w:tcBorders>
              <w:top w:val="nil"/>
              <w:left w:val="outset" w:color="auto" w:sz="6" w:space="0"/>
              <w:bottom w:val="outset" w:color="auto" w:sz="6" w:space="0"/>
              <w:right w:val="outset" w:color="auto" w:sz="6" w:space="0"/>
            </w:tcBorders>
          </w:tcPr>
          <w:p w14:paraId="088BB90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1,287</w:t>
            </w:r>
          </w:p>
        </w:tc>
        <w:tc>
          <w:tcPr>
            <w:tcW w:w="0" w:type="auto"/>
            <w:tcBorders>
              <w:top w:val="nil"/>
              <w:left w:val="outset" w:color="auto" w:sz="6" w:space="0"/>
              <w:bottom w:val="outset" w:color="auto" w:sz="6" w:space="0"/>
              <w:right w:val="outset" w:color="auto" w:sz="6" w:space="0"/>
            </w:tcBorders>
          </w:tcPr>
          <w:p w14:paraId="7346DDE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0,198</w:t>
            </w:r>
          </w:p>
        </w:tc>
        <w:tc>
          <w:tcPr>
            <w:tcW w:w="0" w:type="auto"/>
            <w:tcBorders>
              <w:top w:val="nil"/>
              <w:left w:val="outset" w:color="auto" w:sz="6" w:space="0"/>
              <w:bottom w:val="outset" w:color="auto" w:sz="6" w:space="0"/>
              <w:right w:val="outset" w:color="auto" w:sz="6" w:space="0"/>
            </w:tcBorders>
          </w:tcPr>
          <w:p w14:paraId="00BB808C">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–3,231</w:t>
            </w:r>
          </w:p>
        </w:tc>
        <w:tc>
          <w:tcPr>
            <w:tcW w:w="0" w:type="auto"/>
            <w:tcBorders>
              <w:top w:val="nil"/>
              <w:left w:val="outset" w:color="auto" w:sz="6" w:space="0"/>
              <w:bottom w:val="outset" w:color="auto" w:sz="6" w:space="0"/>
              <w:right w:val="outset" w:color="auto" w:sz="6" w:space="0"/>
            </w:tcBorders>
          </w:tcPr>
          <w:p w14:paraId="343F3322">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0,001</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779962A3">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–3,753</w:t>
            </w:r>
          </w:p>
        </w:tc>
        <w:tc>
          <w:tcPr>
            <w:tcW w:w="0" w:type="auto"/>
            <w:tcBorders>
              <w:top w:val="nil"/>
              <w:left w:val="outset" w:color="auto" w:sz="6" w:space="0"/>
              <w:bottom w:val="outset" w:color="auto" w:sz="6" w:space="0"/>
              <w:right w:val="outset" w:color="auto" w:sz="6" w:space="0"/>
            </w:tcBorders>
          </w:tcPr>
          <w:p w14:paraId="5269F0E7">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454B9C85">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–4,477</w:t>
            </w:r>
          </w:p>
        </w:tc>
        <w:tc>
          <w:tcPr>
            <w:tcW w:w="0" w:type="auto"/>
            <w:tcBorders>
              <w:top w:val="nil"/>
              <w:left w:val="outset" w:color="auto" w:sz="6" w:space="0"/>
              <w:bottom w:val="outset" w:color="auto" w:sz="6" w:space="0"/>
              <w:right w:val="outset" w:color="auto" w:sz="6" w:space="0"/>
            </w:tcBorders>
          </w:tcPr>
          <w:p w14:paraId="00C0628D">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6F917298">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–4,969</w:t>
            </w:r>
          </w:p>
        </w:tc>
        <w:tc>
          <w:tcPr>
            <w:tcW w:w="0" w:type="auto"/>
            <w:tcBorders>
              <w:top w:val="nil"/>
              <w:left w:val="outset" w:color="auto" w:sz="6" w:space="0"/>
              <w:bottom w:val="outset" w:color="auto" w:sz="6" w:space="0"/>
              <w:right w:val="outset" w:color="auto" w:sz="6" w:space="0"/>
            </w:tcBorders>
          </w:tcPr>
          <w:p w14:paraId="39E613F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4A992C4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–0,908</w:t>
            </w:r>
          </w:p>
        </w:tc>
        <w:tc>
          <w:tcPr>
            <w:tcW w:w="0" w:type="auto"/>
            <w:tcBorders>
              <w:top w:val="nil"/>
              <w:left w:val="outset" w:color="auto" w:sz="6" w:space="0"/>
              <w:bottom w:val="outset" w:color="auto" w:sz="6" w:space="0"/>
              <w:right w:val="outset" w:color="auto" w:sz="6" w:space="0"/>
            </w:tcBorders>
          </w:tcPr>
          <w:p w14:paraId="714433B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0,364</w:t>
            </w:r>
          </w:p>
        </w:tc>
      </w:tr>
      <w:tr w14:paraId="43B56375">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55A2BB2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Эозинофилдер</w:t>
            </w:r>
          </w:p>
        </w:tc>
        <w:tc>
          <w:tcPr>
            <w:tcW w:w="0" w:type="auto"/>
            <w:tcBorders>
              <w:top w:val="nil"/>
              <w:left w:val="outset" w:color="auto" w:sz="6" w:space="0"/>
              <w:bottom w:val="outset" w:color="auto" w:sz="6" w:space="0"/>
              <w:right w:val="outset" w:color="auto" w:sz="6" w:space="0"/>
            </w:tcBorders>
          </w:tcPr>
          <w:p w14:paraId="5EF2BE7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1,422</w:t>
            </w:r>
          </w:p>
        </w:tc>
        <w:tc>
          <w:tcPr>
            <w:tcW w:w="0" w:type="auto"/>
            <w:tcBorders>
              <w:top w:val="nil"/>
              <w:left w:val="outset" w:color="auto" w:sz="6" w:space="0"/>
              <w:bottom w:val="outset" w:color="auto" w:sz="6" w:space="0"/>
              <w:right w:val="outset" w:color="auto" w:sz="6" w:space="0"/>
            </w:tcBorders>
          </w:tcPr>
          <w:p w14:paraId="2181489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0,155</w:t>
            </w:r>
          </w:p>
        </w:tc>
        <w:tc>
          <w:tcPr>
            <w:tcW w:w="0" w:type="auto"/>
            <w:tcBorders>
              <w:top w:val="nil"/>
              <w:left w:val="outset" w:color="auto" w:sz="6" w:space="0"/>
              <w:bottom w:val="outset" w:color="auto" w:sz="6" w:space="0"/>
              <w:right w:val="outset" w:color="auto" w:sz="6" w:space="0"/>
            </w:tcBorders>
          </w:tcPr>
          <w:p w14:paraId="77CA007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–2,430</w:t>
            </w:r>
          </w:p>
        </w:tc>
        <w:tc>
          <w:tcPr>
            <w:tcW w:w="0" w:type="auto"/>
            <w:tcBorders>
              <w:top w:val="nil"/>
              <w:left w:val="outset" w:color="auto" w:sz="6" w:space="0"/>
              <w:bottom w:val="outset" w:color="auto" w:sz="6" w:space="0"/>
              <w:right w:val="outset" w:color="auto" w:sz="6" w:space="0"/>
            </w:tcBorders>
          </w:tcPr>
          <w:p w14:paraId="1B811054">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0,015</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415C2F6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–0,738</w:t>
            </w:r>
          </w:p>
        </w:tc>
        <w:tc>
          <w:tcPr>
            <w:tcW w:w="0" w:type="auto"/>
            <w:tcBorders>
              <w:top w:val="nil"/>
              <w:left w:val="outset" w:color="auto" w:sz="6" w:space="0"/>
              <w:bottom w:val="outset" w:color="auto" w:sz="6" w:space="0"/>
              <w:right w:val="outset" w:color="auto" w:sz="6" w:space="0"/>
            </w:tcBorders>
          </w:tcPr>
          <w:p w14:paraId="089411F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0,460</w:t>
            </w:r>
          </w:p>
        </w:tc>
        <w:tc>
          <w:tcPr>
            <w:tcW w:w="0" w:type="auto"/>
            <w:tcBorders>
              <w:top w:val="nil"/>
              <w:left w:val="outset" w:color="auto" w:sz="6" w:space="0"/>
              <w:bottom w:val="outset" w:color="auto" w:sz="6" w:space="0"/>
              <w:right w:val="outset" w:color="auto" w:sz="6" w:space="0"/>
            </w:tcBorders>
          </w:tcPr>
          <w:p w14:paraId="3381C80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–2,919</w:t>
            </w:r>
          </w:p>
        </w:tc>
        <w:tc>
          <w:tcPr>
            <w:tcW w:w="0" w:type="auto"/>
            <w:tcBorders>
              <w:top w:val="nil"/>
              <w:left w:val="outset" w:color="auto" w:sz="6" w:space="0"/>
              <w:bottom w:val="outset" w:color="auto" w:sz="6" w:space="0"/>
              <w:right w:val="outset" w:color="auto" w:sz="6" w:space="0"/>
            </w:tcBorders>
          </w:tcPr>
          <w:p w14:paraId="14E3C78E">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0,004</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016B549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–1,769</w:t>
            </w:r>
          </w:p>
        </w:tc>
        <w:tc>
          <w:tcPr>
            <w:tcW w:w="0" w:type="auto"/>
            <w:tcBorders>
              <w:top w:val="nil"/>
              <w:left w:val="outset" w:color="auto" w:sz="6" w:space="0"/>
              <w:bottom w:val="outset" w:color="auto" w:sz="6" w:space="0"/>
              <w:right w:val="outset" w:color="auto" w:sz="6" w:space="0"/>
            </w:tcBorders>
          </w:tcPr>
          <w:p w14:paraId="0D994C6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0,077</w:t>
            </w:r>
          </w:p>
        </w:tc>
        <w:tc>
          <w:tcPr>
            <w:tcW w:w="0" w:type="auto"/>
            <w:tcBorders>
              <w:top w:val="nil"/>
              <w:left w:val="outset" w:color="auto" w:sz="6" w:space="0"/>
              <w:bottom w:val="outset" w:color="auto" w:sz="6" w:space="0"/>
              <w:right w:val="outset" w:color="auto" w:sz="6" w:space="0"/>
            </w:tcBorders>
          </w:tcPr>
          <w:p w14:paraId="4D149E3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1,352</w:t>
            </w:r>
          </w:p>
        </w:tc>
        <w:tc>
          <w:tcPr>
            <w:tcW w:w="0" w:type="auto"/>
            <w:tcBorders>
              <w:top w:val="nil"/>
              <w:left w:val="outset" w:color="auto" w:sz="6" w:space="0"/>
              <w:bottom w:val="outset" w:color="auto" w:sz="6" w:space="0"/>
              <w:right w:val="outset" w:color="auto" w:sz="6" w:space="0"/>
            </w:tcBorders>
          </w:tcPr>
          <w:p w14:paraId="2B06ECC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0,176</w:t>
            </w:r>
          </w:p>
        </w:tc>
      </w:tr>
      <w:tr w14:paraId="2364E1E0">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20B553F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ХҚҚ </w:t>
            </w:r>
          </w:p>
        </w:tc>
        <w:tc>
          <w:tcPr>
            <w:tcW w:w="0" w:type="auto"/>
            <w:tcBorders>
              <w:top w:val="nil"/>
              <w:left w:val="outset" w:color="auto" w:sz="6" w:space="0"/>
              <w:bottom w:val="outset" w:color="auto" w:sz="6" w:space="0"/>
              <w:right w:val="outset" w:color="auto" w:sz="6" w:space="0"/>
            </w:tcBorders>
          </w:tcPr>
          <w:p w14:paraId="67625FF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0,328</w:t>
            </w:r>
          </w:p>
        </w:tc>
        <w:tc>
          <w:tcPr>
            <w:tcW w:w="0" w:type="auto"/>
            <w:tcBorders>
              <w:top w:val="nil"/>
              <w:left w:val="outset" w:color="auto" w:sz="6" w:space="0"/>
              <w:bottom w:val="outset" w:color="auto" w:sz="6" w:space="0"/>
              <w:right w:val="outset" w:color="auto" w:sz="6" w:space="0"/>
            </w:tcBorders>
          </w:tcPr>
          <w:p w14:paraId="4407E2D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0,743</w:t>
            </w:r>
          </w:p>
        </w:tc>
        <w:tc>
          <w:tcPr>
            <w:tcW w:w="0" w:type="auto"/>
            <w:tcBorders>
              <w:top w:val="nil"/>
              <w:left w:val="outset" w:color="auto" w:sz="6" w:space="0"/>
              <w:bottom w:val="outset" w:color="auto" w:sz="6" w:space="0"/>
              <w:right w:val="outset" w:color="auto" w:sz="6" w:space="0"/>
            </w:tcBorders>
          </w:tcPr>
          <w:p w14:paraId="7D962BB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–1,568</w:t>
            </w:r>
          </w:p>
        </w:tc>
        <w:tc>
          <w:tcPr>
            <w:tcW w:w="0" w:type="auto"/>
            <w:tcBorders>
              <w:top w:val="nil"/>
              <w:left w:val="outset" w:color="auto" w:sz="6" w:space="0"/>
              <w:bottom w:val="outset" w:color="auto" w:sz="6" w:space="0"/>
              <w:right w:val="outset" w:color="auto" w:sz="6" w:space="0"/>
            </w:tcBorders>
          </w:tcPr>
          <w:p w14:paraId="051814F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0,117</w:t>
            </w:r>
          </w:p>
        </w:tc>
        <w:tc>
          <w:tcPr>
            <w:tcW w:w="0" w:type="auto"/>
            <w:tcBorders>
              <w:top w:val="nil"/>
              <w:left w:val="outset" w:color="auto" w:sz="6" w:space="0"/>
              <w:bottom w:val="outset" w:color="auto" w:sz="6" w:space="0"/>
              <w:right w:val="outset" w:color="auto" w:sz="6" w:space="0"/>
            </w:tcBorders>
          </w:tcPr>
          <w:p w14:paraId="07E97A4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–0,882</w:t>
            </w:r>
          </w:p>
        </w:tc>
        <w:tc>
          <w:tcPr>
            <w:tcW w:w="0" w:type="auto"/>
            <w:tcBorders>
              <w:top w:val="nil"/>
              <w:left w:val="outset" w:color="auto" w:sz="6" w:space="0"/>
              <w:bottom w:val="outset" w:color="auto" w:sz="6" w:space="0"/>
              <w:right w:val="outset" w:color="auto" w:sz="6" w:space="0"/>
            </w:tcBorders>
          </w:tcPr>
          <w:p w14:paraId="2305169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0,378</w:t>
            </w:r>
          </w:p>
        </w:tc>
        <w:tc>
          <w:tcPr>
            <w:tcW w:w="0" w:type="auto"/>
            <w:tcBorders>
              <w:top w:val="nil"/>
              <w:left w:val="outset" w:color="auto" w:sz="6" w:space="0"/>
              <w:bottom w:val="outset" w:color="auto" w:sz="6" w:space="0"/>
              <w:right w:val="outset" w:color="auto" w:sz="6" w:space="0"/>
            </w:tcBorders>
          </w:tcPr>
          <w:p w14:paraId="1540710E">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–2,397</w:t>
            </w:r>
          </w:p>
        </w:tc>
        <w:tc>
          <w:tcPr>
            <w:tcW w:w="0" w:type="auto"/>
            <w:tcBorders>
              <w:top w:val="nil"/>
              <w:left w:val="outset" w:color="auto" w:sz="6" w:space="0"/>
              <w:bottom w:val="outset" w:color="auto" w:sz="6" w:space="0"/>
              <w:right w:val="outset" w:color="auto" w:sz="6" w:space="0"/>
            </w:tcBorders>
          </w:tcPr>
          <w:p w14:paraId="643DE386">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0,017</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354E89C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–1,671</w:t>
            </w:r>
          </w:p>
        </w:tc>
        <w:tc>
          <w:tcPr>
            <w:tcW w:w="0" w:type="auto"/>
            <w:tcBorders>
              <w:top w:val="nil"/>
              <w:left w:val="outset" w:color="auto" w:sz="6" w:space="0"/>
              <w:bottom w:val="outset" w:color="auto" w:sz="6" w:space="0"/>
              <w:right w:val="outset" w:color="auto" w:sz="6" w:space="0"/>
            </w:tcBorders>
          </w:tcPr>
          <w:p w14:paraId="2108B26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0,095</w:t>
            </w:r>
          </w:p>
        </w:tc>
        <w:tc>
          <w:tcPr>
            <w:tcW w:w="0" w:type="auto"/>
            <w:tcBorders>
              <w:top w:val="nil"/>
              <w:left w:val="outset" w:color="auto" w:sz="6" w:space="0"/>
              <w:bottom w:val="outset" w:color="auto" w:sz="6" w:space="0"/>
              <w:right w:val="outset" w:color="auto" w:sz="6" w:space="0"/>
            </w:tcBorders>
          </w:tcPr>
          <w:p w14:paraId="65B0A66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0,858</w:t>
            </w:r>
          </w:p>
        </w:tc>
        <w:tc>
          <w:tcPr>
            <w:tcW w:w="0" w:type="auto"/>
            <w:tcBorders>
              <w:top w:val="nil"/>
              <w:left w:val="outset" w:color="auto" w:sz="6" w:space="0"/>
              <w:bottom w:val="outset" w:color="auto" w:sz="6" w:space="0"/>
              <w:right w:val="outset" w:color="auto" w:sz="6" w:space="0"/>
            </w:tcBorders>
          </w:tcPr>
          <w:p w14:paraId="44EBC15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0,391</w:t>
            </w:r>
          </w:p>
        </w:tc>
      </w:tr>
      <w:tr w14:paraId="20BE9DFD">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703A1BD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Протромбиндік индекс</w:t>
            </w:r>
          </w:p>
        </w:tc>
        <w:tc>
          <w:tcPr>
            <w:tcW w:w="0" w:type="auto"/>
            <w:tcBorders>
              <w:top w:val="nil"/>
              <w:left w:val="outset" w:color="auto" w:sz="6" w:space="0"/>
              <w:bottom w:val="outset" w:color="auto" w:sz="6" w:space="0"/>
              <w:right w:val="outset" w:color="auto" w:sz="6" w:space="0"/>
            </w:tcBorders>
          </w:tcPr>
          <w:p w14:paraId="004B4CF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–1,204</w:t>
            </w:r>
          </w:p>
        </w:tc>
        <w:tc>
          <w:tcPr>
            <w:tcW w:w="0" w:type="auto"/>
            <w:tcBorders>
              <w:top w:val="nil"/>
              <w:left w:val="outset" w:color="auto" w:sz="6" w:space="0"/>
              <w:bottom w:val="outset" w:color="auto" w:sz="6" w:space="0"/>
              <w:right w:val="outset" w:color="auto" w:sz="6" w:space="0"/>
            </w:tcBorders>
          </w:tcPr>
          <w:p w14:paraId="63D57B2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0,229</w:t>
            </w:r>
          </w:p>
        </w:tc>
        <w:tc>
          <w:tcPr>
            <w:tcW w:w="0" w:type="auto"/>
            <w:tcBorders>
              <w:top w:val="nil"/>
              <w:left w:val="outset" w:color="auto" w:sz="6" w:space="0"/>
              <w:bottom w:val="outset" w:color="auto" w:sz="6" w:space="0"/>
              <w:right w:val="outset" w:color="auto" w:sz="6" w:space="0"/>
            </w:tcBorders>
          </w:tcPr>
          <w:p w14:paraId="0FE32B1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1,512</w:t>
            </w:r>
          </w:p>
        </w:tc>
        <w:tc>
          <w:tcPr>
            <w:tcW w:w="0" w:type="auto"/>
            <w:tcBorders>
              <w:top w:val="nil"/>
              <w:left w:val="outset" w:color="auto" w:sz="6" w:space="0"/>
              <w:bottom w:val="outset" w:color="auto" w:sz="6" w:space="0"/>
              <w:right w:val="outset" w:color="auto" w:sz="6" w:space="0"/>
            </w:tcBorders>
          </w:tcPr>
          <w:p w14:paraId="18F8ECF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0,131</w:t>
            </w:r>
          </w:p>
        </w:tc>
        <w:tc>
          <w:tcPr>
            <w:tcW w:w="0" w:type="auto"/>
            <w:tcBorders>
              <w:top w:val="nil"/>
              <w:left w:val="outset" w:color="auto" w:sz="6" w:space="0"/>
              <w:bottom w:val="outset" w:color="auto" w:sz="6" w:space="0"/>
              <w:right w:val="outset" w:color="auto" w:sz="6" w:space="0"/>
            </w:tcBorders>
          </w:tcPr>
          <w:p w14:paraId="20A8ABB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1,121</w:t>
            </w:r>
          </w:p>
        </w:tc>
        <w:tc>
          <w:tcPr>
            <w:tcW w:w="0" w:type="auto"/>
            <w:tcBorders>
              <w:top w:val="nil"/>
              <w:left w:val="outset" w:color="auto" w:sz="6" w:space="0"/>
              <w:bottom w:val="outset" w:color="auto" w:sz="6" w:space="0"/>
              <w:right w:val="outset" w:color="auto" w:sz="6" w:space="0"/>
            </w:tcBorders>
          </w:tcPr>
          <w:p w14:paraId="01D10E8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0,262</w:t>
            </w:r>
          </w:p>
        </w:tc>
        <w:tc>
          <w:tcPr>
            <w:tcW w:w="0" w:type="auto"/>
            <w:tcBorders>
              <w:top w:val="nil"/>
              <w:left w:val="outset" w:color="auto" w:sz="6" w:space="0"/>
              <w:bottom w:val="outset" w:color="auto" w:sz="6" w:space="0"/>
              <w:right w:val="outset" w:color="auto" w:sz="6" w:space="0"/>
            </w:tcBorders>
          </w:tcPr>
          <w:p w14:paraId="4C266871">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2,603</w:t>
            </w:r>
          </w:p>
        </w:tc>
        <w:tc>
          <w:tcPr>
            <w:tcW w:w="0" w:type="auto"/>
            <w:tcBorders>
              <w:top w:val="nil"/>
              <w:left w:val="outset" w:color="auto" w:sz="6" w:space="0"/>
              <w:bottom w:val="outset" w:color="auto" w:sz="6" w:space="0"/>
              <w:right w:val="outset" w:color="auto" w:sz="6" w:space="0"/>
            </w:tcBorders>
          </w:tcPr>
          <w:p w14:paraId="7881A160">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0,009</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2018C70E">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2,204</w:t>
            </w:r>
          </w:p>
        </w:tc>
        <w:tc>
          <w:tcPr>
            <w:tcW w:w="0" w:type="auto"/>
            <w:tcBorders>
              <w:top w:val="nil"/>
              <w:left w:val="outset" w:color="auto" w:sz="6" w:space="0"/>
              <w:bottom w:val="outset" w:color="auto" w:sz="6" w:space="0"/>
              <w:right w:val="outset" w:color="auto" w:sz="6" w:space="0"/>
            </w:tcBorders>
          </w:tcPr>
          <w:p w14:paraId="71991C34">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0,028</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19DBF8F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–0,390</w:t>
            </w:r>
          </w:p>
        </w:tc>
        <w:tc>
          <w:tcPr>
            <w:tcW w:w="0" w:type="auto"/>
            <w:tcBorders>
              <w:top w:val="nil"/>
              <w:left w:val="outset" w:color="auto" w:sz="6" w:space="0"/>
              <w:bottom w:val="outset" w:color="auto" w:sz="6" w:space="0"/>
              <w:right w:val="outset" w:color="auto" w:sz="6" w:space="0"/>
            </w:tcBorders>
          </w:tcPr>
          <w:p w14:paraId="26EB022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0,696</w:t>
            </w:r>
          </w:p>
        </w:tc>
      </w:tr>
      <w:tr w14:paraId="3EE08D03">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4BBFA42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Фибрионоген, г/л</w:t>
            </w:r>
          </w:p>
        </w:tc>
        <w:tc>
          <w:tcPr>
            <w:tcW w:w="0" w:type="auto"/>
            <w:tcBorders>
              <w:top w:val="nil"/>
              <w:left w:val="outset" w:color="auto" w:sz="6" w:space="0"/>
              <w:bottom w:val="outset" w:color="auto" w:sz="6" w:space="0"/>
              <w:right w:val="outset" w:color="auto" w:sz="6" w:space="0"/>
            </w:tcBorders>
          </w:tcPr>
          <w:p w14:paraId="1208B98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0,288</w:t>
            </w:r>
          </w:p>
        </w:tc>
        <w:tc>
          <w:tcPr>
            <w:tcW w:w="0" w:type="auto"/>
            <w:tcBorders>
              <w:top w:val="nil"/>
              <w:left w:val="outset" w:color="auto" w:sz="6" w:space="0"/>
              <w:bottom w:val="outset" w:color="auto" w:sz="6" w:space="0"/>
              <w:right w:val="outset" w:color="auto" w:sz="6" w:space="0"/>
            </w:tcBorders>
          </w:tcPr>
          <w:p w14:paraId="73C1DEE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0,773</w:t>
            </w:r>
          </w:p>
        </w:tc>
        <w:tc>
          <w:tcPr>
            <w:tcW w:w="0" w:type="auto"/>
            <w:tcBorders>
              <w:top w:val="nil"/>
              <w:left w:val="outset" w:color="auto" w:sz="6" w:space="0"/>
              <w:bottom w:val="outset" w:color="auto" w:sz="6" w:space="0"/>
              <w:right w:val="outset" w:color="auto" w:sz="6" w:space="0"/>
            </w:tcBorders>
          </w:tcPr>
          <w:p w14:paraId="6F906D7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1,591</w:t>
            </w:r>
          </w:p>
        </w:tc>
        <w:tc>
          <w:tcPr>
            <w:tcW w:w="0" w:type="auto"/>
            <w:tcBorders>
              <w:top w:val="nil"/>
              <w:left w:val="outset" w:color="auto" w:sz="6" w:space="0"/>
              <w:bottom w:val="outset" w:color="auto" w:sz="6" w:space="0"/>
              <w:right w:val="outset" w:color="auto" w:sz="6" w:space="0"/>
            </w:tcBorders>
          </w:tcPr>
          <w:p w14:paraId="12C3BD9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0,112</w:t>
            </w:r>
          </w:p>
        </w:tc>
        <w:tc>
          <w:tcPr>
            <w:tcW w:w="0" w:type="auto"/>
            <w:tcBorders>
              <w:top w:val="nil"/>
              <w:left w:val="outset" w:color="auto" w:sz="6" w:space="0"/>
              <w:bottom w:val="outset" w:color="auto" w:sz="6" w:space="0"/>
              <w:right w:val="outset" w:color="auto" w:sz="6" w:space="0"/>
            </w:tcBorders>
          </w:tcPr>
          <w:p w14:paraId="7A4D9B4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–1,698</w:t>
            </w:r>
          </w:p>
        </w:tc>
        <w:tc>
          <w:tcPr>
            <w:tcW w:w="0" w:type="auto"/>
            <w:tcBorders>
              <w:top w:val="nil"/>
              <w:left w:val="outset" w:color="auto" w:sz="6" w:space="0"/>
              <w:bottom w:val="outset" w:color="auto" w:sz="6" w:space="0"/>
              <w:right w:val="outset" w:color="auto" w:sz="6" w:space="0"/>
            </w:tcBorders>
          </w:tcPr>
          <w:p w14:paraId="0E4AE6E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0,089</w:t>
            </w:r>
          </w:p>
        </w:tc>
        <w:tc>
          <w:tcPr>
            <w:tcW w:w="0" w:type="auto"/>
            <w:tcBorders>
              <w:top w:val="nil"/>
              <w:left w:val="outset" w:color="auto" w:sz="6" w:space="0"/>
              <w:bottom w:val="outset" w:color="auto" w:sz="6" w:space="0"/>
              <w:right w:val="outset" w:color="auto" w:sz="6" w:space="0"/>
            </w:tcBorders>
          </w:tcPr>
          <w:p w14:paraId="6A8A274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0,750</w:t>
            </w:r>
          </w:p>
        </w:tc>
        <w:tc>
          <w:tcPr>
            <w:tcW w:w="0" w:type="auto"/>
            <w:tcBorders>
              <w:top w:val="nil"/>
              <w:left w:val="outset" w:color="auto" w:sz="6" w:space="0"/>
              <w:bottom w:val="outset" w:color="auto" w:sz="6" w:space="0"/>
              <w:right w:val="outset" w:color="auto" w:sz="6" w:space="0"/>
            </w:tcBorders>
          </w:tcPr>
          <w:p w14:paraId="5111C16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0,453</w:t>
            </w:r>
          </w:p>
        </w:tc>
        <w:tc>
          <w:tcPr>
            <w:tcW w:w="0" w:type="auto"/>
            <w:tcBorders>
              <w:top w:val="nil"/>
              <w:left w:val="outset" w:color="auto" w:sz="6" w:space="0"/>
              <w:bottom w:val="outset" w:color="auto" w:sz="6" w:space="0"/>
              <w:right w:val="outset" w:color="auto" w:sz="6" w:space="0"/>
            </w:tcBorders>
          </w:tcPr>
          <w:p w14:paraId="313695B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–1,269</w:t>
            </w:r>
          </w:p>
        </w:tc>
        <w:tc>
          <w:tcPr>
            <w:tcW w:w="0" w:type="auto"/>
            <w:tcBorders>
              <w:top w:val="nil"/>
              <w:left w:val="outset" w:color="auto" w:sz="6" w:space="0"/>
              <w:bottom w:val="outset" w:color="auto" w:sz="6" w:space="0"/>
              <w:right w:val="outset" w:color="auto" w:sz="6" w:space="0"/>
            </w:tcBorders>
          </w:tcPr>
          <w:p w14:paraId="161A77E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0,204</w:t>
            </w:r>
          </w:p>
        </w:tc>
        <w:tc>
          <w:tcPr>
            <w:tcW w:w="0" w:type="auto"/>
            <w:tcBorders>
              <w:top w:val="nil"/>
              <w:left w:val="outset" w:color="auto" w:sz="6" w:space="0"/>
              <w:bottom w:val="outset" w:color="auto" w:sz="6" w:space="0"/>
              <w:right w:val="outset" w:color="auto" w:sz="6" w:space="0"/>
            </w:tcBorders>
          </w:tcPr>
          <w:p w14:paraId="1075C9E2">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–2,352</w:t>
            </w:r>
          </w:p>
        </w:tc>
        <w:tc>
          <w:tcPr>
            <w:tcW w:w="0" w:type="auto"/>
            <w:tcBorders>
              <w:top w:val="nil"/>
              <w:left w:val="outset" w:color="auto" w:sz="6" w:space="0"/>
              <w:bottom w:val="outset" w:color="auto" w:sz="6" w:space="0"/>
              <w:right w:val="outset" w:color="auto" w:sz="6" w:space="0"/>
            </w:tcBorders>
          </w:tcPr>
          <w:p w14:paraId="11CEA01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0,019</w:t>
            </w:r>
            <w:r>
              <w:rPr>
                <w:rFonts w:ascii="Times New Roman" w:hAnsi="Times New Roman" w:eastAsia="Times New Roman" w:cs="Times New Roman"/>
                <w:b/>
                <w:i/>
                <w:sz w:val="28"/>
                <w:szCs w:val="28"/>
              </w:rPr>
              <w:t>*</w:t>
            </w:r>
          </w:p>
        </w:tc>
      </w:tr>
      <w:tr w14:paraId="44E3ADAA">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478E93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Жалпы ақуыз</w:t>
            </w:r>
          </w:p>
        </w:tc>
        <w:tc>
          <w:tcPr>
            <w:tcW w:w="0" w:type="auto"/>
            <w:tcBorders>
              <w:top w:val="nil"/>
              <w:left w:val="outset" w:color="auto" w:sz="6" w:space="0"/>
              <w:bottom w:val="outset" w:color="auto" w:sz="6" w:space="0"/>
              <w:right w:val="outset" w:color="auto" w:sz="6" w:space="0"/>
            </w:tcBorders>
          </w:tcPr>
          <w:p w14:paraId="43B1963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0,931</w:t>
            </w:r>
          </w:p>
        </w:tc>
        <w:tc>
          <w:tcPr>
            <w:tcW w:w="0" w:type="auto"/>
            <w:tcBorders>
              <w:top w:val="nil"/>
              <w:left w:val="outset" w:color="auto" w:sz="6" w:space="0"/>
              <w:bottom w:val="outset" w:color="auto" w:sz="6" w:space="0"/>
              <w:right w:val="outset" w:color="auto" w:sz="6" w:space="0"/>
            </w:tcBorders>
          </w:tcPr>
          <w:p w14:paraId="0EDDA16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0,352</w:t>
            </w:r>
          </w:p>
        </w:tc>
        <w:tc>
          <w:tcPr>
            <w:tcW w:w="0" w:type="auto"/>
            <w:tcBorders>
              <w:top w:val="nil"/>
              <w:left w:val="outset" w:color="auto" w:sz="6" w:space="0"/>
              <w:bottom w:val="outset" w:color="auto" w:sz="6" w:space="0"/>
              <w:right w:val="outset" w:color="auto" w:sz="6" w:space="0"/>
            </w:tcBorders>
          </w:tcPr>
          <w:p w14:paraId="67853D23">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3,307</w:t>
            </w:r>
          </w:p>
        </w:tc>
        <w:tc>
          <w:tcPr>
            <w:tcW w:w="0" w:type="auto"/>
            <w:tcBorders>
              <w:top w:val="nil"/>
              <w:left w:val="outset" w:color="auto" w:sz="6" w:space="0"/>
              <w:bottom w:val="outset" w:color="auto" w:sz="6" w:space="0"/>
              <w:right w:val="outset" w:color="auto" w:sz="6" w:space="0"/>
            </w:tcBorders>
          </w:tcPr>
          <w:p w14:paraId="7D875050">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0,001</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4B20FCC8">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3,373</w:t>
            </w:r>
          </w:p>
        </w:tc>
        <w:tc>
          <w:tcPr>
            <w:tcW w:w="0" w:type="auto"/>
            <w:tcBorders>
              <w:top w:val="nil"/>
              <w:left w:val="outset" w:color="auto" w:sz="6" w:space="0"/>
              <w:bottom w:val="outset" w:color="auto" w:sz="6" w:space="0"/>
              <w:right w:val="outset" w:color="auto" w:sz="6" w:space="0"/>
            </w:tcBorders>
          </w:tcPr>
          <w:p w14:paraId="4B8E57E7">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0,001</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2ECF0B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1,606</w:t>
            </w:r>
          </w:p>
        </w:tc>
        <w:tc>
          <w:tcPr>
            <w:tcW w:w="0" w:type="auto"/>
            <w:tcBorders>
              <w:top w:val="nil"/>
              <w:left w:val="outset" w:color="auto" w:sz="6" w:space="0"/>
              <w:bottom w:val="outset" w:color="auto" w:sz="6" w:space="0"/>
              <w:right w:val="outset" w:color="auto" w:sz="6" w:space="0"/>
            </w:tcBorders>
          </w:tcPr>
          <w:p w14:paraId="57ED1B3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0,108</w:t>
            </w:r>
          </w:p>
        </w:tc>
        <w:tc>
          <w:tcPr>
            <w:tcW w:w="0" w:type="auto"/>
            <w:tcBorders>
              <w:top w:val="nil"/>
              <w:left w:val="outset" w:color="auto" w:sz="6" w:space="0"/>
              <w:bottom w:val="outset" w:color="auto" w:sz="6" w:space="0"/>
              <w:right w:val="outset" w:color="auto" w:sz="6" w:space="0"/>
            </w:tcBorders>
          </w:tcPr>
          <w:p w14:paraId="3E39BA3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1,840</w:t>
            </w:r>
          </w:p>
        </w:tc>
        <w:tc>
          <w:tcPr>
            <w:tcW w:w="0" w:type="auto"/>
            <w:tcBorders>
              <w:top w:val="nil"/>
              <w:left w:val="outset" w:color="auto" w:sz="6" w:space="0"/>
              <w:bottom w:val="outset" w:color="auto" w:sz="6" w:space="0"/>
              <w:right w:val="outset" w:color="auto" w:sz="6" w:space="0"/>
            </w:tcBorders>
          </w:tcPr>
          <w:p w14:paraId="47AA84E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0,066</w:t>
            </w:r>
          </w:p>
        </w:tc>
        <w:tc>
          <w:tcPr>
            <w:tcW w:w="0" w:type="auto"/>
            <w:tcBorders>
              <w:top w:val="nil"/>
              <w:left w:val="outset" w:color="auto" w:sz="6" w:space="0"/>
              <w:bottom w:val="outset" w:color="auto" w:sz="6" w:space="0"/>
              <w:right w:val="outset" w:color="auto" w:sz="6" w:space="0"/>
            </w:tcBorders>
          </w:tcPr>
          <w:p w14:paraId="73B9B4C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0,310</w:t>
            </w:r>
          </w:p>
        </w:tc>
        <w:tc>
          <w:tcPr>
            <w:tcW w:w="0" w:type="auto"/>
            <w:tcBorders>
              <w:top w:val="nil"/>
              <w:left w:val="outset" w:color="auto" w:sz="6" w:space="0"/>
              <w:bottom w:val="outset" w:color="auto" w:sz="6" w:space="0"/>
              <w:right w:val="outset" w:color="auto" w:sz="6" w:space="0"/>
            </w:tcBorders>
          </w:tcPr>
          <w:p w14:paraId="365A650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0,756</w:t>
            </w:r>
          </w:p>
        </w:tc>
      </w:tr>
      <w:tr w14:paraId="0A312E48">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6D8A3B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Зәр қышқылы</w:t>
            </w:r>
          </w:p>
        </w:tc>
        <w:tc>
          <w:tcPr>
            <w:tcW w:w="0" w:type="auto"/>
            <w:tcBorders>
              <w:top w:val="nil"/>
              <w:left w:val="outset" w:color="auto" w:sz="6" w:space="0"/>
              <w:bottom w:val="outset" w:color="auto" w:sz="6" w:space="0"/>
              <w:right w:val="outset" w:color="auto" w:sz="6" w:space="0"/>
            </w:tcBorders>
          </w:tcPr>
          <w:p w14:paraId="6B2B00BD">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2,085</w:t>
            </w:r>
          </w:p>
        </w:tc>
        <w:tc>
          <w:tcPr>
            <w:tcW w:w="0" w:type="auto"/>
            <w:tcBorders>
              <w:top w:val="nil"/>
              <w:left w:val="outset" w:color="auto" w:sz="6" w:space="0"/>
              <w:bottom w:val="outset" w:color="auto" w:sz="6" w:space="0"/>
              <w:right w:val="outset" w:color="auto" w:sz="6" w:space="0"/>
            </w:tcBorders>
          </w:tcPr>
          <w:p w14:paraId="6BC851A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0,037</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7EF1BC1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2,340</w:t>
            </w:r>
          </w:p>
        </w:tc>
        <w:tc>
          <w:tcPr>
            <w:tcW w:w="0" w:type="auto"/>
            <w:tcBorders>
              <w:top w:val="nil"/>
              <w:left w:val="outset" w:color="auto" w:sz="6" w:space="0"/>
              <w:bottom w:val="outset" w:color="auto" w:sz="6" w:space="0"/>
              <w:right w:val="outset" w:color="auto" w:sz="6" w:space="0"/>
            </w:tcBorders>
          </w:tcPr>
          <w:p w14:paraId="1ACA0717">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0,019</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537EC8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–0,214</w:t>
            </w:r>
          </w:p>
        </w:tc>
        <w:tc>
          <w:tcPr>
            <w:tcW w:w="0" w:type="auto"/>
            <w:tcBorders>
              <w:top w:val="nil"/>
              <w:left w:val="outset" w:color="auto" w:sz="6" w:space="0"/>
              <w:bottom w:val="outset" w:color="auto" w:sz="6" w:space="0"/>
              <w:right w:val="outset" w:color="auto" w:sz="6" w:space="0"/>
            </w:tcBorders>
          </w:tcPr>
          <w:p w14:paraId="41DF042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0,830</w:t>
            </w:r>
          </w:p>
        </w:tc>
        <w:tc>
          <w:tcPr>
            <w:tcW w:w="0" w:type="auto"/>
            <w:tcBorders>
              <w:top w:val="nil"/>
              <w:left w:val="outset" w:color="auto" w:sz="6" w:space="0"/>
              <w:bottom w:val="outset" w:color="auto" w:sz="6" w:space="0"/>
              <w:right w:val="outset" w:color="auto" w:sz="6" w:space="0"/>
            </w:tcBorders>
          </w:tcPr>
          <w:p w14:paraId="23B05A9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–0,353</w:t>
            </w:r>
          </w:p>
        </w:tc>
        <w:tc>
          <w:tcPr>
            <w:tcW w:w="0" w:type="auto"/>
            <w:tcBorders>
              <w:top w:val="nil"/>
              <w:left w:val="outset" w:color="auto" w:sz="6" w:space="0"/>
              <w:bottom w:val="outset" w:color="auto" w:sz="6" w:space="0"/>
              <w:right w:val="outset" w:color="auto" w:sz="6" w:space="0"/>
            </w:tcBorders>
          </w:tcPr>
          <w:p w14:paraId="3F8F17D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0,724</w:t>
            </w:r>
          </w:p>
        </w:tc>
        <w:tc>
          <w:tcPr>
            <w:tcW w:w="0" w:type="auto"/>
            <w:tcBorders>
              <w:top w:val="nil"/>
              <w:left w:val="outset" w:color="auto" w:sz="6" w:space="0"/>
              <w:bottom w:val="outset" w:color="auto" w:sz="6" w:space="0"/>
              <w:right w:val="outset" w:color="auto" w:sz="6" w:space="0"/>
            </w:tcBorders>
          </w:tcPr>
          <w:p w14:paraId="6F9238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–1,886</w:t>
            </w:r>
          </w:p>
        </w:tc>
        <w:tc>
          <w:tcPr>
            <w:tcW w:w="0" w:type="auto"/>
            <w:tcBorders>
              <w:top w:val="nil"/>
              <w:left w:val="outset" w:color="auto" w:sz="6" w:space="0"/>
              <w:bottom w:val="outset" w:color="auto" w:sz="6" w:space="0"/>
              <w:right w:val="outset" w:color="auto" w:sz="6" w:space="0"/>
            </w:tcBorders>
          </w:tcPr>
          <w:p w14:paraId="5782ACA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0,059</w:t>
            </w:r>
          </w:p>
        </w:tc>
        <w:tc>
          <w:tcPr>
            <w:tcW w:w="0" w:type="auto"/>
            <w:tcBorders>
              <w:top w:val="nil"/>
              <w:left w:val="outset" w:color="auto" w:sz="6" w:space="0"/>
              <w:bottom w:val="outset" w:color="auto" w:sz="6" w:space="0"/>
              <w:right w:val="outset" w:color="auto" w:sz="6" w:space="0"/>
            </w:tcBorders>
          </w:tcPr>
          <w:p w14:paraId="4B258E01">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–2,531</w:t>
            </w:r>
          </w:p>
        </w:tc>
        <w:tc>
          <w:tcPr>
            <w:tcW w:w="0" w:type="auto"/>
            <w:tcBorders>
              <w:top w:val="nil"/>
              <w:left w:val="outset" w:color="auto" w:sz="6" w:space="0"/>
              <w:bottom w:val="outset" w:color="auto" w:sz="6" w:space="0"/>
              <w:right w:val="outset" w:color="auto" w:sz="6" w:space="0"/>
            </w:tcBorders>
          </w:tcPr>
          <w:p w14:paraId="7AC59D51">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0,011</w:t>
            </w:r>
            <w:r>
              <w:rPr>
                <w:rFonts w:ascii="Times New Roman" w:hAnsi="Times New Roman" w:eastAsia="Times New Roman" w:cs="Times New Roman"/>
                <w:b/>
                <w:i/>
                <w:sz w:val="28"/>
                <w:szCs w:val="28"/>
              </w:rPr>
              <w:t>*</w:t>
            </w:r>
          </w:p>
        </w:tc>
      </w:tr>
      <w:tr w14:paraId="09375B8F">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1BC92B6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Креатинин</w:t>
            </w:r>
          </w:p>
        </w:tc>
        <w:tc>
          <w:tcPr>
            <w:tcW w:w="0" w:type="auto"/>
            <w:tcBorders>
              <w:top w:val="nil"/>
              <w:left w:val="outset" w:color="auto" w:sz="6" w:space="0"/>
              <w:bottom w:val="outset" w:color="auto" w:sz="6" w:space="0"/>
              <w:right w:val="outset" w:color="auto" w:sz="6" w:space="0"/>
            </w:tcBorders>
          </w:tcPr>
          <w:p w14:paraId="0F926DC1">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2,325</w:t>
            </w:r>
          </w:p>
        </w:tc>
        <w:tc>
          <w:tcPr>
            <w:tcW w:w="0" w:type="auto"/>
            <w:tcBorders>
              <w:top w:val="nil"/>
              <w:left w:val="outset" w:color="auto" w:sz="6" w:space="0"/>
              <w:bottom w:val="outset" w:color="auto" w:sz="6" w:space="0"/>
              <w:right w:val="outset" w:color="auto" w:sz="6" w:space="0"/>
            </w:tcBorders>
          </w:tcPr>
          <w:p w14:paraId="7F893118">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0,020</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4D2D577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0,815</w:t>
            </w:r>
          </w:p>
        </w:tc>
        <w:tc>
          <w:tcPr>
            <w:tcW w:w="0" w:type="auto"/>
            <w:tcBorders>
              <w:top w:val="nil"/>
              <w:left w:val="outset" w:color="auto" w:sz="6" w:space="0"/>
              <w:bottom w:val="outset" w:color="auto" w:sz="6" w:space="0"/>
              <w:right w:val="outset" w:color="auto" w:sz="6" w:space="0"/>
            </w:tcBorders>
          </w:tcPr>
          <w:p w14:paraId="5F81198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0,415</w:t>
            </w:r>
          </w:p>
        </w:tc>
        <w:tc>
          <w:tcPr>
            <w:tcW w:w="0" w:type="auto"/>
            <w:tcBorders>
              <w:top w:val="nil"/>
              <w:left w:val="outset" w:color="auto" w:sz="6" w:space="0"/>
              <w:bottom w:val="outset" w:color="auto" w:sz="6" w:space="0"/>
              <w:right w:val="outset" w:color="auto" w:sz="6" w:space="0"/>
            </w:tcBorders>
          </w:tcPr>
          <w:p w14:paraId="76BCBA0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0,555</w:t>
            </w:r>
          </w:p>
        </w:tc>
        <w:tc>
          <w:tcPr>
            <w:tcW w:w="0" w:type="auto"/>
            <w:tcBorders>
              <w:top w:val="nil"/>
              <w:left w:val="outset" w:color="auto" w:sz="6" w:space="0"/>
              <w:bottom w:val="outset" w:color="auto" w:sz="6" w:space="0"/>
              <w:right w:val="outset" w:color="auto" w:sz="6" w:space="0"/>
            </w:tcBorders>
          </w:tcPr>
          <w:p w14:paraId="4138F5D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0,579</w:t>
            </w:r>
          </w:p>
        </w:tc>
        <w:tc>
          <w:tcPr>
            <w:tcW w:w="0" w:type="auto"/>
            <w:tcBorders>
              <w:top w:val="nil"/>
              <w:left w:val="outset" w:color="auto" w:sz="6" w:space="0"/>
              <w:bottom w:val="outset" w:color="auto" w:sz="6" w:space="0"/>
              <w:right w:val="outset" w:color="auto" w:sz="6" w:space="0"/>
            </w:tcBorders>
          </w:tcPr>
          <w:p w14:paraId="413CBAA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–1,499</w:t>
            </w:r>
          </w:p>
        </w:tc>
        <w:tc>
          <w:tcPr>
            <w:tcW w:w="0" w:type="auto"/>
            <w:tcBorders>
              <w:top w:val="nil"/>
              <w:left w:val="outset" w:color="auto" w:sz="6" w:space="0"/>
              <w:bottom w:val="outset" w:color="auto" w:sz="6" w:space="0"/>
              <w:right w:val="outset" w:color="auto" w:sz="6" w:space="0"/>
            </w:tcBorders>
          </w:tcPr>
          <w:p w14:paraId="51D0BE2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0,134</w:t>
            </w:r>
          </w:p>
        </w:tc>
        <w:tc>
          <w:tcPr>
            <w:tcW w:w="0" w:type="auto"/>
            <w:tcBorders>
              <w:top w:val="nil"/>
              <w:left w:val="outset" w:color="auto" w:sz="6" w:space="0"/>
              <w:bottom w:val="outset" w:color="auto" w:sz="6" w:space="0"/>
              <w:right w:val="outset" w:color="auto" w:sz="6" w:space="0"/>
            </w:tcBorders>
          </w:tcPr>
          <w:p w14:paraId="501BCE2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–1,316</w:t>
            </w:r>
          </w:p>
        </w:tc>
        <w:tc>
          <w:tcPr>
            <w:tcW w:w="0" w:type="auto"/>
            <w:tcBorders>
              <w:top w:val="nil"/>
              <w:left w:val="outset" w:color="auto" w:sz="6" w:space="0"/>
              <w:bottom w:val="outset" w:color="auto" w:sz="6" w:space="0"/>
              <w:right w:val="outset" w:color="auto" w:sz="6" w:space="0"/>
            </w:tcBorders>
          </w:tcPr>
          <w:p w14:paraId="55C1D01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0,188</w:t>
            </w:r>
          </w:p>
        </w:tc>
        <w:tc>
          <w:tcPr>
            <w:tcW w:w="0" w:type="auto"/>
            <w:tcBorders>
              <w:top w:val="nil"/>
              <w:left w:val="outset" w:color="auto" w:sz="6" w:space="0"/>
              <w:bottom w:val="outset" w:color="auto" w:sz="6" w:space="0"/>
              <w:right w:val="outset" w:color="auto" w:sz="6" w:space="0"/>
            </w:tcBorders>
          </w:tcPr>
          <w:p w14:paraId="0759F01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–0,341</w:t>
            </w:r>
          </w:p>
        </w:tc>
        <w:tc>
          <w:tcPr>
            <w:tcW w:w="0" w:type="auto"/>
            <w:tcBorders>
              <w:top w:val="nil"/>
              <w:left w:val="outset" w:color="auto" w:sz="6" w:space="0"/>
              <w:bottom w:val="outset" w:color="auto" w:sz="6" w:space="0"/>
              <w:right w:val="outset" w:color="auto" w:sz="6" w:space="0"/>
            </w:tcBorders>
          </w:tcPr>
          <w:p w14:paraId="205C1FA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0,733</w:t>
            </w:r>
          </w:p>
        </w:tc>
      </w:tr>
      <w:tr w14:paraId="630357FD">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2BC0232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Тікелей билирубин</w:t>
            </w:r>
          </w:p>
        </w:tc>
        <w:tc>
          <w:tcPr>
            <w:tcW w:w="0" w:type="auto"/>
            <w:tcBorders>
              <w:top w:val="nil"/>
              <w:left w:val="outset" w:color="auto" w:sz="6" w:space="0"/>
              <w:bottom w:val="outset" w:color="auto" w:sz="6" w:space="0"/>
              <w:right w:val="outset" w:color="auto" w:sz="6" w:space="0"/>
            </w:tcBorders>
          </w:tcPr>
          <w:p w14:paraId="0511CE2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1,322</w:t>
            </w:r>
          </w:p>
        </w:tc>
        <w:tc>
          <w:tcPr>
            <w:tcW w:w="0" w:type="auto"/>
            <w:tcBorders>
              <w:top w:val="nil"/>
              <w:left w:val="outset" w:color="auto" w:sz="6" w:space="0"/>
              <w:bottom w:val="outset" w:color="auto" w:sz="6" w:space="0"/>
              <w:right w:val="outset" w:color="auto" w:sz="6" w:space="0"/>
            </w:tcBorders>
          </w:tcPr>
          <w:p w14:paraId="171ED4D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0,186</w:t>
            </w:r>
          </w:p>
        </w:tc>
        <w:tc>
          <w:tcPr>
            <w:tcW w:w="0" w:type="auto"/>
            <w:tcBorders>
              <w:top w:val="nil"/>
              <w:left w:val="outset" w:color="auto" w:sz="6" w:space="0"/>
              <w:bottom w:val="outset" w:color="auto" w:sz="6" w:space="0"/>
              <w:right w:val="outset" w:color="auto" w:sz="6" w:space="0"/>
            </w:tcBorders>
          </w:tcPr>
          <w:p w14:paraId="14D6E1D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0,673</w:t>
            </w:r>
          </w:p>
        </w:tc>
        <w:tc>
          <w:tcPr>
            <w:tcW w:w="0" w:type="auto"/>
            <w:tcBorders>
              <w:top w:val="nil"/>
              <w:left w:val="outset" w:color="auto" w:sz="6" w:space="0"/>
              <w:bottom w:val="outset" w:color="auto" w:sz="6" w:space="0"/>
              <w:right w:val="outset" w:color="auto" w:sz="6" w:space="0"/>
            </w:tcBorders>
          </w:tcPr>
          <w:p w14:paraId="12A2CA6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0,501</w:t>
            </w:r>
          </w:p>
        </w:tc>
        <w:tc>
          <w:tcPr>
            <w:tcW w:w="0" w:type="auto"/>
            <w:tcBorders>
              <w:top w:val="nil"/>
              <w:left w:val="outset" w:color="auto" w:sz="6" w:space="0"/>
              <w:bottom w:val="outset" w:color="auto" w:sz="6" w:space="0"/>
              <w:right w:val="outset" w:color="auto" w:sz="6" w:space="0"/>
            </w:tcBorders>
          </w:tcPr>
          <w:p w14:paraId="0A3A937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2,841</w:t>
            </w:r>
          </w:p>
        </w:tc>
        <w:tc>
          <w:tcPr>
            <w:tcW w:w="0" w:type="auto"/>
            <w:tcBorders>
              <w:top w:val="nil"/>
              <w:left w:val="outset" w:color="auto" w:sz="6" w:space="0"/>
              <w:bottom w:val="outset" w:color="auto" w:sz="6" w:space="0"/>
              <w:right w:val="outset" w:color="auto" w:sz="6" w:space="0"/>
            </w:tcBorders>
          </w:tcPr>
          <w:p w14:paraId="0438778E">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0,005</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054F39F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–1,062</w:t>
            </w:r>
          </w:p>
        </w:tc>
        <w:tc>
          <w:tcPr>
            <w:tcW w:w="0" w:type="auto"/>
            <w:tcBorders>
              <w:top w:val="nil"/>
              <w:left w:val="outset" w:color="auto" w:sz="6" w:space="0"/>
              <w:bottom w:val="outset" w:color="auto" w:sz="6" w:space="0"/>
              <w:right w:val="outset" w:color="auto" w:sz="6" w:space="0"/>
            </w:tcBorders>
          </w:tcPr>
          <w:p w14:paraId="4B6F4EC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0,288</w:t>
            </w:r>
          </w:p>
        </w:tc>
        <w:tc>
          <w:tcPr>
            <w:tcW w:w="0" w:type="auto"/>
            <w:tcBorders>
              <w:top w:val="nil"/>
              <w:left w:val="outset" w:color="auto" w:sz="6" w:space="0"/>
              <w:bottom w:val="outset" w:color="auto" w:sz="6" w:space="0"/>
              <w:right w:val="outset" w:color="auto" w:sz="6" w:space="0"/>
            </w:tcBorders>
          </w:tcPr>
          <w:p w14:paraId="082D51C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1,476</w:t>
            </w:r>
          </w:p>
        </w:tc>
        <w:tc>
          <w:tcPr>
            <w:tcW w:w="0" w:type="auto"/>
            <w:tcBorders>
              <w:top w:val="nil"/>
              <w:left w:val="outset" w:color="auto" w:sz="6" w:space="0"/>
              <w:bottom w:val="outset" w:color="auto" w:sz="6" w:space="0"/>
              <w:right w:val="outset" w:color="auto" w:sz="6" w:space="0"/>
            </w:tcBorders>
          </w:tcPr>
          <w:p w14:paraId="4DA6147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0,140</w:t>
            </w:r>
          </w:p>
        </w:tc>
        <w:tc>
          <w:tcPr>
            <w:tcW w:w="0" w:type="auto"/>
            <w:tcBorders>
              <w:top w:val="nil"/>
              <w:left w:val="outset" w:color="auto" w:sz="6" w:space="0"/>
              <w:bottom w:val="outset" w:color="auto" w:sz="6" w:space="0"/>
              <w:right w:val="outset" w:color="auto" w:sz="6" w:space="0"/>
            </w:tcBorders>
          </w:tcPr>
          <w:p w14:paraId="776BA0F2">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2,200</w:t>
            </w:r>
          </w:p>
        </w:tc>
        <w:tc>
          <w:tcPr>
            <w:tcW w:w="0" w:type="auto"/>
            <w:tcBorders>
              <w:top w:val="nil"/>
              <w:left w:val="outset" w:color="auto" w:sz="6" w:space="0"/>
              <w:bottom w:val="outset" w:color="auto" w:sz="6" w:space="0"/>
              <w:right w:val="outset" w:color="auto" w:sz="6" w:space="0"/>
            </w:tcBorders>
          </w:tcPr>
          <w:p w14:paraId="770A58F3">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0,028</w:t>
            </w:r>
            <w:r>
              <w:rPr>
                <w:rFonts w:ascii="Times New Roman" w:hAnsi="Times New Roman" w:eastAsia="Times New Roman" w:cs="Times New Roman"/>
                <w:b/>
                <w:i/>
                <w:sz w:val="28"/>
                <w:szCs w:val="28"/>
              </w:rPr>
              <w:t>*</w:t>
            </w:r>
          </w:p>
        </w:tc>
      </w:tr>
      <w:tr w14:paraId="318486A0">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12536C8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Жалпы билирубин</w:t>
            </w:r>
          </w:p>
        </w:tc>
        <w:tc>
          <w:tcPr>
            <w:tcW w:w="0" w:type="auto"/>
            <w:tcBorders>
              <w:top w:val="nil"/>
              <w:left w:val="outset" w:color="auto" w:sz="6" w:space="0"/>
              <w:bottom w:val="outset" w:color="auto" w:sz="6" w:space="0"/>
              <w:right w:val="outset" w:color="auto" w:sz="6" w:space="0"/>
            </w:tcBorders>
          </w:tcPr>
          <w:p w14:paraId="2577A5A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1,576</w:t>
            </w:r>
          </w:p>
        </w:tc>
        <w:tc>
          <w:tcPr>
            <w:tcW w:w="0" w:type="auto"/>
            <w:tcBorders>
              <w:top w:val="nil"/>
              <w:left w:val="outset" w:color="auto" w:sz="6" w:space="0"/>
              <w:bottom w:val="outset" w:color="auto" w:sz="6" w:space="0"/>
              <w:right w:val="outset" w:color="auto" w:sz="6" w:space="0"/>
            </w:tcBorders>
          </w:tcPr>
          <w:p w14:paraId="7A19CD8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0,115</w:t>
            </w:r>
          </w:p>
        </w:tc>
        <w:tc>
          <w:tcPr>
            <w:tcW w:w="0" w:type="auto"/>
            <w:tcBorders>
              <w:top w:val="nil"/>
              <w:left w:val="outset" w:color="auto" w:sz="6" w:space="0"/>
              <w:bottom w:val="outset" w:color="auto" w:sz="6" w:space="0"/>
              <w:right w:val="outset" w:color="auto" w:sz="6" w:space="0"/>
            </w:tcBorders>
          </w:tcPr>
          <w:p w14:paraId="4AEDBAA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0,901</w:t>
            </w:r>
          </w:p>
        </w:tc>
        <w:tc>
          <w:tcPr>
            <w:tcW w:w="0" w:type="auto"/>
            <w:tcBorders>
              <w:top w:val="nil"/>
              <w:left w:val="outset" w:color="auto" w:sz="6" w:space="0"/>
              <w:bottom w:val="outset" w:color="auto" w:sz="6" w:space="0"/>
              <w:right w:val="outset" w:color="auto" w:sz="6" w:space="0"/>
            </w:tcBorders>
          </w:tcPr>
          <w:p w14:paraId="1D1EB55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0,368</w:t>
            </w:r>
          </w:p>
        </w:tc>
        <w:tc>
          <w:tcPr>
            <w:tcW w:w="0" w:type="auto"/>
            <w:tcBorders>
              <w:top w:val="nil"/>
              <w:left w:val="outset" w:color="auto" w:sz="6" w:space="0"/>
              <w:bottom w:val="outset" w:color="auto" w:sz="6" w:space="0"/>
              <w:right w:val="outset" w:color="auto" w:sz="6" w:space="0"/>
            </w:tcBorders>
          </w:tcPr>
          <w:p w14:paraId="3E1FC38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2,444</w:t>
            </w:r>
          </w:p>
        </w:tc>
        <w:tc>
          <w:tcPr>
            <w:tcW w:w="0" w:type="auto"/>
            <w:tcBorders>
              <w:top w:val="nil"/>
              <w:left w:val="outset" w:color="auto" w:sz="6" w:space="0"/>
              <w:bottom w:val="outset" w:color="auto" w:sz="6" w:space="0"/>
              <w:right w:val="outset" w:color="auto" w:sz="6" w:space="0"/>
            </w:tcBorders>
          </w:tcPr>
          <w:p w14:paraId="639D656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0,015</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28487D0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–1,037</w:t>
            </w:r>
          </w:p>
        </w:tc>
        <w:tc>
          <w:tcPr>
            <w:tcW w:w="0" w:type="auto"/>
            <w:tcBorders>
              <w:top w:val="nil"/>
              <w:left w:val="outset" w:color="auto" w:sz="6" w:space="0"/>
              <w:bottom w:val="outset" w:color="auto" w:sz="6" w:space="0"/>
              <w:right w:val="outset" w:color="auto" w:sz="6" w:space="0"/>
            </w:tcBorders>
          </w:tcPr>
          <w:p w14:paraId="7FF085F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0,300</w:t>
            </w:r>
          </w:p>
        </w:tc>
        <w:tc>
          <w:tcPr>
            <w:tcW w:w="0" w:type="auto"/>
            <w:tcBorders>
              <w:top w:val="nil"/>
              <w:left w:val="outset" w:color="auto" w:sz="6" w:space="0"/>
              <w:bottom w:val="outset" w:color="auto" w:sz="6" w:space="0"/>
              <w:right w:val="outset" w:color="auto" w:sz="6" w:space="0"/>
            </w:tcBorders>
          </w:tcPr>
          <w:p w14:paraId="49508FE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0,118</w:t>
            </w:r>
          </w:p>
        </w:tc>
        <w:tc>
          <w:tcPr>
            <w:tcW w:w="0" w:type="auto"/>
            <w:tcBorders>
              <w:top w:val="nil"/>
              <w:left w:val="outset" w:color="auto" w:sz="6" w:space="0"/>
              <w:bottom w:val="outset" w:color="auto" w:sz="6" w:space="0"/>
              <w:right w:val="outset" w:color="auto" w:sz="6" w:space="0"/>
            </w:tcBorders>
          </w:tcPr>
          <w:p w14:paraId="32AD60D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0,906</w:t>
            </w:r>
          </w:p>
        </w:tc>
        <w:tc>
          <w:tcPr>
            <w:tcW w:w="0" w:type="auto"/>
            <w:tcBorders>
              <w:top w:val="nil"/>
              <w:left w:val="outset" w:color="auto" w:sz="6" w:space="0"/>
              <w:bottom w:val="outset" w:color="auto" w:sz="6" w:space="0"/>
              <w:right w:val="outset" w:color="auto" w:sz="6" w:space="0"/>
            </w:tcBorders>
          </w:tcPr>
          <w:p w14:paraId="4069F73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1,459</w:t>
            </w:r>
          </w:p>
        </w:tc>
        <w:tc>
          <w:tcPr>
            <w:tcW w:w="0" w:type="auto"/>
            <w:tcBorders>
              <w:top w:val="nil"/>
              <w:left w:val="outset" w:color="auto" w:sz="6" w:space="0"/>
              <w:bottom w:val="outset" w:color="auto" w:sz="6" w:space="0"/>
              <w:right w:val="outset" w:color="auto" w:sz="6" w:space="0"/>
            </w:tcBorders>
          </w:tcPr>
          <w:p w14:paraId="3C3DFFA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0,144</w:t>
            </w:r>
          </w:p>
        </w:tc>
      </w:tr>
      <w:tr w14:paraId="1046B36D">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442D786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АЛТ</w:t>
            </w:r>
          </w:p>
        </w:tc>
        <w:tc>
          <w:tcPr>
            <w:tcW w:w="0" w:type="auto"/>
            <w:tcBorders>
              <w:top w:val="nil"/>
              <w:left w:val="outset" w:color="auto" w:sz="6" w:space="0"/>
              <w:bottom w:val="outset" w:color="auto" w:sz="6" w:space="0"/>
              <w:right w:val="outset" w:color="auto" w:sz="6" w:space="0"/>
            </w:tcBorders>
          </w:tcPr>
          <w:p w14:paraId="1F6FC2F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0,887</w:t>
            </w:r>
          </w:p>
        </w:tc>
        <w:tc>
          <w:tcPr>
            <w:tcW w:w="0" w:type="auto"/>
            <w:tcBorders>
              <w:top w:val="nil"/>
              <w:left w:val="outset" w:color="auto" w:sz="6" w:space="0"/>
              <w:bottom w:val="outset" w:color="auto" w:sz="6" w:space="0"/>
              <w:right w:val="outset" w:color="auto" w:sz="6" w:space="0"/>
            </w:tcBorders>
          </w:tcPr>
          <w:p w14:paraId="1D9700C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0,375</w:t>
            </w:r>
          </w:p>
        </w:tc>
        <w:tc>
          <w:tcPr>
            <w:tcW w:w="0" w:type="auto"/>
            <w:tcBorders>
              <w:top w:val="nil"/>
              <w:left w:val="outset" w:color="auto" w:sz="6" w:space="0"/>
              <w:bottom w:val="outset" w:color="auto" w:sz="6" w:space="0"/>
              <w:right w:val="outset" w:color="auto" w:sz="6" w:space="0"/>
            </w:tcBorders>
          </w:tcPr>
          <w:p w14:paraId="4506A37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0,973</w:t>
            </w:r>
          </w:p>
        </w:tc>
        <w:tc>
          <w:tcPr>
            <w:tcW w:w="0" w:type="auto"/>
            <w:tcBorders>
              <w:top w:val="nil"/>
              <w:left w:val="outset" w:color="auto" w:sz="6" w:space="0"/>
              <w:bottom w:val="outset" w:color="auto" w:sz="6" w:space="0"/>
              <w:right w:val="outset" w:color="auto" w:sz="6" w:space="0"/>
            </w:tcBorders>
          </w:tcPr>
          <w:p w14:paraId="2ABA1B1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0,330</w:t>
            </w:r>
          </w:p>
        </w:tc>
        <w:tc>
          <w:tcPr>
            <w:tcW w:w="0" w:type="auto"/>
            <w:tcBorders>
              <w:top w:val="nil"/>
              <w:left w:val="outset" w:color="auto" w:sz="6" w:space="0"/>
              <w:bottom w:val="outset" w:color="auto" w:sz="6" w:space="0"/>
              <w:right w:val="outset" w:color="auto" w:sz="6" w:space="0"/>
            </w:tcBorders>
          </w:tcPr>
          <w:p w14:paraId="40AF36A6">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2,282</w:t>
            </w:r>
          </w:p>
        </w:tc>
        <w:tc>
          <w:tcPr>
            <w:tcW w:w="0" w:type="auto"/>
            <w:tcBorders>
              <w:top w:val="nil"/>
              <w:left w:val="outset" w:color="auto" w:sz="6" w:space="0"/>
              <w:bottom w:val="outset" w:color="auto" w:sz="6" w:space="0"/>
              <w:right w:val="outset" w:color="auto" w:sz="6" w:space="0"/>
            </w:tcBorders>
          </w:tcPr>
          <w:p w14:paraId="1CD0559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0,022</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7F7099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0,046</w:t>
            </w:r>
          </w:p>
        </w:tc>
        <w:tc>
          <w:tcPr>
            <w:tcW w:w="0" w:type="auto"/>
            <w:tcBorders>
              <w:top w:val="nil"/>
              <w:left w:val="outset" w:color="auto" w:sz="6" w:space="0"/>
              <w:bottom w:val="outset" w:color="auto" w:sz="6" w:space="0"/>
              <w:right w:val="outset" w:color="auto" w:sz="6" w:space="0"/>
            </w:tcBorders>
          </w:tcPr>
          <w:p w14:paraId="1DBE02A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0,964</w:t>
            </w:r>
          </w:p>
        </w:tc>
        <w:tc>
          <w:tcPr>
            <w:tcW w:w="0" w:type="auto"/>
            <w:tcBorders>
              <w:top w:val="nil"/>
              <w:left w:val="outset" w:color="auto" w:sz="6" w:space="0"/>
              <w:bottom w:val="outset" w:color="auto" w:sz="6" w:space="0"/>
              <w:right w:val="outset" w:color="auto" w:sz="6" w:space="0"/>
            </w:tcBorders>
          </w:tcPr>
          <w:p w14:paraId="1D7835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1,141</w:t>
            </w:r>
          </w:p>
        </w:tc>
        <w:tc>
          <w:tcPr>
            <w:tcW w:w="0" w:type="auto"/>
            <w:tcBorders>
              <w:top w:val="nil"/>
              <w:left w:val="outset" w:color="auto" w:sz="6" w:space="0"/>
              <w:bottom w:val="outset" w:color="auto" w:sz="6" w:space="0"/>
              <w:right w:val="outset" w:color="auto" w:sz="6" w:space="0"/>
            </w:tcBorders>
          </w:tcPr>
          <w:p w14:paraId="27A96D3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0,254</w:t>
            </w:r>
          </w:p>
        </w:tc>
        <w:tc>
          <w:tcPr>
            <w:tcW w:w="0" w:type="auto"/>
            <w:tcBorders>
              <w:top w:val="nil"/>
              <w:left w:val="outset" w:color="auto" w:sz="6" w:space="0"/>
              <w:bottom w:val="outset" w:color="auto" w:sz="6" w:space="0"/>
              <w:right w:val="outset" w:color="auto" w:sz="6" w:space="0"/>
            </w:tcBorders>
          </w:tcPr>
          <w:p w14:paraId="29D04255">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2,240</w:t>
            </w:r>
          </w:p>
        </w:tc>
        <w:tc>
          <w:tcPr>
            <w:tcW w:w="0" w:type="auto"/>
            <w:tcBorders>
              <w:top w:val="nil"/>
              <w:left w:val="outset" w:color="auto" w:sz="6" w:space="0"/>
              <w:bottom w:val="outset" w:color="auto" w:sz="6" w:space="0"/>
              <w:right w:val="outset" w:color="auto" w:sz="6" w:space="0"/>
            </w:tcBorders>
          </w:tcPr>
          <w:p w14:paraId="358D7ED0">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0,025</w:t>
            </w:r>
            <w:r>
              <w:rPr>
                <w:rFonts w:ascii="Times New Roman" w:hAnsi="Times New Roman" w:eastAsia="Times New Roman" w:cs="Times New Roman"/>
                <w:b/>
                <w:i/>
                <w:sz w:val="28"/>
                <w:szCs w:val="28"/>
              </w:rPr>
              <w:t>*</w:t>
            </w:r>
          </w:p>
        </w:tc>
      </w:tr>
      <w:tr w14:paraId="6DA3DCED">
        <w:tblPrEx>
          <w:tblCellMar>
            <w:top w:w="15" w:type="dxa"/>
            <w:left w:w="15" w:type="dxa"/>
            <w:bottom w:w="15" w:type="dxa"/>
            <w:right w:w="15" w:type="dxa"/>
          </w:tblCellMar>
        </w:tblPrEx>
        <w:tc>
          <w:tcPr>
            <w:tcW w:w="0" w:type="auto"/>
            <w:tcBorders>
              <w:top w:val="nil"/>
              <w:left w:val="outset" w:color="auto" w:sz="6" w:space="0"/>
              <w:bottom w:val="outset" w:color="auto" w:sz="6" w:space="0"/>
              <w:right w:val="outset" w:color="auto" w:sz="6" w:space="0"/>
            </w:tcBorders>
          </w:tcPr>
          <w:p w14:paraId="035E297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АСТ</w:t>
            </w:r>
          </w:p>
        </w:tc>
        <w:tc>
          <w:tcPr>
            <w:tcW w:w="0" w:type="auto"/>
            <w:tcBorders>
              <w:top w:val="nil"/>
              <w:left w:val="outset" w:color="auto" w:sz="6" w:space="0"/>
              <w:bottom w:val="outset" w:color="auto" w:sz="6" w:space="0"/>
              <w:right w:val="outset" w:color="auto" w:sz="6" w:space="0"/>
            </w:tcBorders>
          </w:tcPr>
          <w:p w14:paraId="4E69EEBB">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2,224</w:t>
            </w:r>
          </w:p>
        </w:tc>
        <w:tc>
          <w:tcPr>
            <w:tcW w:w="0" w:type="auto"/>
            <w:tcBorders>
              <w:top w:val="nil"/>
              <w:left w:val="outset" w:color="auto" w:sz="6" w:space="0"/>
              <w:bottom w:val="outset" w:color="auto" w:sz="6" w:space="0"/>
              <w:right w:val="outset" w:color="auto" w:sz="6" w:space="0"/>
            </w:tcBorders>
          </w:tcPr>
          <w:p w14:paraId="50F86BBA">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0,026</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654998B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1,202</w:t>
            </w:r>
          </w:p>
        </w:tc>
        <w:tc>
          <w:tcPr>
            <w:tcW w:w="0" w:type="auto"/>
            <w:tcBorders>
              <w:top w:val="nil"/>
              <w:left w:val="outset" w:color="auto" w:sz="6" w:space="0"/>
              <w:bottom w:val="outset" w:color="auto" w:sz="6" w:space="0"/>
              <w:right w:val="outset" w:color="auto" w:sz="6" w:space="0"/>
            </w:tcBorders>
          </w:tcPr>
          <w:p w14:paraId="5374454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0,229</w:t>
            </w:r>
          </w:p>
        </w:tc>
        <w:tc>
          <w:tcPr>
            <w:tcW w:w="0" w:type="auto"/>
            <w:tcBorders>
              <w:top w:val="nil"/>
              <w:left w:val="outset" w:color="auto" w:sz="6" w:space="0"/>
              <w:bottom w:val="outset" w:color="auto" w:sz="6" w:space="0"/>
              <w:right w:val="outset" w:color="auto" w:sz="6" w:space="0"/>
            </w:tcBorders>
          </w:tcPr>
          <w:p w14:paraId="2E9363E1">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3,552</w:t>
            </w:r>
          </w:p>
        </w:tc>
        <w:tc>
          <w:tcPr>
            <w:tcW w:w="0" w:type="auto"/>
            <w:tcBorders>
              <w:top w:val="nil"/>
              <w:left w:val="outset" w:color="auto" w:sz="6" w:space="0"/>
              <w:bottom w:val="outset" w:color="auto" w:sz="6" w:space="0"/>
              <w:right w:val="outset" w:color="auto" w:sz="6" w:space="0"/>
            </w:tcBorders>
          </w:tcPr>
          <w:p w14:paraId="676B7E76">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0,000</w:t>
            </w:r>
            <w:r>
              <w:rPr>
                <w:rFonts w:ascii="Times New Roman" w:hAnsi="Times New Roman" w:eastAsia="Times New Roman" w:cs="Times New Roman"/>
                <w:b/>
                <w:i/>
                <w:sz w:val="28"/>
                <w:szCs w:val="28"/>
              </w:rPr>
              <w:t>*</w:t>
            </w:r>
          </w:p>
        </w:tc>
        <w:tc>
          <w:tcPr>
            <w:tcW w:w="0" w:type="auto"/>
            <w:tcBorders>
              <w:top w:val="nil"/>
              <w:left w:val="outset" w:color="auto" w:sz="6" w:space="0"/>
              <w:bottom w:val="outset" w:color="auto" w:sz="6" w:space="0"/>
              <w:right w:val="outset" w:color="auto" w:sz="6" w:space="0"/>
            </w:tcBorders>
          </w:tcPr>
          <w:p w14:paraId="21DF58E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–1,323</w:t>
            </w:r>
          </w:p>
        </w:tc>
        <w:tc>
          <w:tcPr>
            <w:tcW w:w="0" w:type="auto"/>
            <w:tcBorders>
              <w:top w:val="nil"/>
              <w:left w:val="outset" w:color="auto" w:sz="6" w:space="0"/>
              <w:bottom w:val="outset" w:color="auto" w:sz="6" w:space="0"/>
              <w:right w:val="outset" w:color="auto" w:sz="6" w:space="0"/>
            </w:tcBorders>
          </w:tcPr>
          <w:p w14:paraId="106235D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0,186</w:t>
            </w:r>
          </w:p>
        </w:tc>
        <w:tc>
          <w:tcPr>
            <w:tcW w:w="0" w:type="auto"/>
            <w:tcBorders>
              <w:top w:val="nil"/>
              <w:left w:val="outset" w:color="auto" w:sz="6" w:space="0"/>
              <w:bottom w:val="outset" w:color="auto" w:sz="6" w:space="0"/>
              <w:right w:val="outset" w:color="auto" w:sz="6" w:space="0"/>
            </w:tcBorders>
          </w:tcPr>
          <w:p w14:paraId="22B83B1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1,228</w:t>
            </w:r>
          </w:p>
        </w:tc>
        <w:tc>
          <w:tcPr>
            <w:tcW w:w="0" w:type="auto"/>
            <w:tcBorders>
              <w:top w:val="nil"/>
              <w:left w:val="outset" w:color="auto" w:sz="6" w:space="0"/>
              <w:bottom w:val="outset" w:color="auto" w:sz="6" w:space="0"/>
              <w:right w:val="outset" w:color="auto" w:sz="6" w:space="0"/>
            </w:tcBorders>
          </w:tcPr>
          <w:p w14:paraId="10C0C8B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0,219</w:t>
            </w:r>
          </w:p>
        </w:tc>
        <w:tc>
          <w:tcPr>
            <w:tcW w:w="0" w:type="auto"/>
            <w:tcBorders>
              <w:top w:val="nil"/>
              <w:left w:val="outset" w:color="auto" w:sz="6" w:space="0"/>
              <w:bottom w:val="outset" w:color="auto" w:sz="6" w:space="0"/>
              <w:right w:val="outset" w:color="auto" w:sz="6" w:space="0"/>
            </w:tcBorders>
          </w:tcPr>
          <w:p w14:paraId="4EE0CDA6">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2,764</w:t>
            </w:r>
          </w:p>
        </w:tc>
        <w:tc>
          <w:tcPr>
            <w:tcW w:w="0" w:type="auto"/>
            <w:tcBorders>
              <w:top w:val="nil"/>
              <w:left w:val="outset" w:color="auto" w:sz="6" w:space="0"/>
              <w:bottom w:val="outset" w:color="auto" w:sz="6" w:space="0"/>
              <w:right w:val="outset" w:color="auto" w:sz="6" w:space="0"/>
            </w:tcBorders>
          </w:tcPr>
          <w:p w14:paraId="213E49D9">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0,006</w:t>
            </w:r>
            <w:r>
              <w:rPr>
                <w:rFonts w:ascii="Times New Roman" w:hAnsi="Times New Roman" w:eastAsia="Times New Roman" w:cs="Times New Roman"/>
                <w:b/>
                <w:i/>
                <w:sz w:val="28"/>
                <w:szCs w:val="28"/>
              </w:rPr>
              <w:t>*</w:t>
            </w:r>
          </w:p>
        </w:tc>
      </w:tr>
      <w:tr w14:paraId="122EDBB7">
        <w:tblPrEx>
          <w:tblCellMar>
            <w:top w:w="15" w:type="dxa"/>
            <w:left w:w="15" w:type="dxa"/>
            <w:bottom w:w="15" w:type="dxa"/>
            <w:right w:w="15" w:type="dxa"/>
          </w:tblCellMar>
        </w:tblPrEx>
        <w:tc>
          <w:tcPr>
            <w:tcW w:w="0" w:type="auto"/>
            <w:gridSpan w:val="13"/>
            <w:tcBorders>
              <w:top w:val="nil"/>
              <w:left w:val="outset" w:color="auto" w:sz="6" w:space="0"/>
              <w:bottom w:val="outset" w:color="auto" w:sz="6" w:space="0"/>
              <w:right w:val="outset" w:color="auto" w:sz="6" w:space="0"/>
            </w:tcBorders>
          </w:tcPr>
          <w:p w14:paraId="425F5ACC">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w:t>
            </w:r>
            <w:r>
              <w:rPr>
                <w:rFonts w:ascii="Times New Roman" w:hAnsi="Times New Roman" w:eastAsia="Times New Roman" w:cs="Times New Roman"/>
                <w:sz w:val="28"/>
                <w:szCs w:val="28"/>
              </w:rPr>
              <w:tab/>
            </w:r>
            <w:r>
              <w:rPr>
                <w:rFonts w:ascii="Times New Roman" w:hAnsi="Times New Roman" w:eastAsia="Times New Roman" w:cs="Times New Roman"/>
                <w:i/>
                <w:iCs/>
                <w:sz w:val="28"/>
                <w:szCs w:val="28"/>
              </w:rPr>
              <w:t xml:space="preserve">Мана–Уитни </w:t>
            </w:r>
            <w:r>
              <w:rPr>
                <w:rFonts w:ascii="Times New Roman" w:hAnsi="Times New Roman" w:eastAsia="Times New Roman" w:cs="Times New Roman"/>
                <w:i/>
                <w:sz w:val="28"/>
                <w:szCs w:val="28"/>
              </w:rPr>
              <w:tab/>
            </w:r>
            <w:r>
              <w:rPr>
                <w:rFonts w:ascii="Times New Roman" w:hAnsi="Times New Roman" w:eastAsia="Times New Roman" w:cs="Times New Roman"/>
                <w:i/>
                <w:sz w:val="28"/>
                <w:szCs w:val="28"/>
              </w:rPr>
              <w:t>параметрлік</w:t>
            </w:r>
            <w:r>
              <w:rPr>
                <w:rFonts w:ascii="Times New Roman" w:hAnsi="Times New Roman" w:eastAsia="Times New Roman" w:cs="Times New Roman"/>
                <w:i/>
                <w:sz w:val="28"/>
                <w:szCs w:val="28"/>
              </w:rPr>
              <w:tab/>
            </w:r>
            <w:r>
              <w:rPr>
                <w:rFonts w:ascii="Times New Roman" w:hAnsi="Times New Roman" w:eastAsia="Times New Roman" w:cs="Times New Roman"/>
                <w:i/>
                <w:sz w:val="28"/>
                <w:szCs w:val="28"/>
              </w:rPr>
              <w:t>емес</w:t>
            </w:r>
            <w:r>
              <w:rPr>
                <w:rFonts w:ascii="Times New Roman" w:hAnsi="Times New Roman" w:eastAsia="Times New Roman" w:cs="Times New Roman"/>
                <w:i/>
                <w:sz w:val="28"/>
                <w:szCs w:val="28"/>
              </w:rPr>
              <w:tab/>
            </w:r>
            <w:r>
              <w:rPr>
                <w:rFonts w:ascii="Times New Roman" w:hAnsi="Times New Roman" w:eastAsia="Times New Roman" w:cs="Times New Roman"/>
                <w:i/>
                <w:sz w:val="28"/>
                <w:szCs w:val="28"/>
              </w:rPr>
              <w:t>Z критерий</w:t>
            </w:r>
            <w:r>
              <w:rPr>
                <w:rFonts w:ascii="Times New Roman" w:hAnsi="Times New Roman" w:eastAsia="Times New Roman" w:cs="Times New Roman"/>
                <w:i/>
                <w:sz w:val="28"/>
                <w:szCs w:val="28"/>
              </w:rPr>
              <w:tab/>
            </w:r>
            <w:r>
              <w:rPr>
                <w:rFonts w:ascii="Times New Roman" w:hAnsi="Times New Roman" w:eastAsia="Times New Roman" w:cs="Times New Roman"/>
                <w:i/>
                <w:sz w:val="28"/>
                <w:szCs w:val="28"/>
              </w:rPr>
              <w:t>бойынша</w:t>
            </w:r>
          </w:p>
          <w:p w14:paraId="5F2B10C2">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i/>
                <w:sz w:val="28"/>
                <w:szCs w:val="28"/>
              </w:rPr>
              <w:t>айырмашылығы, көрсеткіштердің өзгеру растығы кезінде p &lt; 0.05</w:t>
            </w:r>
          </w:p>
        </w:tc>
      </w:tr>
    </w:tbl>
    <w:p w14:paraId="2AAFAAE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bookmarkStart w:id="6" w:name="_Hlk158351923"/>
      <w:bookmarkEnd w:id="6"/>
      <w:r>
        <w:rPr>
          <w:rFonts w:ascii="Times New Roman" w:hAnsi="Times New Roman" w:eastAsia="Times New Roman" w:cs="Times New Roman"/>
          <w:sz w:val="28"/>
          <w:szCs w:val="28"/>
          <w:lang w:eastAsia="ru-RU"/>
        </w:rPr>
        <w:t xml:space="preserve"> </w:t>
      </w:r>
    </w:p>
    <w:p w14:paraId="303C85A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Бұл тәсіл топтар арасындағы нақты айырмашылықтарды анықтап, әртүрлі факторлардың ықпалын терең түсінуге мүмкіндік берді. Семіздігі бар жүкті әйелдерден тұратын топтарда (3 және 4 топтар) ЭТЖ көрсеткіші дені сау жүкті әйелдерге (1 топ) және анемиясы бар, бірақ семіздігі жоқ әйелдерге (2 топ) қарағанда айтарлықтай жоғарылағаны анықталды (p&lt;0.05). Бұл қабыну процестерінің белсенділігін көрсетеді (cурет - 6). </w:t>
      </w:r>
    </w:p>
    <w:p w14:paraId="1CE0762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6A21236F">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4095750" cy="2621915"/>
            <wp:effectExtent l="0" t="0" r="0" b="6985"/>
            <wp:docPr id="98" name="Рисунок 98" descr="C:\Users\kgmuuser\AppData\Local\Temp\ksohtml7396\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C:\Users\kgmuuser\AppData\Local\Temp\ksohtml7396\wps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095750" cy="262191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145949CB">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4070BCE0">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Сурет – 6. Зерттеу топтары арасындағы эритроциттердің тұну жылдамдығы көрсеткіші бойынша деңгейі. </w:t>
      </w:r>
    </w:p>
    <w:p w14:paraId="400AA5D5">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7388A8A7">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val="kk-KZ" w:eastAsia="ru-RU"/>
        </w:rPr>
      </w:pPr>
      <w:r>
        <w:rPr>
          <w:rFonts w:ascii="Times New Roman" w:hAnsi="Times New Roman" w:eastAsia="Times New Roman" w:cs="Times New Roman"/>
          <w:iCs/>
          <w:sz w:val="28"/>
          <w:szCs w:val="28"/>
          <w:lang w:eastAsia="ru-RU"/>
        </w:rPr>
        <w:t xml:space="preserve"> </w:t>
      </w:r>
      <w:r>
        <w:rPr>
          <w:rFonts w:ascii="Times New Roman" w:hAnsi="Times New Roman" w:eastAsia="Calibri" w:cs="Times New Roman"/>
          <w:sz w:val="28"/>
          <w:szCs w:val="28"/>
          <w:lang w:val="ru" w:eastAsia="zh-CN" w:bidi="ar"/>
        </w:rPr>
        <w:t>Жүргізілген зерттеуде лимфоциттердің пайыздық деңгейлерінің өзгерісі төрт зерттеу тобы арасында бағаланды</w:t>
      </w:r>
      <w:r>
        <w:rPr>
          <w:rFonts w:ascii="Times New Roman" w:hAnsi="Times New Roman" w:eastAsia="Calibri" w:cs="Times New Roman"/>
          <w:sz w:val="28"/>
          <w:szCs w:val="28"/>
          <w:lang w:val="kk-KZ" w:eastAsia="zh-CN" w:bidi="ar"/>
        </w:rPr>
        <w:t xml:space="preserve">. Қораптық диаграмма көмегімен алынған мәліметтерді визуально 7 - суреттен көруге болады. </w:t>
      </w:r>
      <w:r>
        <w:rPr>
          <w:rFonts w:ascii="Times New Roman" w:hAnsi="Times New Roman" w:eastAsia="Times New Roman"/>
          <w:iCs/>
          <w:sz w:val="28"/>
          <w:szCs w:val="28"/>
          <w:lang w:val="kk-KZ" w:eastAsia="ru-RU"/>
        </w:rPr>
        <w:t xml:space="preserve">2-топ пен 4-топтағы лимфоцит деңгейлері 1-топқа қарағанда айтарлықтай төмен (р &lt; 0,01). </w:t>
      </w:r>
      <w:r>
        <w:rPr>
          <w:rFonts w:ascii="Times New Roman" w:hAnsi="Times New Roman" w:eastAsia="Times New Roman" w:cs="Times New Roman"/>
          <w:iCs/>
          <w:sz w:val="28"/>
          <w:szCs w:val="28"/>
          <w:lang w:val="kk-KZ" w:eastAsia="ru-RU"/>
        </w:rPr>
        <w:t>Семіздігі бар жүкті әйелдер топтарында лимфоциттер деңгейінің төмендеуі байқалды (p&lt;0.05).</w:t>
      </w:r>
    </w:p>
    <w:p w14:paraId="5CBB0B6C">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val="kk-KZ" w:eastAsia="ru-RU"/>
        </w:rPr>
      </w:pPr>
    </w:p>
    <w:p w14:paraId="0EB218B6">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iCs/>
          <w:sz w:val="28"/>
          <w:szCs w:val="28"/>
          <w:lang w:val="kk-KZ" w:eastAsia="ru-RU"/>
        </w:rPr>
        <w:t xml:space="preserve"> </w:t>
      </w:r>
      <w:r>
        <w:rPr>
          <w:rFonts w:ascii="Times New Roman" w:hAnsi="Times New Roman" w:eastAsia="Times New Roman" w:cs="Times New Roman"/>
          <w:sz w:val="28"/>
          <w:szCs w:val="28"/>
          <w:lang w:eastAsia="ru-RU"/>
        </w:rPr>
        <w:drawing>
          <wp:inline distT="0" distB="0" distL="0" distR="0">
            <wp:extent cx="4144645" cy="2535555"/>
            <wp:effectExtent l="0" t="0" r="8255" b="17145"/>
            <wp:docPr id="99" name="Рисунок 99" descr="C:\Users\kgmuuser\AppData\Local\Temp\ksohtml7396\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descr="C:\Users\kgmuuser\AppData\Local\Temp\ksohtml7396\wps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144645" cy="2535555"/>
                    </a:xfrm>
                    <a:prstGeom prst="rect">
                      <a:avLst/>
                    </a:prstGeom>
                    <a:noFill/>
                    <a:ln>
                      <a:noFill/>
                    </a:ln>
                  </pic:spPr>
                </pic:pic>
              </a:graphicData>
            </a:graphic>
          </wp:inline>
        </w:drawing>
      </w:r>
    </w:p>
    <w:p w14:paraId="616AB5DD">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55CFBE85">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Сурет – 7. Зерттеу топтары арасындағы лимфоциттер көрсеткіші бойынша деңгейі. </w:t>
      </w:r>
    </w:p>
    <w:p w14:paraId="1DCCC8FD">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 </w:t>
      </w:r>
    </w:p>
    <w:p w14:paraId="54474F20">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Бұл семіздік кезінде иммундық жүйенің реттелу ерекшеліктерін көрсетуі мүмкін. Таяқша ядролы нейтрофилдер көрсеткіші семіздігі бар топтарда жоғары болды (p&lt;0.05, cурет - 8).  </w:t>
      </w:r>
    </w:p>
    <w:p w14:paraId="4EB367D3">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val="kk-KZ" w:eastAsia="ru-RU"/>
        </w:rPr>
      </w:pPr>
      <w:r>
        <w:rPr>
          <w:rFonts w:ascii="Times New Roman" w:hAnsi="Times New Roman" w:eastAsia="Times New Roman" w:cs="Times New Roman"/>
          <w:iCs/>
          <w:sz w:val="28"/>
          <w:szCs w:val="28"/>
          <w:lang w:eastAsia="ru-RU"/>
        </w:rPr>
        <w:t xml:space="preserve"> </w:t>
      </w:r>
    </w:p>
    <w:p w14:paraId="53A2E464">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304800" cy="304800"/>
            <wp:effectExtent l="0" t="0" r="0" b="0"/>
            <wp:docPr id="100" name="Рисунок 100" descr="C:\Users\kgmuuser\AppData\Local\Temp\ksohtml7396\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C:\Users\kgmuuser\AppData\Local\Temp\ksohtml7396\wps1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04800" cy="30480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drawing>
          <wp:inline distT="0" distB="0" distL="0" distR="0">
            <wp:extent cx="4120515" cy="2422525"/>
            <wp:effectExtent l="0" t="0" r="13335" b="15875"/>
            <wp:docPr id="101" name="Рисунок 101" descr="C:\Users\kgmuuser\AppData\Local\Temp\ksohtml7396\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C:\Users\kgmuuser\AppData\Local\Temp\ksohtml7396\wps1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120515" cy="2422525"/>
                    </a:xfrm>
                    <a:prstGeom prst="rect">
                      <a:avLst/>
                    </a:prstGeom>
                    <a:noFill/>
                    <a:ln>
                      <a:noFill/>
                    </a:ln>
                  </pic:spPr>
                </pic:pic>
              </a:graphicData>
            </a:graphic>
          </wp:inline>
        </w:drawing>
      </w:r>
    </w:p>
    <w:p w14:paraId="2B20A8E5">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1EFC277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Сурет – 8. Зерттеу топтары арасындағы таяқша ядролық нейтрофилдер көрсеткіші бойынша деңгейі. </w:t>
      </w:r>
    </w:p>
    <w:p w14:paraId="4A83DF7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4021D2F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Лейкоциттер тек 1 және 4 топтар арасында маңызды айырмашылық (р = 0,017) анықталды, бұл топтық физиологиялық ерекшеліктердің болуын көрсетеді (сурет - 9). Бұл нейтрофилдердің қабыну процестерінде маңызды рөл атқаратынын дәлелдейді. 1 және 3 топтарды салыстыру барысында семіздігі бар жүкті әйелдерде зәр қышқылы бойынша айырмашылық  анықталды (p=0.019).</w:t>
      </w:r>
    </w:p>
    <w:p w14:paraId="6CA83B87">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0D00A168">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sz w:val="28"/>
          <w:szCs w:val="28"/>
          <w:lang w:eastAsia="ru-RU"/>
        </w:rPr>
        <w:drawing>
          <wp:inline distT="0" distB="0" distL="0" distR="0">
            <wp:extent cx="4613275" cy="2715260"/>
            <wp:effectExtent l="0" t="0" r="0" b="8890"/>
            <wp:docPr id="102" name="Рисунок 102" descr="C:\Users\kgmuuser\AppData\Local\Temp\ksohtml7396\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C:\Users\kgmuuser\AppData\Local\Temp\ksohtml7396\wps1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613275" cy="2715260"/>
                    </a:xfrm>
                    <a:prstGeom prst="rect">
                      <a:avLst/>
                    </a:prstGeom>
                    <a:noFill/>
                    <a:ln>
                      <a:noFill/>
                    </a:ln>
                  </pic:spPr>
                </pic:pic>
              </a:graphicData>
            </a:graphic>
          </wp:inline>
        </w:drawing>
      </w:r>
      <w:r>
        <w:rPr>
          <w:rFonts w:ascii="Times New Roman" w:hAnsi="Times New Roman" w:eastAsia="Times New Roman" w:cs="Times New Roman"/>
          <w:i/>
          <w:sz w:val="28"/>
          <w:szCs w:val="28"/>
          <w:lang w:eastAsia="ru-RU"/>
        </w:rPr>
        <w:t xml:space="preserve"> </w:t>
      </w:r>
    </w:p>
    <w:p w14:paraId="6C3CD3E4">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7499CC1C">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iCs/>
          <w:sz w:val="28"/>
          <w:szCs w:val="28"/>
          <w:lang w:eastAsia="ru-RU"/>
        </w:rPr>
        <w:t>Сурет – 9. Зерттеу топтары арасындағы лейкоциттер көрсеткіші бойынша деңгейі.</w:t>
      </w:r>
      <w:r>
        <w:rPr>
          <w:rFonts w:ascii="Times New Roman" w:hAnsi="Times New Roman" w:eastAsia="Times New Roman" w:cs="Times New Roman"/>
          <w:i/>
          <w:sz w:val="28"/>
          <w:szCs w:val="28"/>
          <w:lang w:eastAsia="ru-RU"/>
        </w:rPr>
        <w:t xml:space="preserve"> </w:t>
      </w:r>
    </w:p>
    <w:p w14:paraId="4B3838CB">
      <w:pPr>
        <w:widowControl w:val="0"/>
        <w:autoSpaceDE w:val="0"/>
        <w:autoSpaceDN w:val="0"/>
        <w:spacing w:after="0" w:line="276" w:lineRule="auto"/>
        <w:jc w:val="both"/>
        <w:outlineLvl w:val="0"/>
        <w:rPr>
          <w:rFonts w:ascii="Times New Roman" w:hAnsi="Times New Roman" w:eastAsia="Times New Roman" w:cs="Times New Roman"/>
          <w:i/>
          <w:sz w:val="28"/>
          <w:szCs w:val="28"/>
          <w:lang w:eastAsia="ru-RU"/>
        </w:rPr>
      </w:pPr>
    </w:p>
    <w:p w14:paraId="46E7AFDE">
      <w:pPr>
        <w:widowControl w:val="0"/>
        <w:autoSpaceDE w:val="0"/>
        <w:autoSpaceDN w:val="0"/>
        <w:spacing w:after="0" w:line="276" w:lineRule="auto"/>
        <w:ind w:firstLine="709"/>
        <w:jc w:val="both"/>
        <w:outlineLvl w:val="0"/>
        <w:rPr>
          <w:rFonts w:ascii="Times New Roman" w:hAnsi="Times New Roman" w:eastAsia="Times New Roman" w:cs="Times New Roman"/>
          <w:iCs/>
          <w:color w:val="000000" w:themeColor="text1"/>
          <w:sz w:val="28"/>
          <w:szCs w:val="28"/>
          <w:lang w:eastAsia="ru-RU"/>
          <w14:textFill>
            <w14:solidFill>
              <w14:schemeClr w14:val="tx1"/>
            </w14:solidFill>
          </w14:textFill>
        </w:rPr>
      </w:pPr>
      <w:r>
        <w:rPr>
          <w:rFonts w:ascii="Times New Roman" w:hAnsi="Times New Roman" w:eastAsia="Times New Roman" w:cs="Times New Roman"/>
          <w:iCs/>
          <w:color w:val="000000" w:themeColor="text1"/>
          <w:sz w:val="28"/>
          <w:szCs w:val="28"/>
          <w:lang w:eastAsia="ru-RU"/>
          <w14:textFill>
            <w14:solidFill>
              <w14:schemeClr w14:val="tx1"/>
            </w14:solidFill>
          </w14:textFill>
        </w:rPr>
        <w:t xml:space="preserve"> </w:t>
      </w:r>
      <w:r>
        <w:rPr>
          <w:rFonts w:ascii="Times New Roman" w:hAnsi="Times New Roman" w:eastAsia="Times New Roman"/>
          <w:iCs/>
          <w:color w:val="000000" w:themeColor="text1"/>
          <w:sz w:val="28"/>
          <w:szCs w:val="28"/>
          <w:lang w:eastAsia="ru-RU"/>
          <w14:textFill>
            <w14:solidFill>
              <w14:schemeClr w14:val="tx1"/>
            </w14:solidFill>
          </w14:textFill>
        </w:rPr>
        <w:t>Жалпы ақуыз деңгейі анемиясы және семіздігі бар жүкті әйелдерде төмендеген (p = 0,002), бұл белок алмасу бұзылыстарының дамуын көрсетуі мүмкін. Зәр қышқылы деңгейінің жоғарылауы 1 және 3-топтар арасында (p = 0,019) семіздік кезінде метаболикалық өзгерістердің болатындығын көрсетеді. Тікелей билирубин деңгейінің жоғарылауы 4-топта 1 және 3-топтармен салыстырғанда жоғары болды (p &lt; 0,005), бұл бауыр функциясының өзгерістерін көрсетуі мүмкін.</w:t>
      </w:r>
    </w:p>
    <w:p w14:paraId="4152B59C">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Тікелей билирубин бойынша 1 және 4-топтар арасында (p=0,005), сондай-ақ 3 және 4-топтар арасында (p=0,028) статистикалық маңызды айырмашылықтар анықталды. Бұл айырмашылықтардың клиникалық маңыздылығы аз, себебі топтар медианасы қалыпты шектерде сақталған (3.7–4.6 мкмоль/л). АСТ бойынша 1 және 4-топтар арасындағы айырмашылық АСТ деңгейінің 4-топта (семіздік пен анемиясы бар жүкті әйелдер) төмендеуімен байланысты. 3 және 4-топтар арасындағы айырмашылық 4-топта АСТ деңгейінің салыстырмалы түрде төмендеуімен түсіндіріледі, бұл семіздікпен бірге анемияның да бауыр ферменттерінің деңгейіне әсерін көрсетуі мүмкін екендігін көрсетеді. АСТ деңгейіндегі айырмашылықтар клиникалық тұрғыдан қалыпты шектерде болғандықтан, олар метаболикалық немесе физиологиялық өзгерістердің көрсеткіші ретінде қарастырылады, бірақ патологиялық жағдайды нақты дәлелдемейді.</w:t>
      </w:r>
    </w:p>
    <w:p w14:paraId="1D0DF2F9">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Коагулограмма бойынша семіздігі бар топтарда протромбин индексінің шамалы жоғарылағаны байқалды (p&lt;0.05). Бұл қан ұю жүйесінің ерекшеліктерін көрсетеді, бірақ клиникалық тұрғыдан қалыпты деп бағаланды. </w:t>
      </w:r>
      <w:r>
        <w:rPr>
          <w:rFonts w:ascii="Times New Roman" w:hAnsi="Times New Roman" w:eastAsia="Times New Roman" w:cs="Times New Roman"/>
          <w:iCs/>
          <w:sz w:val="28"/>
          <w:szCs w:val="28"/>
          <w:lang w:val="kk-KZ" w:eastAsia="ru-RU"/>
        </w:rPr>
        <w:t>БЖТУ</w:t>
      </w:r>
      <w:r>
        <w:rPr>
          <w:rFonts w:ascii="Times New Roman" w:hAnsi="Times New Roman" w:eastAsia="Times New Roman" w:cs="Times New Roman"/>
          <w:iCs/>
          <w:sz w:val="28"/>
          <w:szCs w:val="28"/>
          <w:lang w:eastAsia="ru-RU"/>
        </w:rPr>
        <w:t xml:space="preserve"> көрсеткіші бойынша айтарлықтай статистикалық айырмашылық анықталмағанымен, семіздік пен анемия қан ұю процестерінің белсенділігіне әсер етуі мүмкін.</w:t>
      </w:r>
    </w:p>
    <w:p w14:paraId="3B2EF101">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Жүргізілген топаралық салыстырмалы талдау нәтижелері семіздік пен анемияның жүкті әйелдердің қабыну және метаболикалық процестеріне елеулі әсер ететінін көрсетеді. Бұл өзгерістердің босану ағымына ықпалын тереңірек зерттеу қажет.</w:t>
      </w:r>
    </w:p>
    <w:p w14:paraId="12E09632">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sz w:val="28"/>
          <w:szCs w:val="28"/>
          <w:lang w:eastAsia="ru-RU"/>
        </w:rPr>
        <w:t>Осыған дейін жүргізілген зерттеулерге тоқтала кетсек, нейтрофилдер адам қанындағы ең көп таралған лейкоциттер болып табылады және олар жедел қабыну процесінің негізгі жасушалары ретінде белгілі. Олар инфекцияларға алғашқы болып жауап береді және иммундық жауаптың маңызды бөлігі болып табылады [163, 164]. Нейтрофилдер фагоцитарлық жасушалар ретінде әрекет етіп, инфекцияларға қарсы қорғаныс жасайды [165]. Сонымен қатар, нейтрофилдер жедел қабыну кезінде негізгі роль атқарады [166, 167].</w:t>
      </w:r>
    </w:p>
    <w:p w14:paraId="4CEEC60B">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Қан айналымындағы нейтрофилдердің деңгейі семіздікте айтарлықтай жоғарылайды, бұл жоғары </w:t>
      </w:r>
      <w:r>
        <w:rPr>
          <w:rFonts w:ascii="Times New Roman" w:hAnsi="Times New Roman" w:eastAsia="Times New Roman" w:cs="Times New Roman"/>
          <w:sz w:val="28"/>
          <w:szCs w:val="28"/>
          <w:lang w:val="kk-KZ" w:eastAsia="ru-RU"/>
        </w:rPr>
        <w:t>ДСИ-</w:t>
      </w:r>
      <w:r>
        <w:rPr>
          <w:rFonts w:ascii="Times New Roman" w:hAnsi="Times New Roman" w:eastAsia="Times New Roman" w:cs="Times New Roman"/>
          <w:sz w:val="28"/>
          <w:szCs w:val="28"/>
          <w:lang w:eastAsia="ru-RU"/>
        </w:rPr>
        <w:t>мен тікелей байланысты екені анықталған [168, 169, 170, 171, 172]. Бұл деректер семіздік пен қабынудың қарапайым биомаркерлерін іздеуде маңызды негіз болып табылады. Нейтрофилдер мен ДСИ арасындағы айқын корреляция семіздікке байланысты қабыну процестерін сипаттайды [168, 169, 171].</w:t>
      </w:r>
    </w:p>
    <w:p w14:paraId="7F307194">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Нейтрофилді–лимфоцит арақатынасы (NLR) жүйелі қабынудың сенімді биомаркері ретінде танылған. Бұл көрсеткіш қандағы нейтрофилдер мен лимфоциттердің динамикалық өзгерістерін бейнелеп, қабынудың дәрежесін бағалауға мүмкіндік береді [173]. NLR көптеген медициналық салаларда туа біткен (нейтрофилдер) және адаптивті (лимфоциттер) иммундық жауаптар арасындағы байланысты көрсетеді. Семіздікке шалдыққан адамдарда NLR деңгейінің сау арық адамдарға қарағанда айтарлықтай жоғары екені және оның ДСИ-мен оң корреляциясы анықталған [174, 175, 176, 177, 178, 179, 180].</w:t>
      </w:r>
    </w:p>
    <w:p w14:paraId="008235F4">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Зерттеуде нейтрофилдердің жоғары деңгейі, лимфоциттердің төмен деңгейі және олардың жоғары ДСИ-мен байланысы анықталды. Бұл нәтижелер бұрынғы зерттеулерді толықтай растап, NLR-дың семіздікке шалдыққан жүкті әйелдердегі қабыну процестерін бағалаудағы маңыздылығын көрсетеді. Біздің зерттеу семіздік пен қабыну арасындағы байланысты тереңірек зерттеу қажеттілігін көрсетеді. Бұл үшін темір метаболизмінің маркерлері мен қабыну медиаторлары қосымша талданды.</w:t>
      </w:r>
    </w:p>
    <w:p w14:paraId="1E5C766F">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Нейтрофилдер мен лимфоциттердің деңгейі және олардың ДСИ-мен байланысы семіздік пен қабынудың күрделі өзара әрекеттесуін анықтайды. Бұл биомаркерлер семіздікке шалдыққан адамдардағы қабыну процестерін бағалауда маңызды құрал болып табылады.</w:t>
      </w:r>
    </w:p>
    <w:p w14:paraId="5C383AEB">
      <w:pPr>
        <w:autoSpaceDE w:val="0"/>
        <w:spacing w:after="0" w:line="276" w:lineRule="auto"/>
        <w:ind w:firstLine="709"/>
        <w:jc w:val="both"/>
        <w:outlineLvl w:val="0"/>
        <w:rPr>
          <w:rFonts w:ascii="Times New Roman" w:hAnsi="Times New Roman" w:eastAsia="Times New Roman" w:cs="Times New Roman"/>
          <w:sz w:val="28"/>
          <w:szCs w:val="28"/>
          <w:lang w:eastAsia="ru-RU"/>
        </w:rPr>
      </w:pPr>
    </w:p>
    <w:p w14:paraId="7439305B">
      <w:pPr>
        <w:autoSpaceDE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sz w:val="28"/>
          <w:szCs w:val="28"/>
          <w:lang w:eastAsia="ru-RU"/>
        </w:rPr>
        <w:t>3.2</w:t>
      </w: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b/>
          <w:bCs/>
          <w:sz w:val="28"/>
          <w:szCs w:val="28"/>
          <w:lang w:eastAsia="ru-RU"/>
        </w:rPr>
        <w:t>Жүктілікке дейінгі семіздігі бар жүктілерде анемия дамуында  темір алмасу маркерлерінің (гепсидин, эритропоэтин, ферритин) болжамдылық маңыздылығы</w:t>
      </w:r>
    </w:p>
    <w:p w14:paraId="510119A1">
      <w:pPr>
        <w:autoSpaceDE w:val="0"/>
        <w:spacing w:after="0" w:line="276" w:lineRule="auto"/>
        <w:ind w:firstLine="709"/>
        <w:jc w:val="both"/>
        <w:outlineLvl w:val="0"/>
        <w:rPr>
          <w:rFonts w:ascii="Times New Roman" w:hAnsi="Times New Roman" w:eastAsia="Times New Roman" w:cs="Times New Roman"/>
          <w:b/>
          <w:bCs/>
          <w:sz w:val="28"/>
          <w:szCs w:val="28"/>
          <w:lang w:eastAsia="ru-RU"/>
        </w:rPr>
      </w:pPr>
    </w:p>
    <w:p w14:paraId="32411805">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Біздің зерттеу жұмысымызда семіздігі бар әйелдерде анемия дамуында маңызды роль атқаратын маркерлердің қан сарысуындағы деңгейі анықталды. Барлық зерттелген топтағы жүкті әйелдердің қанындағы зерттелетін көрсеткіштерді көптік салыстыру Краскел–Уоллис критерийі арқылы жүргізілді. Топтар арасындағы елеулі айырмашылықтар тек гепсидин (р&gt;0,010)  мен ферритин (р&gt;0,031) секілді темір метаболизмінің маркерлері бойынша ғана анықталды. Гепсидин бойынша айырмашылық әсіресе бақылау тобымен және анемиясы мен семіздігі бар топтар арасындағы жұптық салыстыруларда көрінді. Нәтижелер 10 – кестеде берілген,  Гепсидиннің медианалық мәндері 1-топта (дені сау жүкті әйелдер) ең төмен – 568,01 (Q1: 314,35 – Q3: 688,43), ал 4-топта (анемиясы және семіздігі бар жүкті әйелдер) ең жоғары – 1786,59 (Q1: 1510,64 – Q3: 1940,43). Бұл анемия мен семіздіктің бірлескен әсері гепсидин деңгейін айтарлықтай арттыратынын көрсетеді. Бұл нәтижелер гепсидиннің қабыну процесіндегі және темір метаболизміндегі маңызды рөлін растайды.</w:t>
      </w:r>
    </w:p>
    <w:p w14:paraId="06434C31">
      <w:pPr>
        <w:autoSpaceDE w:val="0"/>
        <w:spacing w:after="0" w:line="276" w:lineRule="auto"/>
        <w:ind w:firstLine="709"/>
        <w:jc w:val="both"/>
        <w:outlineLvl w:val="0"/>
        <w:rPr>
          <w:rFonts w:ascii="Times New Roman" w:hAnsi="Times New Roman" w:eastAsia="Times New Roman" w:cs="Times New Roman"/>
          <w:color w:val="FF0000"/>
          <w:sz w:val="28"/>
          <w:szCs w:val="28"/>
          <w:lang w:eastAsia="ru-RU"/>
        </w:rPr>
      </w:pPr>
      <w:r>
        <w:rPr>
          <w:rFonts w:ascii="Times New Roman" w:hAnsi="Times New Roman" w:eastAsia="Times New Roman" w:cs="Times New Roman"/>
          <w:sz w:val="28"/>
          <w:szCs w:val="28"/>
          <w:lang w:eastAsia="ru-RU"/>
        </w:rPr>
        <w:t>Эритропоэтиннің медианалық мәндері топтар арасында айтарлықтай айырмашылықтар көрсеткен жоқ (р=0,1132). Дегенмен, жұптық салыстыру нәтижелері бойынша 3 және 4 топтар (семіздігі бар жүкті әйелдер) арасында статистикалық маңызды айырмашылықтар анықталды (p&lt;0,05). Бұл семіздікке байланысты эритропоэз процестеріндегі өзгешеліктерді</w:t>
      </w:r>
      <w:r>
        <w:rPr>
          <w:rFonts w:ascii="Times New Roman" w:hAnsi="Times New Roman" w:eastAsia="Times New Roman" w:cs="Times New Roman"/>
          <w:color w:val="000000"/>
          <w:sz w:val="28"/>
          <w:szCs w:val="28"/>
          <w:lang w:eastAsia="ru-RU"/>
        </w:rPr>
        <w:t xml:space="preserve"> көрсетуі мүмкін.</w:t>
      </w:r>
    </w:p>
    <w:p w14:paraId="5ECE9524">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Ферритиннің медианалық мәндері 2 және 4 топтарда (анемиясы бар және анемиясы мен семіздігі бар жүкті әйелдер) ең төмен болды, тиісінше 11,82 және 8,49. Бұл анемияның темір қорларына айтарлықтай әсер ететінін көрсетеді. Ферритин бойынша барлық топтар арасындағы айырмашылықтар (p=0,031) маңызды. Әсіресе, анемиясы бар және семіздігі бар топтардағы ферритин деңгейі бақылау тобына қарағанда айтарлықтай төмен болды (р=0,019, р=0,009). Бұл анемия мен семіздік бірлескен әсерінің темір гомеостазына теріс ықпалын растайды.</w:t>
      </w:r>
    </w:p>
    <w:p w14:paraId="363C7FC3">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49FE3514">
      <w:pPr>
        <w:autoSpaceDE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Кесте – 10. Темір алмасуының маркерлерінің зерттеу топтары арасындағы айырмашылығы</w:t>
      </w:r>
    </w:p>
    <w:p w14:paraId="384726EB">
      <w:pPr>
        <w:autoSpaceDE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5"/>
        <w:tblW w:w="9348" w:type="dxa"/>
        <w:tblInd w:w="0" w:type="dxa"/>
        <w:tblLayout w:type="fixed"/>
        <w:tblCellMar>
          <w:top w:w="15" w:type="dxa"/>
          <w:left w:w="15" w:type="dxa"/>
          <w:bottom w:w="15" w:type="dxa"/>
          <w:right w:w="15" w:type="dxa"/>
        </w:tblCellMar>
      </w:tblPr>
      <w:tblGrid>
        <w:gridCol w:w="839"/>
        <w:gridCol w:w="537"/>
        <w:gridCol w:w="537"/>
        <w:gridCol w:w="537"/>
        <w:gridCol w:w="603"/>
        <w:gridCol w:w="603"/>
        <w:gridCol w:w="605"/>
        <w:gridCol w:w="472"/>
        <w:gridCol w:w="603"/>
        <w:gridCol w:w="605"/>
        <w:gridCol w:w="603"/>
        <w:gridCol w:w="603"/>
        <w:gridCol w:w="608"/>
        <w:gridCol w:w="986"/>
        <w:gridCol w:w="607"/>
      </w:tblGrid>
      <w:tr w14:paraId="495BDC20">
        <w:tblPrEx>
          <w:tblCellMar>
            <w:top w:w="15" w:type="dxa"/>
            <w:left w:w="15" w:type="dxa"/>
            <w:bottom w:w="15" w:type="dxa"/>
            <w:right w:w="15" w:type="dxa"/>
          </w:tblCellMar>
        </w:tblPrEx>
        <w:trPr>
          <w:trHeight w:val="1079" w:hRule="atLeast"/>
        </w:trPr>
        <w:tc>
          <w:tcPr>
            <w:tcW w:w="839" w:type="dxa"/>
            <w:vMerge w:val="restart"/>
            <w:tcBorders>
              <w:top w:val="outset" w:color="auto" w:sz="6" w:space="0"/>
              <w:left w:val="outset" w:color="auto" w:sz="6" w:space="0"/>
              <w:right w:val="outset" w:color="auto" w:sz="6" w:space="0"/>
            </w:tcBorders>
          </w:tcPr>
          <w:p w14:paraId="1CACD95E">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Маркерлер</w:t>
            </w:r>
          </w:p>
        </w:tc>
        <w:tc>
          <w:tcPr>
            <w:tcW w:w="1611" w:type="dxa"/>
            <w:gridSpan w:val="3"/>
            <w:tcBorders>
              <w:top w:val="outset" w:color="auto" w:sz="6" w:space="0"/>
              <w:left w:val="outset" w:color="auto" w:sz="6" w:space="0"/>
              <w:bottom w:val="outset" w:color="auto" w:sz="6" w:space="0"/>
              <w:right w:val="outset" w:color="auto" w:sz="6" w:space="0"/>
            </w:tcBorders>
          </w:tcPr>
          <w:p w14:paraId="2E1BB66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Бақылау</w:t>
            </w:r>
          </w:p>
          <w:p w14:paraId="783068CC">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тобы</w:t>
            </w:r>
          </w:p>
        </w:tc>
        <w:tc>
          <w:tcPr>
            <w:tcW w:w="5305" w:type="dxa"/>
            <w:gridSpan w:val="9"/>
            <w:tcBorders>
              <w:top w:val="outset" w:color="auto" w:sz="6" w:space="0"/>
              <w:left w:val="outset" w:color="auto" w:sz="6" w:space="0"/>
              <w:bottom w:val="outset" w:color="auto" w:sz="6" w:space="0"/>
              <w:right w:val="outset" w:color="auto" w:sz="6" w:space="0"/>
            </w:tcBorders>
          </w:tcPr>
          <w:p w14:paraId="743157D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Негізгі топтар</w:t>
            </w:r>
          </w:p>
        </w:tc>
        <w:tc>
          <w:tcPr>
            <w:tcW w:w="986" w:type="dxa"/>
            <w:vMerge w:val="restart"/>
            <w:tcBorders>
              <w:top w:val="outset" w:color="auto" w:sz="6" w:space="0"/>
              <w:left w:val="outset" w:color="auto" w:sz="6" w:space="0"/>
              <w:right w:val="outset" w:color="auto" w:sz="6" w:space="0"/>
            </w:tcBorders>
          </w:tcPr>
          <w:p w14:paraId="2403A52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Kruskal–Wallis test (H)</w:t>
            </w:r>
          </w:p>
        </w:tc>
        <w:tc>
          <w:tcPr>
            <w:tcW w:w="607" w:type="dxa"/>
            <w:vMerge w:val="restart"/>
            <w:tcBorders>
              <w:top w:val="outset" w:color="auto" w:sz="6" w:space="0"/>
              <w:left w:val="outset" w:color="auto" w:sz="6" w:space="0"/>
              <w:right w:val="outset" w:color="auto" w:sz="6" w:space="0"/>
            </w:tcBorders>
          </w:tcPr>
          <w:p w14:paraId="3AE39F1D">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p–level</w:t>
            </w:r>
          </w:p>
        </w:tc>
      </w:tr>
      <w:tr w14:paraId="329CFDEA">
        <w:tblPrEx>
          <w:tblCellMar>
            <w:top w:w="15" w:type="dxa"/>
            <w:left w:w="15" w:type="dxa"/>
            <w:bottom w:w="15" w:type="dxa"/>
            <w:right w:w="15" w:type="dxa"/>
          </w:tblCellMar>
        </w:tblPrEx>
        <w:trPr>
          <w:trHeight w:val="1079" w:hRule="atLeast"/>
        </w:trPr>
        <w:tc>
          <w:tcPr>
            <w:tcW w:w="839" w:type="dxa"/>
            <w:vMerge w:val="continue"/>
            <w:tcBorders>
              <w:left w:val="outset" w:color="auto" w:sz="6" w:space="0"/>
              <w:right w:val="outset" w:color="auto" w:sz="6" w:space="0"/>
            </w:tcBorders>
          </w:tcPr>
          <w:p w14:paraId="6418812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p>
        </w:tc>
        <w:tc>
          <w:tcPr>
            <w:tcW w:w="1611" w:type="dxa"/>
            <w:gridSpan w:val="3"/>
            <w:tcBorders>
              <w:top w:val="outset" w:color="auto" w:sz="6" w:space="0"/>
              <w:left w:val="outset" w:color="auto" w:sz="6" w:space="0"/>
              <w:bottom w:val="outset" w:color="auto" w:sz="6" w:space="0"/>
              <w:right w:val="outset" w:color="auto" w:sz="6" w:space="0"/>
            </w:tcBorders>
          </w:tcPr>
          <w:p w14:paraId="1B1EB019">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топ</w:t>
            </w:r>
          </w:p>
          <w:p w14:paraId="0356722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(n=43)</w:t>
            </w:r>
          </w:p>
        </w:tc>
        <w:tc>
          <w:tcPr>
            <w:tcW w:w="1811" w:type="dxa"/>
            <w:gridSpan w:val="3"/>
            <w:tcBorders>
              <w:top w:val="outset" w:color="auto" w:sz="6" w:space="0"/>
              <w:left w:val="outset" w:color="auto" w:sz="6" w:space="0"/>
              <w:bottom w:val="outset" w:color="auto" w:sz="6" w:space="0"/>
              <w:right w:val="outset" w:color="auto" w:sz="6" w:space="0"/>
            </w:tcBorders>
          </w:tcPr>
          <w:p w14:paraId="2665BEB9">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топ</w:t>
            </w:r>
          </w:p>
          <w:p w14:paraId="28528B6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(n=40)</w:t>
            </w:r>
          </w:p>
        </w:tc>
        <w:tc>
          <w:tcPr>
            <w:tcW w:w="1680" w:type="dxa"/>
            <w:gridSpan w:val="3"/>
            <w:tcBorders>
              <w:top w:val="outset" w:color="auto" w:sz="6" w:space="0"/>
              <w:left w:val="outset" w:color="auto" w:sz="6" w:space="0"/>
              <w:bottom w:val="outset" w:color="auto" w:sz="6" w:space="0"/>
              <w:right w:val="outset" w:color="auto" w:sz="6" w:space="0"/>
            </w:tcBorders>
          </w:tcPr>
          <w:p w14:paraId="01BB0A9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топ</w:t>
            </w:r>
          </w:p>
          <w:p w14:paraId="7F914B3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(n=48)</w:t>
            </w:r>
          </w:p>
        </w:tc>
        <w:tc>
          <w:tcPr>
            <w:tcW w:w="1814" w:type="dxa"/>
            <w:gridSpan w:val="3"/>
            <w:tcBorders>
              <w:top w:val="outset" w:color="auto" w:sz="6" w:space="0"/>
              <w:left w:val="outset" w:color="auto" w:sz="6" w:space="0"/>
              <w:bottom w:val="outset" w:color="auto" w:sz="6" w:space="0"/>
              <w:right w:val="outset" w:color="auto" w:sz="6" w:space="0"/>
            </w:tcBorders>
          </w:tcPr>
          <w:p w14:paraId="03FE93F0">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4 топ</w:t>
            </w:r>
          </w:p>
          <w:p w14:paraId="587E0F6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(n=36)</w:t>
            </w:r>
          </w:p>
        </w:tc>
        <w:tc>
          <w:tcPr>
            <w:tcW w:w="986" w:type="dxa"/>
            <w:vMerge w:val="continue"/>
            <w:tcBorders>
              <w:left w:val="outset" w:color="auto" w:sz="6" w:space="0"/>
              <w:right w:val="outset" w:color="auto" w:sz="6" w:space="0"/>
            </w:tcBorders>
          </w:tcPr>
          <w:p w14:paraId="77223C4E">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607" w:type="dxa"/>
            <w:vMerge w:val="continue"/>
            <w:tcBorders>
              <w:left w:val="outset" w:color="auto" w:sz="6" w:space="0"/>
              <w:right w:val="outset" w:color="auto" w:sz="6" w:space="0"/>
            </w:tcBorders>
          </w:tcPr>
          <w:p w14:paraId="777084A1">
            <w:pPr>
              <w:widowControl w:val="0"/>
              <w:autoSpaceDE w:val="0"/>
              <w:autoSpaceDN w:val="0"/>
              <w:spacing w:after="0" w:line="276" w:lineRule="auto"/>
              <w:jc w:val="both"/>
              <w:outlineLvl w:val="0"/>
              <w:rPr>
                <w:rFonts w:ascii="Times New Roman" w:hAnsi="Times New Roman" w:eastAsia="Times New Roman" w:cs="Times New Roman"/>
                <w:sz w:val="28"/>
                <w:szCs w:val="28"/>
              </w:rPr>
            </w:pPr>
          </w:p>
        </w:tc>
      </w:tr>
      <w:tr w14:paraId="46268371">
        <w:tblPrEx>
          <w:tblCellMar>
            <w:top w:w="15" w:type="dxa"/>
            <w:left w:w="15" w:type="dxa"/>
            <w:bottom w:w="15" w:type="dxa"/>
            <w:right w:w="15" w:type="dxa"/>
          </w:tblCellMar>
        </w:tblPrEx>
        <w:trPr>
          <w:trHeight w:val="359" w:hRule="atLeast"/>
        </w:trPr>
        <w:tc>
          <w:tcPr>
            <w:tcW w:w="839" w:type="dxa"/>
            <w:vMerge w:val="continue"/>
            <w:tcBorders>
              <w:left w:val="outset" w:color="auto" w:sz="6" w:space="0"/>
              <w:bottom w:val="outset" w:color="auto" w:sz="6" w:space="0"/>
              <w:right w:val="outset" w:color="auto" w:sz="6" w:space="0"/>
            </w:tcBorders>
          </w:tcPr>
          <w:p w14:paraId="4BC5C35D">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537" w:type="dxa"/>
            <w:tcBorders>
              <w:top w:val="nil"/>
              <w:left w:val="outset" w:color="auto" w:sz="6" w:space="0"/>
              <w:bottom w:val="outset" w:color="auto" w:sz="6" w:space="0"/>
              <w:right w:val="outset" w:color="auto" w:sz="6" w:space="0"/>
            </w:tcBorders>
          </w:tcPr>
          <w:p w14:paraId="7CE499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537" w:type="dxa"/>
            <w:tcBorders>
              <w:top w:val="nil"/>
              <w:left w:val="outset" w:color="auto" w:sz="6" w:space="0"/>
              <w:bottom w:val="outset" w:color="auto" w:sz="6" w:space="0"/>
              <w:right w:val="outset" w:color="auto" w:sz="6" w:space="0"/>
            </w:tcBorders>
          </w:tcPr>
          <w:p w14:paraId="68F3174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537" w:type="dxa"/>
            <w:tcBorders>
              <w:top w:val="nil"/>
              <w:left w:val="outset" w:color="auto" w:sz="6" w:space="0"/>
              <w:bottom w:val="outset" w:color="auto" w:sz="6" w:space="0"/>
              <w:right w:val="outset" w:color="auto" w:sz="6" w:space="0"/>
            </w:tcBorders>
          </w:tcPr>
          <w:p w14:paraId="50D1FA4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603" w:type="dxa"/>
            <w:tcBorders>
              <w:top w:val="nil"/>
              <w:left w:val="outset" w:color="auto" w:sz="6" w:space="0"/>
              <w:bottom w:val="outset" w:color="auto" w:sz="6" w:space="0"/>
              <w:right w:val="outset" w:color="auto" w:sz="6" w:space="0"/>
            </w:tcBorders>
          </w:tcPr>
          <w:p w14:paraId="227C5C8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603" w:type="dxa"/>
            <w:tcBorders>
              <w:top w:val="nil"/>
              <w:left w:val="outset" w:color="auto" w:sz="6" w:space="0"/>
              <w:bottom w:val="outset" w:color="auto" w:sz="6" w:space="0"/>
              <w:right w:val="outset" w:color="auto" w:sz="6" w:space="0"/>
            </w:tcBorders>
          </w:tcPr>
          <w:p w14:paraId="17F75B6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605" w:type="dxa"/>
            <w:tcBorders>
              <w:top w:val="nil"/>
              <w:left w:val="outset" w:color="auto" w:sz="6" w:space="0"/>
              <w:bottom w:val="outset" w:color="auto" w:sz="6" w:space="0"/>
              <w:right w:val="outset" w:color="auto" w:sz="6" w:space="0"/>
            </w:tcBorders>
          </w:tcPr>
          <w:p w14:paraId="077936A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472" w:type="dxa"/>
            <w:tcBorders>
              <w:top w:val="outset" w:color="auto" w:sz="6" w:space="0"/>
              <w:left w:val="outset" w:color="auto" w:sz="6" w:space="0"/>
              <w:bottom w:val="outset" w:color="auto" w:sz="6" w:space="0"/>
              <w:right w:val="outset" w:color="auto" w:sz="6" w:space="0"/>
            </w:tcBorders>
          </w:tcPr>
          <w:p w14:paraId="5032C17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603" w:type="dxa"/>
            <w:tcBorders>
              <w:top w:val="outset" w:color="auto" w:sz="6" w:space="0"/>
              <w:left w:val="outset" w:color="auto" w:sz="6" w:space="0"/>
              <w:bottom w:val="outset" w:color="auto" w:sz="6" w:space="0"/>
              <w:right w:val="outset" w:color="auto" w:sz="6" w:space="0"/>
            </w:tcBorders>
          </w:tcPr>
          <w:p w14:paraId="4635DF4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605" w:type="dxa"/>
            <w:tcBorders>
              <w:top w:val="outset" w:color="auto" w:sz="6" w:space="0"/>
              <w:left w:val="outset" w:color="auto" w:sz="6" w:space="0"/>
              <w:bottom w:val="outset" w:color="auto" w:sz="6" w:space="0"/>
              <w:right w:val="outset" w:color="auto" w:sz="6" w:space="0"/>
            </w:tcBorders>
          </w:tcPr>
          <w:p w14:paraId="1BC3A53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603" w:type="dxa"/>
            <w:tcBorders>
              <w:top w:val="outset" w:color="auto" w:sz="6" w:space="0"/>
              <w:left w:val="outset" w:color="auto" w:sz="6" w:space="0"/>
              <w:bottom w:val="outset" w:color="auto" w:sz="6" w:space="0"/>
              <w:right w:val="outset" w:color="auto" w:sz="6" w:space="0"/>
            </w:tcBorders>
          </w:tcPr>
          <w:p w14:paraId="3BA5596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603" w:type="dxa"/>
            <w:tcBorders>
              <w:top w:val="outset" w:color="auto" w:sz="6" w:space="0"/>
              <w:left w:val="outset" w:color="auto" w:sz="6" w:space="0"/>
              <w:bottom w:val="outset" w:color="auto" w:sz="6" w:space="0"/>
              <w:right w:val="outset" w:color="auto" w:sz="6" w:space="0"/>
            </w:tcBorders>
          </w:tcPr>
          <w:p w14:paraId="516400B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608" w:type="dxa"/>
            <w:tcBorders>
              <w:top w:val="outset" w:color="auto" w:sz="6" w:space="0"/>
              <w:left w:val="outset" w:color="auto" w:sz="6" w:space="0"/>
              <w:bottom w:val="outset" w:color="auto" w:sz="6" w:space="0"/>
              <w:right w:val="outset" w:color="auto" w:sz="6" w:space="0"/>
            </w:tcBorders>
          </w:tcPr>
          <w:p w14:paraId="047C31B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986" w:type="dxa"/>
            <w:vMerge w:val="continue"/>
            <w:tcBorders>
              <w:left w:val="outset" w:color="auto" w:sz="6" w:space="0"/>
              <w:bottom w:val="outset" w:color="auto" w:sz="6" w:space="0"/>
              <w:right w:val="outset" w:color="auto" w:sz="6" w:space="0"/>
            </w:tcBorders>
          </w:tcPr>
          <w:p w14:paraId="2B8C0D07">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607" w:type="dxa"/>
            <w:vMerge w:val="continue"/>
            <w:tcBorders>
              <w:left w:val="outset" w:color="auto" w:sz="6" w:space="0"/>
              <w:bottom w:val="outset" w:color="auto" w:sz="6" w:space="0"/>
              <w:right w:val="outset" w:color="auto" w:sz="6" w:space="0"/>
            </w:tcBorders>
          </w:tcPr>
          <w:p w14:paraId="36DC8D5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r>
      <w:tr w14:paraId="02653CD8">
        <w:tblPrEx>
          <w:tblCellMar>
            <w:top w:w="15" w:type="dxa"/>
            <w:left w:w="15" w:type="dxa"/>
            <w:bottom w:w="15" w:type="dxa"/>
            <w:right w:w="15" w:type="dxa"/>
          </w:tblCellMar>
        </w:tblPrEx>
        <w:trPr>
          <w:trHeight w:val="1057" w:hRule="atLeast"/>
        </w:trPr>
        <w:tc>
          <w:tcPr>
            <w:tcW w:w="839" w:type="dxa"/>
            <w:tcBorders>
              <w:top w:val="nil"/>
              <w:left w:val="outset" w:color="auto" w:sz="6" w:space="0"/>
              <w:bottom w:val="outset" w:color="auto" w:sz="6" w:space="0"/>
              <w:right w:val="outset" w:color="auto" w:sz="6" w:space="0"/>
            </w:tcBorders>
          </w:tcPr>
          <w:p w14:paraId="4E8D5B2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Гепсидин</w:t>
            </w:r>
          </w:p>
        </w:tc>
        <w:tc>
          <w:tcPr>
            <w:tcW w:w="537" w:type="dxa"/>
            <w:tcBorders>
              <w:top w:val="nil"/>
              <w:left w:val="outset" w:color="auto" w:sz="6" w:space="0"/>
              <w:bottom w:val="outset" w:color="auto" w:sz="6" w:space="0"/>
              <w:right w:val="outset" w:color="auto" w:sz="6" w:space="0"/>
            </w:tcBorders>
          </w:tcPr>
          <w:p w14:paraId="1FEF67A6">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568,01</w:t>
            </w:r>
          </w:p>
        </w:tc>
        <w:tc>
          <w:tcPr>
            <w:tcW w:w="537" w:type="dxa"/>
            <w:tcBorders>
              <w:top w:val="nil"/>
              <w:left w:val="outset" w:color="auto" w:sz="6" w:space="0"/>
              <w:bottom w:val="outset" w:color="auto" w:sz="6" w:space="0"/>
              <w:right w:val="outset" w:color="auto" w:sz="6" w:space="0"/>
            </w:tcBorders>
          </w:tcPr>
          <w:p w14:paraId="3E681B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314,35</w:t>
            </w:r>
          </w:p>
        </w:tc>
        <w:tc>
          <w:tcPr>
            <w:tcW w:w="537" w:type="dxa"/>
            <w:tcBorders>
              <w:top w:val="nil"/>
              <w:left w:val="outset" w:color="auto" w:sz="6" w:space="0"/>
              <w:bottom w:val="outset" w:color="auto" w:sz="6" w:space="0"/>
              <w:right w:val="outset" w:color="auto" w:sz="6" w:space="0"/>
            </w:tcBorders>
          </w:tcPr>
          <w:p w14:paraId="3AFE7E4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688,43</w:t>
            </w:r>
          </w:p>
        </w:tc>
        <w:tc>
          <w:tcPr>
            <w:tcW w:w="603" w:type="dxa"/>
            <w:tcBorders>
              <w:top w:val="nil"/>
              <w:left w:val="outset" w:color="auto" w:sz="6" w:space="0"/>
              <w:bottom w:val="outset" w:color="auto" w:sz="6" w:space="0"/>
              <w:right w:val="outset" w:color="auto" w:sz="6" w:space="0"/>
            </w:tcBorders>
          </w:tcPr>
          <w:p w14:paraId="503F5397">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1537,01</w:t>
            </w:r>
          </w:p>
        </w:tc>
        <w:tc>
          <w:tcPr>
            <w:tcW w:w="603" w:type="dxa"/>
            <w:tcBorders>
              <w:top w:val="nil"/>
              <w:left w:val="outset" w:color="auto" w:sz="6" w:space="0"/>
              <w:bottom w:val="outset" w:color="auto" w:sz="6" w:space="0"/>
              <w:right w:val="outset" w:color="auto" w:sz="6" w:space="0"/>
            </w:tcBorders>
          </w:tcPr>
          <w:p w14:paraId="2876B3F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1355,99</w:t>
            </w:r>
          </w:p>
        </w:tc>
        <w:tc>
          <w:tcPr>
            <w:tcW w:w="605" w:type="dxa"/>
            <w:tcBorders>
              <w:top w:val="nil"/>
              <w:left w:val="outset" w:color="auto" w:sz="6" w:space="0"/>
              <w:bottom w:val="outset" w:color="auto" w:sz="6" w:space="0"/>
              <w:right w:val="outset" w:color="auto" w:sz="6" w:space="0"/>
            </w:tcBorders>
          </w:tcPr>
          <w:p w14:paraId="6CE35B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1956,28 </w:t>
            </w:r>
          </w:p>
        </w:tc>
        <w:tc>
          <w:tcPr>
            <w:tcW w:w="472" w:type="dxa"/>
            <w:tcBorders>
              <w:top w:val="nil"/>
              <w:left w:val="outset" w:color="auto" w:sz="6" w:space="0"/>
              <w:bottom w:val="outset" w:color="auto" w:sz="6" w:space="0"/>
              <w:right w:val="outset" w:color="auto" w:sz="6" w:space="0"/>
            </w:tcBorders>
          </w:tcPr>
          <w:p w14:paraId="6944D8F4">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1442,  83</w:t>
            </w:r>
          </w:p>
        </w:tc>
        <w:tc>
          <w:tcPr>
            <w:tcW w:w="603" w:type="dxa"/>
            <w:tcBorders>
              <w:top w:val="nil"/>
              <w:left w:val="outset" w:color="auto" w:sz="6" w:space="0"/>
              <w:bottom w:val="outset" w:color="auto" w:sz="6" w:space="0"/>
              <w:right w:val="outset" w:color="auto" w:sz="6" w:space="0"/>
            </w:tcBorders>
          </w:tcPr>
          <w:p w14:paraId="1143E5A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1090,36</w:t>
            </w:r>
          </w:p>
        </w:tc>
        <w:tc>
          <w:tcPr>
            <w:tcW w:w="605" w:type="dxa"/>
            <w:tcBorders>
              <w:top w:val="nil"/>
              <w:left w:val="outset" w:color="auto" w:sz="6" w:space="0"/>
              <w:bottom w:val="outset" w:color="auto" w:sz="6" w:space="0"/>
              <w:right w:val="outset" w:color="auto" w:sz="6" w:space="0"/>
            </w:tcBorders>
          </w:tcPr>
          <w:p w14:paraId="74CD14E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1751,31</w:t>
            </w:r>
          </w:p>
        </w:tc>
        <w:tc>
          <w:tcPr>
            <w:tcW w:w="603" w:type="dxa"/>
            <w:tcBorders>
              <w:top w:val="nil"/>
              <w:left w:val="outset" w:color="auto" w:sz="6" w:space="0"/>
              <w:bottom w:val="outset" w:color="auto" w:sz="6" w:space="0"/>
              <w:right w:val="outset" w:color="auto" w:sz="6" w:space="0"/>
            </w:tcBorders>
          </w:tcPr>
          <w:p w14:paraId="7AA88DDA">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1786,59</w:t>
            </w:r>
          </w:p>
        </w:tc>
        <w:tc>
          <w:tcPr>
            <w:tcW w:w="603" w:type="dxa"/>
            <w:tcBorders>
              <w:top w:val="nil"/>
              <w:left w:val="outset" w:color="auto" w:sz="6" w:space="0"/>
              <w:bottom w:val="outset" w:color="auto" w:sz="6" w:space="0"/>
              <w:right w:val="outset" w:color="auto" w:sz="6" w:space="0"/>
            </w:tcBorders>
          </w:tcPr>
          <w:p w14:paraId="2F56E89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1510,64</w:t>
            </w:r>
          </w:p>
        </w:tc>
        <w:tc>
          <w:tcPr>
            <w:tcW w:w="608" w:type="dxa"/>
            <w:tcBorders>
              <w:top w:val="nil"/>
              <w:left w:val="outset" w:color="auto" w:sz="6" w:space="0"/>
              <w:bottom w:val="outset" w:color="auto" w:sz="6" w:space="0"/>
              <w:right w:val="outset" w:color="auto" w:sz="6" w:space="0"/>
            </w:tcBorders>
          </w:tcPr>
          <w:p w14:paraId="3425E78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1940,43</w:t>
            </w:r>
          </w:p>
        </w:tc>
        <w:tc>
          <w:tcPr>
            <w:tcW w:w="986" w:type="dxa"/>
            <w:tcBorders>
              <w:top w:val="nil"/>
              <w:left w:val="outset" w:color="auto" w:sz="6" w:space="0"/>
              <w:bottom w:val="outset" w:color="auto" w:sz="6" w:space="0"/>
              <w:right w:val="outset" w:color="auto" w:sz="6" w:space="0"/>
            </w:tcBorders>
          </w:tcPr>
          <w:p w14:paraId="2D3138B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1,901</w:t>
            </w:r>
          </w:p>
        </w:tc>
        <w:tc>
          <w:tcPr>
            <w:tcW w:w="607" w:type="dxa"/>
            <w:tcBorders>
              <w:top w:val="nil"/>
              <w:left w:val="outset" w:color="auto" w:sz="6" w:space="0"/>
              <w:bottom w:val="outset" w:color="auto" w:sz="6" w:space="0"/>
              <w:right w:val="outset" w:color="auto" w:sz="6" w:space="0"/>
            </w:tcBorders>
          </w:tcPr>
          <w:p w14:paraId="545956D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0,010</w:t>
            </w:r>
            <w:r>
              <w:rPr>
                <w:rFonts w:ascii="Times New Roman" w:hAnsi="Times New Roman" w:eastAsia="Times New Roman" w:cs="Times New Roman"/>
                <w:b/>
                <w:i/>
                <w:sz w:val="28"/>
                <w:szCs w:val="28"/>
              </w:rPr>
              <w:t>*</w:t>
            </w:r>
          </w:p>
        </w:tc>
      </w:tr>
      <w:tr w14:paraId="1EC0E024">
        <w:tblPrEx>
          <w:tblCellMar>
            <w:top w:w="15" w:type="dxa"/>
            <w:left w:w="15" w:type="dxa"/>
            <w:bottom w:w="15" w:type="dxa"/>
            <w:right w:w="15" w:type="dxa"/>
          </w:tblCellMar>
        </w:tblPrEx>
        <w:trPr>
          <w:trHeight w:val="719" w:hRule="atLeast"/>
        </w:trPr>
        <w:tc>
          <w:tcPr>
            <w:tcW w:w="839" w:type="dxa"/>
            <w:tcBorders>
              <w:top w:val="nil"/>
              <w:left w:val="outset" w:color="auto" w:sz="6" w:space="0"/>
              <w:bottom w:val="outset" w:color="auto" w:sz="6" w:space="0"/>
              <w:right w:val="outset" w:color="auto" w:sz="6" w:space="0"/>
            </w:tcBorders>
          </w:tcPr>
          <w:p w14:paraId="00DBC991">
            <w:pPr>
              <w:widowControl w:val="0"/>
              <w:autoSpaceDE w:val="0"/>
              <w:autoSpaceDN w:val="0"/>
              <w:spacing w:after="0" w:line="276" w:lineRule="auto"/>
              <w:jc w:val="both"/>
              <w:outlineLvl w:val="0"/>
              <w:rPr>
                <w:rFonts w:ascii="Times New Roman" w:hAnsi="Times New Roman" w:eastAsia="Times New Roman" w:cs="Times New Roman"/>
                <w:sz w:val="28"/>
                <w:szCs w:val="28"/>
                <w:lang w:val="kk-KZ"/>
              </w:rPr>
            </w:pPr>
            <w:r>
              <w:rPr>
                <w:rFonts w:ascii="Times New Roman" w:hAnsi="Times New Roman" w:eastAsia="Times New Roman" w:cs="Times New Roman"/>
                <w:sz w:val="28"/>
                <w:szCs w:val="28"/>
                <w:lang w:val="kk-KZ"/>
              </w:rPr>
              <w:t>Эритропоэтин</w:t>
            </w:r>
          </w:p>
        </w:tc>
        <w:tc>
          <w:tcPr>
            <w:tcW w:w="537" w:type="dxa"/>
            <w:tcBorders>
              <w:top w:val="nil"/>
              <w:left w:val="outset" w:color="auto" w:sz="6" w:space="0"/>
              <w:bottom w:val="outset" w:color="auto" w:sz="6" w:space="0"/>
              <w:right w:val="outset" w:color="auto" w:sz="6" w:space="0"/>
            </w:tcBorders>
          </w:tcPr>
          <w:p w14:paraId="0AD081C5">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81,28</w:t>
            </w:r>
          </w:p>
        </w:tc>
        <w:tc>
          <w:tcPr>
            <w:tcW w:w="537" w:type="dxa"/>
            <w:tcBorders>
              <w:top w:val="nil"/>
              <w:left w:val="outset" w:color="auto" w:sz="6" w:space="0"/>
              <w:bottom w:val="outset" w:color="auto" w:sz="6" w:space="0"/>
              <w:right w:val="outset" w:color="auto" w:sz="6" w:space="0"/>
            </w:tcBorders>
          </w:tcPr>
          <w:p w14:paraId="7C0F0E9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51,77</w:t>
            </w:r>
          </w:p>
        </w:tc>
        <w:tc>
          <w:tcPr>
            <w:tcW w:w="537" w:type="dxa"/>
            <w:tcBorders>
              <w:top w:val="nil"/>
              <w:left w:val="outset" w:color="auto" w:sz="6" w:space="0"/>
              <w:bottom w:val="outset" w:color="auto" w:sz="6" w:space="0"/>
              <w:right w:val="outset" w:color="auto" w:sz="6" w:space="0"/>
            </w:tcBorders>
          </w:tcPr>
          <w:p w14:paraId="68B0A8F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112,10</w:t>
            </w:r>
          </w:p>
        </w:tc>
        <w:tc>
          <w:tcPr>
            <w:tcW w:w="603" w:type="dxa"/>
            <w:tcBorders>
              <w:top w:val="nil"/>
              <w:left w:val="outset" w:color="auto" w:sz="6" w:space="0"/>
              <w:bottom w:val="outset" w:color="auto" w:sz="6" w:space="0"/>
              <w:right w:val="outset" w:color="auto" w:sz="6" w:space="0"/>
            </w:tcBorders>
          </w:tcPr>
          <w:p w14:paraId="5C4F92A7">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71,89</w:t>
            </w:r>
          </w:p>
        </w:tc>
        <w:tc>
          <w:tcPr>
            <w:tcW w:w="603" w:type="dxa"/>
            <w:tcBorders>
              <w:top w:val="nil"/>
              <w:left w:val="outset" w:color="auto" w:sz="6" w:space="0"/>
              <w:bottom w:val="outset" w:color="auto" w:sz="6" w:space="0"/>
              <w:right w:val="outset" w:color="auto" w:sz="6" w:space="0"/>
            </w:tcBorders>
          </w:tcPr>
          <w:p w14:paraId="73B9F8F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30,47</w:t>
            </w:r>
          </w:p>
        </w:tc>
        <w:tc>
          <w:tcPr>
            <w:tcW w:w="605" w:type="dxa"/>
            <w:tcBorders>
              <w:top w:val="nil"/>
              <w:left w:val="outset" w:color="auto" w:sz="6" w:space="0"/>
              <w:bottom w:val="outset" w:color="auto" w:sz="6" w:space="0"/>
              <w:right w:val="outset" w:color="auto" w:sz="6" w:space="0"/>
            </w:tcBorders>
          </w:tcPr>
          <w:p w14:paraId="409115F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105,86</w:t>
            </w:r>
          </w:p>
        </w:tc>
        <w:tc>
          <w:tcPr>
            <w:tcW w:w="472" w:type="dxa"/>
            <w:tcBorders>
              <w:top w:val="nil"/>
              <w:left w:val="outset" w:color="auto" w:sz="6" w:space="0"/>
              <w:bottom w:val="outset" w:color="auto" w:sz="6" w:space="0"/>
              <w:right w:val="outset" w:color="auto" w:sz="6" w:space="0"/>
            </w:tcBorders>
          </w:tcPr>
          <w:p w14:paraId="19037BEB">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62,99</w:t>
            </w:r>
          </w:p>
        </w:tc>
        <w:tc>
          <w:tcPr>
            <w:tcW w:w="603" w:type="dxa"/>
            <w:tcBorders>
              <w:top w:val="nil"/>
              <w:left w:val="outset" w:color="auto" w:sz="6" w:space="0"/>
              <w:bottom w:val="outset" w:color="auto" w:sz="6" w:space="0"/>
              <w:right w:val="outset" w:color="auto" w:sz="6" w:space="0"/>
            </w:tcBorders>
          </w:tcPr>
          <w:p w14:paraId="35B5B72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30,11</w:t>
            </w:r>
          </w:p>
        </w:tc>
        <w:tc>
          <w:tcPr>
            <w:tcW w:w="605" w:type="dxa"/>
            <w:tcBorders>
              <w:top w:val="nil"/>
              <w:left w:val="outset" w:color="auto" w:sz="6" w:space="0"/>
              <w:bottom w:val="outset" w:color="auto" w:sz="6" w:space="0"/>
              <w:right w:val="outset" w:color="auto" w:sz="6" w:space="0"/>
            </w:tcBorders>
          </w:tcPr>
          <w:p w14:paraId="173FD8F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78,74</w:t>
            </w:r>
          </w:p>
        </w:tc>
        <w:tc>
          <w:tcPr>
            <w:tcW w:w="603" w:type="dxa"/>
            <w:tcBorders>
              <w:top w:val="nil"/>
              <w:left w:val="outset" w:color="auto" w:sz="6" w:space="0"/>
              <w:bottom w:val="outset" w:color="auto" w:sz="6" w:space="0"/>
              <w:right w:val="outset" w:color="auto" w:sz="6" w:space="0"/>
            </w:tcBorders>
          </w:tcPr>
          <w:p w14:paraId="07724881">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51,04</w:t>
            </w:r>
          </w:p>
        </w:tc>
        <w:tc>
          <w:tcPr>
            <w:tcW w:w="603" w:type="dxa"/>
            <w:tcBorders>
              <w:top w:val="nil"/>
              <w:left w:val="outset" w:color="auto" w:sz="6" w:space="0"/>
              <w:bottom w:val="outset" w:color="auto" w:sz="6" w:space="0"/>
              <w:right w:val="outset" w:color="auto" w:sz="6" w:space="0"/>
            </w:tcBorders>
          </w:tcPr>
          <w:p w14:paraId="4654441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30,87</w:t>
            </w:r>
          </w:p>
        </w:tc>
        <w:tc>
          <w:tcPr>
            <w:tcW w:w="608" w:type="dxa"/>
            <w:tcBorders>
              <w:top w:val="nil"/>
              <w:left w:val="outset" w:color="auto" w:sz="6" w:space="0"/>
              <w:bottom w:val="outset" w:color="auto" w:sz="6" w:space="0"/>
              <w:right w:val="outset" w:color="auto" w:sz="6" w:space="0"/>
            </w:tcBorders>
          </w:tcPr>
          <w:p w14:paraId="29C6292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110,92</w:t>
            </w:r>
          </w:p>
        </w:tc>
        <w:tc>
          <w:tcPr>
            <w:tcW w:w="986" w:type="dxa"/>
            <w:tcBorders>
              <w:top w:val="nil"/>
              <w:left w:val="outset" w:color="auto" w:sz="6" w:space="0"/>
              <w:bottom w:val="outset" w:color="auto" w:sz="6" w:space="0"/>
              <w:right w:val="outset" w:color="auto" w:sz="6" w:space="0"/>
            </w:tcBorders>
          </w:tcPr>
          <w:p w14:paraId="3224EF5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5,967</w:t>
            </w:r>
          </w:p>
        </w:tc>
        <w:tc>
          <w:tcPr>
            <w:tcW w:w="607" w:type="dxa"/>
            <w:tcBorders>
              <w:top w:val="nil"/>
              <w:left w:val="outset" w:color="auto" w:sz="6" w:space="0"/>
              <w:bottom w:val="outset" w:color="auto" w:sz="6" w:space="0"/>
              <w:right w:val="outset" w:color="auto" w:sz="6" w:space="0"/>
            </w:tcBorders>
          </w:tcPr>
          <w:p w14:paraId="4DFDDAD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0,1132</w:t>
            </w:r>
          </w:p>
        </w:tc>
      </w:tr>
      <w:tr w14:paraId="0ECE4AF1">
        <w:tblPrEx>
          <w:tblCellMar>
            <w:top w:w="15" w:type="dxa"/>
            <w:left w:w="15" w:type="dxa"/>
            <w:bottom w:w="15" w:type="dxa"/>
            <w:right w:w="15" w:type="dxa"/>
          </w:tblCellMar>
        </w:tblPrEx>
        <w:trPr>
          <w:trHeight w:val="698" w:hRule="atLeast"/>
        </w:trPr>
        <w:tc>
          <w:tcPr>
            <w:tcW w:w="839" w:type="dxa"/>
            <w:tcBorders>
              <w:top w:val="nil"/>
              <w:left w:val="outset" w:color="auto" w:sz="6" w:space="0"/>
              <w:bottom w:val="outset" w:color="auto" w:sz="6" w:space="0"/>
              <w:right w:val="outset" w:color="auto" w:sz="6" w:space="0"/>
            </w:tcBorders>
          </w:tcPr>
          <w:p w14:paraId="686398D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Ферритин</w:t>
            </w:r>
          </w:p>
        </w:tc>
        <w:tc>
          <w:tcPr>
            <w:tcW w:w="537" w:type="dxa"/>
            <w:tcBorders>
              <w:top w:val="nil"/>
              <w:left w:val="outset" w:color="auto" w:sz="6" w:space="0"/>
              <w:bottom w:val="outset" w:color="auto" w:sz="6" w:space="0"/>
              <w:right w:val="outset" w:color="auto" w:sz="6" w:space="0"/>
            </w:tcBorders>
          </w:tcPr>
          <w:p w14:paraId="4FEB9985">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19,65</w:t>
            </w:r>
          </w:p>
        </w:tc>
        <w:tc>
          <w:tcPr>
            <w:tcW w:w="537" w:type="dxa"/>
            <w:tcBorders>
              <w:top w:val="nil"/>
              <w:left w:val="outset" w:color="auto" w:sz="6" w:space="0"/>
              <w:bottom w:val="outset" w:color="auto" w:sz="6" w:space="0"/>
              <w:right w:val="outset" w:color="auto" w:sz="6" w:space="0"/>
            </w:tcBorders>
          </w:tcPr>
          <w:p w14:paraId="1C6D513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17,61</w:t>
            </w:r>
          </w:p>
        </w:tc>
        <w:tc>
          <w:tcPr>
            <w:tcW w:w="537" w:type="dxa"/>
            <w:tcBorders>
              <w:top w:val="nil"/>
              <w:left w:val="outset" w:color="auto" w:sz="6" w:space="0"/>
              <w:bottom w:val="outset" w:color="auto" w:sz="6" w:space="0"/>
              <w:right w:val="outset" w:color="auto" w:sz="6" w:space="0"/>
            </w:tcBorders>
          </w:tcPr>
          <w:p w14:paraId="28D28DC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32,81</w:t>
            </w:r>
          </w:p>
        </w:tc>
        <w:tc>
          <w:tcPr>
            <w:tcW w:w="603" w:type="dxa"/>
            <w:tcBorders>
              <w:top w:val="nil"/>
              <w:left w:val="outset" w:color="auto" w:sz="6" w:space="0"/>
              <w:bottom w:val="outset" w:color="auto" w:sz="6" w:space="0"/>
              <w:right w:val="outset" w:color="auto" w:sz="6" w:space="0"/>
            </w:tcBorders>
          </w:tcPr>
          <w:p w14:paraId="309574AA">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11,82</w:t>
            </w:r>
          </w:p>
        </w:tc>
        <w:tc>
          <w:tcPr>
            <w:tcW w:w="603" w:type="dxa"/>
            <w:tcBorders>
              <w:top w:val="nil"/>
              <w:left w:val="outset" w:color="auto" w:sz="6" w:space="0"/>
              <w:bottom w:val="outset" w:color="auto" w:sz="6" w:space="0"/>
              <w:right w:val="outset" w:color="auto" w:sz="6" w:space="0"/>
            </w:tcBorders>
          </w:tcPr>
          <w:p w14:paraId="70A97D2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9,00</w:t>
            </w:r>
          </w:p>
        </w:tc>
        <w:tc>
          <w:tcPr>
            <w:tcW w:w="605" w:type="dxa"/>
            <w:tcBorders>
              <w:top w:val="nil"/>
              <w:left w:val="outset" w:color="auto" w:sz="6" w:space="0"/>
              <w:bottom w:val="outset" w:color="auto" w:sz="6" w:space="0"/>
              <w:right w:val="outset" w:color="auto" w:sz="6" w:space="0"/>
            </w:tcBorders>
          </w:tcPr>
          <w:p w14:paraId="3132B0A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13,60</w:t>
            </w:r>
          </w:p>
        </w:tc>
        <w:tc>
          <w:tcPr>
            <w:tcW w:w="472" w:type="dxa"/>
            <w:tcBorders>
              <w:top w:val="nil"/>
              <w:left w:val="outset" w:color="auto" w:sz="6" w:space="0"/>
              <w:bottom w:val="outset" w:color="auto" w:sz="6" w:space="0"/>
              <w:right w:val="outset" w:color="auto" w:sz="6" w:space="0"/>
            </w:tcBorders>
          </w:tcPr>
          <w:p w14:paraId="00B104EA">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11,58</w:t>
            </w:r>
          </w:p>
        </w:tc>
        <w:tc>
          <w:tcPr>
            <w:tcW w:w="603" w:type="dxa"/>
            <w:tcBorders>
              <w:top w:val="nil"/>
              <w:left w:val="outset" w:color="auto" w:sz="6" w:space="0"/>
              <w:bottom w:val="outset" w:color="auto" w:sz="6" w:space="0"/>
              <w:right w:val="outset" w:color="auto" w:sz="6" w:space="0"/>
            </w:tcBorders>
          </w:tcPr>
          <w:p w14:paraId="2216489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7,21</w:t>
            </w:r>
          </w:p>
        </w:tc>
        <w:tc>
          <w:tcPr>
            <w:tcW w:w="605" w:type="dxa"/>
            <w:tcBorders>
              <w:top w:val="nil"/>
              <w:left w:val="outset" w:color="auto" w:sz="6" w:space="0"/>
              <w:bottom w:val="outset" w:color="auto" w:sz="6" w:space="0"/>
              <w:right w:val="outset" w:color="auto" w:sz="6" w:space="0"/>
            </w:tcBorders>
          </w:tcPr>
          <w:p w14:paraId="4BEBC2E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17,48</w:t>
            </w:r>
          </w:p>
        </w:tc>
        <w:tc>
          <w:tcPr>
            <w:tcW w:w="603" w:type="dxa"/>
            <w:tcBorders>
              <w:top w:val="nil"/>
              <w:left w:val="outset" w:color="auto" w:sz="6" w:space="0"/>
              <w:bottom w:val="outset" w:color="auto" w:sz="6" w:space="0"/>
              <w:right w:val="outset" w:color="auto" w:sz="6" w:space="0"/>
            </w:tcBorders>
          </w:tcPr>
          <w:p w14:paraId="2EA16C3B">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i/>
                <w:sz w:val="28"/>
                <w:szCs w:val="28"/>
              </w:rPr>
              <w:t>8,49</w:t>
            </w:r>
          </w:p>
        </w:tc>
        <w:tc>
          <w:tcPr>
            <w:tcW w:w="603" w:type="dxa"/>
            <w:tcBorders>
              <w:top w:val="nil"/>
              <w:left w:val="outset" w:color="auto" w:sz="6" w:space="0"/>
              <w:bottom w:val="outset" w:color="auto" w:sz="6" w:space="0"/>
              <w:right w:val="outset" w:color="auto" w:sz="6" w:space="0"/>
            </w:tcBorders>
          </w:tcPr>
          <w:p w14:paraId="01C1CDB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4,56</w:t>
            </w:r>
          </w:p>
        </w:tc>
        <w:tc>
          <w:tcPr>
            <w:tcW w:w="608" w:type="dxa"/>
            <w:tcBorders>
              <w:top w:val="nil"/>
              <w:left w:val="outset" w:color="auto" w:sz="6" w:space="0"/>
              <w:bottom w:val="outset" w:color="auto" w:sz="6" w:space="0"/>
              <w:right w:val="outset" w:color="auto" w:sz="6" w:space="0"/>
            </w:tcBorders>
          </w:tcPr>
          <w:p w14:paraId="02FE3E8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13,19</w:t>
            </w:r>
          </w:p>
        </w:tc>
        <w:tc>
          <w:tcPr>
            <w:tcW w:w="986" w:type="dxa"/>
            <w:tcBorders>
              <w:top w:val="nil"/>
              <w:left w:val="outset" w:color="auto" w:sz="6" w:space="0"/>
              <w:bottom w:val="outset" w:color="auto" w:sz="6" w:space="0"/>
              <w:right w:val="outset" w:color="auto" w:sz="6" w:space="0"/>
            </w:tcBorders>
          </w:tcPr>
          <w:p w14:paraId="6EB262D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6,369</w:t>
            </w:r>
          </w:p>
        </w:tc>
        <w:tc>
          <w:tcPr>
            <w:tcW w:w="607" w:type="dxa"/>
            <w:tcBorders>
              <w:top w:val="nil"/>
              <w:left w:val="outset" w:color="auto" w:sz="6" w:space="0"/>
              <w:bottom w:val="outset" w:color="auto" w:sz="6" w:space="0"/>
              <w:right w:val="outset" w:color="auto" w:sz="6" w:space="0"/>
            </w:tcBorders>
          </w:tcPr>
          <w:p w14:paraId="4C87BF9A">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0,031</w:t>
            </w:r>
            <w:r>
              <w:rPr>
                <w:rFonts w:ascii="Times New Roman" w:hAnsi="Times New Roman" w:eastAsia="Times New Roman" w:cs="Times New Roman"/>
                <w:b/>
                <w:i/>
                <w:sz w:val="28"/>
                <w:szCs w:val="28"/>
              </w:rPr>
              <w:t>*</w:t>
            </w:r>
          </w:p>
        </w:tc>
      </w:tr>
      <w:tr w14:paraId="60F91C38">
        <w:tblPrEx>
          <w:tblCellMar>
            <w:top w:w="15" w:type="dxa"/>
            <w:left w:w="15" w:type="dxa"/>
            <w:bottom w:w="15" w:type="dxa"/>
            <w:right w:w="15" w:type="dxa"/>
          </w:tblCellMar>
        </w:tblPrEx>
        <w:trPr>
          <w:trHeight w:val="719" w:hRule="atLeast"/>
        </w:trPr>
        <w:tc>
          <w:tcPr>
            <w:tcW w:w="9348" w:type="dxa"/>
            <w:gridSpan w:val="15"/>
            <w:tcBorders>
              <w:top w:val="nil"/>
              <w:left w:val="outset" w:color="auto" w:sz="6" w:space="0"/>
              <w:bottom w:val="outset" w:color="auto" w:sz="6" w:space="0"/>
              <w:right w:val="outset" w:color="auto" w:sz="6" w:space="0"/>
            </w:tcBorders>
          </w:tcPr>
          <w:p w14:paraId="1B1DCAC8">
            <w:pPr>
              <w:widowControl w:val="0"/>
              <w:autoSpaceDE w:val="0"/>
              <w:autoSpaceDN w:val="0"/>
              <w:spacing w:after="0" w:line="276" w:lineRule="auto"/>
              <w:jc w:val="both"/>
              <w:outlineLvl w:val="0"/>
              <w:rPr>
                <w:rFonts w:ascii="Times New Roman" w:hAnsi="Times New Roman" w:eastAsia="Times New Roman" w:cs="Times New Roman"/>
                <w:b/>
                <w:bCs/>
                <w:i/>
                <w:sz w:val="28"/>
                <w:szCs w:val="28"/>
              </w:rPr>
            </w:pPr>
            <w:r>
              <w:rPr>
                <w:rFonts w:ascii="Times New Roman" w:hAnsi="Times New Roman" w:eastAsia="Times New Roman" w:cs="Times New Roman"/>
                <w:i/>
                <w:sz w:val="28"/>
                <w:szCs w:val="28"/>
              </w:rPr>
              <w:t xml:space="preserve">*–Краскел–Уоллис критерийі бойынша айырмашылығы, көрсеткіштердің өзгеруінің растығы бойынша р&lt;0.05  </w:t>
            </w:r>
          </w:p>
        </w:tc>
      </w:tr>
    </w:tbl>
    <w:p w14:paraId="4FBC67B6">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09E3830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Бұл нәтижелер темір метаболизміндегі өзгерістердің анемия мен семіздік жағдайында қалай өрбитінін көрсетеді. Әсіресе, гепсидин және ферритин деңгейлерінің жоғары немесе төмен болуы осы патологиялар арасындағы патогенетикалық байланыстарды түсінуге мүмкіндік береді. Болашақ зерттеулерде қабыну маркерлерімен және темір метаболизмімен байланыстарды тереңірек зерттеу ұсынылады.</w:t>
      </w:r>
    </w:p>
    <w:p w14:paraId="7825F86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Осы көрсеткіштерді әрі қарай Мана–Уитни Z критерийі бойынша топаралық жұптық тексеру барысында гепсидин деңгейі 1-топқа (бақылау тобы) қарағанда 2, 3, және 4 топтарда айтарлықтай жоғары болды (р&lt;0.05). Сонымен қатар, 2 және 3 топтар немесе 3 және 4 топтар арасында статистикалық маңызды айырмашылық байқалмады (р&gt;0.05). Бұл анемия мен семіздіктің қосарланған әсері гепсидин деңгейін арттыратынын растайды. Келесі көрсеткіш, яғни эритропоэтин бойынша айтарлықтай айырмашылық тек 1 және 3 топтар (p=0,0118) және 1 және 4 топтар (p=0,023) арасында анықталды. Бұл семіздігі бар жүктілердегі эритропоэз реттелуіндегі ерекшеліктерді көрсетеді. Басқа жұптар арасында маңызды айырмашылықтар болмады. Ферритин бойынша барлық топтар арасында айтарлықтай айырмашылықтар байқалды, әсіресе 1 және 4 топтар арасында (р=0,009). Бұл анемия және семіздік кезінде темір қорының төмендейтінін дәлелдейді. Сонымен қатар, ферритиннің төмендеуі семіздігі бар жүкті әйелдерде (3 және 4 топтар – р=0,0352, р=0,047) анық байқалды. Бұл темір қорының анемия мен семіздік жағдайында елеулі түрде азайғанын көрсетеді.</w:t>
      </w:r>
    </w:p>
    <w:p w14:paraId="63B6AFD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нәтижелері анемия мен семіздік жағдайында гепсидин және ферритин деңгейлеріндегі өзгерістердің маңыздылығын көрсетеді. Гепсидин маркері анемия мен семіздік қатар болған кезде ғана максималды деңгейге жетсе, ферритин деңгейі барлық топтар арасында маңызды айырмашылықтар көрсетті. Бұл деректер 11-кестеде толығырақ сипатталған.</w:t>
      </w:r>
    </w:p>
    <w:p w14:paraId="728424F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528B0679">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Кесте – 11.</w:t>
      </w:r>
      <w:r>
        <w:rPr>
          <w:rFonts w:ascii="Times New Roman" w:hAnsi="Times New Roman" w:eastAsia="Times New Roman" w:cs="Times New Roman"/>
          <w:b/>
          <w:bCs/>
          <w:iCs/>
          <w:sz w:val="28"/>
          <w:szCs w:val="28"/>
          <w:lang w:eastAsia="ru-RU"/>
        </w:rPr>
        <w:t xml:space="preserve"> </w:t>
      </w:r>
      <w:r>
        <w:rPr>
          <w:rFonts w:ascii="Times New Roman" w:hAnsi="Times New Roman" w:eastAsia="Times New Roman" w:cs="Times New Roman"/>
          <w:iCs/>
          <w:sz w:val="28"/>
          <w:szCs w:val="28"/>
          <w:lang w:eastAsia="ru-RU"/>
        </w:rPr>
        <w:t>Темір алмасуының маркерлерінің зерттеу топтары арасындағы жұпаралық айырмашылығы</w:t>
      </w:r>
    </w:p>
    <w:p w14:paraId="3A843BC8">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13"/>
        <w:tblW w:w="0" w:type="auto"/>
        <w:tblInd w:w="0" w:type="dxa"/>
        <w:tblLayout w:type="autofit"/>
        <w:tblCellMar>
          <w:top w:w="15" w:type="dxa"/>
          <w:left w:w="15" w:type="dxa"/>
          <w:bottom w:w="15" w:type="dxa"/>
          <w:right w:w="15" w:type="dxa"/>
        </w:tblCellMar>
      </w:tblPr>
      <w:tblGrid>
        <w:gridCol w:w="1808"/>
        <w:gridCol w:w="1226"/>
        <w:gridCol w:w="1238"/>
        <w:gridCol w:w="1226"/>
        <w:gridCol w:w="1238"/>
        <w:gridCol w:w="1226"/>
        <w:gridCol w:w="1271"/>
      </w:tblGrid>
      <w:tr w14:paraId="19D6E02F">
        <w:tblPrEx>
          <w:tblCellMar>
            <w:top w:w="15" w:type="dxa"/>
            <w:left w:w="15" w:type="dxa"/>
            <w:bottom w:w="15" w:type="dxa"/>
            <w:right w:w="15" w:type="dxa"/>
          </w:tblCellMar>
        </w:tblPrEx>
        <w:trPr>
          <w:trHeight w:val="860" w:hRule="atLeast"/>
        </w:trPr>
        <w:tc>
          <w:tcPr>
            <w:tcW w:w="1783" w:type="dxa"/>
            <w:tcBorders>
              <w:top w:val="outset" w:color="auto" w:sz="6" w:space="0"/>
              <w:left w:val="outset" w:color="auto" w:sz="6" w:space="0"/>
              <w:bottom w:val="outset" w:color="auto" w:sz="6" w:space="0"/>
              <w:right w:val="outset" w:color="auto" w:sz="6" w:space="0"/>
            </w:tcBorders>
          </w:tcPr>
          <w:p w14:paraId="7DF629B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Көрсеткіштер</w:t>
            </w:r>
          </w:p>
        </w:tc>
        <w:tc>
          <w:tcPr>
            <w:tcW w:w="1226" w:type="dxa"/>
            <w:tcBorders>
              <w:top w:val="outset" w:color="auto" w:sz="6" w:space="0"/>
              <w:left w:val="outset" w:color="auto" w:sz="6" w:space="0"/>
              <w:bottom w:val="outset" w:color="auto" w:sz="6" w:space="0"/>
              <w:right w:val="outset" w:color="auto" w:sz="6" w:space="0"/>
            </w:tcBorders>
          </w:tcPr>
          <w:p w14:paraId="67AC3FCE">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1 және 2 топтар</w:t>
            </w:r>
          </w:p>
        </w:tc>
        <w:tc>
          <w:tcPr>
            <w:tcW w:w="1238" w:type="dxa"/>
            <w:tcBorders>
              <w:top w:val="outset" w:color="auto" w:sz="6" w:space="0"/>
              <w:left w:val="outset" w:color="auto" w:sz="6" w:space="0"/>
              <w:bottom w:val="outset" w:color="auto" w:sz="6" w:space="0"/>
              <w:right w:val="outset" w:color="auto" w:sz="6" w:space="0"/>
            </w:tcBorders>
          </w:tcPr>
          <w:p w14:paraId="56189D53">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1 және 3 топтар</w:t>
            </w:r>
          </w:p>
        </w:tc>
        <w:tc>
          <w:tcPr>
            <w:tcW w:w="1226" w:type="dxa"/>
            <w:tcBorders>
              <w:top w:val="outset" w:color="auto" w:sz="6" w:space="0"/>
              <w:left w:val="outset" w:color="auto" w:sz="6" w:space="0"/>
              <w:bottom w:val="outset" w:color="auto" w:sz="6" w:space="0"/>
              <w:right w:val="outset" w:color="auto" w:sz="6" w:space="0"/>
            </w:tcBorders>
          </w:tcPr>
          <w:p w14:paraId="09584AAE">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1 және 4 топтар</w:t>
            </w:r>
          </w:p>
        </w:tc>
        <w:tc>
          <w:tcPr>
            <w:tcW w:w="1238" w:type="dxa"/>
            <w:tcBorders>
              <w:top w:val="outset" w:color="auto" w:sz="6" w:space="0"/>
              <w:left w:val="outset" w:color="auto" w:sz="6" w:space="0"/>
              <w:bottom w:val="outset" w:color="auto" w:sz="6" w:space="0"/>
              <w:right w:val="outset" w:color="auto" w:sz="6" w:space="0"/>
            </w:tcBorders>
          </w:tcPr>
          <w:p w14:paraId="1B359A4E">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2 және 3 топтар</w:t>
            </w:r>
          </w:p>
        </w:tc>
        <w:tc>
          <w:tcPr>
            <w:tcW w:w="1226" w:type="dxa"/>
            <w:tcBorders>
              <w:top w:val="outset" w:color="auto" w:sz="6" w:space="0"/>
              <w:left w:val="outset" w:color="auto" w:sz="6" w:space="0"/>
              <w:bottom w:val="outset" w:color="auto" w:sz="6" w:space="0"/>
              <w:right w:val="outset" w:color="auto" w:sz="6" w:space="0"/>
            </w:tcBorders>
          </w:tcPr>
          <w:p w14:paraId="726D5270">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2 және 4 топтар</w:t>
            </w:r>
          </w:p>
        </w:tc>
        <w:tc>
          <w:tcPr>
            <w:tcW w:w="1268" w:type="dxa"/>
            <w:tcBorders>
              <w:top w:val="outset" w:color="auto" w:sz="6" w:space="0"/>
              <w:left w:val="outset" w:color="auto" w:sz="6" w:space="0"/>
              <w:bottom w:val="outset" w:color="auto" w:sz="6" w:space="0"/>
              <w:right w:val="outset" w:color="auto" w:sz="6" w:space="0"/>
            </w:tcBorders>
          </w:tcPr>
          <w:p w14:paraId="6700840D">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3 және 4 топтар</w:t>
            </w:r>
          </w:p>
        </w:tc>
      </w:tr>
      <w:tr w14:paraId="7907DC68">
        <w:tblPrEx>
          <w:tblCellMar>
            <w:top w:w="15" w:type="dxa"/>
            <w:left w:w="15" w:type="dxa"/>
            <w:bottom w:w="15" w:type="dxa"/>
            <w:right w:w="15" w:type="dxa"/>
          </w:tblCellMar>
        </w:tblPrEx>
        <w:trPr>
          <w:trHeight w:val="463" w:hRule="atLeast"/>
        </w:trPr>
        <w:tc>
          <w:tcPr>
            <w:tcW w:w="1783" w:type="dxa"/>
            <w:tcBorders>
              <w:top w:val="nil"/>
              <w:left w:val="outset" w:color="auto" w:sz="6" w:space="0"/>
              <w:bottom w:val="outset" w:color="auto" w:sz="6" w:space="0"/>
              <w:right w:val="outset" w:color="auto" w:sz="6" w:space="0"/>
            </w:tcBorders>
          </w:tcPr>
          <w:p w14:paraId="63632F6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p>
        </w:tc>
        <w:tc>
          <w:tcPr>
            <w:tcW w:w="1226" w:type="dxa"/>
            <w:tcBorders>
              <w:top w:val="nil"/>
              <w:left w:val="outset" w:color="auto" w:sz="6" w:space="0"/>
              <w:bottom w:val="outset" w:color="auto" w:sz="6" w:space="0"/>
              <w:right w:val="outset" w:color="auto" w:sz="6" w:space="0"/>
            </w:tcBorders>
          </w:tcPr>
          <w:p w14:paraId="6F1E9BCB">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238" w:type="dxa"/>
            <w:tcBorders>
              <w:top w:val="nil"/>
              <w:left w:val="outset" w:color="auto" w:sz="6" w:space="0"/>
              <w:bottom w:val="outset" w:color="auto" w:sz="6" w:space="0"/>
              <w:right w:val="outset" w:color="auto" w:sz="6" w:space="0"/>
            </w:tcBorders>
          </w:tcPr>
          <w:p w14:paraId="044BB3F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226" w:type="dxa"/>
            <w:tcBorders>
              <w:top w:val="nil"/>
              <w:left w:val="outset" w:color="auto" w:sz="6" w:space="0"/>
              <w:bottom w:val="outset" w:color="auto" w:sz="6" w:space="0"/>
              <w:right w:val="outset" w:color="auto" w:sz="6" w:space="0"/>
            </w:tcBorders>
          </w:tcPr>
          <w:p w14:paraId="67447A20">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238" w:type="dxa"/>
            <w:tcBorders>
              <w:top w:val="nil"/>
              <w:left w:val="outset" w:color="auto" w:sz="6" w:space="0"/>
              <w:bottom w:val="outset" w:color="auto" w:sz="6" w:space="0"/>
              <w:right w:val="outset" w:color="auto" w:sz="6" w:space="0"/>
            </w:tcBorders>
          </w:tcPr>
          <w:p w14:paraId="490E049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226" w:type="dxa"/>
            <w:tcBorders>
              <w:top w:val="nil"/>
              <w:left w:val="outset" w:color="auto" w:sz="6" w:space="0"/>
              <w:bottom w:val="outset" w:color="auto" w:sz="6" w:space="0"/>
              <w:right w:val="outset" w:color="auto" w:sz="6" w:space="0"/>
            </w:tcBorders>
          </w:tcPr>
          <w:p w14:paraId="39D26B45">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268" w:type="dxa"/>
            <w:tcBorders>
              <w:top w:val="nil"/>
              <w:left w:val="outset" w:color="auto" w:sz="6" w:space="0"/>
              <w:bottom w:val="outset" w:color="auto" w:sz="6" w:space="0"/>
              <w:right w:val="outset" w:color="auto" w:sz="6" w:space="0"/>
            </w:tcBorders>
          </w:tcPr>
          <w:p w14:paraId="586A172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r>
      <w:tr w14:paraId="24C3D388">
        <w:tblPrEx>
          <w:tblCellMar>
            <w:top w:w="15" w:type="dxa"/>
            <w:left w:w="15" w:type="dxa"/>
            <w:bottom w:w="15" w:type="dxa"/>
            <w:right w:w="15" w:type="dxa"/>
          </w:tblCellMar>
        </w:tblPrEx>
        <w:trPr>
          <w:trHeight w:val="440" w:hRule="atLeast"/>
        </w:trPr>
        <w:tc>
          <w:tcPr>
            <w:tcW w:w="1783" w:type="dxa"/>
            <w:tcBorders>
              <w:top w:val="nil"/>
              <w:left w:val="outset" w:color="auto" w:sz="6" w:space="0"/>
              <w:bottom w:val="outset" w:color="auto" w:sz="6" w:space="0"/>
              <w:right w:val="outset" w:color="auto" w:sz="6" w:space="0"/>
            </w:tcBorders>
          </w:tcPr>
          <w:p w14:paraId="3D9F716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Гепсидин</w:t>
            </w:r>
          </w:p>
        </w:tc>
        <w:tc>
          <w:tcPr>
            <w:tcW w:w="1226" w:type="dxa"/>
            <w:tcBorders>
              <w:top w:val="nil"/>
              <w:left w:val="outset" w:color="auto" w:sz="6" w:space="0"/>
              <w:bottom w:val="outset" w:color="auto" w:sz="6" w:space="0"/>
              <w:right w:val="outset" w:color="auto" w:sz="6" w:space="0"/>
            </w:tcBorders>
          </w:tcPr>
          <w:p w14:paraId="28CF2EF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0,000</w:t>
            </w:r>
            <w:r>
              <w:rPr>
                <w:rFonts w:ascii="Times New Roman" w:hAnsi="Times New Roman" w:eastAsia="Times New Roman" w:cs="Times New Roman"/>
                <w:b/>
                <w:i/>
                <w:sz w:val="28"/>
                <w:szCs w:val="28"/>
                <w:lang w:val="en-US"/>
              </w:rPr>
              <w:t>*</w:t>
            </w:r>
          </w:p>
        </w:tc>
        <w:tc>
          <w:tcPr>
            <w:tcW w:w="1238" w:type="dxa"/>
            <w:tcBorders>
              <w:top w:val="nil"/>
              <w:left w:val="outset" w:color="auto" w:sz="6" w:space="0"/>
              <w:bottom w:val="outset" w:color="auto" w:sz="6" w:space="0"/>
              <w:right w:val="outset" w:color="auto" w:sz="6" w:space="0"/>
            </w:tcBorders>
          </w:tcPr>
          <w:p w14:paraId="2F48FDA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0,000</w:t>
            </w:r>
            <w:r>
              <w:rPr>
                <w:rFonts w:ascii="Times New Roman" w:hAnsi="Times New Roman" w:eastAsia="Times New Roman" w:cs="Times New Roman"/>
                <w:b/>
                <w:i/>
                <w:sz w:val="28"/>
                <w:szCs w:val="28"/>
                <w:lang w:val="en-US"/>
              </w:rPr>
              <w:t>*</w:t>
            </w:r>
          </w:p>
        </w:tc>
        <w:tc>
          <w:tcPr>
            <w:tcW w:w="1226" w:type="dxa"/>
            <w:tcBorders>
              <w:top w:val="nil"/>
              <w:left w:val="outset" w:color="auto" w:sz="6" w:space="0"/>
              <w:bottom w:val="outset" w:color="auto" w:sz="6" w:space="0"/>
              <w:right w:val="outset" w:color="auto" w:sz="6" w:space="0"/>
            </w:tcBorders>
          </w:tcPr>
          <w:p w14:paraId="1E373C7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0,000</w:t>
            </w:r>
            <w:r>
              <w:rPr>
                <w:rFonts w:ascii="Times New Roman" w:hAnsi="Times New Roman" w:eastAsia="Times New Roman" w:cs="Times New Roman"/>
                <w:b/>
                <w:i/>
                <w:sz w:val="28"/>
                <w:szCs w:val="28"/>
                <w:lang w:val="en-US"/>
              </w:rPr>
              <w:t>*</w:t>
            </w:r>
          </w:p>
        </w:tc>
        <w:tc>
          <w:tcPr>
            <w:tcW w:w="1238" w:type="dxa"/>
            <w:tcBorders>
              <w:top w:val="nil"/>
              <w:left w:val="outset" w:color="auto" w:sz="6" w:space="0"/>
              <w:bottom w:val="outset" w:color="auto" w:sz="6" w:space="0"/>
              <w:right w:val="outset" w:color="auto" w:sz="6" w:space="0"/>
            </w:tcBorders>
          </w:tcPr>
          <w:p w14:paraId="4818854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161</w:t>
            </w:r>
          </w:p>
        </w:tc>
        <w:tc>
          <w:tcPr>
            <w:tcW w:w="1226" w:type="dxa"/>
            <w:tcBorders>
              <w:top w:val="nil"/>
              <w:left w:val="outset" w:color="auto" w:sz="6" w:space="0"/>
              <w:bottom w:val="outset" w:color="auto" w:sz="6" w:space="0"/>
              <w:right w:val="outset" w:color="auto" w:sz="6" w:space="0"/>
            </w:tcBorders>
          </w:tcPr>
          <w:p w14:paraId="6FBE47B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0,1</w:t>
            </w:r>
            <w:r>
              <w:rPr>
                <w:rFonts w:ascii="Times New Roman" w:hAnsi="Times New Roman" w:eastAsia="Times New Roman" w:cs="Times New Roman"/>
                <w:sz w:val="28"/>
                <w:szCs w:val="28"/>
                <w:lang w:val="en-US"/>
              </w:rPr>
              <w:t>35</w:t>
            </w:r>
          </w:p>
        </w:tc>
        <w:tc>
          <w:tcPr>
            <w:tcW w:w="1268" w:type="dxa"/>
            <w:tcBorders>
              <w:top w:val="nil"/>
              <w:left w:val="outset" w:color="auto" w:sz="6" w:space="0"/>
              <w:bottom w:val="outset" w:color="auto" w:sz="6" w:space="0"/>
              <w:right w:val="outset" w:color="auto" w:sz="6" w:space="0"/>
            </w:tcBorders>
          </w:tcPr>
          <w:p w14:paraId="71D21D8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060</w:t>
            </w:r>
          </w:p>
        </w:tc>
      </w:tr>
      <w:tr w14:paraId="4ABC23BA">
        <w:tblPrEx>
          <w:tblCellMar>
            <w:top w:w="15" w:type="dxa"/>
            <w:left w:w="15" w:type="dxa"/>
            <w:bottom w:w="15" w:type="dxa"/>
            <w:right w:w="15" w:type="dxa"/>
          </w:tblCellMar>
        </w:tblPrEx>
        <w:trPr>
          <w:trHeight w:val="463" w:hRule="atLeast"/>
        </w:trPr>
        <w:tc>
          <w:tcPr>
            <w:tcW w:w="1783" w:type="dxa"/>
            <w:tcBorders>
              <w:top w:val="nil"/>
              <w:left w:val="outset" w:color="auto" w:sz="6" w:space="0"/>
              <w:bottom w:val="outset" w:color="auto" w:sz="6" w:space="0"/>
              <w:right w:val="outset" w:color="auto" w:sz="6" w:space="0"/>
            </w:tcBorders>
          </w:tcPr>
          <w:p w14:paraId="0796DC4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Эритропоэтин</w:t>
            </w:r>
          </w:p>
        </w:tc>
        <w:tc>
          <w:tcPr>
            <w:tcW w:w="1226" w:type="dxa"/>
            <w:tcBorders>
              <w:top w:val="nil"/>
              <w:left w:val="outset" w:color="auto" w:sz="6" w:space="0"/>
              <w:bottom w:val="outset" w:color="auto" w:sz="6" w:space="0"/>
              <w:right w:val="outset" w:color="auto" w:sz="6" w:space="0"/>
            </w:tcBorders>
          </w:tcPr>
          <w:p w14:paraId="418C66E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0,430</w:t>
            </w:r>
          </w:p>
        </w:tc>
        <w:tc>
          <w:tcPr>
            <w:tcW w:w="1238" w:type="dxa"/>
            <w:tcBorders>
              <w:top w:val="nil"/>
              <w:left w:val="outset" w:color="auto" w:sz="6" w:space="0"/>
              <w:bottom w:val="outset" w:color="auto" w:sz="6" w:space="0"/>
              <w:right w:val="outset" w:color="auto" w:sz="6" w:space="0"/>
            </w:tcBorders>
          </w:tcPr>
          <w:p w14:paraId="42549C16">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0,0118</w:t>
            </w:r>
            <w:r>
              <w:rPr>
                <w:rFonts w:ascii="Times New Roman" w:hAnsi="Times New Roman" w:eastAsia="Times New Roman" w:cs="Times New Roman"/>
                <w:b/>
                <w:i/>
                <w:sz w:val="28"/>
                <w:szCs w:val="28"/>
                <w:lang w:val="en-US"/>
              </w:rPr>
              <w:t>*</w:t>
            </w:r>
          </w:p>
        </w:tc>
        <w:tc>
          <w:tcPr>
            <w:tcW w:w="1226" w:type="dxa"/>
            <w:tcBorders>
              <w:top w:val="nil"/>
              <w:left w:val="outset" w:color="auto" w:sz="6" w:space="0"/>
              <w:bottom w:val="outset" w:color="auto" w:sz="6" w:space="0"/>
              <w:right w:val="outset" w:color="auto" w:sz="6" w:space="0"/>
            </w:tcBorders>
          </w:tcPr>
          <w:p w14:paraId="42F4CE9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w:t>
            </w:r>
            <w:r>
              <w:rPr>
                <w:rFonts w:ascii="Times New Roman" w:hAnsi="Times New Roman" w:eastAsia="Times New Roman" w:cs="Times New Roman"/>
                <w:b/>
                <w:sz w:val="28"/>
                <w:szCs w:val="28"/>
                <w:lang w:val="en-US"/>
              </w:rPr>
              <w:t>23</w:t>
            </w:r>
            <w:r>
              <w:rPr>
                <w:rFonts w:ascii="Times New Roman" w:hAnsi="Times New Roman" w:eastAsia="Times New Roman" w:cs="Times New Roman"/>
                <w:b/>
                <w:i/>
                <w:sz w:val="28"/>
                <w:szCs w:val="28"/>
                <w:lang w:val="en-US"/>
              </w:rPr>
              <w:t>*</w:t>
            </w:r>
          </w:p>
        </w:tc>
        <w:tc>
          <w:tcPr>
            <w:tcW w:w="1238" w:type="dxa"/>
            <w:tcBorders>
              <w:top w:val="nil"/>
              <w:left w:val="outset" w:color="auto" w:sz="6" w:space="0"/>
              <w:bottom w:val="outset" w:color="auto" w:sz="6" w:space="0"/>
              <w:right w:val="outset" w:color="auto" w:sz="6" w:space="0"/>
            </w:tcBorders>
          </w:tcPr>
          <w:p w14:paraId="44A70F9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806</w:t>
            </w:r>
          </w:p>
        </w:tc>
        <w:tc>
          <w:tcPr>
            <w:tcW w:w="1226" w:type="dxa"/>
            <w:tcBorders>
              <w:top w:val="nil"/>
              <w:left w:val="outset" w:color="auto" w:sz="6" w:space="0"/>
              <w:bottom w:val="outset" w:color="auto" w:sz="6" w:space="0"/>
              <w:right w:val="outset" w:color="auto" w:sz="6" w:space="0"/>
            </w:tcBorders>
          </w:tcPr>
          <w:p w14:paraId="580EC4D0">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0,08</w:t>
            </w:r>
            <w:r>
              <w:rPr>
                <w:rFonts w:ascii="Times New Roman" w:hAnsi="Times New Roman" w:eastAsia="Times New Roman" w:cs="Times New Roman"/>
                <w:sz w:val="28"/>
                <w:szCs w:val="28"/>
                <w:lang w:val="en-US"/>
              </w:rPr>
              <w:t>9</w:t>
            </w:r>
          </w:p>
        </w:tc>
        <w:tc>
          <w:tcPr>
            <w:tcW w:w="1268" w:type="dxa"/>
            <w:tcBorders>
              <w:top w:val="nil"/>
              <w:left w:val="outset" w:color="auto" w:sz="6" w:space="0"/>
              <w:bottom w:val="outset" w:color="auto" w:sz="6" w:space="0"/>
              <w:right w:val="outset" w:color="auto" w:sz="6" w:space="0"/>
            </w:tcBorders>
          </w:tcPr>
          <w:p w14:paraId="49A1440B">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912</w:t>
            </w:r>
          </w:p>
        </w:tc>
      </w:tr>
      <w:tr w14:paraId="3384EF8E">
        <w:tblPrEx>
          <w:tblCellMar>
            <w:top w:w="15" w:type="dxa"/>
            <w:left w:w="15" w:type="dxa"/>
            <w:bottom w:w="15" w:type="dxa"/>
            <w:right w:w="15" w:type="dxa"/>
          </w:tblCellMar>
        </w:tblPrEx>
        <w:trPr>
          <w:trHeight w:val="463" w:hRule="atLeast"/>
        </w:trPr>
        <w:tc>
          <w:tcPr>
            <w:tcW w:w="1783" w:type="dxa"/>
            <w:tcBorders>
              <w:top w:val="nil"/>
              <w:left w:val="outset" w:color="auto" w:sz="6" w:space="0"/>
              <w:bottom w:val="outset" w:color="auto" w:sz="6" w:space="0"/>
              <w:right w:val="outset" w:color="auto" w:sz="6" w:space="0"/>
            </w:tcBorders>
          </w:tcPr>
          <w:p w14:paraId="2EB3663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Ферриттин</w:t>
            </w:r>
          </w:p>
        </w:tc>
        <w:tc>
          <w:tcPr>
            <w:tcW w:w="1226" w:type="dxa"/>
            <w:tcBorders>
              <w:top w:val="nil"/>
              <w:left w:val="outset" w:color="auto" w:sz="6" w:space="0"/>
              <w:bottom w:val="outset" w:color="auto" w:sz="6" w:space="0"/>
              <w:right w:val="outset" w:color="auto" w:sz="6" w:space="0"/>
            </w:tcBorders>
          </w:tcPr>
          <w:p w14:paraId="33654F68">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0,019</w:t>
            </w:r>
            <w:r>
              <w:rPr>
                <w:rFonts w:ascii="Times New Roman" w:hAnsi="Times New Roman" w:eastAsia="Times New Roman" w:cs="Times New Roman"/>
                <w:b/>
                <w:i/>
                <w:sz w:val="28"/>
                <w:szCs w:val="28"/>
                <w:lang w:val="en-US"/>
              </w:rPr>
              <w:t>*</w:t>
            </w:r>
          </w:p>
        </w:tc>
        <w:tc>
          <w:tcPr>
            <w:tcW w:w="1238" w:type="dxa"/>
            <w:tcBorders>
              <w:top w:val="nil"/>
              <w:left w:val="outset" w:color="auto" w:sz="6" w:space="0"/>
              <w:bottom w:val="outset" w:color="auto" w:sz="6" w:space="0"/>
              <w:right w:val="outset" w:color="auto" w:sz="6" w:space="0"/>
            </w:tcBorders>
          </w:tcPr>
          <w:p w14:paraId="50A4132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w:t>
            </w:r>
            <w:r>
              <w:rPr>
                <w:rFonts w:ascii="Times New Roman" w:hAnsi="Times New Roman" w:eastAsia="Times New Roman" w:cs="Times New Roman"/>
                <w:b/>
                <w:sz w:val="28"/>
                <w:szCs w:val="28"/>
                <w:lang w:val="en-US"/>
              </w:rPr>
              <w:t>22</w:t>
            </w:r>
            <w:r>
              <w:rPr>
                <w:rFonts w:ascii="Times New Roman" w:hAnsi="Times New Roman" w:eastAsia="Times New Roman" w:cs="Times New Roman"/>
                <w:b/>
                <w:i/>
                <w:sz w:val="28"/>
                <w:szCs w:val="28"/>
                <w:lang w:val="en-US"/>
              </w:rPr>
              <w:t>*</w:t>
            </w:r>
          </w:p>
        </w:tc>
        <w:tc>
          <w:tcPr>
            <w:tcW w:w="1226" w:type="dxa"/>
            <w:tcBorders>
              <w:top w:val="nil"/>
              <w:left w:val="outset" w:color="auto" w:sz="6" w:space="0"/>
              <w:bottom w:val="outset" w:color="auto" w:sz="6" w:space="0"/>
              <w:right w:val="outset" w:color="auto" w:sz="6" w:space="0"/>
            </w:tcBorders>
          </w:tcPr>
          <w:p w14:paraId="4180DA13">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w:t>
            </w:r>
            <w:r>
              <w:rPr>
                <w:rFonts w:ascii="Times New Roman" w:hAnsi="Times New Roman" w:eastAsia="Times New Roman" w:cs="Times New Roman"/>
                <w:b/>
                <w:sz w:val="28"/>
                <w:szCs w:val="28"/>
                <w:lang w:val="en-US"/>
              </w:rPr>
              <w:t>09</w:t>
            </w:r>
            <w:r>
              <w:rPr>
                <w:rFonts w:ascii="Times New Roman" w:hAnsi="Times New Roman" w:eastAsia="Times New Roman" w:cs="Times New Roman"/>
                <w:b/>
                <w:i/>
                <w:sz w:val="28"/>
                <w:szCs w:val="28"/>
                <w:lang w:val="en-US"/>
              </w:rPr>
              <w:t>*</w:t>
            </w:r>
          </w:p>
        </w:tc>
        <w:tc>
          <w:tcPr>
            <w:tcW w:w="1238" w:type="dxa"/>
            <w:tcBorders>
              <w:top w:val="nil"/>
              <w:left w:val="outset" w:color="auto" w:sz="6" w:space="0"/>
              <w:bottom w:val="outset" w:color="auto" w:sz="6" w:space="0"/>
              <w:right w:val="outset" w:color="auto" w:sz="6" w:space="0"/>
            </w:tcBorders>
          </w:tcPr>
          <w:p w14:paraId="073AE93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w:t>
            </w:r>
            <w:r>
              <w:rPr>
                <w:rFonts w:ascii="Times New Roman" w:hAnsi="Times New Roman" w:eastAsia="Times New Roman" w:cs="Times New Roman"/>
                <w:b/>
                <w:sz w:val="28"/>
                <w:szCs w:val="28"/>
                <w:lang w:val="en-US"/>
              </w:rPr>
              <w:t>,0352</w:t>
            </w:r>
            <w:r>
              <w:rPr>
                <w:rFonts w:ascii="Times New Roman" w:hAnsi="Times New Roman" w:eastAsia="Times New Roman" w:cs="Times New Roman"/>
                <w:b/>
                <w:i/>
                <w:sz w:val="28"/>
                <w:szCs w:val="28"/>
                <w:lang w:val="en-US"/>
              </w:rPr>
              <w:t>*</w:t>
            </w:r>
          </w:p>
        </w:tc>
        <w:tc>
          <w:tcPr>
            <w:tcW w:w="1226" w:type="dxa"/>
            <w:tcBorders>
              <w:top w:val="nil"/>
              <w:left w:val="outset" w:color="auto" w:sz="6" w:space="0"/>
              <w:bottom w:val="outset" w:color="auto" w:sz="6" w:space="0"/>
              <w:right w:val="outset" w:color="auto" w:sz="6" w:space="0"/>
            </w:tcBorders>
          </w:tcPr>
          <w:p w14:paraId="7A1296E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Cs/>
                <w:sz w:val="28"/>
                <w:szCs w:val="28"/>
                <w:lang w:val="en-US" w:eastAsia="ru-RU"/>
              </w:rPr>
              <w:t>0,0</w:t>
            </w:r>
            <w:r>
              <w:rPr>
                <w:rFonts w:ascii="Times New Roman" w:hAnsi="Times New Roman" w:eastAsia="Times New Roman" w:cs="Times New Roman"/>
                <w:bCs/>
                <w:sz w:val="28"/>
                <w:szCs w:val="28"/>
                <w:lang w:val="en-US"/>
              </w:rPr>
              <w:t>62</w:t>
            </w:r>
          </w:p>
        </w:tc>
        <w:tc>
          <w:tcPr>
            <w:tcW w:w="1268" w:type="dxa"/>
            <w:tcBorders>
              <w:top w:val="nil"/>
              <w:left w:val="outset" w:color="auto" w:sz="6" w:space="0"/>
              <w:bottom w:val="outset" w:color="auto" w:sz="6" w:space="0"/>
              <w:right w:val="outset" w:color="auto" w:sz="6" w:space="0"/>
            </w:tcBorders>
          </w:tcPr>
          <w:p w14:paraId="36353D7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sz w:val="28"/>
                <w:szCs w:val="28"/>
                <w:lang w:val="en-US" w:eastAsia="ru-RU"/>
              </w:rPr>
              <w:t>0,0</w:t>
            </w:r>
            <w:r>
              <w:rPr>
                <w:rFonts w:ascii="Times New Roman" w:hAnsi="Times New Roman" w:eastAsia="Times New Roman" w:cs="Times New Roman"/>
                <w:b/>
                <w:sz w:val="28"/>
                <w:szCs w:val="28"/>
                <w:lang w:val="en-US"/>
              </w:rPr>
              <w:t>47</w:t>
            </w:r>
            <w:r>
              <w:rPr>
                <w:rFonts w:ascii="Times New Roman" w:hAnsi="Times New Roman" w:eastAsia="Times New Roman" w:cs="Times New Roman"/>
                <w:b/>
                <w:i/>
                <w:sz w:val="28"/>
                <w:szCs w:val="28"/>
                <w:lang w:val="en-US"/>
              </w:rPr>
              <w:t>*</w:t>
            </w:r>
          </w:p>
        </w:tc>
      </w:tr>
      <w:tr w14:paraId="554D1845">
        <w:tblPrEx>
          <w:tblCellMar>
            <w:top w:w="15" w:type="dxa"/>
            <w:left w:w="15" w:type="dxa"/>
            <w:bottom w:w="15" w:type="dxa"/>
            <w:right w:w="15" w:type="dxa"/>
          </w:tblCellMar>
        </w:tblPrEx>
        <w:trPr>
          <w:trHeight w:val="948" w:hRule="atLeast"/>
        </w:trPr>
        <w:tc>
          <w:tcPr>
            <w:tcW w:w="9208" w:type="dxa"/>
            <w:gridSpan w:val="7"/>
            <w:tcBorders>
              <w:top w:val="nil"/>
              <w:left w:val="outset" w:color="auto" w:sz="6" w:space="0"/>
              <w:bottom w:val="outset" w:color="auto" w:sz="6" w:space="0"/>
              <w:right w:val="outset" w:color="auto" w:sz="6" w:space="0"/>
            </w:tcBorders>
          </w:tcPr>
          <w:p w14:paraId="0DE6D9D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i/>
                <w:sz w:val="28"/>
                <w:szCs w:val="28"/>
                <w:lang w:val="en-US" w:eastAsia="ru-RU"/>
              </w:rPr>
            </w:pPr>
            <w:r>
              <w:rPr>
                <w:rFonts w:ascii="Times New Roman" w:hAnsi="Times New Roman" w:eastAsia="Times New Roman" w:cs="Times New Roman"/>
                <w:sz w:val="28"/>
                <w:szCs w:val="28"/>
                <w:lang w:val="en-US" w:eastAsia="ru-RU"/>
              </w:rPr>
              <w:t>*–</w:t>
            </w:r>
            <w:r>
              <w:rPr>
                <w:rFonts w:ascii="Times New Roman" w:hAnsi="Times New Roman" w:eastAsia="Times New Roman" w:cs="Times New Roman"/>
                <w:sz w:val="28"/>
                <w:szCs w:val="28"/>
                <w:lang w:val="en-US"/>
              </w:rPr>
              <w:tab/>
            </w:r>
            <w:r>
              <w:rPr>
                <w:rFonts w:ascii="Times New Roman" w:hAnsi="Times New Roman" w:eastAsia="Times New Roman" w:cs="Times New Roman"/>
                <w:i/>
                <w:iCs/>
                <w:sz w:val="28"/>
                <w:szCs w:val="28"/>
                <w:lang w:val="en-US"/>
              </w:rPr>
              <w:t xml:space="preserve">Мана–Уитни </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параметрлік</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емес</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Z критерий</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бойынша</w:t>
            </w:r>
          </w:p>
          <w:p w14:paraId="6C3F592E">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i/>
                <w:sz w:val="28"/>
                <w:szCs w:val="28"/>
                <w:lang w:val="en-US" w:eastAsia="ru-RU"/>
              </w:rPr>
              <w:t>айырмашылығы,</w:t>
            </w:r>
            <w:r>
              <w:rPr>
                <w:rFonts w:ascii="Times New Roman" w:hAnsi="Times New Roman" w:eastAsia="Times New Roman" w:cs="Times New Roman"/>
                <w:i/>
                <w:sz w:val="28"/>
                <w:szCs w:val="28"/>
                <w:lang w:val="en-US"/>
              </w:rPr>
              <w:t xml:space="preserve"> кө</w:t>
            </w:r>
            <w:r>
              <w:rPr>
                <w:rFonts w:ascii="Times New Roman" w:hAnsi="Times New Roman" w:eastAsia="Times New Roman" w:cs="Times New Roman"/>
                <w:i/>
                <w:sz w:val="28"/>
                <w:szCs w:val="28"/>
                <w:lang w:val="en-US" w:eastAsia="ru-RU"/>
              </w:rPr>
              <w:t>рсеткіштердің өзгеру</w:t>
            </w:r>
            <w:r>
              <w:rPr>
                <w:rFonts w:ascii="Times New Roman" w:hAnsi="Times New Roman" w:eastAsia="Times New Roman" w:cs="Times New Roman"/>
                <w:i/>
                <w:sz w:val="28"/>
                <w:szCs w:val="28"/>
                <w:lang w:val="en-US"/>
              </w:rPr>
              <w:t xml:space="preserve"> растығ</w:t>
            </w:r>
            <w:r>
              <w:rPr>
                <w:rFonts w:ascii="Times New Roman" w:hAnsi="Times New Roman" w:eastAsia="Times New Roman" w:cs="Times New Roman"/>
                <w:i/>
                <w:sz w:val="28"/>
                <w:szCs w:val="28"/>
                <w:lang w:val="en-US" w:eastAsia="ru-RU"/>
              </w:rPr>
              <w:t>ы</w:t>
            </w:r>
            <w:r>
              <w:rPr>
                <w:rFonts w:ascii="Times New Roman" w:hAnsi="Times New Roman" w:eastAsia="Times New Roman" w:cs="Times New Roman"/>
                <w:i/>
                <w:sz w:val="28"/>
                <w:szCs w:val="28"/>
                <w:lang w:val="en-US"/>
              </w:rPr>
              <w:t xml:space="preserve"> кезінде p &lt; 0.05</w:t>
            </w:r>
          </w:p>
        </w:tc>
      </w:tr>
    </w:tbl>
    <w:p w14:paraId="09A8F1E7">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3154CE6F">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Соңғы зерттеулер денеде майлы тіндердің шамадан тыс болуы қандағы гепсидин деңгейінің жоғарылауына әсер ететінін және оның нәтижесінде темір метаболизмінің бұзылуына алып келетінін көрсетеді [181]. Бұл жағдай темірдің  арқылы сіңуін төмендетіп, темір гомеостазының бұзылуына ықпал етеді. Сонымен қатар, майлы тіндерден бөлінетін қабыну медиаторлары (мысалы, интерлейкин-6) гепсидин синтезін күшейтеді, бұл өз кезегінде ағзада темірдің реттелуіне кері әсер етеді. Осыған байланысты, темірдің қосымша дозасын қабылдау жағдайында да оның тиімді сіңірілуі шектелуі мүмкін.</w:t>
      </w:r>
    </w:p>
    <w:p w14:paraId="1D8055E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Біздің зерттеу нәтижелері жоғарыда сипатталған патогенетикалық механизмді растайды. Атап айтқанда, гепсидин деңгейі семіздігі бар жүкті әйелдерде (3 және 4 топтар) бақылау тобына (1-топ) қарағанда едәуір жоғары екені анықталды. Бұл статистикалық маңызды айырмашылықтар гепсидиннің семіздік жағдайында темір метаболизмінің бұзылуының маңызды биомаркері екенін көрсетеді.</w:t>
      </w:r>
    </w:p>
    <w:p w14:paraId="5F6CA07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Бұл механизмді тереңірек түсіну және оның анемиямен байланысын анықтау үшін жүктілердегі қабыну маркерлерінің деңгейін зерттеу жүргізілді. Қабыну маркерлерінің жоғарылауы семіздік пен анемияның қосарланған әсерін одан әрі күшейтіп, темір метаболизміне жанама әсер ететіні белгілі. Зерттеу барысында қабыну процестерінің және олардың темір алмасуындағы рөлі туралы нақты деректер алынғанын атап өту маңызды.</w:t>
      </w:r>
    </w:p>
    <w:p w14:paraId="6554C06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7F65508E">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sz w:val="28"/>
          <w:szCs w:val="28"/>
          <w:lang w:eastAsia="ru-RU"/>
        </w:rPr>
        <w:t>3.3</w:t>
      </w: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b/>
          <w:bCs/>
          <w:sz w:val="28"/>
          <w:szCs w:val="28"/>
          <w:lang w:eastAsia="ru-RU"/>
        </w:rPr>
        <w:t>Жүктілікке дейінгі семіздігі бар жүктілерде анемия дамуында қабыну медиаторларының (интерлейкин–6, C–реактивті ақуыз) маркерлерінің болжамдылық маңыздылығы</w:t>
      </w:r>
    </w:p>
    <w:p w14:paraId="6CD0596F">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1003EF4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барысында топтар арасында ИЛ–6 және С</w:t>
      </w:r>
      <w:r>
        <w:rPr>
          <w:rFonts w:ascii="Times New Roman" w:hAnsi="Times New Roman" w:eastAsia="Times New Roman" w:cs="Times New Roman"/>
          <w:sz w:val="28"/>
          <w:szCs w:val="28"/>
          <w:lang w:val="kk-KZ" w:eastAsia="ru-RU"/>
        </w:rPr>
        <w:t>РА</w:t>
      </w:r>
      <w:r>
        <w:rPr>
          <w:rFonts w:ascii="Times New Roman" w:hAnsi="Times New Roman" w:eastAsia="Times New Roman" w:cs="Times New Roman"/>
          <w:sz w:val="28"/>
          <w:szCs w:val="28"/>
          <w:lang w:eastAsia="ru-RU"/>
        </w:rPr>
        <w:t xml:space="preserve"> сияқты қабыну медиаторларының деңгейлері зерттелді. Топтар арасындағы жалпы айырмашылықты анықтау үшін Краскел–Уоллис сынамасы қолданылды. Нәтижесінде, екі көрсеткіш бойынша да статистикалық маңызды айырмашылықтар тіркелді (p &lt; 0.05). Нәтижелер 12-кестеде берілген. СРА деңгейі ең жоғары көрсеткішті анемия және семіздік қатар кездескен топта (4-топ) көрсетті, медиана мәні – 12,37. Бұл бақылау тобымен салыстырғанда 22%-ға жоғары (H=18,054, p=0,0004). Анемиялық топта (2-топ) СРА деңгейі бақылау тобына қарағанда төмен болғаны анықталды. Ескертуге тұрарлық жағдай: тек семіздігі бар жүкті әйелдер тобында (3-топ) СРА деңгейі бақылау тобынан статистикалық маңызды жоғары болмады.</w:t>
      </w:r>
    </w:p>
    <w:p w14:paraId="01FF960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ИЛ-6 деңгейі семіздігі бар жүкті әйелдерде (3 және 4 топтар) бақылау тобымен салыстырғанда 2–2,5 есе жоғары болғаны анықталды. Топтар арасындағы айырмашылық статистикалық маңызды болды (H=35,896, p=0,0000). Бұл нәтижелер ИЛ-6-ның семіздікке байланысты қабыну процестерінің белсенділігін арттыруда маңызды рөл атқаратынын дәлелдейді.</w:t>
      </w:r>
    </w:p>
    <w:p w14:paraId="452AF0C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1B637CD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52B89187">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Кесте – 12. Қабыну</w:t>
      </w:r>
      <w:r>
        <w:rPr>
          <w:rFonts w:ascii="Times New Roman" w:hAnsi="Times New Roman" w:eastAsia="Times New Roman" w:cs="Times New Roman"/>
          <w:b/>
          <w:bCs/>
          <w:iCs/>
          <w:sz w:val="28"/>
          <w:szCs w:val="28"/>
          <w:lang w:eastAsia="ru-RU"/>
        </w:rPr>
        <w:t xml:space="preserve"> </w:t>
      </w:r>
      <w:r>
        <w:rPr>
          <w:rFonts w:ascii="Times New Roman" w:hAnsi="Times New Roman" w:eastAsia="Times New Roman" w:cs="Times New Roman"/>
          <w:iCs/>
          <w:sz w:val="28"/>
          <w:szCs w:val="28"/>
          <w:lang w:eastAsia="ru-RU"/>
        </w:rPr>
        <w:t>маркерлерінің зерттеу топтары арасындағы айырмашылығы</w:t>
      </w:r>
    </w:p>
    <w:p w14:paraId="0DB3D0F2">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5"/>
        <w:tblW w:w="0" w:type="auto"/>
        <w:tblInd w:w="0" w:type="dxa"/>
        <w:tblLayout w:type="fixed"/>
        <w:tblCellMar>
          <w:top w:w="15" w:type="dxa"/>
          <w:left w:w="15" w:type="dxa"/>
          <w:bottom w:w="15" w:type="dxa"/>
          <w:right w:w="15" w:type="dxa"/>
        </w:tblCellMar>
      </w:tblPr>
      <w:tblGrid>
        <w:gridCol w:w="1611"/>
        <w:gridCol w:w="444"/>
        <w:gridCol w:w="444"/>
        <w:gridCol w:w="445"/>
        <w:gridCol w:w="445"/>
        <w:gridCol w:w="445"/>
        <w:gridCol w:w="445"/>
        <w:gridCol w:w="445"/>
        <w:gridCol w:w="445"/>
        <w:gridCol w:w="445"/>
        <w:gridCol w:w="445"/>
        <w:gridCol w:w="445"/>
        <w:gridCol w:w="992"/>
        <w:gridCol w:w="1089"/>
        <w:gridCol w:w="800"/>
      </w:tblGrid>
      <w:tr w14:paraId="081EE8B2">
        <w:tblPrEx>
          <w:tblCellMar>
            <w:top w:w="15" w:type="dxa"/>
            <w:left w:w="15" w:type="dxa"/>
            <w:bottom w:w="15" w:type="dxa"/>
            <w:right w:w="15" w:type="dxa"/>
          </w:tblCellMar>
        </w:tblPrEx>
        <w:tc>
          <w:tcPr>
            <w:tcW w:w="1611" w:type="dxa"/>
            <w:vMerge w:val="restart"/>
            <w:tcBorders>
              <w:top w:val="outset" w:color="auto" w:sz="6" w:space="0"/>
              <w:left w:val="outset" w:color="auto" w:sz="6" w:space="0"/>
              <w:right w:val="outset" w:color="auto" w:sz="6" w:space="0"/>
            </w:tcBorders>
          </w:tcPr>
          <w:p w14:paraId="466392C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Маркерлер</w:t>
            </w:r>
          </w:p>
        </w:tc>
        <w:tc>
          <w:tcPr>
            <w:tcW w:w="1333" w:type="dxa"/>
            <w:gridSpan w:val="3"/>
            <w:tcBorders>
              <w:top w:val="outset" w:color="auto" w:sz="6" w:space="0"/>
              <w:left w:val="outset" w:color="auto" w:sz="6" w:space="0"/>
              <w:bottom w:val="outset" w:color="auto" w:sz="6" w:space="0"/>
              <w:right w:val="outset" w:color="auto" w:sz="6" w:space="0"/>
            </w:tcBorders>
          </w:tcPr>
          <w:p w14:paraId="7502C557">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Бақылау</w:t>
            </w:r>
          </w:p>
          <w:p w14:paraId="06598DC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тобы</w:t>
            </w:r>
          </w:p>
        </w:tc>
        <w:tc>
          <w:tcPr>
            <w:tcW w:w="4552" w:type="dxa"/>
            <w:gridSpan w:val="9"/>
            <w:tcBorders>
              <w:top w:val="outset" w:color="auto" w:sz="6" w:space="0"/>
              <w:left w:val="outset" w:color="auto" w:sz="6" w:space="0"/>
              <w:bottom w:val="outset" w:color="auto" w:sz="6" w:space="0"/>
              <w:right w:val="outset" w:color="auto" w:sz="6" w:space="0"/>
            </w:tcBorders>
          </w:tcPr>
          <w:p w14:paraId="34A09F7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Негізгі топтар</w:t>
            </w:r>
          </w:p>
        </w:tc>
        <w:tc>
          <w:tcPr>
            <w:tcW w:w="1089" w:type="dxa"/>
            <w:vMerge w:val="restart"/>
            <w:tcBorders>
              <w:top w:val="outset" w:color="auto" w:sz="6" w:space="0"/>
              <w:left w:val="outset" w:color="auto" w:sz="6" w:space="0"/>
              <w:right w:val="outset" w:color="auto" w:sz="6" w:space="0"/>
            </w:tcBorders>
          </w:tcPr>
          <w:p w14:paraId="1111D34D">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Kruskal–Wallis test (H)</w:t>
            </w:r>
          </w:p>
        </w:tc>
        <w:tc>
          <w:tcPr>
            <w:tcW w:w="800" w:type="dxa"/>
            <w:vMerge w:val="restart"/>
            <w:tcBorders>
              <w:top w:val="outset" w:color="auto" w:sz="6" w:space="0"/>
              <w:left w:val="outset" w:color="auto" w:sz="6" w:space="0"/>
              <w:right w:val="outset" w:color="auto" w:sz="6" w:space="0"/>
            </w:tcBorders>
          </w:tcPr>
          <w:p w14:paraId="73E3E040">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p–level</w:t>
            </w:r>
          </w:p>
        </w:tc>
      </w:tr>
      <w:tr w14:paraId="01DFA959">
        <w:tblPrEx>
          <w:tblCellMar>
            <w:top w:w="15" w:type="dxa"/>
            <w:left w:w="15" w:type="dxa"/>
            <w:bottom w:w="15" w:type="dxa"/>
            <w:right w:w="15" w:type="dxa"/>
          </w:tblCellMar>
        </w:tblPrEx>
        <w:tc>
          <w:tcPr>
            <w:tcW w:w="1611" w:type="dxa"/>
            <w:vMerge w:val="continue"/>
            <w:tcBorders>
              <w:left w:val="outset" w:color="auto" w:sz="6" w:space="0"/>
              <w:right w:val="outset" w:color="auto" w:sz="6" w:space="0"/>
            </w:tcBorders>
          </w:tcPr>
          <w:p w14:paraId="24D1A87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p>
        </w:tc>
        <w:tc>
          <w:tcPr>
            <w:tcW w:w="1333" w:type="dxa"/>
            <w:gridSpan w:val="3"/>
            <w:tcBorders>
              <w:top w:val="outset" w:color="auto" w:sz="6" w:space="0"/>
              <w:left w:val="outset" w:color="auto" w:sz="6" w:space="0"/>
              <w:bottom w:val="outset" w:color="auto" w:sz="6" w:space="0"/>
              <w:right w:val="outset" w:color="auto" w:sz="6" w:space="0"/>
            </w:tcBorders>
          </w:tcPr>
          <w:p w14:paraId="1A37BE3C">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топ</w:t>
            </w:r>
          </w:p>
          <w:p w14:paraId="6789CCB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(n=43)</w:t>
            </w:r>
          </w:p>
        </w:tc>
        <w:tc>
          <w:tcPr>
            <w:tcW w:w="1335" w:type="dxa"/>
            <w:gridSpan w:val="3"/>
            <w:tcBorders>
              <w:top w:val="outset" w:color="auto" w:sz="6" w:space="0"/>
              <w:left w:val="outset" w:color="auto" w:sz="6" w:space="0"/>
              <w:bottom w:val="outset" w:color="auto" w:sz="6" w:space="0"/>
              <w:right w:val="outset" w:color="auto" w:sz="6" w:space="0"/>
            </w:tcBorders>
          </w:tcPr>
          <w:p w14:paraId="2C7EE51E">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топ</w:t>
            </w:r>
          </w:p>
          <w:p w14:paraId="1B286D9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(n=40)</w:t>
            </w:r>
          </w:p>
        </w:tc>
        <w:tc>
          <w:tcPr>
            <w:tcW w:w="1335" w:type="dxa"/>
            <w:gridSpan w:val="3"/>
            <w:tcBorders>
              <w:top w:val="outset" w:color="auto" w:sz="6" w:space="0"/>
              <w:left w:val="outset" w:color="auto" w:sz="6" w:space="0"/>
              <w:bottom w:val="outset" w:color="auto" w:sz="6" w:space="0"/>
              <w:right w:val="outset" w:color="auto" w:sz="6" w:space="0"/>
            </w:tcBorders>
          </w:tcPr>
          <w:p w14:paraId="790019F5">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топ</w:t>
            </w:r>
          </w:p>
          <w:p w14:paraId="13F0B46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(n=48)</w:t>
            </w:r>
          </w:p>
        </w:tc>
        <w:tc>
          <w:tcPr>
            <w:tcW w:w="1882" w:type="dxa"/>
            <w:gridSpan w:val="3"/>
            <w:tcBorders>
              <w:top w:val="outset" w:color="auto" w:sz="6" w:space="0"/>
              <w:left w:val="outset" w:color="auto" w:sz="6" w:space="0"/>
              <w:bottom w:val="outset" w:color="auto" w:sz="6" w:space="0"/>
              <w:right w:val="outset" w:color="auto" w:sz="6" w:space="0"/>
            </w:tcBorders>
          </w:tcPr>
          <w:p w14:paraId="1444C82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4 топ</w:t>
            </w:r>
          </w:p>
          <w:p w14:paraId="2DBE5A2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(n=36)</w:t>
            </w:r>
          </w:p>
        </w:tc>
        <w:tc>
          <w:tcPr>
            <w:tcW w:w="1089" w:type="dxa"/>
            <w:vMerge w:val="continue"/>
            <w:tcBorders>
              <w:left w:val="outset" w:color="auto" w:sz="6" w:space="0"/>
              <w:right w:val="outset" w:color="auto" w:sz="6" w:space="0"/>
            </w:tcBorders>
          </w:tcPr>
          <w:p w14:paraId="7A946A0B">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00" w:type="dxa"/>
            <w:vMerge w:val="continue"/>
            <w:tcBorders>
              <w:left w:val="outset" w:color="auto" w:sz="6" w:space="0"/>
              <w:right w:val="outset" w:color="auto" w:sz="6" w:space="0"/>
            </w:tcBorders>
          </w:tcPr>
          <w:p w14:paraId="2AB521D5">
            <w:pPr>
              <w:widowControl w:val="0"/>
              <w:autoSpaceDE w:val="0"/>
              <w:autoSpaceDN w:val="0"/>
              <w:spacing w:after="0" w:line="276" w:lineRule="auto"/>
              <w:jc w:val="both"/>
              <w:outlineLvl w:val="0"/>
              <w:rPr>
                <w:rFonts w:ascii="Times New Roman" w:hAnsi="Times New Roman" w:eastAsia="Times New Roman" w:cs="Times New Roman"/>
                <w:sz w:val="28"/>
                <w:szCs w:val="28"/>
              </w:rPr>
            </w:pPr>
          </w:p>
        </w:tc>
      </w:tr>
      <w:tr w14:paraId="71B4DCA5">
        <w:tblPrEx>
          <w:tblCellMar>
            <w:top w:w="15" w:type="dxa"/>
            <w:left w:w="15" w:type="dxa"/>
            <w:bottom w:w="15" w:type="dxa"/>
            <w:right w:w="15" w:type="dxa"/>
          </w:tblCellMar>
        </w:tblPrEx>
        <w:tc>
          <w:tcPr>
            <w:tcW w:w="1611" w:type="dxa"/>
            <w:vMerge w:val="continue"/>
            <w:tcBorders>
              <w:left w:val="outset" w:color="auto" w:sz="6" w:space="0"/>
              <w:bottom w:val="outset" w:color="auto" w:sz="6" w:space="0"/>
              <w:right w:val="outset" w:color="auto" w:sz="6" w:space="0"/>
            </w:tcBorders>
          </w:tcPr>
          <w:p w14:paraId="7C705AF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444" w:type="dxa"/>
            <w:tcBorders>
              <w:top w:val="nil"/>
              <w:left w:val="outset" w:color="auto" w:sz="6" w:space="0"/>
              <w:bottom w:val="outset" w:color="auto" w:sz="6" w:space="0"/>
              <w:right w:val="outset" w:color="auto" w:sz="6" w:space="0"/>
            </w:tcBorders>
          </w:tcPr>
          <w:p w14:paraId="7D5E0F2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444" w:type="dxa"/>
            <w:tcBorders>
              <w:top w:val="nil"/>
              <w:left w:val="outset" w:color="auto" w:sz="6" w:space="0"/>
              <w:bottom w:val="outset" w:color="auto" w:sz="6" w:space="0"/>
              <w:right w:val="outset" w:color="auto" w:sz="6" w:space="0"/>
            </w:tcBorders>
          </w:tcPr>
          <w:p w14:paraId="1C77DA6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445" w:type="dxa"/>
            <w:tcBorders>
              <w:top w:val="nil"/>
              <w:left w:val="outset" w:color="auto" w:sz="6" w:space="0"/>
              <w:bottom w:val="outset" w:color="auto" w:sz="6" w:space="0"/>
              <w:right w:val="outset" w:color="auto" w:sz="6" w:space="0"/>
            </w:tcBorders>
          </w:tcPr>
          <w:p w14:paraId="3D01904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445" w:type="dxa"/>
            <w:tcBorders>
              <w:top w:val="nil"/>
              <w:left w:val="outset" w:color="auto" w:sz="6" w:space="0"/>
              <w:bottom w:val="outset" w:color="auto" w:sz="6" w:space="0"/>
              <w:right w:val="outset" w:color="auto" w:sz="6" w:space="0"/>
            </w:tcBorders>
          </w:tcPr>
          <w:p w14:paraId="0008FA3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445" w:type="dxa"/>
            <w:tcBorders>
              <w:top w:val="nil"/>
              <w:left w:val="outset" w:color="auto" w:sz="6" w:space="0"/>
              <w:bottom w:val="outset" w:color="auto" w:sz="6" w:space="0"/>
              <w:right w:val="outset" w:color="auto" w:sz="6" w:space="0"/>
            </w:tcBorders>
          </w:tcPr>
          <w:p w14:paraId="7373E49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445" w:type="dxa"/>
            <w:tcBorders>
              <w:top w:val="nil"/>
              <w:left w:val="outset" w:color="auto" w:sz="6" w:space="0"/>
              <w:bottom w:val="outset" w:color="auto" w:sz="6" w:space="0"/>
              <w:right w:val="outset" w:color="auto" w:sz="6" w:space="0"/>
            </w:tcBorders>
          </w:tcPr>
          <w:p w14:paraId="4014B8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445" w:type="dxa"/>
            <w:tcBorders>
              <w:top w:val="outset" w:color="auto" w:sz="6" w:space="0"/>
              <w:left w:val="outset" w:color="auto" w:sz="6" w:space="0"/>
              <w:bottom w:val="outset" w:color="auto" w:sz="6" w:space="0"/>
              <w:right w:val="outset" w:color="auto" w:sz="6" w:space="0"/>
            </w:tcBorders>
          </w:tcPr>
          <w:p w14:paraId="75E4463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445" w:type="dxa"/>
            <w:tcBorders>
              <w:top w:val="outset" w:color="auto" w:sz="6" w:space="0"/>
              <w:left w:val="outset" w:color="auto" w:sz="6" w:space="0"/>
              <w:bottom w:val="outset" w:color="auto" w:sz="6" w:space="0"/>
              <w:right w:val="outset" w:color="auto" w:sz="6" w:space="0"/>
            </w:tcBorders>
          </w:tcPr>
          <w:p w14:paraId="5165D6B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445" w:type="dxa"/>
            <w:tcBorders>
              <w:top w:val="outset" w:color="auto" w:sz="6" w:space="0"/>
              <w:left w:val="outset" w:color="auto" w:sz="6" w:space="0"/>
              <w:bottom w:val="outset" w:color="auto" w:sz="6" w:space="0"/>
              <w:right w:val="outset" w:color="auto" w:sz="6" w:space="0"/>
            </w:tcBorders>
          </w:tcPr>
          <w:p w14:paraId="4AEAE95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445" w:type="dxa"/>
            <w:tcBorders>
              <w:top w:val="outset" w:color="auto" w:sz="6" w:space="0"/>
              <w:left w:val="outset" w:color="auto" w:sz="6" w:space="0"/>
              <w:bottom w:val="outset" w:color="auto" w:sz="6" w:space="0"/>
              <w:right w:val="outset" w:color="auto" w:sz="6" w:space="0"/>
            </w:tcBorders>
          </w:tcPr>
          <w:p w14:paraId="3106BE0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Me</w:t>
            </w:r>
          </w:p>
        </w:tc>
        <w:tc>
          <w:tcPr>
            <w:tcW w:w="445" w:type="dxa"/>
            <w:tcBorders>
              <w:top w:val="outset" w:color="auto" w:sz="6" w:space="0"/>
              <w:left w:val="outset" w:color="auto" w:sz="6" w:space="0"/>
              <w:bottom w:val="outset" w:color="auto" w:sz="6" w:space="0"/>
              <w:right w:val="outset" w:color="auto" w:sz="6" w:space="0"/>
            </w:tcBorders>
          </w:tcPr>
          <w:p w14:paraId="6AB4929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Q1</w:t>
            </w:r>
          </w:p>
        </w:tc>
        <w:tc>
          <w:tcPr>
            <w:tcW w:w="992" w:type="dxa"/>
            <w:tcBorders>
              <w:top w:val="outset" w:color="auto" w:sz="6" w:space="0"/>
              <w:left w:val="outset" w:color="auto" w:sz="6" w:space="0"/>
              <w:bottom w:val="outset" w:color="auto" w:sz="6" w:space="0"/>
              <w:right w:val="outset" w:color="auto" w:sz="6" w:space="0"/>
            </w:tcBorders>
          </w:tcPr>
          <w:p w14:paraId="2C69983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Q3</w:t>
            </w:r>
          </w:p>
        </w:tc>
        <w:tc>
          <w:tcPr>
            <w:tcW w:w="1089" w:type="dxa"/>
            <w:vMerge w:val="continue"/>
            <w:tcBorders>
              <w:left w:val="outset" w:color="auto" w:sz="6" w:space="0"/>
              <w:bottom w:val="outset" w:color="auto" w:sz="6" w:space="0"/>
              <w:right w:val="outset" w:color="auto" w:sz="6" w:space="0"/>
            </w:tcBorders>
          </w:tcPr>
          <w:p w14:paraId="6A00F6CD">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00" w:type="dxa"/>
            <w:vMerge w:val="continue"/>
            <w:tcBorders>
              <w:left w:val="outset" w:color="auto" w:sz="6" w:space="0"/>
              <w:bottom w:val="outset" w:color="auto" w:sz="6" w:space="0"/>
              <w:right w:val="outset" w:color="auto" w:sz="6" w:space="0"/>
            </w:tcBorders>
          </w:tcPr>
          <w:p w14:paraId="4209169A">
            <w:pPr>
              <w:widowControl w:val="0"/>
              <w:autoSpaceDE w:val="0"/>
              <w:autoSpaceDN w:val="0"/>
              <w:spacing w:after="0" w:line="276" w:lineRule="auto"/>
              <w:jc w:val="both"/>
              <w:outlineLvl w:val="0"/>
              <w:rPr>
                <w:rFonts w:ascii="Times New Roman" w:hAnsi="Times New Roman" w:eastAsia="Times New Roman" w:cs="Times New Roman"/>
                <w:sz w:val="28"/>
                <w:szCs w:val="28"/>
              </w:rPr>
            </w:pPr>
          </w:p>
        </w:tc>
      </w:tr>
      <w:tr w14:paraId="0A708B31">
        <w:tblPrEx>
          <w:tblCellMar>
            <w:top w:w="15" w:type="dxa"/>
            <w:left w:w="15" w:type="dxa"/>
            <w:bottom w:w="15" w:type="dxa"/>
            <w:right w:w="15" w:type="dxa"/>
          </w:tblCellMar>
        </w:tblPrEx>
        <w:tc>
          <w:tcPr>
            <w:tcW w:w="1611" w:type="dxa"/>
            <w:tcBorders>
              <w:top w:val="nil"/>
              <w:left w:val="outset" w:color="auto" w:sz="6" w:space="0"/>
              <w:bottom w:val="outset" w:color="auto" w:sz="6" w:space="0"/>
              <w:right w:val="outset" w:color="auto" w:sz="6" w:space="0"/>
            </w:tcBorders>
          </w:tcPr>
          <w:p w14:paraId="4281A9D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СРА</w:t>
            </w:r>
          </w:p>
        </w:tc>
        <w:tc>
          <w:tcPr>
            <w:tcW w:w="444" w:type="dxa"/>
            <w:tcBorders>
              <w:top w:val="nil"/>
              <w:left w:val="outset" w:color="auto" w:sz="6" w:space="0"/>
              <w:bottom w:val="outset" w:color="auto" w:sz="6" w:space="0"/>
              <w:right w:val="outset" w:color="auto" w:sz="6" w:space="0"/>
            </w:tcBorders>
          </w:tcPr>
          <w:p w14:paraId="035C84C8">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6,51</w:t>
            </w:r>
          </w:p>
        </w:tc>
        <w:tc>
          <w:tcPr>
            <w:tcW w:w="444" w:type="dxa"/>
            <w:tcBorders>
              <w:top w:val="nil"/>
              <w:left w:val="outset" w:color="auto" w:sz="6" w:space="0"/>
              <w:bottom w:val="outset" w:color="auto" w:sz="6" w:space="0"/>
              <w:right w:val="outset" w:color="auto" w:sz="6" w:space="0"/>
            </w:tcBorders>
          </w:tcPr>
          <w:p w14:paraId="0F5E959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4,50</w:t>
            </w:r>
          </w:p>
        </w:tc>
        <w:tc>
          <w:tcPr>
            <w:tcW w:w="445" w:type="dxa"/>
            <w:tcBorders>
              <w:top w:val="nil"/>
              <w:left w:val="outset" w:color="auto" w:sz="6" w:space="0"/>
              <w:bottom w:val="outset" w:color="auto" w:sz="6" w:space="0"/>
              <w:right w:val="outset" w:color="auto" w:sz="6" w:space="0"/>
            </w:tcBorders>
          </w:tcPr>
          <w:p w14:paraId="3A9CBC4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9,66</w:t>
            </w:r>
          </w:p>
        </w:tc>
        <w:tc>
          <w:tcPr>
            <w:tcW w:w="445" w:type="dxa"/>
            <w:tcBorders>
              <w:top w:val="nil"/>
              <w:left w:val="outset" w:color="auto" w:sz="6" w:space="0"/>
              <w:bottom w:val="outset" w:color="auto" w:sz="6" w:space="0"/>
              <w:right w:val="outset" w:color="auto" w:sz="6" w:space="0"/>
            </w:tcBorders>
          </w:tcPr>
          <w:p w14:paraId="29EF0EFD">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3,94</w:t>
            </w:r>
          </w:p>
        </w:tc>
        <w:tc>
          <w:tcPr>
            <w:tcW w:w="445" w:type="dxa"/>
            <w:tcBorders>
              <w:top w:val="nil"/>
              <w:left w:val="outset" w:color="auto" w:sz="6" w:space="0"/>
              <w:bottom w:val="outset" w:color="auto" w:sz="6" w:space="0"/>
              <w:right w:val="outset" w:color="auto" w:sz="6" w:space="0"/>
            </w:tcBorders>
          </w:tcPr>
          <w:p w14:paraId="531EBFA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1,99</w:t>
            </w:r>
          </w:p>
        </w:tc>
        <w:tc>
          <w:tcPr>
            <w:tcW w:w="445" w:type="dxa"/>
            <w:tcBorders>
              <w:top w:val="nil"/>
              <w:left w:val="outset" w:color="auto" w:sz="6" w:space="0"/>
              <w:bottom w:val="outset" w:color="auto" w:sz="6" w:space="0"/>
              <w:right w:val="outset" w:color="auto" w:sz="6" w:space="0"/>
            </w:tcBorders>
          </w:tcPr>
          <w:p w14:paraId="5DAC196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6,37</w:t>
            </w:r>
          </w:p>
        </w:tc>
        <w:tc>
          <w:tcPr>
            <w:tcW w:w="445" w:type="dxa"/>
            <w:tcBorders>
              <w:top w:val="nil"/>
              <w:left w:val="outset" w:color="auto" w:sz="6" w:space="0"/>
              <w:bottom w:val="outset" w:color="auto" w:sz="6" w:space="0"/>
              <w:right w:val="outset" w:color="auto" w:sz="6" w:space="0"/>
            </w:tcBorders>
          </w:tcPr>
          <w:p w14:paraId="2E5852AD">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5,58</w:t>
            </w:r>
          </w:p>
        </w:tc>
        <w:tc>
          <w:tcPr>
            <w:tcW w:w="445" w:type="dxa"/>
            <w:tcBorders>
              <w:top w:val="nil"/>
              <w:left w:val="outset" w:color="auto" w:sz="6" w:space="0"/>
              <w:bottom w:val="outset" w:color="auto" w:sz="6" w:space="0"/>
              <w:right w:val="outset" w:color="auto" w:sz="6" w:space="0"/>
            </w:tcBorders>
          </w:tcPr>
          <w:p w14:paraId="0D6875C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3,29</w:t>
            </w:r>
          </w:p>
        </w:tc>
        <w:tc>
          <w:tcPr>
            <w:tcW w:w="445" w:type="dxa"/>
            <w:tcBorders>
              <w:top w:val="nil"/>
              <w:left w:val="outset" w:color="auto" w:sz="6" w:space="0"/>
              <w:bottom w:val="outset" w:color="auto" w:sz="6" w:space="0"/>
              <w:right w:val="outset" w:color="auto" w:sz="6" w:space="0"/>
            </w:tcBorders>
          </w:tcPr>
          <w:p w14:paraId="7B7B900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8,85</w:t>
            </w:r>
          </w:p>
        </w:tc>
        <w:tc>
          <w:tcPr>
            <w:tcW w:w="445" w:type="dxa"/>
            <w:tcBorders>
              <w:top w:val="nil"/>
              <w:left w:val="outset" w:color="auto" w:sz="6" w:space="0"/>
              <w:bottom w:val="outset" w:color="auto" w:sz="6" w:space="0"/>
              <w:right w:val="outset" w:color="auto" w:sz="6" w:space="0"/>
            </w:tcBorders>
          </w:tcPr>
          <w:p w14:paraId="4E519850">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8,50</w:t>
            </w:r>
          </w:p>
        </w:tc>
        <w:tc>
          <w:tcPr>
            <w:tcW w:w="445" w:type="dxa"/>
            <w:tcBorders>
              <w:top w:val="nil"/>
              <w:left w:val="outset" w:color="auto" w:sz="6" w:space="0"/>
              <w:bottom w:val="outset" w:color="auto" w:sz="6" w:space="0"/>
              <w:right w:val="outset" w:color="auto" w:sz="6" w:space="0"/>
            </w:tcBorders>
          </w:tcPr>
          <w:p w14:paraId="2B4D166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6,34</w:t>
            </w:r>
          </w:p>
        </w:tc>
        <w:tc>
          <w:tcPr>
            <w:tcW w:w="992" w:type="dxa"/>
            <w:tcBorders>
              <w:top w:val="nil"/>
              <w:left w:val="outset" w:color="auto" w:sz="6" w:space="0"/>
              <w:bottom w:val="outset" w:color="auto" w:sz="6" w:space="0"/>
              <w:right w:val="outset" w:color="auto" w:sz="6" w:space="0"/>
            </w:tcBorders>
          </w:tcPr>
          <w:p w14:paraId="4760F8A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12,37</w:t>
            </w:r>
          </w:p>
        </w:tc>
        <w:tc>
          <w:tcPr>
            <w:tcW w:w="1089" w:type="dxa"/>
            <w:tcBorders>
              <w:top w:val="nil"/>
              <w:left w:val="outset" w:color="auto" w:sz="6" w:space="0"/>
              <w:bottom w:val="outset" w:color="auto" w:sz="6" w:space="0"/>
              <w:right w:val="outset" w:color="auto" w:sz="6" w:space="0"/>
            </w:tcBorders>
          </w:tcPr>
          <w:p w14:paraId="6E30284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18,054</w:t>
            </w:r>
          </w:p>
        </w:tc>
        <w:tc>
          <w:tcPr>
            <w:tcW w:w="800" w:type="dxa"/>
            <w:tcBorders>
              <w:top w:val="nil"/>
              <w:left w:val="outset" w:color="auto" w:sz="6" w:space="0"/>
              <w:bottom w:val="outset" w:color="auto" w:sz="6" w:space="0"/>
              <w:right w:val="outset" w:color="auto" w:sz="6" w:space="0"/>
            </w:tcBorders>
          </w:tcPr>
          <w:p w14:paraId="48875263">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0,0004</w:t>
            </w:r>
            <w:r>
              <w:rPr>
                <w:rFonts w:ascii="Times New Roman" w:hAnsi="Times New Roman" w:eastAsia="Times New Roman" w:cs="Times New Roman"/>
                <w:b/>
                <w:i/>
                <w:sz w:val="28"/>
                <w:szCs w:val="28"/>
              </w:rPr>
              <w:t>*</w:t>
            </w:r>
          </w:p>
        </w:tc>
      </w:tr>
      <w:tr w14:paraId="7F8D611F">
        <w:tblPrEx>
          <w:tblCellMar>
            <w:top w:w="15" w:type="dxa"/>
            <w:left w:w="15" w:type="dxa"/>
            <w:bottom w:w="15" w:type="dxa"/>
            <w:right w:w="15" w:type="dxa"/>
          </w:tblCellMar>
        </w:tblPrEx>
        <w:tc>
          <w:tcPr>
            <w:tcW w:w="1611" w:type="dxa"/>
            <w:tcBorders>
              <w:top w:val="nil"/>
              <w:left w:val="outset" w:color="auto" w:sz="6" w:space="0"/>
              <w:bottom w:val="outset" w:color="auto" w:sz="6" w:space="0"/>
              <w:right w:val="outset" w:color="auto" w:sz="6" w:space="0"/>
            </w:tcBorders>
          </w:tcPr>
          <w:p w14:paraId="1A9887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Интерлейкин–6</w:t>
            </w:r>
          </w:p>
        </w:tc>
        <w:tc>
          <w:tcPr>
            <w:tcW w:w="444" w:type="dxa"/>
            <w:tcBorders>
              <w:top w:val="nil"/>
              <w:left w:val="outset" w:color="auto" w:sz="6" w:space="0"/>
              <w:bottom w:val="outset" w:color="auto" w:sz="6" w:space="0"/>
              <w:right w:val="outset" w:color="auto" w:sz="6" w:space="0"/>
            </w:tcBorders>
          </w:tcPr>
          <w:p w14:paraId="68933C3F">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1,53</w:t>
            </w:r>
          </w:p>
        </w:tc>
        <w:tc>
          <w:tcPr>
            <w:tcW w:w="444" w:type="dxa"/>
            <w:tcBorders>
              <w:top w:val="nil"/>
              <w:left w:val="outset" w:color="auto" w:sz="6" w:space="0"/>
              <w:bottom w:val="outset" w:color="auto" w:sz="6" w:space="0"/>
              <w:right w:val="outset" w:color="auto" w:sz="6" w:space="0"/>
            </w:tcBorders>
          </w:tcPr>
          <w:p w14:paraId="737B3BA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0,62</w:t>
            </w:r>
          </w:p>
        </w:tc>
        <w:tc>
          <w:tcPr>
            <w:tcW w:w="445" w:type="dxa"/>
            <w:tcBorders>
              <w:top w:val="nil"/>
              <w:left w:val="outset" w:color="auto" w:sz="6" w:space="0"/>
              <w:bottom w:val="outset" w:color="auto" w:sz="6" w:space="0"/>
              <w:right w:val="outset" w:color="auto" w:sz="6" w:space="0"/>
            </w:tcBorders>
          </w:tcPr>
          <w:p w14:paraId="59ACCF7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4,11</w:t>
            </w:r>
          </w:p>
        </w:tc>
        <w:tc>
          <w:tcPr>
            <w:tcW w:w="445" w:type="dxa"/>
            <w:tcBorders>
              <w:top w:val="nil"/>
              <w:left w:val="outset" w:color="auto" w:sz="6" w:space="0"/>
              <w:bottom w:val="outset" w:color="auto" w:sz="6" w:space="0"/>
              <w:right w:val="outset" w:color="auto" w:sz="6" w:space="0"/>
            </w:tcBorders>
          </w:tcPr>
          <w:p w14:paraId="55A0A315">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1,48</w:t>
            </w:r>
          </w:p>
        </w:tc>
        <w:tc>
          <w:tcPr>
            <w:tcW w:w="445" w:type="dxa"/>
            <w:tcBorders>
              <w:top w:val="nil"/>
              <w:left w:val="outset" w:color="auto" w:sz="6" w:space="0"/>
              <w:bottom w:val="outset" w:color="auto" w:sz="6" w:space="0"/>
              <w:right w:val="outset" w:color="auto" w:sz="6" w:space="0"/>
            </w:tcBorders>
          </w:tcPr>
          <w:p w14:paraId="0E9D511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0,76</w:t>
            </w:r>
          </w:p>
        </w:tc>
        <w:tc>
          <w:tcPr>
            <w:tcW w:w="445" w:type="dxa"/>
            <w:tcBorders>
              <w:top w:val="nil"/>
              <w:left w:val="outset" w:color="auto" w:sz="6" w:space="0"/>
              <w:bottom w:val="outset" w:color="auto" w:sz="6" w:space="0"/>
              <w:right w:val="outset" w:color="auto" w:sz="6" w:space="0"/>
            </w:tcBorders>
          </w:tcPr>
          <w:p w14:paraId="443BDD5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2,89</w:t>
            </w:r>
          </w:p>
        </w:tc>
        <w:tc>
          <w:tcPr>
            <w:tcW w:w="445" w:type="dxa"/>
            <w:tcBorders>
              <w:top w:val="nil"/>
              <w:left w:val="outset" w:color="auto" w:sz="6" w:space="0"/>
              <w:bottom w:val="outset" w:color="auto" w:sz="6" w:space="0"/>
              <w:right w:val="outset" w:color="auto" w:sz="6" w:space="0"/>
            </w:tcBorders>
          </w:tcPr>
          <w:p w14:paraId="47A7C047">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3,22</w:t>
            </w:r>
          </w:p>
        </w:tc>
        <w:tc>
          <w:tcPr>
            <w:tcW w:w="445" w:type="dxa"/>
            <w:tcBorders>
              <w:top w:val="nil"/>
              <w:left w:val="outset" w:color="auto" w:sz="6" w:space="0"/>
              <w:bottom w:val="outset" w:color="auto" w:sz="6" w:space="0"/>
              <w:right w:val="outset" w:color="auto" w:sz="6" w:space="0"/>
            </w:tcBorders>
          </w:tcPr>
          <w:p w14:paraId="098843E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2,32</w:t>
            </w:r>
          </w:p>
        </w:tc>
        <w:tc>
          <w:tcPr>
            <w:tcW w:w="445" w:type="dxa"/>
            <w:tcBorders>
              <w:top w:val="nil"/>
              <w:left w:val="outset" w:color="auto" w:sz="6" w:space="0"/>
              <w:bottom w:val="outset" w:color="auto" w:sz="6" w:space="0"/>
              <w:right w:val="outset" w:color="auto" w:sz="6" w:space="0"/>
            </w:tcBorders>
          </w:tcPr>
          <w:p w14:paraId="4BA2B6A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6,23</w:t>
            </w:r>
          </w:p>
        </w:tc>
        <w:tc>
          <w:tcPr>
            <w:tcW w:w="445" w:type="dxa"/>
            <w:tcBorders>
              <w:top w:val="nil"/>
              <w:left w:val="outset" w:color="auto" w:sz="6" w:space="0"/>
              <w:bottom w:val="outset" w:color="auto" w:sz="6" w:space="0"/>
              <w:right w:val="outset" w:color="auto" w:sz="6" w:space="0"/>
            </w:tcBorders>
          </w:tcPr>
          <w:p w14:paraId="3C4649E3">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3,92</w:t>
            </w:r>
          </w:p>
        </w:tc>
        <w:tc>
          <w:tcPr>
            <w:tcW w:w="445" w:type="dxa"/>
            <w:tcBorders>
              <w:top w:val="nil"/>
              <w:left w:val="outset" w:color="auto" w:sz="6" w:space="0"/>
              <w:bottom w:val="outset" w:color="auto" w:sz="6" w:space="0"/>
              <w:right w:val="outset" w:color="auto" w:sz="6" w:space="0"/>
            </w:tcBorders>
          </w:tcPr>
          <w:p w14:paraId="6F8D50C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2,99</w:t>
            </w:r>
          </w:p>
        </w:tc>
        <w:tc>
          <w:tcPr>
            <w:tcW w:w="992" w:type="dxa"/>
            <w:tcBorders>
              <w:top w:val="nil"/>
              <w:left w:val="outset" w:color="auto" w:sz="6" w:space="0"/>
              <w:bottom w:val="outset" w:color="auto" w:sz="6" w:space="0"/>
              <w:right w:val="outset" w:color="auto" w:sz="6" w:space="0"/>
            </w:tcBorders>
          </w:tcPr>
          <w:p w14:paraId="1B6178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4,72</w:t>
            </w:r>
          </w:p>
        </w:tc>
        <w:tc>
          <w:tcPr>
            <w:tcW w:w="1089" w:type="dxa"/>
            <w:tcBorders>
              <w:top w:val="nil"/>
              <w:left w:val="outset" w:color="auto" w:sz="6" w:space="0"/>
              <w:bottom w:val="outset" w:color="auto" w:sz="6" w:space="0"/>
              <w:right w:val="outset" w:color="auto" w:sz="6" w:space="0"/>
            </w:tcBorders>
          </w:tcPr>
          <w:p w14:paraId="0569F03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35,896</w:t>
            </w:r>
          </w:p>
        </w:tc>
        <w:tc>
          <w:tcPr>
            <w:tcW w:w="800" w:type="dxa"/>
            <w:tcBorders>
              <w:top w:val="nil"/>
              <w:left w:val="outset" w:color="auto" w:sz="6" w:space="0"/>
              <w:bottom w:val="outset" w:color="auto" w:sz="6" w:space="0"/>
              <w:right w:val="outset" w:color="auto" w:sz="6" w:space="0"/>
            </w:tcBorders>
          </w:tcPr>
          <w:p w14:paraId="4C3099E9">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0,0000</w:t>
            </w:r>
            <w:r>
              <w:rPr>
                <w:rFonts w:ascii="Times New Roman" w:hAnsi="Times New Roman" w:eastAsia="Times New Roman" w:cs="Times New Roman"/>
                <w:b/>
                <w:i/>
                <w:sz w:val="28"/>
                <w:szCs w:val="28"/>
              </w:rPr>
              <w:t>*</w:t>
            </w:r>
          </w:p>
        </w:tc>
      </w:tr>
      <w:tr w14:paraId="76728C14">
        <w:tblPrEx>
          <w:tblCellMar>
            <w:top w:w="15" w:type="dxa"/>
            <w:left w:w="15" w:type="dxa"/>
            <w:bottom w:w="15" w:type="dxa"/>
            <w:right w:w="15" w:type="dxa"/>
          </w:tblCellMar>
        </w:tblPrEx>
        <w:tc>
          <w:tcPr>
            <w:tcW w:w="9385" w:type="dxa"/>
            <w:gridSpan w:val="15"/>
            <w:tcBorders>
              <w:top w:val="nil"/>
              <w:left w:val="outset" w:color="auto" w:sz="6" w:space="0"/>
              <w:bottom w:val="outset" w:color="auto" w:sz="6" w:space="0"/>
              <w:right w:val="outset" w:color="auto" w:sz="6" w:space="0"/>
            </w:tcBorders>
          </w:tcPr>
          <w:p w14:paraId="6DD3EE86">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i/>
                <w:sz w:val="28"/>
                <w:szCs w:val="28"/>
              </w:rPr>
              <w:t xml:space="preserve">*–Краскел–Уоллис критерийі бойынша айырмашылығы, көрсеткіштердің өзгеруінің растығы бойынша р&lt;0.05  </w:t>
            </w:r>
          </w:p>
        </w:tc>
      </w:tr>
    </w:tbl>
    <w:p w14:paraId="2374CFC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5353F08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СРА және ИЛ-6 маркерлері бойынша алынған деректер семіздік пен анемияның бірлескен әсерінің қабыну деңгейіне айтарлықтай ықпал ететінін көрсетеді. СРА деңгейі анемия мен семіздік қатар кездескенде ең жоғары деңгейге жеткенімен, тек семіздігі бар жүкті әйелдерде бұл көрсеткіш бақылау тобынан жоғары болмады. Ал IL-6 көрсеткіші семіздігі бар топтарда (3 және 4) бақылау тобымен салыстырғанда айтарлықтай жоғары болды. Бұл деректер қабыну процестерінің анемия және семіздік жағдайында күшейетінін және қабыну медиаторларының патогенездегі рөлін анықтайтындығын растайды.</w:t>
      </w:r>
    </w:p>
    <w:p w14:paraId="563ECF0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Зерттеу барысында СРА және ИЛ–6 маркерлерінің деңгейлерін топаралық жұптық салыстыру Манн–Уитни Z сынамасы (кесте–13) арқылы жүргізілді. </w:t>
      </w:r>
    </w:p>
    <w:p w14:paraId="4298CF3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7B51D64D">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Кесте – 13.</w:t>
      </w:r>
      <w:r>
        <w:rPr>
          <w:rFonts w:ascii="Times New Roman" w:hAnsi="Times New Roman" w:eastAsia="Times New Roman" w:cs="Times New Roman"/>
          <w:b/>
          <w:bCs/>
          <w:iCs/>
          <w:sz w:val="28"/>
          <w:szCs w:val="28"/>
          <w:lang w:eastAsia="ru-RU"/>
        </w:rPr>
        <w:t xml:space="preserve"> </w:t>
      </w:r>
      <w:r>
        <w:rPr>
          <w:rFonts w:ascii="Times New Roman" w:hAnsi="Times New Roman" w:eastAsia="Times New Roman" w:cs="Times New Roman"/>
          <w:iCs/>
          <w:sz w:val="28"/>
          <w:szCs w:val="28"/>
          <w:lang w:eastAsia="ru-RU"/>
        </w:rPr>
        <w:t>Қабыну</w:t>
      </w:r>
      <w:r>
        <w:rPr>
          <w:rFonts w:ascii="Times New Roman" w:hAnsi="Times New Roman" w:eastAsia="Times New Roman" w:cs="Times New Roman"/>
          <w:b/>
          <w:bCs/>
          <w:iCs/>
          <w:sz w:val="28"/>
          <w:szCs w:val="28"/>
          <w:lang w:eastAsia="ru-RU"/>
        </w:rPr>
        <w:t xml:space="preserve"> </w:t>
      </w:r>
      <w:r>
        <w:rPr>
          <w:rFonts w:ascii="Times New Roman" w:hAnsi="Times New Roman" w:eastAsia="Times New Roman" w:cs="Times New Roman"/>
          <w:iCs/>
          <w:sz w:val="28"/>
          <w:szCs w:val="28"/>
          <w:lang w:eastAsia="ru-RU"/>
        </w:rPr>
        <w:t>маркерлерінің зерттеу топтары арасындағы жұпаралық айырмашылығы</w:t>
      </w:r>
    </w:p>
    <w:p w14:paraId="0D975511">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tbl>
      <w:tblPr>
        <w:tblStyle w:val="13"/>
        <w:tblW w:w="0" w:type="auto"/>
        <w:tblInd w:w="0" w:type="dxa"/>
        <w:tblLayout w:type="autofit"/>
        <w:tblCellMar>
          <w:top w:w="15" w:type="dxa"/>
          <w:left w:w="15" w:type="dxa"/>
          <w:bottom w:w="15" w:type="dxa"/>
          <w:right w:w="15" w:type="dxa"/>
        </w:tblCellMar>
      </w:tblPr>
      <w:tblGrid>
        <w:gridCol w:w="1899"/>
        <w:gridCol w:w="1205"/>
        <w:gridCol w:w="1219"/>
        <w:gridCol w:w="1219"/>
        <w:gridCol w:w="1273"/>
        <w:gridCol w:w="1327"/>
        <w:gridCol w:w="1243"/>
      </w:tblGrid>
      <w:tr w14:paraId="2001A80B">
        <w:tblPrEx>
          <w:tblCellMar>
            <w:top w:w="15" w:type="dxa"/>
            <w:left w:w="15" w:type="dxa"/>
            <w:bottom w:w="15" w:type="dxa"/>
            <w:right w:w="15" w:type="dxa"/>
          </w:tblCellMar>
        </w:tblPrEx>
        <w:tc>
          <w:tcPr>
            <w:tcW w:w="1740" w:type="dxa"/>
            <w:tcBorders>
              <w:top w:val="outset" w:color="auto" w:sz="6" w:space="0"/>
              <w:left w:val="outset" w:color="auto" w:sz="6" w:space="0"/>
              <w:bottom w:val="outset" w:color="auto" w:sz="6" w:space="0"/>
              <w:right w:val="outset" w:color="auto" w:sz="6" w:space="0"/>
            </w:tcBorders>
          </w:tcPr>
          <w:p w14:paraId="01A721DB">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Көрсеткіштер</w:t>
            </w:r>
          </w:p>
        </w:tc>
        <w:tc>
          <w:tcPr>
            <w:tcW w:w="1395" w:type="dxa"/>
            <w:tcBorders>
              <w:top w:val="outset" w:color="auto" w:sz="6" w:space="0"/>
              <w:left w:val="outset" w:color="auto" w:sz="6" w:space="0"/>
              <w:bottom w:val="outset" w:color="auto" w:sz="6" w:space="0"/>
              <w:right w:val="outset" w:color="auto" w:sz="6" w:space="0"/>
            </w:tcBorders>
          </w:tcPr>
          <w:p w14:paraId="03CA7646">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1 және 2 топтар</w:t>
            </w:r>
          </w:p>
        </w:tc>
        <w:tc>
          <w:tcPr>
            <w:tcW w:w="1395" w:type="dxa"/>
            <w:tcBorders>
              <w:top w:val="outset" w:color="auto" w:sz="6" w:space="0"/>
              <w:left w:val="outset" w:color="auto" w:sz="6" w:space="0"/>
              <w:bottom w:val="outset" w:color="auto" w:sz="6" w:space="0"/>
              <w:right w:val="outset" w:color="auto" w:sz="6" w:space="0"/>
            </w:tcBorders>
          </w:tcPr>
          <w:p w14:paraId="09281940">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1 және 3 топтар</w:t>
            </w:r>
          </w:p>
        </w:tc>
        <w:tc>
          <w:tcPr>
            <w:tcW w:w="1395" w:type="dxa"/>
            <w:tcBorders>
              <w:top w:val="outset" w:color="auto" w:sz="6" w:space="0"/>
              <w:left w:val="outset" w:color="auto" w:sz="6" w:space="0"/>
              <w:bottom w:val="outset" w:color="auto" w:sz="6" w:space="0"/>
              <w:right w:val="outset" w:color="auto" w:sz="6" w:space="0"/>
            </w:tcBorders>
          </w:tcPr>
          <w:p w14:paraId="625D659A">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1 және 4 топтар</w:t>
            </w:r>
          </w:p>
        </w:tc>
        <w:tc>
          <w:tcPr>
            <w:tcW w:w="1395" w:type="dxa"/>
            <w:tcBorders>
              <w:top w:val="outset" w:color="auto" w:sz="6" w:space="0"/>
              <w:left w:val="outset" w:color="auto" w:sz="6" w:space="0"/>
              <w:bottom w:val="outset" w:color="auto" w:sz="6" w:space="0"/>
              <w:right w:val="outset" w:color="auto" w:sz="6" w:space="0"/>
            </w:tcBorders>
          </w:tcPr>
          <w:p w14:paraId="340FAC1B">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2 және 3 топтар</w:t>
            </w:r>
          </w:p>
        </w:tc>
        <w:tc>
          <w:tcPr>
            <w:tcW w:w="1395" w:type="dxa"/>
            <w:tcBorders>
              <w:top w:val="outset" w:color="auto" w:sz="6" w:space="0"/>
              <w:left w:val="outset" w:color="auto" w:sz="6" w:space="0"/>
              <w:bottom w:val="outset" w:color="auto" w:sz="6" w:space="0"/>
              <w:right w:val="outset" w:color="auto" w:sz="6" w:space="0"/>
            </w:tcBorders>
          </w:tcPr>
          <w:p w14:paraId="584A47B9">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2 және 4 топтар</w:t>
            </w:r>
          </w:p>
        </w:tc>
        <w:tc>
          <w:tcPr>
            <w:tcW w:w="1395" w:type="dxa"/>
            <w:tcBorders>
              <w:top w:val="outset" w:color="auto" w:sz="6" w:space="0"/>
              <w:left w:val="outset" w:color="auto" w:sz="6" w:space="0"/>
              <w:bottom w:val="outset" w:color="auto" w:sz="6" w:space="0"/>
              <w:right w:val="outset" w:color="auto" w:sz="6" w:space="0"/>
            </w:tcBorders>
          </w:tcPr>
          <w:p w14:paraId="34AE5BB9">
            <w:pPr>
              <w:widowControl w:val="0"/>
              <w:autoSpaceDE w:val="0"/>
              <w:autoSpaceDN w:val="0"/>
              <w:spacing w:before="100" w:beforeAutospacing="0" w:after="0" w:afterAutospacing="0" w:line="276" w:lineRule="auto"/>
              <w:jc w:val="center"/>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3 және 4 топтар</w:t>
            </w:r>
          </w:p>
        </w:tc>
      </w:tr>
      <w:tr w14:paraId="1F6BA073">
        <w:tblPrEx>
          <w:tblCellMar>
            <w:top w:w="15" w:type="dxa"/>
            <w:left w:w="15" w:type="dxa"/>
            <w:bottom w:w="15" w:type="dxa"/>
            <w:right w:w="15" w:type="dxa"/>
          </w:tblCellMar>
        </w:tblPrEx>
        <w:tc>
          <w:tcPr>
            <w:tcW w:w="1740" w:type="dxa"/>
            <w:tcBorders>
              <w:top w:val="nil"/>
              <w:left w:val="outset" w:color="auto" w:sz="6" w:space="0"/>
              <w:bottom w:val="outset" w:color="auto" w:sz="6" w:space="0"/>
              <w:right w:val="outset" w:color="auto" w:sz="6" w:space="0"/>
            </w:tcBorders>
          </w:tcPr>
          <w:p w14:paraId="7A986DA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p>
        </w:tc>
        <w:tc>
          <w:tcPr>
            <w:tcW w:w="1395" w:type="dxa"/>
            <w:tcBorders>
              <w:top w:val="nil"/>
              <w:left w:val="outset" w:color="auto" w:sz="6" w:space="0"/>
              <w:bottom w:val="outset" w:color="auto" w:sz="6" w:space="0"/>
              <w:right w:val="outset" w:color="auto" w:sz="6" w:space="0"/>
            </w:tcBorders>
          </w:tcPr>
          <w:p w14:paraId="44B4BB8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395" w:type="dxa"/>
            <w:tcBorders>
              <w:top w:val="nil"/>
              <w:left w:val="outset" w:color="auto" w:sz="6" w:space="0"/>
              <w:bottom w:val="outset" w:color="auto" w:sz="6" w:space="0"/>
              <w:right w:val="outset" w:color="auto" w:sz="6" w:space="0"/>
            </w:tcBorders>
          </w:tcPr>
          <w:p w14:paraId="648BD62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395" w:type="dxa"/>
            <w:tcBorders>
              <w:top w:val="nil"/>
              <w:left w:val="outset" w:color="auto" w:sz="6" w:space="0"/>
              <w:bottom w:val="outset" w:color="auto" w:sz="6" w:space="0"/>
              <w:right w:val="outset" w:color="auto" w:sz="6" w:space="0"/>
            </w:tcBorders>
          </w:tcPr>
          <w:p w14:paraId="63A29BE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395" w:type="dxa"/>
            <w:tcBorders>
              <w:top w:val="nil"/>
              <w:left w:val="outset" w:color="auto" w:sz="6" w:space="0"/>
              <w:bottom w:val="outset" w:color="auto" w:sz="6" w:space="0"/>
              <w:right w:val="outset" w:color="auto" w:sz="6" w:space="0"/>
            </w:tcBorders>
          </w:tcPr>
          <w:p w14:paraId="70431C8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395" w:type="dxa"/>
            <w:tcBorders>
              <w:top w:val="nil"/>
              <w:left w:val="outset" w:color="auto" w:sz="6" w:space="0"/>
              <w:bottom w:val="outset" w:color="auto" w:sz="6" w:space="0"/>
              <w:right w:val="outset" w:color="auto" w:sz="6" w:space="0"/>
            </w:tcBorders>
          </w:tcPr>
          <w:p w14:paraId="59A9F7F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c>
          <w:tcPr>
            <w:tcW w:w="1395" w:type="dxa"/>
            <w:tcBorders>
              <w:top w:val="nil"/>
              <w:left w:val="outset" w:color="auto" w:sz="6" w:space="0"/>
              <w:bottom w:val="outset" w:color="auto" w:sz="6" w:space="0"/>
              <w:right w:val="outset" w:color="auto" w:sz="6" w:space="0"/>
            </w:tcBorders>
          </w:tcPr>
          <w:p w14:paraId="689B0DC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р</w:t>
            </w:r>
          </w:p>
        </w:tc>
      </w:tr>
      <w:tr w14:paraId="1CCCBB82">
        <w:tblPrEx>
          <w:tblCellMar>
            <w:top w:w="15" w:type="dxa"/>
            <w:left w:w="15" w:type="dxa"/>
            <w:bottom w:w="15" w:type="dxa"/>
            <w:right w:w="15" w:type="dxa"/>
          </w:tblCellMar>
        </w:tblPrEx>
        <w:tc>
          <w:tcPr>
            <w:tcW w:w="1740" w:type="dxa"/>
            <w:tcBorders>
              <w:top w:val="nil"/>
              <w:left w:val="outset" w:color="auto" w:sz="6" w:space="0"/>
              <w:bottom w:val="outset" w:color="auto" w:sz="6" w:space="0"/>
              <w:right w:val="outset" w:color="auto" w:sz="6" w:space="0"/>
            </w:tcBorders>
          </w:tcPr>
          <w:p w14:paraId="7EF70E80">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С–реактивті ақуыз</w:t>
            </w:r>
          </w:p>
        </w:tc>
        <w:tc>
          <w:tcPr>
            <w:tcW w:w="1395" w:type="dxa"/>
            <w:tcBorders>
              <w:top w:val="nil"/>
              <w:left w:val="outset" w:color="auto" w:sz="6" w:space="0"/>
              <w:bottom w:val="outset" w:color="auto" w:sz="6" w:space="0"/>
              <w:right w:val="outset" w:color="auto" w:sz="6" w:space="0"/>
            </w:tcBorders>
          </w:tcPr>
          <w:p w14:paraId="66F4439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0,003*</w:t>
            </w:r>
          </w:p>
        </w:tc>
        <w:tc>
          <w:tcPr>
            <w:tcW w:w="1395" w:type="dxa"/>
            <w:tcBorders>
              <w:top w:val="nil"/>
              <w:left w:val="outset" w:color="auto" w:sz="6" w:space="0"/>
              <w:bottom w:val="outset" w:color="auto" w:sz="6" w:space="0"/>
              <w:right w:val="outset" w:color="auto" w:sz="6" w:space="0"/>
            </w:tcBorders>
          </w:tcPr>
          <w:p w14:paraId="43D16101">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0,060</w:t>
            </w:r>
          </w:p>
        </w:tc>
        <w:tc>
          <w:tcPr>
            <w:tcW w:w="1395" w:type="dxa"/>
            <w:tcBorders>
              <w:top w:val="nil"/>
              <w:left w:val="outset" w:color="auto" w:sz="6" w:space="0"/>
              <w:bottom w:val="outset" w:color="auto" w:sz="6" w:space="0"/>
              <w:right w:val="outset" w:color="auto" w:sz="6" w:space="0"/>
            </w:tcBorders>
          </w:tcPr>
          <w:p w14:paraId="52832DD7">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0,037*</w:t>
            </w:r>
          </w:p>
        </w:tc>
        <w:tc>
          <w:tcPr>
            <w:tcW w:w="1395" w:type="dxa"/>
            <w:tcBorders>
              <w:top w:val="nil"/>
              <w:left w:val="outset" w:color="auto" w:sz="6" w:space="0"/>
              <w:bottom w:val="outset" w:color="auto" w:sz="6" w:space="0"/>
              <w:right w:val="outset" w:color="auto" w:sz="6" w:space="0"/>
            </w:tcBorders>
          </w:tcPr>
          <w:p w14:paraId="0D828014">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0,031*</w:t>
            </w:r>
          </w:p>
        </w:tc>
        <w:tc>
          <w:tcPr>
            <w:tcW w:w="1395" w:type="dxa"/>
            <w:tcBorders>
              <w:top w:val="nil"/>
              <w:left w:val="outset" w:color="auto" w:sz="6" w:space="0"/>
              <w:bottom w:val="outset" w:color="auto" w:sz="6" w:space="0"/>
              <w:right w:val="outset" w:color="auto" w:sz="6" w:space="0"/>
            </w:tcBorders>
          </w:tcPr>
          <w:p w14:paraId="6278331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0,0002*</w:t>
            </w:r>
          </w:p>
        </w:tc>
        <w:tc>
          <w:tcPr>
            <w:tcW w:w="1395" w:type="dxa"/>
            <w:tcBorders>
              <w:top w:val="nil"/>
              <w:left w:val="outset" w:color="auto" w:sz="6" w:space="0"/>
              <w:bottom w:val="outset" w:color="auto" w:sz="6" w:space="0"/>
              <w:right w:val="outset" w:color="auto" w:sz="6" w:space="0"/>
            </w:tcBorders>
          </w:tcPr>
          <w:p w14:paraId="384DD40D">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0,039*</w:t>
            </w:r>
          </w:p>
        </w:tc>
      </w:tr>
      <w:tr w14:paraId="1583D235">
        <w:tblPrEx>
          <w:tblCellMar>
            <w:top w:w="15" w:type="dxa"/>
            <w:left w:w="15" w:type="dxa"/>
            <w:bottom w:w="15" w:type="dxa"/>
            <w:right w:w="15" w:type="dxa"/>
          </w:tblCellMar>
        </w:tblPrEx>
        <w:tc>
          <w:tcPr>
            <w:tcW w:w="1740" w:type="dxa"/>
            <w:tcBorders>
              <w:top w:val="nil"/>
              <w:left w:val="outset" w:color="auto" w:sz="6" w:space="0"/>
              <w:bottom w:val="outset" w:color="auto" w:sz="6" w:space="0"/>
              <w:right w:val="outset" w:color="auto" w:sz="6" w:space="0"/>
            </w:tcBorders>
          </w:tcPr>
          <w:p w14:paraId="75423A5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Интерлейкин–6</w:t>
            </w:r>
          </w:p>
        </w:tc>
        <w:tc>
          <w:tcPr>
            <w:tcW w:w="1395" w:type="dxa"/>
            <w:tcBorders>
              <w:top w:val="nil"/>
              <w:left w:val="outset" w:color="auto" w:sz="6" w:space="0"/>
              <w:bottom w:val="outset" w:color="auto" w:sz="6" w:space="0"/>
              <w:right w:val="outset" w:color="auto" w:sz="6" w:space="0"/>
            </w:tcBorders>
          </w:tcPr>
          <w:p w14:paraId="08C462AA">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0,120</w:t>
            </w:r>
          </w:p>
        </w:tc>
        <w:tc>
          <w:tcPr>
            <w:tcW w:w="1395" w:type="dxa"/>
            <w:tcBorders>
              <w:top w:val="nil"/>
              <w:left w:val="outset" w:color="auto" w:sz="6" w:space="0"/>
              <w:bottom w:val="outset" w:color="auto" w:sz="6" w:space="0"/>
              <w:right w:val="outset" w:color="auto" w:sz="6" w:space="0"/>
            </w:tcBorders>
          </w:tcPr>
          <w:p w14:paraId="7109C56F">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0,0001*</w:t>
            </w:r>
          </w:p>
        </w:tc>
        <w:tc>
          <w:tcPr>
            <w:tcW w:w="1395" w:type="dxa"/>
            <w:tcBorders>
              <w:top w:val="nil"/>
              <w:left w:val="outset" w:color="auto" w:sz="6" w:space="0"/>
              <w:bottom w:val="outset" w:color="auto" w:sz="6" w:space="0"/>
              <w:right w:val="outset" w:color="auto" w:sz="6" w:space="0"/>
            </w:tcBorders>
          </w:tcPr>
          <w:p w14:paraId="1EE81D93">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0,0001*</w:t>
            </w:r>
          </w:p>
        </w:tc>
        <w:tc>
          <w:tcPr>
            <w:tcW w:w="1395" w:type="dxa"/>
            <w:tcBorders>
              <w:top w:val="nil"/>
              <w:left w:val="outset" w:color="auto" w:sz="6" w:space="0"/>
              <w:bottom w:val="outset" w:color="auto" w:sz="6" w:space="0"/>
              <w:right w:val="outset" w:color="auto" w:sz="6" w:space="0"/>
            </w:tcBorders>
          </w:tcPr>
          <w:p w14:paraId="49C359C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0,00004*</w:t>
            </w:r>
          </w:p>
        </w:tc>
        <w:tc>
          <w:tcPr>
            <w:tcW w:w="1395" w:type="dxa"/>
            <w:tcBorders>
              <w:top w:val="nil"/>
              <w:left w:val="outset" w:color="auto" w:sz="6" w:space="0"/>
              <w:bottom w:val="outset" w:color="auto" w:sz="6" w:space="0"/>
              <w:right w:val="outset" w:color="auto" w:sz="6" w:space="0"/>
            </w:tcBorders>
          </w:tcPr>
          <w:p w14:paraId="66573AA5">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b/>
                <w:bCs/>
                <w:sz w:val="28"/>
                <w:szCs w:val="28"/>
                <w:lang w:val="en-US" w:eastAsia="ru-RU"/>
              </w:rPr>
              <w:t>0,000001*</w:t>
            </w:r>
          </w:p>
        </w:tc>
        <w:tc>
          <w:tcPr>
            <w:tcW w:w="1395" w:type="dxa"/>
            <w:tcBorders>
              <w:top w:val="nil"/>
              <w:left w:val="outset" w:color="auto" w:sz="6" w:space="0"/>
              <w:bottom w:val="outset" w:color="auto" w:sz="6" w:space="0"/>
              <w:right w:val="outset" w:color="auto" w:sz="6" w:space="0"/>
            </w:tcBorders>
          </w:tcPr>
          <w:p w14:paraId="3B71BD9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sz w:val="28"/>
                <w:szCs w:val="28"/>
                <w:lang w:val="en-US" w:eastAsia="ru-RU"/>
              </w:rPr>
              <w:t>0,</w:t>
            </w:r>
            <w:r>
              <w:rPr>
                <w:rFonts w:ascii="Times New Roman" w:hAnsi="Times New Roman" w:eastAsia="Times New Roman" w:cs="Times New Roman"/>
                <w:sz w:val="28"/>
                <w:szCs w:val="28"/>
                <w:lang w:val="en-US"/>
              </w:rPr>
              <w:t>327</w:t>
            </w:r>
          </w:p>
        </w:tc>
      </w:tr>
      <w:tr w14:paraId="7A9BA677">
        <w:tblPrEx>
          <w:tblCellMar>
            <w:top w:w="15" w:type="dxa"/>
            <w:left w:w="15" w:type="dxa"/>
            <w:bottom w:w="15" w:type="dxa"/>
            <w:right w:w="15" w:type="dxa"/>
          </w:tblCellMar>
        </w:tblPrEx>
        <w:tc>
          <w:tcPr>
            <w:tcW w:w="10170" w:type="dxa"/>
            <w:gridSpan w:val="7"/>
            <w:tcBorders>
              <w:top w:val="nil"/>
              <w:left w:val="outset" w:color="auto" w:sz="6" w:space="0"/>
              <w:bottom w:val="outset" w:color="auto" w:sz="6" w:space="0"/>
              <w:right w:val="outset" w:color="auto" w:sz="6" w:space="0"/>
            </w:tcBorders>
          </w:tcPr>
          <w:p w14:paraId="7D23E822">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i/>
                <w:sz w:val="28"/>
                <w:szCs w:val="28"/>
                <w:lang w:val="en-US" w:eastAsia="ru-RU"/>
              </w:rPr>
            </w:pPr>
            <w:r>
              <w:rPr>
                <w:rFonts w:ascii="Times New Roman" w:hAnsi="Times New Roman" w:eastAsia="Times New Roman" w:cs="Times New Roman"/>
                <w:sz w:val="28"/>
                <w:szCs w:val="28"/>
                <w:lang w:val="en-US" w:eastAsia="ru-RU"/>
              </w:rPr>
              <w:t>*–</w:t>
            </w:r>
            <w:r>
              <w:rPr>
                <w:rFonts w:ascii="Times New Roman" w:hAnsi="Times New Roman" w:eastAsia="Times New Roman" w:cs="Times New Roman"/>
                <w:sz w:val="28"/>
                <w:szCs w:val="28"/>
                <w:lang w:val="en-US"/>
              </w:rPr>
              <w:tab/>
            </w:r>
            <w:r>
              <w:rPr>
                <w:rFonts w:ascii="Times New Roman" w:hAnsi="Times New Roman" w:eastAsia="Times New Roman" w:cs="Times New Roman"/>
                <w:i/>
                <w:iCs/>
                <w:sz w:val="28"/>
                <w:szCs w:val="28"/>
                <w:lang w:val="en-US"/>
              </w:rPr>
              <w:t xml:space="preserve">Мана–Уитни </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параметрлік</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емес</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Z критерий</w:t>
            </w:r>
            <w:r>
              <w:rPr>
                <w:rFonts w:ascii="Times New Roman" w:hAnsi="Times New Roman" w:eastAsia="Times New Roman" w:cs="Times New Roman"/>
                <w:i/>
                <w:sz w:val="28"/>
                <w:szCs w:val="28"/>
                <w:lang w:val="en-US"/>
              </w:rPr>
              <w:tab/>
            </w:r>
            <w:r>
              <w:rPr>
                <w:rFonts w:ascii="Times New Roman" w:hAnsi="Times New Roman" w:eastAsia="Times New Roman" w:cs="Times New Roman"/>
                <w:i/>
                <w:sz w:val="28"/>
                <w:szCs w:val="28"/>
                <w:lang w:val="en-US"/>
              </w:rPr>
              <w:t>бойынша</w:t>
            </w:r>
          </w:p>
          <w:p w14:paraId="658D58FC">
            <w:pPr>
              <w:widowControl w:val="0"/>
              <w:autoSpaceDE w:val="0"/>
              <w:autoSpaceDN w:val="0"/>
              <w:spacing w:before="100" w:beforeAutospacing="0" w:after="0" w:afterAutospacing="0" w:line="276" w:lineRule="auto"/>
              <w:jc w:val="both"/>
              <w:outlineLvl w:val="0"/>
              <w:rPr>
                <w:rFonts w:ascii="Times New Roman" w:hAnsi="Times New Roman" w:eastAsia="Times New Roman" w:cs="Times New Roman"/>
                <w:b/>
                <w:bCs/>
                <w:sz w:val="28"/>
                <w:szCs w:val="28"/>
                <w:lang w:val="en-US" w:eastAsia="ru-RU"/>
              </w:rPr>
            </w:pPr>
            <w:r>
              <w:rPr>
                <w:rFonts w:ascii="Times New Roman" w:hAnsi="Times New Roman" w:eastAsia="Times New Roman" w:cs="Times New Roman"/>
                <w:i/>
                <w:sz w:val="28"/>
                <w:szCs w:val="28"/>
                <w:lang w:val="en-US" w:eastAsia="ru-RU"/>
              </w:rPr>
              <w:t>айырмашылығы,</w:t>
            </w:r>
            <w:r>
              <w:rPr>
                <w:rFonts w:ascii="Times New Roman" w:hAnsi="Times New Roman" w:eastAsia="Times New Roman" w:cs="Times New Roman"/>
                <w:i/>
                <w:sz w:val="28"/>
                <w:szCs w:val="28"/>
                <w:lang w:val="en-US"/>
              </w:rPr>
              <w:t xml:space="preserve"> кө</w:t>
            </w:r>
            <w:r>
              <w:rPr>
                <w:rFonts w:ascii="Times New Roman" w:hAnsi="Times New Roman" w:eastAsia="Times New Roman" w:cs="Times New Roman"/>
                <w:i/>
                <w:sz w:val="28"/>
                <w:szCs w:val="28"/>
                <w:lang w:val="en-US" w:eastAsia="ru-RU"/>
              </w:rPr>
              <w:t>рсеткіштердің өзгеру</w:t>
            </w:r>
            <w:r>
              <w:rPr>
                <w:rFonts w:ascii="Times New Roman" w:hAnsi="Times New Roman" w:eastAsia="Times New Roman" w:cs="Times New Roman"/>
                <w:i/>
                <w:sz w:val="28"/>
                <w:szCs w:val="28"/>
                <w:lang w:val="en-US"/>
              </w:rPr>
              <w:t xml:space="preserve"> растығ</w:t>
            </w:r>
            <w:r>
              <w:rPr>
                <w:rFonts w:ascii="Times New Roman" w:hAnsi="Times New Roman" w:eastAsia="Times New Roman" w:cs="Times New Roman"/>
                <w:i/>
                <w:sz w:val="28"/>
                <w:szCs w:val="28"/>
                <w:lang w:val="en-US" w:eastAsia="ru-RU"/>
              </w:rPr>
              <w:t>ы</w:t>
            </w:r>
            <w:r>
              <w:rPr>
                <w:rFonts w:ascii="Times New Roman" w:hAnsi="Times New Roman" w:eastAsia="Times New Roman" w:cs="Times New Roman"/>
                <w:i/>
                <w:sz w:val="28"/>
                <w:szCs w:val="28"/>
                <w:lang w:val="en-US"/>
              </w:rPr>
              <w:t xml:space="preserve"> кезінде p &lt; 0.05</w:t>
            </w:r>
          </w:p>
        </w:tc>
      </w:tr>
    </w:tbl>
    <w:p w14:paraId="404E2B2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1DA3DD4">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val="kk-KZ" w:eastAsia="ru-RU"/>
        </w:rPr>
      </w:pPr>
      <w:r>
        <w:rPr>
          <w:rFonts w:ascii="Times New Roman" w:hAnsi="Times New Roman" w:eastAsia="Times New Roman" w:cs="Times New Roman"/>
          <w:sz w:val="28"/>
          <w:szCs w:val="28"/>
          <w:lang w:eastAsia="ru-RU"/>
        </w:rPr>
        <w:t>Талдау нәтижесінде статистикалық маңызды айырмашылықтар келесі жұптарда анықталды: анемиясы бар жүкті әйелдерде (2-топ) бақылау тобымен (1-топ) салыстырғанда СРА деңгейінің төмендегені</w:t>
      </w:r>
      <w:r>
        <w:rPr>
          <w:rFonts w:ascii="Times New Roman" w:hAnsi="Times New Roman" w:eastAsia="Times New Roman" w:cs="Times New Roman"/>
          <w:sz w:val="28"/>
          <w:szCs w:val="28"/>
          <w:lang w:val="kk-KZ" w:eastAsia="ru-RU"/>
        </w:rPr>
        <w:t xml:space="preserve"> </w:t>
      </w:r>
      <w:r>
        <w:rPr>
          <w:rFonts w:ascii="Times New Roman" w:hAnsi="Times New Roman" w:eastAsia="Times New Roman" w:cs="Times New Roman"/>
          <w:sz w:val="28"/>
          <w:szCs w:val="28"/>
          <w:lang w:eastAsia="ru-RU"/>
        </w:rPr>
        <w:t>(10 - сурет) анықталды (Z=2,980, p=0,003), анемия мен семіздік бірлескен топта (4-топ) СРА деңгейі бақылау тобына қарағанда жоғары болды (Z=–2,087, p=0,037). Тек семіздігі бар жүкті әйелдерде (3-топ) СРА деңгейі тек анемиясы бар топпен (2-топ) салыстырғанда жоғары нәтиже көрсетті (Z=–2,160, p=0,031), анемия мен семіздік бірлескен топта (4-топ) СРА деңгейі тек анемиясы бар топпен (2-топ) салыстырғанда едәуір жоғары болды (Z=–3,735, p=0,0002). Тек семіздігі бар жүкті әйелдер мен (3-топ) анемия мен семіздік қатар кездескен топтар арасында (4-топ) СРА деңгейі бойынша айырмашылық тіркелді (Z=2,066, p=0,039). Осылайша анемия мен семіздік бірлескен жағдайда (4-топ) СРА деңгейі ең жоғары көрсеткішке жетті, бұл қабынудың күшеюін білдіреді.</w:t>
      </w:r>
      <w:r>
        <w:rPr>
          <w:rFonts w:ascii="Times New Roman" w:hAnsi="Times New Roman" w:eastAsia="Times New Roman" w:cs="Times New Roman"/>
          <w:sz w:val="28"/>
          <w:szCs w:val="28"/>
          <w:lang w:val="kk-KZ" w:eastAsia="ru-RU"/>
        </w:rPr>
        <w:t xml:space="preserve"> </w:t>
      </w:r>
    </w:p>
    <w:p w14:paraId="7C82AC8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3C20BD6F">
      <w:pPr>
        <w:autoSpaceDE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347970" cy="3034030"/>
            <wp:effectExtent l="0" t="0" r="5080" b="0"/>
            <wp:docPr id="103" name="Рисунок 103" descr="C:\Users\kgmuuser\AppData\Local\Temp\ksohtml7396\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descr="C:\Users\kgmuuser\AppData\Local\Temp\ksohtml7396\wps1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347970" cy="303403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4F102CCE">
      <w:pPr>
        <w:autoSpaceDE w:val="0"/>
        <w:spacing w:after="0" w:line="276" w:lineRule="auto"/>
        <w:ind w:firstLine="709"/>
        <w:jc w:val="both"/>
        <w:outlineLvl w:val="0"/>
        <w:rPr>
          <w:rFonts w:ascii="Times New Roman" w:hAnsi="Times New Roman" w:eastAsia="Times New Roman" w:cs="Times New Roman"/>
          <w:sz w:val="28"/>
          <w:szCs w:val="28"/>
          <w:lang w:eastAsia="ru-RU"/>
        </w:rPr>
      </w:pPr>
    </w:p>
    <w:p w14:paraId="3A93C0BD">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Сурет – 10. Предгестациялық семіздігі бар әйелдерде анемия дамуының предикторы ретінде қабыну медиаторлары, С–реактивті ақуызының зерттеу топтары арасындағы деңгейі</w:t>
      </w:r>
    </w:p>
    <w:p w14:paraId="5155EDB3">
      <w:pPr>
        <w:autoSpaceDE w:val="0"/>
        <w:spacing w:after="0" w:line="276" w:lineRule="auto"/>
        <w:ind w:firstLine="709"/>
        <w:jc w:val="both"/>
        <w:outlineLvl w:val="0"/>
        <w:rPr>
          <w:rFonts w:ascii="Times New Roman" w:hAnsi="Times New Roman" w:eastAsia="Times New Roman" w:cs="Times New Roman"/>
          <w:sz w:val="28"/>
          <w:szCs w:val="28"/>
          <w:lang w:eastAsia="ru-RU"/>
        </w:rPr>
      </w:pPr>
    </w:p>
    <w:p w14:paraId="688CBA1A">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sz w:val="28"/>
          <w:szCs w:val="28"/>
          <w:lang w:eastAsia="ru-RU"/>
        </w:rPr>
        <w:t>Семіздігі бар жүкті әйелдерде (3-топ) бақылау тобымен (1-топ) салыстырғанда ИЛ-6 деңгейінің жоғарылағаны байқалды (Z=–3,985, p=0,0001). Анемия мен семіздік бірлескен топта (4-топ) ИЛ-6 деңгейі бақылау тобымен салыстырғанда айтарлықтай жоғары болды (Z=–3,855, p=0,0001). Тек семіздігі бар жүкті әйелдерде (3-топ) ИЛ-6 деңгейі тек анемиясы бар топпен (2-топ) салыстырғанда едәуір жоғары болды (Z=–4,131, p=0,00004). Анемия мен семіздік бірлескен топта (4-топ) ИЛ-6 деңгейі тек анемиясы бар жүкті әйелдермен салыстырғанда (2-топ) ең жоғары нәтижені көрсетті (Z=–4,814, p=0,000001). Семіздігі бар жүкті әйелдерде ИЛ-6 деңгейі бақылау тобына және анемиясы бар топқа қарағанда 2–2,5 есе жоғары болды.</w:t>
      </w:r>
    </w:p>
    <w:p w14:paraId="79CC5B9F">
      <w:pPr>
        <w:autoSpaceDE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i/>
          <w:sz w:val="28"/>
          <w:szCs w:val="28"/>
          <w:lang w:eastAsia="ru-RU"/>
        </w:rPr>
        <w:t xml:space="preserve"> </w:t>
      </w:r>
    </w:p>
    <w:p w14:paraId="2FE3DD59">
      <w:pPr>
        <w:autoSpaceDE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140325" cy="3048000"/>
            <wp:effectExtent l="0" t="0" r="3175" b="0"/>
            <wp:docPr id="104" name="Рисунок 104" descr="C:\Users\kgmuuser\AppData\Local\Temp\ksohtml7396\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descr="C:\Users\kgmuuser\AppData\Local\Temp\ksohtml7396\wps2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140325" cy="304800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53AF591A">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08FA1603">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Сурет – 11.  Предгестациялық семіздігі бар әйелдерде анемия дамуының предикторы ретінде қабыну медиаторы маркерлері, Интерлейкин–6–ның зерттеу топтары арасындағы деңгейі</w:t>
      </w:r>
    </w:p>
    <w:p w14:paraId="7D2B2337">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7AF2E2AC">
      <w:pPr>
        <w:autoSpaceDE w:val="0"/>
        <w:spacing w:after="0" w:line="276" w:lineRule="auto"/>
        <w:ind w:firstLine="709"/>
        <w:jc w:val="both"/>
        <w:outlineLvl w:val="0"/>
        <w:rPr>
          <w:rFonts w:ascii="Times New Roman" w:hAnsi="Times New Roman" w:eastAsia="Times New Roman" w:cs="Times New Roman"/>
          <w:bCs/>
          <w:i/>
          <w:sz w:val="28"/>
          <w:szCs w:val="28"/>
          <w:lang w:eastAsia="ru-RU"/>
        </w:rPr>
      </w:pPr>
      <w:r>
        <w:rPr>
          <w:rFonts w:ascii="Times New Roman" w:hAnsi="Times New Roman" w:eastAsia="Times New Roman"/>
          <w:sz w:val="28"/>
          <w:szCs w:val="28"/>
          <w:lang w:eastAsia="ru-RU"/>
        </w:rPr>
        <w:t>Екі қабыну маркерінің де деңгейлері семіздігі бар жүкті әйелдерде (3 және 4 топтар) бақылау тобына (1 топ) және тек анемиясы бар топқа (2 топ) қарағанда айтарлықтай жоғары екені анықталды. Бұл нәтижелер қабыну маркерлерінің семіздік пен анемияның бірлескен әсерінен елеулі өзгерістерге ұшырайтынын және олардың патогенездегі маңызды рөл атқаратынын көрсетеді. Бұл деректер 11 - суретте көрнекі түрде көрсетілген.</w:t>
      </w:r>
    </w:p>
    <w:p w14:paraId="52EEDDB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Осы тұста зерттеулерге тоқтала кететін болсақ, қабыну процестерінің механизмдерін түсіну мақсатында жүргізілген зерттеулер нейтрофилдердің қабыну ошақтарына тартылуы арқылы қабыну медиаторларын, оның ішінде TNF–α, цитокиндер және хемокиндерді өндіруге ынталандыратынын көрсетті [181]. Бұл процесс макрофагтар сияқты иммундық жасушалардың екінші толқынын қабыну орындарына тартуды индукциялайды [182, 183]. Зерттеулер артық салмағы бар адамдарда нейтрофилдер саны мен сарысудағы СРА концентрациясының жоғарылауы арасындағы байланыстарды анықтады [168, 169]. Сонымен қатар, метаболикалық синдромы бар адамдардың қанында нейтрофилдер саны ДСИ қалыпты адамдарға қарағанда айтарлықтай жоғары болған [169]. Нейтрофилездің лимфоциттердің төмендеуімен және СРА деңгейлерімен корреляциясы оны субклиникалық қабынуды анықтау үшін қарапайым әрі тиімді предикторға айналдырды [184]. Бұл қабыну маркерлері, әсіресе нейтрофилдер мен лимфоциттердің тепе-теңдігінің бұзылуы, иммундық жүйенің цитокиндерді индукциялап, қабынудың екіншілік толқынын тудыруына ықпал ететінін көрсетті.</w:t>
      </w:r>
    </w:p>
    <w:p w14:paraId="30BB96DC">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Жоғарыда көрсетілген гипотеза біздің зерттеу нәтижелерімізбен расталды. Нейтрофилдердің жоғарылауы, лимфоциттердің төмендеуі және СРА деңгейлерінің артуы жүкті әйелдер арасында анықталды, бұл қабыну процесінің семіздік пен анемия жағдайында күшейетінін көрсетеді. Біздің зерттеуіміздің айрықша ерекшелігі – бұл механизмнің жүкті әйелдер тобында зерттелуі, бұл жүктілік кезіндегі қабынудың ерекше аспектілерін түсінуге мүмкіндік берді. Бұл деректер қабыну маркерлерінің патогенездегі маңызды рөлін және олардың жүкті әйелдердегі ерекше физиологиялық жағдайларда қалай өзгеретінін айқын көрсетеді.</w:t>
      </w:r>
    </w:p>
    <w:p w14:paraId="27973B4F">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6FCB00D1">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sz w:val="28"/>
          <w:szCs w:val="28"/>
          <w:lang w:eastAsia="ru-RU"/>
        </w:rPr>
        <w:t>3.4</w:t>
      </w: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b/>
          <w:bCs/>
          <w:sz w:val="28"/>
          <w:szCs w:val="28"/>
          <w:lang w:eastAsia="ru-RU"/>
        </w:rPr>
        <w:t>Жүктілікке дейінгі дене самағы индексі мен анемияның босану ағымына әсері</w:t>
      </w:r>
    </w:p>
    <w:p w14:paraId="59EB37D4">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2FC99B0E">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Зерттеу топтары арасындағы босану барысы мен нәрестелік асқынуларды салыстырмалы тексеру үшін, Пирсонның Хи–квадрат критерийі қолданылды, себебі бір-біріне тәуелсіз төрт топ зерттелді (кесте–14). Талдау нәтижелері көрсеткендей, семіздігі бар жүкті әйелдерде бақылау тобымен салыстырғанда белгілі бір асқынулардың жиілігі айтарлықтай жоғары болды. Гестациялық диабет: семіздігі бар жүкті әйелдерде бұл көрсеткіш бақылау тобымен салыстырғанда 19,34%-дан 26,35%-ға дейін өсті (χ²=14,141, p=0,0027). Гестациялық гипертензия: пайда болу жиілігі 16,09%-дан 22,67%-ға дейін жоғарылады (χ²=9,958, p=0,0189). Иық дистоциясы бойынша: бұл асқынудың пайда болу мүмкіндігі 18,42%-дан 12,069%-ға дейін артты (χ²=12,069, p=0,0072).  Ірі ұрықпен босану жиілігі 11,11%-дан 18,42%-ға дейін өсті (χ²=7,958, p=0,0469). Нәрестелердің Апгар шкаласы бойынша төмен балл алу жиілігі 11,56%-дан 13,46%-ға дейін жоғарылады (χ²=10,594, p=0,0141).</w:t>
      </w:r>
    </w:p>
    <w:p w14:paraId="644E362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Қосымша талдау барысында Фишердің нақты критерийі қолданылып, «Ұрықтың антенатальді өлімі» көрсеткіші бойынша дені сау жүкті әйелдер мен анемиясы бар топтар арасында ғана статистикалық маңызды айырмашылық анықталды (р=0,0442).</w:t>
      </w:r>
    </w:p>
    <w:p w14:paraId="2780A71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0D965820">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iCs/>
          <w:sz w:val="28"/>
          <w:szCs w:val="28"/>
          <w:lang w:eastAsia="ru-RU"/>
        </w:rPr>
        <w:t>Кесте–14. Зеттеу топтары арасындағы босану ағымы көрсеткіштері бойынша салыстыру нәтижесі</w:t>
      </w:r>
      <w:r>
        <w:rPr>
          <w:rFonts w:ascii="Times New Roman" w:hAnsi="Times New Roman" w:eastAsia="Times New Roman" w:cs="Times New Roman"/>
          <w:i/>
          <w:sz w:val="28"/>
          <w:szCs w:val="28"/>
          <w:lang w:eastAsia="ru-RU"/>
        </w:rPr>
        <w:t>.</w:t>
      </w:r>
    </w:p>
    <w:p w14:paraId="5BBF7D65">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p>
    <w:tbl>
      <w:tblPr>
        <w:tblStyle w:val="5"/>
        <w:tblW w:w="0" w:type="auto"/>
        <w:tblInd w:w="0" w:type="dxa"/>
        <w:tblLayout w:type="autofit"/>
        <w:tblCellMar>
          <w:top w:w="15" w:type="dxa"/>
          <w:left w:w="15" w:type="dxa"/>
          <w:bottom w:w="15" w:type="dxa"/>
          <w:right w:w="15" w:type="dxa"/>
        </w:tblCellMar>
      </w:tblPr>
      <w:tblGrid>
        <w:gridCol w:w="1812"/>
        <w:gridCol w:w="711"/>
        <w:gridCol w:w="704"/>
        <w:gridCol w:w="703"/>
        <w:gridCol w:w="835"/>
        <w:gridCol w:w="703"/>
        <w:gridCol w:w="706"/>
        <w:gridCol w:w="703"/>
        <w:gridCol w:w="706"/>
        <w:gridCol w:w="833"/>
        <w:gridCol w:w="969"/>
      </w:tblGrid>
      <w:tr w14:paraId="4E8AB614">
        <w:tblPrEx>
          <w:tblCellMar>
            <w:top w:w="15" w:type="dxa"/>
            <w:left w:w="15" w:type="dxa"/>
            <w:bottom w:w="15" w:type="dxa"/>
            <w:right w:w="15" w:type="dxa"/>
          </w:tblCellMar>
        </w:tblPrEx>
        <w:tc>
          <w:tcPr>
            <w:tcW w:w="1812" w:type="dxa"/>
            <w:vMerge w:val="restart"/>
            <w:tcBorders>
              <w:top w:val="outset" w:color="auto" w:sz="6" w:space="0"/>
              <w:left w:val="outset" w:color="auto" w:sz="6" w:space="0"/>
              <w:right w:val="outset" w:color="auto" w:sz="6" w:space="0"/>
            </w:tcBorders>
          </w:tcPr>
          <w:p w14:paraId="5C3A6741">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Көрсеткіштер</w:t>
            </w:r>
          </w:p>
        </w:tc>
        <w:tc>
          <w:tcPr>
            <w:tcW w:w="1415" w:type="dxa"/>
            <w:gridSpan w:val="2"/>
            <w:tcBorders>
              <w:top w:val="outset" w:color="auto" w:sz="6" w:space="0"/>
              <w:left w:val="outset" w:color="auto" w:sz="6" w:space="0"/>
              <w:bottom w:val="outset" w:color="auto" w:sz="6" w:space="0"/>
              <w:right w:val="outset" w:color="auto" w:sz="6" w:space="0"/>
            </w:tcBorders>
          </w:tcPr>
          <w:p w14:paraId="4798011A">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Бақылау</w:t>
            </w:r>
          </w:p>
          <w:p w14:paraId="2D6F3024">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тобы</w:t>
            </w:r>
          </w:p>
        </w:tc>
        <w:tc>
          <w:tcPr>
            <w:tcW w:w="4356" w:type="dxa"/>
            <w:gridSpan w:val="6"/>
            <w:tcBorders>
              <w:top w:val="outset" w:color="auto" w:sz="6" w:space="0"/>
              <w:left w:val="outset" w:color="auto" w:sz="6" w:space="0"/>
              <w:bottom w:val="outset" w:color="auto" w:sz="6" w:space="0"/>
              <w:right w:val="outset" w:color="auto" w:sz="6" w:space="0"/>
            </w:tcBorders>
          </w:tcPr>
          <w:p w14:paraId="1D96ABEC">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Негізгі топтар</w:t>
            </w:r>
          </w:p>
        </w:tc>
        <w:tc>
          <w:tcPr>
            <w:tcW w:w="833" w:type="dxa"/>
            <w:vMerge w:val="restart"/>
            <w:tcBorders>
              <w:top w:val="outset" w:color="auto" w:sz="6" w:space="0"/>
              <w:left w:val="outset" w:color="auto" w:sz="6" w:space="0"/>
              <w:right w:val="outset" w:color="auto" w:sz="6" w:space="0"/>
            </w:tcBorders>
          </w:tcPr>
          <w:p w14:paraId="384E4437">
            <w:pPr>
              <w:widowControl w:val="0"/>
              <w:autoSpaceDE w:val="0"/>
              <w:autoSpaceDN w:val="0"/>
              <w:spacing w:after="0" w:line="276" w:lineRule="auto"/>
              <w:jc w:val="both"/>
              <w:outlineLvl w:val="0"/>
              <w:rPr>
                <w:rFonts w:ascii="Times New Roman" w:hAnsi="Times New Roman" w:eastAsia="Times New Roman" w:cs="Times New Roman"/>
                <w:sz w:val="28"/>
                <w:szCs w:val="28"/>
                <w:vertAlign w:val="superscript"/>
              </w:rPr>
            </w:pPr>
            <w:r>
              <w:rPr>
                <w:rFonts w:ascii="Times New Roman" w:hAnsi="Times New Roman" w:eastAsia="Times New Roman" w:cs="Times New Roman"/>
                <w:sz w:val="28"/>
                <w:szCs w:val="28"/>
              </w:rPr>
              <w:t>χ</w:t>
            </w:r>
            <w:r>
              <w:rPr>
                <w:rFonts w:ascii="Times New Roman" w:hAnsi="Times New Roman" w:eastAsia="Times New Roman" w:cs="Times New Roman"/>
                <w:sz w:val="28"/>
                <w:szCs w:val="28"/>
                <w:vertAlign w:val="superscript"/>
              </w:rPr>
              <w:t>2</w:t>
            </w:r>
          </w:p>
        </w:tc>
        <w:tc>
          <w:tcPr>
            <w:tcW w:w="969" w:type="dxa"/>
            <w:vMerge w:val="restart"/>
            <w:tcBorders>
              <w:top w:val="outset" w:color="auto" w:sz="6" w:space="0"/>
              <w:left w:val="outset" w:color="auto" w:sz="6" w:space="0"/>
              <w:right w:val="outset" w:color="auto" w:sz="6" w:space="0"/>
            </w:tcBorders>
          </w:tcPr>
          <w:p w14:paraId="2D9BD6C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p–level</w:t>
            </w:r>
          </w:p>
        </w:tc>
      </w:tr>
      <w:tr w14:paraId="0487287E">
        <w:tblPrEx>
          <w:tblCellMar>
            <w:top w:w="15" w:type="dxa"/>
            <w:left w:w="15" w:type="dxa"/>
            <w:bottom w:w="15" w:type="dxa"/>
            <w:right w:w="15" w:type="dxa"/>
          </w:tblCellMar>
        </w:tblPrEx>
        <w:tc>
          <w:tcPr>
            <w:tcW w:w="1812" w:type="dxa"/>
            <w:vMerge w:val="continue"/>
            <w:tcBorders>
              <w:left w:val="outset" w:color="auto" w:sz="6" w:space="0"/>
              <w:right w:val="outset" w:color="auto" w:sz="6" w:space="0"/>
            </w:tcBorders>
          </w:tcPr>
          <w:p w14:paraId="3A7802CB">
            <w:pPr>
              <w:widowControl w:val="0"/>
              <w:autoSpaceDE w:val="0"/>
              <w:autoSpaceDN w:val="0"/>
              <w:spacing w:after="0" w:line="276" w:lineRule="auto"/>
              <w:jc w:val="both"/>
              <w:outlineLvl w:val="0"/>
              <w:rPr>
                <w:rFonts w:ascii="Times New Roman" w:hAnsi="Times New Roman" w:eastAsia="Times New Roman" w:cs="Times New Roman"/>
                <w:b/>
                <w:bCs/>
                <w:sz w:val="28"/>
                <w:szCs w:val="28"/>
              </w:rPr>
            </w:pPr>
          </w:p>
        </w:tc>
        <w:tc>
          <w:tcPr>
            <w:tcW w:w="1415" w:type="dxa"/>
            <w:gridSpan w:val="2"/>
            <w:tcBorders>
              <w:top w:val="outset" w:color="auto" w:sz="6" w:space="0"/>
              <w:left w:val="outset" w:color="auto" w:sz="6" w:space="0"/>
              <w:bottom w:val="outset" w:color="auto" w:sz="6" w:space="0"/>
              <w:right w:val="outset" w:color="auto" w:sz="6" w:space="0"/>
            </w:tcBorders>
          </w:tcPr>
          <w:p w14:paraId="2910044F">
            <w:pPr>
              <w:widowControl w:val="0"/>
              <w:autoSpaceDE w:val="0"/>
              <w:autoSpaceDN w:val="0"/>
              <w:spacing w:after="0" w:line="276" w:lineRule="auto"/>
              <w:jc w:val="both"/>
              <w:outlineLvl w:val="0"/>
              <w:rPr>
                <w:rFonts w:ascii="Times New Roman" w:hAnsi="Times New Roman" w:eastAsia="Times New Roman" w:cs="Times New Roman"/>
                <w:b/>
                <w:bCs/>
                <w:sz w:val="28"/>
                <w:szCs w:val="28"/>
                <w:lang w:val="en-US"/>
              </w:rPr>
            </w:pPr>
            <w:r>
              <w:rPr>
                <w:rFonts w:ascii="Times New Roman" w:hAnsi="Times New Roman" w:eastAsia="Times New Roman" w:cs="Times New Roman"/>
                <w:b/>
                <w:bCs/>
                <w:sz w:val="28"/>
                <w:szCs w:val="28"/>
              </w:rPr>
              <w:t>1 топ</w:t>
            </w:r>
            <w:r>
              <w:rPr>
                <w:rFonts w:ascii="Times New Roman" w:hAnsi="Times New Roman" w:eastAsia="Times New Roman" w:cs="Times New Roman"/>
                <w:b/>
                <w:bCs/>
                <w:sz w:val="28"/>
                <w:szCs w:val="28"/>
                <w:lang w:val="en-US"/>
              </w:rPr>
              <w:t xml:space="preserve"> </w:t>
            </w:r>
            <w:r>
              <w:rPr>
                <w:rFonts w:ascii="Times New Roman" w:hAnsi="Times New Roman" w:eastAsia="Times New Roman" w:cs="Times New Roman"/>
                <w:b/>
                <w:bCs/>
                <w:sz w:val="28"/>
                <w:szCs w:val="28"/>
              </w:rPr>
              <w:t>%</w:t>
            </w:r>
          </w:p>
          <w:p w14:paraId="66820704">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(n=43)</w:t>
            </w:r>
          </w:p>
        </w:tc>
        <w:tc>
          <w:tcPr>
            <w:tcW w:w="1538" w:type="dxa"/>
            <w:gridSpan w:val="2"/>
            <w:tcBorders>
              <w:top w:val="outset" w:color="auto" w:sz="6" w:space="0"/>
              <w:left w:val="outset" w:color="auto" w:sz="6" w:space="0"/>
              <w:bottom w:val="outset" w:color="auto" w:sz="6" w:space="0"/>
              <w:right w:val="outset" w:color="auto" w:sz="6" w:space="0"/>
            </w:tcBorders>
          </w:tcPr>
          <w:p w14:paraId="255406C3">
            <w:pPr>
              <w:widowControl w:val="0"/>
              <w:autoSpaceDE w:val="0"/>
              <w:autoSpaceDN w:val="0"/>
              <w:spacing w:after="0" w:line="276" w:lineRule="auto"/>
              <w:jc w:val="both"/>
              <w:outlineLvl w:val="0"/>
              <w:rPr>
                <w:rFonts w:ascii="Times New Roman" w:hAnsi="Times New Roman" w:eastAsia="Times New Roman" w:cs="Times New Roman"/>
                <w:b/>
                <w:bCs/>
                <w:sz w:val="28"/>
                <w:szCs w:val="28"/>
                <w:lang w:val="en-US"/>
              </w:rPr>
            </w:pPr>
            <w:r>
              <w:rPr>
                <w:rFonts w:ascii="Times New Roman" w:hAnsi="Times New Roman" w:eastAsia="Times New Roman" w:cs="Times New Roman"/>
                <w:b/>
                <w:bCs/>
                <w:sz w:val="28"/>
                <w:szCs w:val="28"/>
              </w:rPr>
              <w:t>2 топ</w:t>
            </w:r>
            <w:r>
              <w:rPr>
                <w:rFonts w:ascii="Times New Roman" w:hAnsi="Times New Roman" w:eastAsia="Times New Roman" w:cs="Times New Roman"/>
                <w:b/>
                <w:bCs/>
                <w:sz w:val="28"/>
                <w:szCs w:val="28"/>
                <w:lang w:val="en-US"/>
              </w:rPr>
              <w:t xml:space="preserve"> </w:t>
            </w:r>
            <w:r>
              <w:rPr>
                <w:rFonts w:ascii="Times New Roman" w:hAnsi="Times New Roman" w:eastAsia="Times New Roman" w:cs="Times New Roman"/>
                <w:b/>
                <w:bCs/>
                <w:sz w:val="28"/>
                <w:szCs w:val="28"/>
              </w:rPr>
              <w:t>%</w:t>
            </w:r>
          </w:p>
          <w:p w14:paraId="2394264E">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(n=40)</w:t>
            </w:r>
          </w:p>
        </w:tc>
        <w:tc>
          <w:tcPr>
            <w:tcW w:w="1409" w:type="dxa"/>
            <w:gridSpan w:val="2"/>
            <w:tcBorders>
              <w:top w:val="outset" w:color="auto" w:sz="6" w:space="0"/>
              <w:left w:val="outset" w:color="auto" w:sz="6" w:space="0"/>
              <w:bottom w:val="outset" w:color="auto" w:sz="6" w:space="0"/>
              <w:right w:val="outset" w:color="auto" w:sz="6" w:space="0"/>
            </w:tcBorders>
          </w:tcPr>
          <w:p w14:paraId="058E5269">
            <w:pPr>
              <w:widowControl w:val="0"/>
              <w:autoSpaceDE w:val="0"/>
              <w:autoSpaceDN w:val="0"/>
              <w:spacing w:after="0" w:line="276" w:lineRule="auto"/>
              <w:jc w:val="both"/>
              <w:outlineLvl w:val="0"/>
              <w:rPr>
                <w:rFonts w:ascii="Times New Roman" w:hAnsi="Times New Roman" w:eastAsia="Times New Roman" w:cs="Times New Roman"/>
                <w:b/>
                <w:bCs/>
                <w:sz w:val="28"/>
                <w:szCs w:val="28"/>
                <w:lang w:val="en-US"/>
              </w:rPr>
            </w:pPr>
            <w:r>
              <w:rPr>
                <w:rFonts w:ascii="Times New Roman" w:hAnsi="Times New Roman" w:eastAsia="Times New Roman" w:cs="Times New Roman"/>
                <w:b/>
                <w:bCs/>
                <w:sz w:val="28"/>
                <w:szCs w:val="28"/>
              </w:rPr>
              <w:t>3 топ</w:t>
            </w:r>
            <w:r>
              <w:rPr>
                <w:rFonts w:ascii="Times New Roman" w:hAnsi="Times New Roman" w:eastAsia="Times New Roman" w:cs="Times New Roman"/>
                <w:b/>
                <w:bCs/>
                <w:sz w:val="28"/>
                <w:szCs w:val="28"/>
                <w:lang w:val="en-US"/>
              </w:rPr>
              <w:t xml:space="preserve"> </w:t>
            </w:r>
            <w:r>
              <w:rPr>
                <w:rFonts w:ascii="Times New Roman" w:hAnsi="Times New Roman" w:eastAsia="Times New Roman" w:cs="Times New Roman"/>
                <w:b/>
                <w:bCs/>
                <w:sz w:val="28"/>
                <w:szCs w:val="28"/>
              </w:rPr>
              <w:t>%</w:t>
            </w:r>
          </w:p>
          <w:p w14:paraId="3FFC31FA">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(n=48)</w:t>
            </w:r>
          </w:p>
        </w:tc>
        <w:tc>
          <w:tcPr>
            <w:tcW w:w="1409" w:type="dxa"/>
            <w:gridSpan w:val="2"/>
            <w:tcBorders>
              <w:top w:val="outset" w:color="auto" w:sz="6" w:space="0"/>
              <w:left w:val="outset" w:color="auto" w:sz="6" w:space="0"/>
              <w:bottom w:val="outset" w:color="auto" w:sz="6" w:space="0"/>
              <w:right w:val="outset" w:color="auto" w:sz="6" w:space="0"/>
            </w:tcBorders>
          </w:tcPr>
          <w:p w14:paraId="491627A0">
            <w:pPr>
              <w:widowControl w:val="0"/>
              <w:autoSpaceDE w:val="0"/>
              <w:autoSpaceDN w:val="0"/>
              <w:spacing w:after="0" w:line="276" w:lineRule="auto"/>
              <w:jc w:val="both"/>
              <w:outlineLvl w:val="0"/>
              <w:rPr>
                <w:rFonts w:ascii="Times New Roman" w:hAnsi="Times New Roman" w:eastAsia="Times New Roman" w:cs="Times New Roman"/>
                <w:b/>
                <w:bCs/>
                <w:sz w:val="28"/>
                <w:szCs w:val="28"/>
                <w:lang w:val="en-US"/>
              </w:rPr>
            </w:pPr>
            <w:r>
              <w:rPr>
                <w:rFonts w:ascii="Times New Roman" w:hAnsi="Times New Roman" w:eastAsia="Times New Roman" w:cs="Times New Roman"/>
                <w:b/>
                <w:bCs/>
                <w:sz w:val="28"/>
                <w:szCs w:val="28"/>
              </w:rPr>
              <w:t>4 топ</w:t>
            </w:r>
            <w:r>
              <w:rPr>
                <w:rFonts w:ascii="Times New Roman" w:hAnsi="Times New Roman" w:eastAsia="Times New Roman" w:cs="Times New Roman"/>
                <w:b/>
                <w:bCs/>
                <w:sz w:val="28"/>
                <w:szCs w:val="28"/>
                <w:lang w:val="en-US"/>
              </w:rPr>
              <w:t xml:space="preserve"> </w:t>
            </w:r>
            <w:r>
              <w:rPr>
                <w:rFonts w:ascii="Times New Roman" w:hAnsi="Times New Roman" w:eastAsia="Times New Roman" w:cs="Times New Roman"/>
                <w:b/>
                <w:bCs/>
                <w:sz w:val="28"/>
                <w:szCs w:val="28"/>
              </w:rPr>
              <w:t>%</w:t>
            </w:r>
          </w:p>
          <w:p w14:paraId="71FAFCDD">
            <w:pPr>
              <w:widowControl w:val="0"/>
              <w:autoSpaceDE w:val="0"/>
              <w:autoSpaceDN w:val="0"/>
              <w:spacing w:after="0" w:line="276" w:lineRule="auto"/>
              <w:jc w:val="both"/>
              <w:outlineLvl w:val="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(n=36)</w:t>
            </w:r>
          </w:p>
        </w:tc>
        <w:tc>
          <w:tcPr>
            <w:tcW w:w="833" w:type="dxa"/>
            <w:vMerge w:val="continue"/>
            <w:tcBorders>
              <w:left w:val="outset" w:color="auto" w:sz="6" w:space="0"/>
              <w:right w:val="outset" w:color="auto" w:sz="6" w:space="0"/>
            </w:tcBorders>
          </w:tcPr>
          <w:p w14:paraId="44C39F0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969" w:type="dxa"/>
            <w:vMerge w:val="continue"/>
            <w:tcBorders>
              <w:left w:val="outset" w:color="auto" w:sz="6" w:space="0"/>
              <w:right w:val="outset" w:color="auto" w:sz="6" w:space="0"/>
            </w:tcBorders>
          </w:tcPr>
          <w:p w14:paraId="1FB88305">
            <w:pPr>
              <w:widowControl w:val="0"/>
              <w:autoSpaceDE w:val="0"/>
              <w:autoSpaceDN w:val="0"/>
              <w:spacing w:after="0" w:line="276" w:lineRule="auto"/>
              <w:jc w:val="both"/>
              <w:outlineLvl w:val="0"/>
              <w:rPr>
                <w:rFonts w:ascii="Times New Roman" w:hAnsi="Times New Roman" w:eastAsia="Times New Roman" w:cs="Times New Roman"/>
                <w:sz w:val="28"/>
                <w:szCs w:val="28"/>
              </w:rPr>
            </w:pPr>
          </w:p>
        </w:tc>
      </w:tr>
      <w:tr w14:paraId="3A1265B3">
        <w:tblPrEx>
          <w:tblCellMar>
            <w:top w:w="15" w:type="dxa"/>
            <w:left w:w="15" w:type="dxa"/>
            <w:bottom w:w="15" w:type="dxa"/>
            <w:right w:w="15" w:type="dxa"/>
          </w:tblCellMar>
        </w:tblPrEx>
        <w:tc>
          <w:tcPr>
            <w:tcW w:w="1812" w:type="dxa"/>
            <w:vMerge w:val="continue"/>
            <w:tcBorders>
              <w:left w:val="outset" w:color="auto" w:sz="6" w:space="0"/>
              <w:bottom w:val="outset" w:color="auto" w:sz="6" w:space="0"/>
              <w:right w:val="outset" w:color="auto" w:sz="6" w:space="0"/>
            </w:tcBorders>
          </w:tcPr>
          <w:p w14:paraId="50291CCD">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11" w:type="dxa"/>
            <w:tcBorders>
              <w:top w:val="nil"/>
              <w:left w:val="outset" w:color="auto" w:sz="6" w:space="0"/>
              <w:bottom w:val="outset" w:color="auto" w:sz="6" w:space="0"/>
              <w:right w:val="outset" w:color="auto" w:sz="6" w:space="0"/>
            </w:tcBorders>
          </w:tcPr>
          <w:p w14:paraId="5442B2B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704" w:type="dxa"/>
            <w:tcBorders>
              <w:top w:val="nil"/>
              <w:left w:val="outset" w:color="auto" w:sz="6" w:space="0"/>
              <w:bottom w:val="outset" w:color="auto" w:sz="6" w:space="0"/>
              <w:right w:val="outset" w:color="auto" w:sz="6" w:space="0"/>
            </w:tcBorders>
          </w:tcPr>
          <w:p w14:paraId="1DCE48C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703" w:type="dxa"/>
            <w:tcBorders>
              <w:top w:val="nil"/>
              <w:left w:val="outset" w:color="auto" w:sz="6" w:space="0"/>
              <w:bottom w:val="outset" w:color="auto" w:sz="6" w:space="0"/>
              <w:right w:val="outset" w:color="auto" w:sz="6" w:space="0"/>
            </w:tcBorders>
          </w:tcPr>
          <w:p w14:paraId="0DCAECA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835" w:type="dxa"/>
            <w:tcBorders>
              <w:top w:val="nil"/>
              <w:left w:val="outset" w:color="auto" w:sz="6" w:space="0"/>
              <w:bottom w:val="outset" w:color="auto" w:sz="6" w:space="0"/>
              <w:right w:val="outset" w:color="auto" w:sz="6" w:space="0"/>
            </w:tcBorders>
          </w:tcPr>
          <w:p w14:paraId="3CE4E3B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703" w:type="dxa"/>
            <w:tcBorders>
              <w:top w:val="nil"/>
              <w:left w:val="outset" w:color="auto" w:sz="6" w:space="0"/>
              <w:bottom w:val="outset" w:color="auto" w:sz="6" w:space="0"/>
              <w:right w:val="outset" w:color="auto" w:sz="6" w:space="0"/>
            </w:tcBorders>
          </w:tcPr>
          <w:p w14:paraId="340177D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706" w:type="dxa"/>
            <w:tcBorders>
              <w:top w:val="nil"/>
              <w:left w:val="outset" w:color="auto" w:sz="6" w:space="0"/>
              <w:bottom w:val="outset" w:color="auto" w:sz="6" w:space="0"/>
              <w:right w:val="outset" w:color="auto" w:sz="6" w:space="0"/>
            </w:tcBorders>
          </w:tcPr>
          <w:p w14:paraId="375E629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703" w:type="dxa"/>
            <w:tcBorders>
              <w:top w:val="outset" w:color="auto" w:sz="6" w:space="0"/>
              <w:left w:val="outset" w:color="auto" w:sz="6" w:space="0"/>
              <w:bottom w:val="outset" w:color="auto" w:sz="6" w:space="0"/>
              <w:right w:val="outset" w:color="auto" w:sz="6" w:space="0"/>
            </w:tcBorders>
          </w:tcPr>
          <w:p w14:paraId="3AF8461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706" w:type="dxa"/>
            <w:tcBorders>
              <w:top w:val="outset" w:color="auto" w:sz="6" w:space="0"/>
              <w:left w:val="outset" w:color="auto" w:sz="6" w:space="0"/>
              <w:bottom w:val="outset" w:color="auto" w:sz="6" w:space="0"/>
              <w:right w:val="outset" w:color="auto" w:sz="6" w:space="0"/>
            </w:tcBorders>
          </w:tcPr>
          <w:p w14:paraId="61A6C6E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tc>
        <w:tc>
          <w:tcPr>
            <w:tcW w:w="833" w:type="dxa"/>
            <w:vMerge w:val="continue"/>
            <w:tcBorders>
              <w:left w:val="outset" w:color="auto" w:sz="6" w:space="0"/>
              <w:bottom w:val="outset" w:color="auto" w:sz="6" w:space="0"/>
              <w:right w:val="outset" w:color="auto" w:sz="6" w:space="0"/>
            </w:tcBorders>
          </w:tcPr>
          <w:p w14:paraId="5628D213">
            <w:pPr>
              <w:widowControl w:val="0"/>
              <w:autoSpaceDE w:val="0"/>
              <w:autoSpaceDN w:val="0"/>
              <w:spacing w:after="0" w:line="276" w:lineRule="auto"/>
              <w:jc w:val="both"/>
              <w:outlineLvl w:val="0"/>
              <w:rPr>
                <w:rFonts w:ascii="Times New Roman" w:hAnsi="Times New Roman" w:eastAsia="Times New Roman" w:cs="Times New Roman"/>
                <w:sz w:val="28"/>
                <w:szCs w:val="28"/>
                <w:vertAlign w:val="superscript"/>
              </w:rPr>
            </w:pPr>
          </w:p>
        </w:tc>
        <w:tc>
          <w:tcPr>
            <w:tcW w:w="969" w:type="dxa"/>
            <w:vMerge w:val="continue"/>
            <w:tcBorders>
              <w:left w:val="outset" w:color="auto" w:sz="6" w:space="0"/>
              <w:bottom w:val="outset" w:color="auto" w:sz="6" w:space="0"/>
              <w:right w:val="outset" w:color="auto" w:sz="6" w:space="0"/>
            </w:tcBorders>
          </w:tcPr>
          <w:p w14:paraId="770FF40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r>
      <w:tr w14:paraId="25AB972B">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6ED448E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Босану ырғағының әлсіздігі</w:t>
            </w:r>
          </w:p>
        </w:tc>
        <w:tc>
          <w:tcPr>
            <w:tcW w:w="711" w:type="dxa"/>
            <w:tcBorders>
              <w:top w:val="nil"/>
              <w:left w:val="outset" w:color="auto" w:sz="6" w:space="0"/>
              <w:bottom w:val="outset" w:color="auto" w:sz="6" w:space="0"/>
              <w:right w:val="outset" w:color="auto" w:sz="6" w:space="0"/>
            </w:tcBorders>
          </w:tcPr>
          <w:p w14:paraId="60FD038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93,02</w:t>
            </w:r>
          </w:p>
          <w:p w14:paraId="657D54F1">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143087E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6,98</w:t>
            </w:r>
          </w:p>
        </w:tc>
        <w:tc>
          <w:tcPr>
            <w:tcW w:w="703" w:type="dxa"/>
            <w:tcBorders>
              <w:top w:val="nil"/>
              <w:left w:val="outset" w:color="auto" w:sz="6" w:space="0"/>
              <w:bottom w:val="outset" w:color="auto" w:sz="6" w:space="0"/>
              <w:right w:val="outset" w:color="auto" w:sz="6" w:space="0"/>
            </w:tcBorders>
          </w:tcPr>
          <w:p w14:paraId="24DA876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87,50</w:t>
            </w:r>
          </w:p>
          <w:p w14:paraId="6E895621">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25BA166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12,50</w:t>
            </w:r>
          </w:p>
        </w:tc>
        <w:tc>
          <w:tcPr>
            <w:tcW w:w="703" w:type="dxa"/>
            <w:tcBorders>
              <w:top w:val="nil"/>
              <w:left w:val="outset" w:color="auto" w:sz="6" w:space="0"/>
              <w:bottom w:val="outset" w:color="auto" w:sz="6" w:space="0"/>
              <w:right w:val="outset" w:color="auto" w:sz="6" w:space="0"/>
            </w:tcBorders>
          </w:tcPr>
          <w:p w14:paraId="6EFAC60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86,84</w:t>
            </w:r>
          </w:p>
          <w:p w14:paraId="258C25D5">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0C9418D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13,16</w:t>
            </w:r>
          </w:p>
        </w:tc>
        <w:tc>
          <w:tcPr>
            <w:tcW w:w="703" w:type="dxa"/>
            <w:tcBorders>
              <w:top w:val="nil"/>
              <w:left w:val="outset" w:color="auto" w:sz="6" w:space="0"/>
              <w:bottom w:val="outset" w:color="auto" w:sz="6" w:space="0"/>
              <w:right w:val="outset" w:color="auto" w:sz="6" w:space="0"/>
            </w:tcBorders>
          </w:tcPr>
          <w:p w14:paraId="288A06B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84,21</w:t>
            </w:r>
          </w:p>
          <w:p w14:paraId="523051B4">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22BB3B3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15,79</w:t>
            </w:r>
          </w:p>
        </w:tc>
        <w:tc>
          <w:tcPr>
            <w:tcW w:w="833" w:type="dxa"/>
            <w:tcBorders>
              <w:top w:val="nil"/>
              <w:left w:val="outset" w:color="auto" w:sz="6" w:space="0"/>
              <w:bottom w:val="outset" w:color="auto" w:sz="6" w:space="0"/>
              <w:right w:val="outset" w:color="auto" w:sz="6" w:space="0"/>
            </w:tcBorders>
          </w:tcPr>
          <w:p w14:paraId="03DB51C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1,813</w:t>
            </w:r>
          </w:p>
        </w:tc>
        <w:tc>
          <w:tcPr>
            <w:tcW w:w="969" w:type="dxa"/>
            <w:tcBorders>
              <w:top w:val="nil"/>
              <w:left w:val="outset" w:color="auto" w:sz="6" w:space="0"/>
              <w:bottom w:val="outset" w:color="auto" w:sz="6" w:space="0"/>
              <w:right w:val="outset" w:color="auto" w:sz="6" w:space="0"/>
            </w:tcBorders>
          </w:tcPr>
          <w:p w14:paraId="0FDCD38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0,612</w:t>
            </w:r>
          </w:p>
        </w:tc>
      </w:tr>
      <w:tr w14:paraId="7D24D3CF">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42D31E2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Босану индукциясының әсерсіздігі</w:t>
            </w:r>
          </w:p>
        </w:tc>
        <w:tc>
          <w:tcPr>
            <w:tcW w:w="711" w:type="dxa"/>
            <w:tcBorders>
              <w:top w:val="nil"/>
              <w:left w:val="outset" w:color="auto" w:sz="6" w:space="0"/>
              <w:bottom w:val="outset" w:color="auto" w:sz="6" w:space="0"/>
              <w:right w:val="outset" w:color="auto" w:sz="6" w:space="0"/>
            </w:tcBorders>
          </w:tcPr>
          <w:p w14:paraId="38383CE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97,67</w:t>
            </w:r>
          </w:p>
          <w:p w14:paraId="6084F3A8">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6784656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2,33</w:t>
            </w:r>
          </w:p>
        </w:tc>
        <w:tc>
          <w:tcPr>
            <w:tcW w:w="703" w:type="dxa"/>
            <w:tcBorders>
              <w:top w:val="nil"/>
              <w:left w:val="outset" w:color="auto" w:sz="6" w:space="0"/>
              <w:bottom w:val="outset" w:color="auto" w:sz="6" w:space="0"/>
              <w:right w:val="outset" w:color="auto" w:sz="6" w:space="0"/>
            </w:tcBorders>
          </w:tcPr>
          <w:p w14:paraId="5D32CD1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87,50</w:t>
            </w:r>
          </w:p>
          <w:p w14:paraId="00F235A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6700589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12,50</w:t>
            </w:r>
          </w:p>
        </w:tc>
        <w:tc>
          <w:tcPr>
            <w:tcW w:w="703" w:type="dxa"/>
            <w:tcBorders>
              <w:top w:val="nil"/>
              <w:left w:val="outset" w:color="auto" w:sz="6" w:space="0"/>
              <w:bottom w:val="outset" w:color="auto" w:sz="6" w:space="0"/>
              <w:right w:val="outset" w:color="auto" w:sz="6" w:space="0"/>
            </w:tcBorders>
          </w:tcPr>
          <w:p w14:paraId="1354C4A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89,47</w:t>
            </w:r>
          </w:p>
          <w:p w14:paraId="3607EC8B">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690A4FB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10,53</w:t>
            </w:r>
          </w:p>
        </w:tc>
        <w:tc>
          <w:tcPr>
            <w:tcW w:w="703" w:type="dxa"/>
            <w:tcBorders>
              <w:top w:val="nil"/>
              <w:left w:val="outset" w:color="auto" w:sz="6" w:space="0"/>
              <w:bottom w:val="outset" w:color="auto" w:sz="6" w:space="0"/>
              <w:right w:val="outset" w:color="auto" w:sz="6" w:space="0"/>
            </w:tcBorders>
          </w:tcPr>
          <w:p w14:paraId="4BA1C4D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77,78</w:t>
            </w:r>
          </w:p>
          <w:p w14:paraId="1808B137">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2083474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22,22</w:t>
            </w:r>
          </w:p>
        </w:tc>
        <w:tc>
          <w:tcPr>
            <w:tcW w:w="833" w:type="dxa"/>
            <w:tcBorders>
              <w:top w:val="nil"/>
              <w:left w:val="outset" w:color="auto" w:sz="6" w:space="0"/>
              <w:bottom w:val="outset" w:color="auto" w:sz="6" w:space="0"/>
              <w:right w:val="outset" w:color="auto" w:sz="6" w:space="0"/>
            </w:tcBorders>
          </w:tcPr>
          <w:p w14:paraId="675310E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7,718</w:t>
            </w:r>
          </w:p>
        </w:tc>
        <w:tc>
          <w:tcPr>
            <w:tcW w:w="969" w:type="dxa"/>
            <w:tcBorders>
              <w:top w:val="nil"/>
              <w:left w:val="outset" w:color="auto" w:sz="6" w:space="0"/>
              <w:bottom w:val="outset" w:color="auto" w:sz="6" w:space="0"/>
              <w:right w:val="outset" w:color="auto" w:sz="6" w:space="0"/>
            </w:tcBorders>
          </w:tcPr>
          <w:p w14:paraId="78BCC6D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0,052</w:t>
            </w:r>
          </w:p>
        </w:tc>
      </w:tr>
      <w:tr w14:paraId="185EBFC4">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08DEA4E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Кесір тілігі</w:t>
            </w:r>
            <w:r>
              <w:rPr>
                <w:rFonts w:ascii="Times New Roman" w:hAnsi="Times New Roman" w:eastAsia="Times New Roman" w:cs="Times New Roman"/>
                <w:sz w:val="28"/>
                <w:szCs w:val="28"/>
              </w:rPr>
              <w:tab/>
            </w:r>
          </w:p>
        </w:tc>
        <w:tc>
          <w:tcPr>
            <w:tcW w:w="711" w:type="dxa"/>
            <w:tcBorders>
              <w:top w:val="nil"/>
              <w:left w:val="outset" w:color="auto" w:sz="6" w:space="0"/>
              <w:bottom w:val="outset" w:color="auto" w:sz="6" w:space="0"/>
              <w:right w:val="outset" w:color="auto" w:sz="6" w:space="0"/>
            </w:tcBorders>
          </w:tcPr>
          <w:p w14:paraId="60694A1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90,70</w:t>
            </w:r>
          </w:p>
          <w:p w14:paraId="424C778D">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0A93273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9,30</w:t>
            </w:r>
          </w:p>
        </w:tc>
        <w:tc>
          <w:tcPr>
            <w:tcW w:w="703" w:type="dxa"/>
            <w:tcBorders>
              <w:top w:val="nil"/>
              <w:left w:val="outset" w:color="auto" w:sz="6" w:space="0"/>
              <w:bottom w:val="outset" w:color="auto" w:sz="6" w:space="0"/>
              <w:right w:val="outset" w:color="auto" w:sz="6" w:space="0"/>
            </w:tcBorders>
          </w:tcPr>
          <w:p w14:paraId="4A54AF1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90,00</w:t>
            </w:r>
          </w:p>
          <w:p w14:paraId="2DCDE91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4F73C1C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10,00</w:t>
            </w:r>
          </w:p>
        </w:tc>
        <w:tc>
          <w:tcPr>
            <w:tcW w:w="703" w:type="dxa"/>
            <w:tcBorders>
              <w:top w:val="nil"/>
              <w:left w:val="outset" w:color="auto" w:sz="6" w:space="0"/>
              <w:bottom w:val="outset" w:color="auto" w:sz="6" w:space="0"/>
              <w:right w:val="outset" w:color="auto" w:sz="6" w:space="0"/>
            </w:tcBorders>
          </w:tcPr>
          <w:p w14:paraId="26DD4EB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78,95</w:t>
            </w:r>
          </w:p>
          <w:p w14:paraId="13210258">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7463B13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21,05</w:t>
            </w:r>
          </w:p>
        </w:tc>
        <w:tc>
          <w:tcPr>
            <w:tcW w:w="703" w:type="dxa"/>
            <w:tcBorders>
              <w:top w:val="nil"/>
              <w:left w:val="outset" w:color="auto" w:sz="6" w:space="0"/>
              <w:bottom w:val="outset" w:color="auto" w:sz="6" w:space="0"/>
              <w:right w:val="outset" w:color="auto" w:sz="6" w:space="0"/>
            </w:tcBorders>
          </w:tcPr>
          <w:p w14:paraId="2F92CDF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75,00</w:t>
            </w:r>
          </w:p>
          <w:p w14:paraId="2DF388AB">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72CED41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25,00</w:t>
            </w:r>
          </w:p>
        </w:tc>
        <w:tc>
          <w:tcPr>
            <w:tcW w:w="833" w:type="dxa"/>
            <w:tcBorders>
              <w:top w:val="nil"/>
              <w:left w:val="outset" w:color="auto" w:sz="6" w:space="0"/>
              <w:bottom w:val="outset" w:color="auto" w:sz="6" w:space="0"/>
              <w:right w:val="outset" w:color="auto" w:sz="6" w:space="0"/>
            </w:tcBorders>
          </w:tcPr>
          <w:p w14:paraId="03ABA3F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5,418</w:t>
            </w:r>
          </w:p>
        </w:tc>
        <w:tc>
          <w:tcPr>
            <w:tcW w:w="969" w:type="dxa"/>
            <w:tcBorders>
              <w:top w:val="nil"/>
              <w:left w:val="outset" w:color="auto" w:sz="6" w:space="0"/>
              <w:bottom w:val="outset" w:color="auto" w:sz="6" w:space="0"/>
              <w:right w:val="outset" w:color="auto" w:sz="6" w:space="0"/>
            </w:tcBorders>
          </w:tcPr>
          <w:p w14:paraId="6ABE0F5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0,144</w:t>
            </w:r>
          </w:p>
        </w:tc>
      </w:tr>
      <w:tr w14:paraId="18DC2963">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05EF892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Инструментальді босану</w:t>
            </w:r>
          </w:p>
        </w:tc>
        <w:tc>
          <w:tcPr>
            <w:tcW w:w="711" w:type="dxa"/>
            <w:tcBorders>
              <w:top w:val="nil"/>
              <w:left w:val="outset" w:color="auto" w:sz="6" w:space="0"/>
              <w:bottom w:val="outset" w:color="auto" w:sz="6" w:space="0"/>
              <w:right w:val="outset" w:color="auto" w:sz="6" w:space="0"/>
            </w:tcBorders>
          </w:tcPr>
          <w:p w14:paraId="516DC44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95,35</w:t>
            </w:r>
          </w:p>
          <w:p w14:paraId="7B0EF40F">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07B5ECB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4,65</w:t>
            </w:r>
          </w:p>
        </w:tc>
        <w:tc>
          <w:tcPr>
            <w:tcW w:w="703" w:type="dxa"/>
            <w:tcBorders>
              <w:top w:val="nil"/>
              <w:left w:val="outset" w:color="auto" w:sz="6" w:space="0"/>
              <w:bottom w:val="outset" w:color="auto" w:sz="6" w:space="0"/>
              <w:right w:val="outset" w:color="auto" w:sz="6" w:space="0"/>
            </w:tcBorders>
          </w:tcPr>
          <w:p w14:paraId="69471FB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77,50</w:t>
            </w:r>
          </w:p>
          <w:p w14:paraId="6897A2C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1C4C0E6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22,50</w:t>
            </w:r>
          </w:p>
        </w:tc>
        <w:tc>
          <w:tcPr>
            <w:tcW w:w="703" w:type="dxa"/>
            <w:tcBorders>
              <w:top w:val="nil"/>
              <w:left w:val="outset" w:color="auto" w:sz="6" w:space="0"/>
              <w:bottom w:val="outset" w:color="auto" w:sz="6" w:space="0"/>
              <w:right w:val="outset" w:color="auto" w:sz="6" w:space="0"/>
            </w:tcBorders>
          </w:tcPr>
          <w:p w14:paraId="2CD126B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92,11</w:t>
            </w:r>
          </w:p>
          <w:p w14:paraId="6EC5FA49">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3C1FC63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7,89</w:t>
            </w:r>
          </w:p>
        </w:tc>
        <w:tc>
          <w:tcPr>
            <w:tcW w:w="703" w:type="dxa"/>
            <w:tcBorders>
              <w:top w:val="nil"/>
              <w:left w:val="outset" w:color="auto" w:sz="6" w:space="0"/>
              <w:bottom w:val="outset" w:color="auto" w:sz="6" w:space="0"/>
              <w:right w:val="outset" w:color="auto" w:sz="6" w:space="0"/>
            </w:tcBorders>
          </w:tcPr>
          <w:p w14:paraId="2A051EF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88,89</w:t>
            </w:r>
          </w:p>
          <w:p w14:paraId="218135B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74F71E8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11,11</w:t>
            </w:r>
          </w:p>
        </w:tc>
        <w:tc>
          <w:tcPr>
            <w:tcW w:w="833" w:type="dxa"/>
            <w:tcBorders>
              <w:top w:val="nil"/>
              <w:left w:val="outset" w:color="auto" w:sz="6" w:space="0"/>
              <w:bottom w:val="outset" w:color="auto" w:sz="6" w:space="0"/>
              <w:right w:val="outset" w:color="auto" w:sz="6" w:space="0"/>
            </w:tcBorders>
            <w:vAlign w:val="center"/>
          </w:tcPr>
          <w:p w14:paraId="475AE17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7,247</w:t>
            </w:r>
          </w:p>
        </w:tc>
        <w:tc>
          <w:tcPr>
            <w:tcW w:w="969" w:type="dxa"/>
            <w:tcBorders>
              <w:top w:val="nil"/>
              <w:left w:val="outset" w:color="auto" w:sz="6" w:space="0"/>
              <w:bottom w:val="outset" w:color="auto" w:sz="6" w:space="0"/>
              <w:right w:val="outset" w:color="auto" w:sz="6" w:space="0"/>
            </w:tcBorders>
            <w:vAlign w:val="center"/>
          </w:tcPr>
          <w:p w14:paraId="04890D9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0,064</w:t>
            </w:r>
          </w:p>
        </w:tc>
      </w:tr>
      <w:tr w14:paraId="5B346596">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512C7D4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Гестациялық диабет</w:t>
            </w:r>
          </w:p>
        </w:tc>
        <w:tc>
          <w:tcPr>
            <w:tcW w:w="711" w:type="dxa"/>
            <w:tcBorders>
              <w:top w:val="nil"/>
              <w:left w:val="outset" w:color="auto" w:sz="6" w:space="0"/>
              <w:bottom w:val="outset" w:color="auto" w:sz="6" w:space="0"/>
              <w:right w:val="outset" w:color="auto" w:sz="6" w:space="0"/>
            </w:tcBorders>
          </w:tcPr>
          <w:p w14:paraId="32CEDD1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93,02</w:t>
            </w:r>
          </w:p>
          <w:p w14:paraId="450596F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027CB3F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6,98</w:t>
            </w:r>
          </w:p>
        </w:tc>
        <w:tc>
          <w:tcPr>
            <w:tcW w:w="703" w:type="dxa"/>
            <w:tcBorders>
              <w:top w:val="nil"/>
              <w:left w:val="outset" w:color="auto" w:sz="6" w:space="0"/>
              <w:bottom w:val="outset" w:color="auto" w:sz="6" w:space="0"/>
              <w:right w:val="outset" w:color="auto" w:sz="6" w:space="0"/>
            </w:tcBorders>
          </w:tcPr>
          <w:p w14:paraId="051083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92,50</w:t>
            </w:r>
          </w:p>
          <w:p w14:paraId="657EEF18">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51A756D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7,50</w:t>
            </w:r>
          </w:p>
        </w:tc>
        <w:tc>
          <w:tcPr>
            <w:tcW w:w="703" w:type="dxa"/>
            <w:tcBorders>
              <w:top w:val="nil"/>
              <w:left w:val="outset" w:color="auto" w:sz="6" w:space="0"/>
              <w:bottom w:val="outset" w:color="auto" w:sz="6" w:space="0"/>
              <w:right w:val="outset" w:color="auto" w:sz="6" w:space="0"/>
            </w:tcBorders>
          </w:tcPr>
          <w:p w14:paraId="1BBBF6B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73,68</w:t>
            </w:r>
          </w:p>
          <w:p w14:paraId="14F568B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25BEBC8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26,32</w:t>
            </w:r>
          </w:p>
        </w:tc>
        <w:tc>
          <w:tcPr>
            <w:tcW w:w="703" w:type="dxa"/>
            <w:tcBorders>
              <w:top w:val="nil"/>
              <w:left w:val="outset" w:color="auto" w:sz="6" w:space="0"/>
              <w:bottom w:val="outset" w:color="auto" w:sz="6" w:space="0"/>
              <w:right w:val="outset" w:color="auto" w:sz="6" w:space="0"/>
            </w:tcBorders>
          </w:tcPr>
          <w:p w14:paraId="21523EB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66,67</w:t>
            </w:r>
          </w:p>
          <w:p w14:paraId="6B3BA4A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6A2875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33,33</w:t>
            </w:r>
          </w:p>
        </w:tc>
        <w:tc>
          <w:tcPr>
            <w:tcW w:w="833" w:type="dxa"/>
            <w:tcBorders>
              <w:top w:val="nil"/>
              <w:left w:val="outset" w:color="auto" w:sz="6" w:space="0"/>
              <w:bottom w:val="outset" w:color="auto" w:sz="6" w:space="0"/>
              <w:right w:val="outset" w:color="auto" w:sz="6" w:space="0"/>
            </w:tcBorders>
          </w:tcPr>
          <w:p w14:paraId="2D3B4EB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14,141</w:t>
            </w:r>
          </w:p>
        </w:tc>
        <w:tc>
          <w:tcPr>
            <w:tcW w:w="969" w:type="dxa"/>
            <w:tcBorders>
              <w:top w:val="nil"/>
              <w:left w:val="outset" w:color="auto" w:sz="6" w:space="0"/>
              <w:bottom w:val="outset" w:color="auto" w:sz="6" w:space="0"/>
              <w:right w:val="outset" w:color="auto" w:sz="6" w:space="0"/>
            </w:tcBorders>
          </w:tcPr>
          <w:p w14:paraId="57470916">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0,0027</w:t>
            </w:r>
            <w:r>
              <w:rPr>
                <w:rFonts w:ascii="Times New Roman" w:hAnsi="Times New Roman" w:eastAsia="Times New Roman" w:cs="Times New Roman"/>
                <w:b/>
                <w:bCs/>
                <w:sz w:val="28"/>
                <w:szCs w:val="28"/>
              </w:rPr>
              <w:t>*</w:t>
            </w:r>
          </w:p>
        </w:tc>
      </w:tr>
      <w:tr w14:paraId="43EE8AA1">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042A081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Гестациялық гипертензия</w:t>
            </w:r>
          </w:p>
        </w:tc>
        <w:tc>
          <w:tcPr>
            <w:tcW w:w="711" w:type="dxa"/>
            <w:tcBorders>
              <w:top w:val="nil"/>
              <w:left w:val="outset" w:color="auto" w:sz="6" w:space="0"/>
              <w:bottom w:val="outset" w:color="auto" w:sz="6" w:space="0"/>
              <w:right w:val="outset" w:color="auto" w:sz="6" w:space="0"/>
            </w:tcBorders>
          </w:tcPr>
          <w:p w14:paraId="5B85BAC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97,67</w:t>
            </w:r>
          </w:p>
          <w:p w14:paraId="345ACB91">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1A4055C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2,33</w:t>
            </w:r>
          </w:p>
        </w:tc>
        <w:tc>
          <w:tcPr>
            <w:tcW w:w="703" w:type="dxa"/>
            <w:tcBorders>
              <w:top w:val="nil"/>
              <w:left w:val="outset" w:color="auto" w:sz="6" w:space="0"/>
              <w:bottom w:val="outset" w:color="auto" w:sz="6" w:space="0"/>
              <w:right w:val="outset" w:color="auto" w:sz="6" w:space="0"/>
            </w:tcBorders>
          </w:tcPr>
          <w:p w14:paraId="3126FCB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92,50</w:t>
            </w:r>
          </w:p>
          <w:p w14:paraId="3FBAFC3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036B634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7,50</w:t>
            </w:r>
          </w:p>
        </w:tc>
        <w:tc>
          <w:tcPr>
            <w:tcW w:w="703" w:type="dxa"/>
            <w:tcBorders>
              <w:top w:val="nil"/>
              <w:left w:val="outset" w:color="auto" w:sz="6" w:space="0"/>
              <w:bottom w:val="outset" w:color="auto" w:sz="6" w:space="0"/>
              <w:right w:val="outset" w:color="auto" w:sz="6" w:space="0"/>
            </w:tcBorders>
          </w:tcPr>
          <w:p w14:paraId="49CBD68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81,58</w:t>
            </w:r>
          </w:p>
          <w:p w14:paraId="2BF20D67">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7FF8F4C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18,42</w:t>
            </w:r>
          </w:p>
        </w:tc>
        <w:tc>
          <w:tcPr>
            <w:tcW w:w="703" w:type="dxa"/>
            <w:tcBorders>
              <w:top w:val="nil"/>
              <w:left w:val="outset" w:color="auto" w:sz="6" w:space="0"/>
              <w:bottom w:val="outset" w:color="auto" w:sz="6" w:space="0"/>
              <w:right w:val="outset" w:color="auto" w:sz="6" w:space="0"/>
            </w:tcBorders>
          </w:tcPr>
          <w:p w14:paraId="0CD306E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75,00</w:t>
            </w:r>
          </w:p>
          <w:p w14:paraId="16BD9887">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0291322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25,00</w:t>
            </w:r>
          </w:p>
        </w:tc>
        <w:tc>
          <w:tcPr>
            <w:tcW w:w="833" w:type="dxa"/>
            <w:tcBorders>
              <w:top w:val="nil"/>
              <w:left w:val="outset" w:color="auto" w:sz="6" w:space="0"/>
              <w:bottom w:val="outset" w:color="auto" w:sz="6" w:space="0"/>
              <w:right w:val="outset" w:color="auto" w:sz="6" w:space="0"/>
            </w:tcBorders>
            <w:vAlign w:val="center"/>
          </w:tcPr>
          <w:p w14:paraId="173D19F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9,958</w:t>
            </w:r>
          </w:p>
        </w:tc>
        <w:tc>
          <w:tcPr>
            <w:tcW w:w="969" w:type="dxa"/>
            <w:tcBorders>
              <w:top w:val="nil"/>
              <w:left w:val="outset" w:color="auto" w:sz="6" w:space="0"/>
              <w:bottom w:val="outset" w:color="auto" w:sz="6" w:space="0"/>
              <w:right w:val="outset" w:color="auto" w:sz="6" w:space="0"/>
            </w:tcBorders>
            <w:vAlign w:val="center"/>
          </w:tcPr>
          <w:p w14:paraId="1E19195B">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0,0189</w:t>
            </w:r>
            <w:r>
              <w:rPr>
                <w:rFonts w:ascii="Times New Roman" w:hAnsi="Times New Roman" w:eastAsia="Times New Roman" w:cs="Times New Roman"/>
                <w:b/>
                <w:bCs/>
                <w:sz w:val="28"/>
                <w:szCs w:val="28"/>
              </w:rPr>
              <w:t>*</w:t>
            </w:r>
          </w:p>
        </w:tc>
      </w:tr>
      <w:tr w14:paraId="6AE9E326">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314922C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Преэклампсия</w:t>
            </w:r>
            <w:r>
              <w:rPr>
                <w:rFonts w:ascii="Times New Roman" w:hAnsi="Times New Roman" w:eastAsia="Times New Roman" w:cs="Times New Roman"/>
                <w:sz w:val="28"/>
                <w:szCs w:val="28"/>
              </w:rPr>
              <w:tab/>
            </w:r>
          </w:p>
        </w:tc>
        <w:tc>
          <w:tcPr>
            <w:tcW w:w="711" w:type="dxa"/>
            <w:tcBorders>
              <w:top w:val="nil"/>
              <w:left w:val="outset" w:color="auto" w:sz="6" w:space="0"/>
              <w:bottom w:val="outset" w:color="auto" w:sz="6" w:space="0"/>
              <w:right w:val="outset" w:color="auto" w:sz="6" w:space="0"/>
            </w:tcBorders>
          </w:tcPr>
          <w:p w14:paraId="5DC7C910">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95,35</w:t>
            </w:r>
          </w:p>
          <w:p w14:paraId="5479616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4F9B5AA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4,65</w:t>
            </w:r>
          </w:p>
        </w:tc>
        <w:tc>
          <w:tcPr>
            <w:tcW w:w="703" w:type="dxa"/>
            <w:tcBorders>
              <w:top w:val="nil"/>
              <w:left w:val="outset" w:color="auto" w:sz="6" w:space="0"/>
              <w:bottom w:val="outset" w:color="auto" w:sz="6" w:space="0"/>
              <w:right w:val="outset" w:color="auto" w:sz="6" w:space="0"/>
            </w:tcBorders>
          </w:tcPr>
          <w:p w14:paraId="15F2950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92,50</w:t>
            </w:r>
          </w:p>
          <w:p w14:paraId="164B58BA">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639799B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7,50</w:t>
            </w:r>
          </w:p>
        </w:tc>
        <w:tc>
          <w:tcPr>
            <w:tcW w:w="703" w:type="dxa"/>
            <w:tcBorders>
              <w:top w:val="nil"/>
              <w:left w:val="outset" w:color="auto" w:sz="6" w:space="0"/>
              <w:bottom w:val="outset" w:color="auto" w:sz="6" w:space="0"/>
              <w:right w:val="outset" w:color="auto" w:sz="6" w:space="0"/>
            </w:tcBorders>
          </w:tcPr>
          <w:p w14:paraId="49F183A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81,58</w:t>
            </w:r>
          </w:p>
          <w:p w14:paraId="5155A7DD">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5E15BA9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18,42</w:t>
            </w:r>
          </w:p>
        </w:tc>
        <w:tc>
          <w:tcPr>
            <w:tcW w:w="703" w:type="dxa"/>
            <w:tcBorders>
              <w:top w:val="nil"/>
              <w:left w:val="outset" w:color="auto" w:sz="6" w:space="0"/>
              <w:bottom w:val="outset" w:color="auto" w:sz="6" w:space="0"/>
              <w:right w:val="outset" w:color="auto" w:sz="6" w:space="0"/>
            </w:tcBorders>
          </w:tcPr>
          <w:p w14:paraId="02A38BD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80,56</w:t>
            </w:r>
          </w:p>
          <w:p w14:paraId="5737B8C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0FB87AB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19,44</w:t>
            </w:r>
          </w:p>
        </w:tc>
        <w:tc>
          <w:tcPr>
            <w:tcW w:w="833" w:type="dxa"/>
            <w:tcBorders>
              <w:top w:val="nil"/>
              <w:left w:val="outset" w:color="auto" w:sz="6" w:space="0"/>
              <w:bottom w:val="outset" w:color="auto" w:sz="6" w:space="0"/>
              <w:right w:val="outset" w:color="auto" w:sz="6" w:space="0"/>
            </w:tcBorders>
            <w:vAlign w:val="center"/>
          </w:tcPr>
          <w:p w14:paraId="3347C55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6,291</w:t>
            </w:r>
          </w:p>
        </w:tc>
        <w:tc>
          <w:tcPr>
            <w:tcW w:w="969" w:type="dxa"/>
            <w:tcBorders>
              <w:top w:val="nil"/>
              <w:left w:val="outset" w:color="auto" w:sz="6" w:space="0"/>
              <w:bottom w:val="outset" w:color="auto" w:sz="6" w:space="0"/>
              <w:right w:val="outset" w:color="auto" w:sz="6" w:space="0"/>
            </w:tcBorders>
            <w:vAlign w:val="center"/>
          </w:tcPr>
          <w:p w14:paraId="6369BFA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0,098</w:t>
            </w:r>
          </w:p>
        </w:tc>
      </w:tr>
      <w:tr w14:paraId="6A2CCFEB">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29BC0A3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Иық дистоциясы</w:t>
            </w:r>
            <w:r>
              <w:rPr>
                <w:rFonts w:ascii="Times New Roman" w:hAnsi="Times New Roman" w:eastAsia="Times New Roman" w:cs="Times New Roman"/>
                <w:sz w:val="28"/>
                <w:szCs w:val="28"/>
              </w:rPr>
              <w:tab/>
            </w:r>
          </w:p>
        </w:tc>
        <w:tc>
          <w:tcPr>
            <w:tcW w:w="711" w:type="dxa"/>
            <w:tcBorders>
              <w:top w:val="nil"/>
              <w:left w:val="outset" w:color="auto" w:sz="6" w:space="0"/>
              <w:bottom w:val="outset" w:color="auto" w:sz="6" w:space="0"/>
              <w:right w:val="outset" w:color="auto" w:sz="6" w:space="0"/>
            </w:tcBorders>
          </w:tcPr>
          <w:p w14:paraId="2DE0988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100,0</w:t>
            </w:r>
          </w:p>
          <w:p w14:paraId="1C493862">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4004D54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w:t>
            </w:r>
          </w:p>
        </w:tc>
        <w:tc>
          <w:tcPr>
            <w:tcW w:w="703" w:type="dxa"/>
            <w:tcBorders>
              <w:top w:val="nil"/>
              <w:left w:val="outset" w:color="auto" w:sz="6" w:space="0"/>
              <w:bottom w:val="outset" w:color="auto" w:sz="6" w:space="0"/>
              <w:right w:val="outset" w:color="auto" w:sz="6" w:space="0"/>
            </w:tcBorders>
          </w:tcPr>
          <w:p w14:paraId="1477D2A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95,00</w:t>
            </w:r>
          </w:p>
          <w:p w14:paraId="53D9F94F">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6C3E29F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5,00</w:t>
            </w:r>
          </w:p>
        </w:tc>
        <w:tc>
          <w:tcPr>
            <w:tcW w:w="703" w:type="dxa"/>
            <w:tcBorders>
              <w:top w:val="nil"/>
              <w:left w:val="outset" w:color="auto" w:sz="6" w:space="0"/>
              <w:bottom w:val="outset" w:color="auto" w:sz="6" w:space="0"/>
              <w:right w:val="outset" w:color="auto" w:sz="6" w:space="0"/>
            </w:tcBorders>
          </w:tcPr>
          <w:p w14:paraId="27DC892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78,95</w:t>
            </w:r>
          </w:p>
          <w:p w14:paraId="52874FD9">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2C0F232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21,05</w:t>
            </w:r>
          </w:p>
        </w:tc>
        <w:tc>
          <w:tcPr>
            <w:tcW w:w="703" w:type="dxa"/>
            <w:tcBorders>
              <w:top w:val="nil"/>
              <w:left w:val="outset" w:color="auto" w:sz="6" w:space="0"/>
              <w:bottom w:val="outset" w:color="auto" w:sz="6" w:space="0"/>
              <w:right w:val="outset" w:color="auto" w:sz="6" w:space="0"/>
            </w:tcBorders>
          </w:tcPr>
          <w:p w14:paraId="5BC3870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88,89</w:t>
            </w:r>
          </w:p>
          <w:p w14:paraId="771FC971">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197FF33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11,11</w:t>
            </w:r>
          </w:p>
        </w:tc>
        <w:tc>
          <w:tcPr>
            <w:tcW w:w="833" w:type="dxa"/>
            <w:tcBorders>
              <w:top w:val="nil"/>
              <w:left w:val="outset" w:color="auto" w:sz="6" w:space="0"/>
              <w:bottom w:val="outset" w:color="auto" w:sz="6" w:space="0"/>
              <w:right w:val="outset" w:color="auto" w:sz="6" w:space="0"/>
            </w:tcBorders>
            <w:vAlign w:val="center"/>
          </w:tcPr>
          <w:p w14:paraId="5CA1F52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12,069</w:t>
            </w:r>
          </w:p>
        </w:tc>
        <w:tc>
          <w:tcPr>
            <w:tcW w:w="969" w:type="dxa"/>
            <w:tcBorders>
              <w:top w:val="nil"/>
              <w:left w:val="outset" w:color="auto" w:sz="6" w:space="0"/>
              <w:bottom w:val="outset" w:color="auto" w:sz="6" w:space="0"/>
              <w:right w:val="outset" w:color="auto" w:sz="6" w:space="0"/>
            </w:tcBorders>
            <w:vAlign w:val="center"/>
          </w:tcPr>
          <w:p w14:paraId="4C47664F">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0,0072</w:t>
            </w:r>
            <w:r>
              <w:rPr>
                <w:rFonts w:ascii="Times New Roman" w:hAnsi="Times New Roman" w:eastAsia="Times New Roman" w:cs="Times New Roman"/>
                <w:b/>
                <w:bCs/>
                <w:sz w:val="28"/>
                <w:szCs w:val="28"/>
              </w:rPr>
              <w:t>*</w:t>
            </w:r>
          </w:p>
        </w:tc>
      </w:tr>
      <w:tr w14:paraId="12C82D2C">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543167C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Мерзімінен бұрын босану</w:t>
            </w:r>
          </w:p>
        </w:tc>
        <w:tc>
          <w:tcPr>
            <w:tcW w:w="711" w:type="dxa"/>
            <w:tcBorders>
              <w:top w:val="nil"/>
              <w:left w:val="outset" w:color="auto" w:sz="6" w:space="0"/>
              <w:bottom w:val="outset" w:color="auto" w:sz="6" w:space="0"/>
              <w:right w:val="outset" w:color="auto" w:sz="6" w:space="0"/>
            </w:tcBorders>
          </w:tcPr>
          <w:p w14:paraId="0667FFD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90,70</w:t>
            </w:r>
          </w:p>
          <w:p w14:paraId="5ECF7356">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578890F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9,30</w:t>
            </w:r>
          </w:p>
        </w:tc>
        <w:tc>
          <w:tcPr>
            <w:tcW w:w="703" w:type="dxa"/>
            <w:tcBorders>
              <w:top w:val="nil"/>
              <w:left w:val="outset" w:color="auto" w:sz="6" w:space="0"/>
              <w:bottom w:val="outset" w:color="auto" w:sz="6" w:space="0"/>
              <w:right w:val="outset" w:color="auto" w:sz="6" w:space="0"/>
            </w:tcBorders>
          </w:tcPr>
          <w:p w14:paraId="2D2E550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97,50</w:t>
            </w:r>
          </w:p>
          <w:p w14:paraId="6581E78E">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439D1AE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2,50</w:t>
            </w:r>
          </w:p>
        </w:tc>
        <w:tc>
          <w:tcPr>
            <w:tcW w:w="703" w:type="dxa"/>
            <w:tcBorders>
              <w:top w:val="nil"/>
              <w:left w:val="outset" w:color="auto" w:sz="6" w:space="0"/>
              <w:bottom w:val="outset" w:color="auto" w:sz="6" w:space="0"/>
              <w:right w:val="outset" w:color="auto" w:sz="6" w:space="0"/>
            </w:tcBorders>
          </w:tcPr>
          <w:p w14:paraId="7D1D4A4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86,84</w:t>
            </w:r>
          </w:p>
          <w:p w14:paraId="67B89C5A">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305319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13,16</w:t>
            </w:r>
          </w:p>
        </w:tc>
        <w:tc>
          <w:tcPr>
            <w:tcW w:w="703" w:type="dxa"/>
            <w:tcBorders>
              <w:top w:val="nil"/>
              <w:left w:val="outset" w:color="auto" w:sz="6" w:space="0"/>
              <w:bottom w:val="outset" w:color="auto" w:sz="6" w:space="0"/>
              <w:right w:val="outset" w:color="auto" w:sz="6" w:space="0"/>
            </w:tcBorders>
          </w:tcPr>
          <w:p w14:paraId="7EF36CA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86,11</w:t>
            </w:r>
          </w:p>
          <w:p w14:paraId="5B9BC6A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02204D2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13,89</w:t>
            </w:r>
          </w:p>
        </w:tc>
        <w:tc>
          <w:tcPr>
            <w:tcW w:w="833" w:type="dxa"/>
            <w:tcBorders>
              <w:top w:val="nil"/>
              <w:left w:val="outset" w:color="auto" w:sz="6" w:space="0"/>
              <w:bottom w:val="outset" w:color="auto" w:sz="6" w:space="0"/>
              <w:right w:val="outset" w:color="auto" w:sz="6" w:space="0"/>
            </w:tcBorders>
            <w:vAlign w:val="center"/>
          </w:tcPr>
          <w:p w14:paraId="2C3DC21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3,661</w:t>
            </w:r>
          </w:p>
        </w:tc>
        <w:tc>
          <w:tcPr>
            <w:tcW w:w="969" w:type="dxa"/>
            <w:tcBorders>
              <w:top w:val="nil"/>
              <w:left w:val="outset" w:color="auto" w:sz="6" w:space="0"/>
              <w:bottom w:val="outset" w:color="auto" w:sz="6" w:space="0"/>
              <w:right w:val="outset" w:color="auto" w:sz="6" w:space="0"/>
            </w:tcBorders>
            <w:vAlign w:val="center"/>
          </w:tcPr>
          <w:p w14:paraId="584CBBA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0,301</w:t>
            </w:r>
          </w:p>
        </w:tc>
      </w:tr>
      <w:tr w14:paraId="38002DE4">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24799E3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Антенатальді ұрық өлімі</w:t>
            </w:r>
          </w:p>
        </w:tc>
        <w:tc>
          <w:tcPr>
            <w:tcW w:w="711" w:type="dxa"/>
            <w:tcBorders>
              <w:top w:val="nil"/>
              <w:left w:val="outset" w:color="auto" w:sz="6" w:space="0"/>
              <w:bottom w:val="outset" w:color="auto" w:sz="6" w:space="0"/>
              <w:right w:val="outset" w:color="auto" w:sz="6" w:space="0"/>
            </w:tcBorders>
          </w:tcPr>
          <w:p w14:paraId="68B87F4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97,67</w:t>
            </w:r>
          </w:p>
          <w:p w14:paraId="08F7769A">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188DA11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2,33*</w:t>
            </w:r>
          </w:p>
        </w:tc>
        <w:tc>
          <w:tcPr>
            <w:tcW w:w="703" w:type="dxa"/>
            <w:tcBorders>
              <w:top w:val="nil"/>
              <w:left w:val="outset" w:color="auto" w:sz="6" w:space="0"/>
              <w:bottom w:val="outset" w:color="auto" w:sz="6" w:space="0"/>
              <w:right w:val="outset" w:color="auto" w:sz="6" w:space="0"/>
            </w:tcBorders>
          </w:tcPr>
          <w:p w14:paraId="0C69396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85,00</w:t>
            </w:r>
          </w:p>
          <w:p w14:paraId="3BCC2D03">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22E7AAF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15,00*</w:t>
            </w:r>
          </w:p>
        </w:tc>
        <w:tc>
          <w:tcPr>
            <w:tcW w:w="703" w:type="dxa"/>
            <w:tcBorders>
              <w:top w:val="nil"/>
              <w:left w:val="outset" w:color="auto" w:sz="6" w:space="0"/>
              <w:bottom w:val="outset" w:color="auto" w:sz="6" w:space="0"/>
              <w:right w:val="outset" w:color="auto" w:sz="6" w:space="0"/>
            </w:tcBorders>
          </w:tcPr>
          <w:p w14:paraId="2C96047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92,11</w:t>
            </w:r>
          </w:p>
          <w:p w14:paraId="1236416B">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467866D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7,89</w:t>
            </w:r>
          </w:p>
        </w:tc>
        <w:tc>
          <w:tcPr>
            <w:tcW w:w="703" w:type="dxa"/>
            <w:tcBorders>
              <w:top w:val="nil"/>
              <w:left w:val="outset" w:color="auto" w:sz="6" w:space="0"/>
              <w:bottom w:val="outset" w:color="auto" w:sz="6" w:space="0"/>
              <w:right w:val="outset" w:color="auto" w:sz="6" w:space="0"/>
            </w:tcBorders>
          </w:tcPr>
          <w:p w14:paraId="140DE5B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91,67</w:t>
            </w:r>
          </w:p>
          <w:p w14:paraId="7432DD12">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5E57E6D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8,33</w:t>
            </w:r>
          </w:p>
        </w:tc>
        <w:tc>
          <w:tcPr>
            <w:tcW w:w="833" w:type="dxa"/>
            <w:tcBorders>
              <w:top w:val="nil"/>
              <w:left w:val="outset" w:color="auto" w:sz="6" w:space="0"/>
              <w:bottom w:val="outset" w:color="auto" w:sz="6" w:space="0"/>
              <w:right w:val="outset" w:color="auto" w:sz="6" w:space="0"/>
            </w:tcBorders>
            <w:vAlign w:val="center"/>
          </w:tcPr>
          <w:p w14:paraId="6D3F7DC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4,393</w:t>
            </w:r>
          </w:p>
        </w:tc>
        <w:tc>
          <w:tcPr>
            <w:tcW w:w="969" w:type="dxa"/>
            <w:tcBorders>
              <w:top w:val="nil"/>
              <w:left w:val="outset" w:color="auto" w:sz="6" w:space="0"/>
              <w:bottom w:val="outset" w:color="auto" w:sz="6" w:space="0"/>
              <w:right w:val="outset" w:color="auto" w:sz="6" w:space="0"/>
            </w:tcBorders>
            <w:vAlign w:val="center"/>
          </w:tcPr>
          <w:p w14:paraId="37C9138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0,222</w:t>
            </w:r>
          </w:p>
        </w:tc>
      </w:tr>
      <w:tr w14:paraId="1947E883">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79ED4E9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Гестациялық мерзіміне кішкентай ұрық</w:t>
            </w:r>
          </w:p>
        </w:tc>
        <w:tc>
          <w:tcPr>
            <w:tcW w:w="711" w:type="dxa"/>
            <w:tcBorders>
              <w:top w:val="nil"/>
              <w:left w:val="outset" w:color="auto" w:sz="6" w:space="0"/>
              <w:bottom w:val="outset" w:color="auto" w:sz="6" w:space="0"/>
              <w:right w:val="outset" w:color="auto" w:sz="6" w:space="0"/>
            </w:tcBorders>
          </w:tcPr>
          <w:p w14:paraId="1FED74C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93,02</w:t>
            </w:r>
          </w:p>
          <w:p w14:paraId="73A6332F">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4A068F0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6,98</w:t>
            </w:r>
          </w:p>
        </w:tc>
        <w:tc>
          <w:tcPr>
            <w:tcW w:w="703" w:type="dxa"/>
            <w:tcBorders>
              <w:top w:val="nil"/>
              <w:left w:val="outset" w:color="auto" w:sz="6" w:space="0"/>
              <w:bottom w:val="outset" w:color="auto" w:sz="6" w:space="0"/>
              <w:right w:val="outset" w:color="auto" w:sz="6" w:space="0"/>
            </w:tcBorders>
          </w:tcPr>
          <w:p w14:paraId="78AAE50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95,00</w:t>
            </w:r>
          </w:p>
          <w:p w14:paraId="4F210852">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4149166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5,00</w:t>
            </w:r>
          </w:p>
        </w:tc>
        <w:tc>
          <w:tcPr>
            <w:tcW w:w="703" w:type="dxa"/>
            <w:tcBorders>
              <w:top w:val="nil"/>
              <w:left w:val="outset" w:color="auto" w:sz="6" w:space="0"/>
              <w:bottom w:val="outset" w:color="auto" w:sz="6" w:space="0"/>
              <w:right w:val="outset" w:color="auto" w:sz="6" w:space="0"/>
            </w:tcBorders>
          </w:tcPr>
          <w:p w14:paraId="2BEDDE8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97,37</w:t>
            </w:r>
          </w:p>
          <w:p w14:paraId="5F7F1B8A">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2A505AF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2,63</w:t>
            </w:r>
          </w:p>
        </w:tc>
        <w:tc>
          <w:tcPr>
            <w:tcW w:w="703" w:type="dxa"/>
            <w:tcBorders>
              <w:top w:val="nil"/>
              <w:left w:val="outset" w:color="auto" w:sz="6" w:space="0"/>
              <w:bottom w:val="outset" w:color="auto" w:sz="6" w:space="0"/>
              <w:right w:val="outset" w:color="auto" w:sz="6" w:space="0"/>
            </w:tcBorders>
          </w:tcPr>
          <w:p w14:paraId="67BDB94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100,0</w:t>
            </w:r>
          </w:p>
          <w:p w14:paraId="74799794">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77B9113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w:t>
            </w:r>
          </w:p>
        </w:tc>
        <w:tc>
          <w:tcPr>
            <w:tcW w:w="833" w:type="dxa"/>
            <w:tcBorders>
              <w:top w:val="nil"/>
              <w:left w:val="outset" w:color="auto" w:sz="6" w:space="0"/>
              <w:bottom w:val="outset" w:color="auto" w:sz="6" w:space="0"/>
              <w:right w:val="outset" w:color="auto" w:sz="6" w:space="0"/>
            </w:tcBorders>
            <w:vAlign w:val="center"/>
          </w:tcPr>
          <w:p w14:paraId="11D6159E">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2,893</w:t>
            </w:r>
          </w:p>
        </w:tc>
        <w:tc>
          <w:tcPr>
            <w:tcW w:w="969" w:type="dxa"/>
            <w:tcBorders>
              <w:top w:val="nil"/>
              <w:left w:val="outset" w:color="auto" w:sz="6" w:space="0"/>
              <w:bottom w:val="outset" w:color="auto" w:sz="6" w:space="0"/>
              <w:right w:val="outset" w:color="auto" w:sz="6" w:space="0"/>
            </w:tcBorders>
            <w:vAlign w:val="center"/>
          </w:tcPr>
          <w:p w14:paraId="5D080F8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0,408</w:t>
            </w:r>
          </w:p>
        </w:tc>
      </w:tr>
      <w:tr w14:paraId="6E4118BF">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76AFADD9">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Ірі ұрық</w:t>
            </w:r>
          </w:p>
        </w:tc>
        <w:tc>
          <w:tcPr>
            <w:tcW w:w="711" w:type="dxa"/>
            <w:tcBorders>
              <w:top w:val="nil"/>
              <w:left w:val="outset" w:color="auto" w:sz="6" w:space="0"/>
              <w:bottom w:val="outset" w:color="auto" w:sz="6" w:space="0"/>
              <w:right w:val="outset" w:color="auto" w:sz="6" w:space="0"/>
            </w:tcBorders>
          </w:tcPr>
          <w:p w14:paraId="4CAD49E1">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100,0</w:t>
            </w:r>
          </w:p>
          <w:p w14:paraId="2EF813E2">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7E1F821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w:t>
            </w:r>
          </w:p>
        </w:tc>
        <w:tc>
          <w:tcPr>
            <w:tcW w:w="703" w:type="dxa"/>
            <w:tcBorders>
              <w:top w:val="nil"/>
              <w:left w:val="outset" w:color="auto" w:sz="6" w:space="0"/>
              <w:bottom w:val="outset" w:color="auto" w:sz="6" w:space="0"/>
              <w:right w:val="outset" w:color="auto" w:sz="6" w:space="0"/>
            </w:tcBorders>
          </w:tcPr>
          <w:p w14:paraId="19CEA704">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87,50</w:t>
            </w:r>
          </w:p>
          <w:p w14:paraId="27EA0545">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57D8E01D">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12,50</w:t>
            </w:r>
          </w:p>
        </w:tc>
        <w:tc>
          <w:tcPr>
            <w:tcW w:w="703" w:type="dxa"/>
            <w:tcBorders>
              <w:top w:val="nil"/>
              <w:left w:val="outset" w:color="auto" w:sz="6" w:space="0"/>
              <w:bottom w:val="outset" w:color="auto" w:sz="6" w:space="0"/>
              <w:right w:val="outset" w:color="auto" w:sz="6" w:space="0"/>
            </w:tcBorders>
          </w:tcPr>
          <w:p w14:paraId="361A8D48">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81,58</w:t>
            </w:r>
          </w:p>
          <w:p w14:paraId="33AAC758">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39AE39A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18,42</w:t>
            </w:r>
          </w:p>
        </w:tc>
        <w:tc>
          <w:tcPr>
            <w:tcW w:w="703" w:type="dxa"/>
            <w:tcBorders>
              <w:top w:val="nil"/>
              <w:left w:val="outset" w:color="auto" w:sz="6" w:space="0"/>
              <w:bottom w:val="outset" w:color="auto" w:sz="6" w:space="0"/>
              <w:right w:val="outset" w:color="auto" w:sz="6" w:space="0"/>
            </w:tcBorders>
          </w:tcPr>
          <w:p w14:paraId="6BE7C9A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88,89</w:t>
            </w:r>
          </w:p>
          <w:p w14:paraId="363139FB">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198A3252">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11,11</w:t>
            </w:r>
          </w:p>
        </w:tc>
        <w:tc>
          <w:tcPr>
            <w:tcW w:w="833" w:type="dxa"/>
            <w:tcBorders>
              <w:top w:val="nil"/>
              <w:left w:val="outset" w:color="auto" w:sz="6" w:space="0"/>
              <w:bottom w:val="outset" w:color="auto" w:sz="6" w:space="0"/>
              <w:right w:val="outset" w:color="auto" w:sz="6" w:space="0"/>
            </w:tcBorders>
            <w:vAlign w:val="center"/>
          </w:tcPr>
          <w:p w14:paraId="65B928FC">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7,958</w:t>
            </w:r>
          </w:p>
        </w:tc>
        <w:tc>
          <w:tcPr>
            <w:tcW w:w="969" w:type="dxa"/>
            <w:tcBorders>
              <w:top w:val="nil"/>
              <w:left w:val="outset" w:color="auto" w:sz="6" w:space="0"/>
              <w:bottom w:val="outset" w:color="auto" w:sz="6" w:space="0"/>
              <w:right w:val="outset" w:color="auto" w:sz="6" w:space="0"/>
            </w:tcBorders>
            <w:vAlign w:val="center"/>
          </w:tcPr>
          <w:p w14:paraId="0B664A67">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0,0469</w:t>
            </w:r>
            <w:r>
              <w:rPr>
                <w:rFonts w:ascii="Times New Roman" w:hAnsi="Times New Roman" w:eastAsia="Times New Roman" w:cs="Times New Roman"/>
                <w:b/>
                <w:bCs/>
                <w:sz w:val="28"/>
                <w:szCs w:val="28"/>
              </w:rPr>
              <w:t>*</w:t>
            </w:r>
          </w:p>
        </w:tc>
      </w:tr>
      <w:tr w14:paraId="292F31F8">
        <w:tblPrEx>
          <w:tblCellMar>
            <w:top w:w="15" w:type="dxa"/>
            <w:left w:w="15" w:type="dxa"/>
            <w:bottom w:w="15" w:type="dxa"/>
            <w:right w:w="15" w:type="dxa"/>
          </w:tblCellMar>
        </w:tblPrEx>
        <w:tc>
          <w:tcPr>
            <w:tcW w:w="1812" w:type="dxa"/>
            <w:tcBorders>
              <w:top w:val="nil"/>
              <w:left w:val="outset" w:color="auto" w:sz="6" w:space="0"/>
              <w:bottom w:val="outset" w:color="auto" w:sz="6" w:space="0"/>
              <w:right w:val="outset" w:color="auto" w:sz="6" w:space="0"/>
            </w:tcBorders>
          </w:tcPr>
          <w:p w14:paraId="525F549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Апгар шкаласы бойынша  7баллдан аз болуы</w:t>
            </w:r>
          </w:p>
        </w:tc>
        <w:tc>
          <w:tcPr>
            <w:tcW w:w="711" w:type="dxa"/>
            <w:tcBorders>
              <w:top w:val="nil"/>
              <w:left w:val="outset" w:color="auto" w:sz="6" w:space="0"/>
              <w:bottom w:val="outset" w:color="auto" w:sz="6" w:space="0"/>
              <w:right w:val="outset" w:color="auto" w:sz="6" w:space="0"/>
            </w:tcBorders>
          </w:tcPr>
          <w:p w14:paraId="2E3D12C7">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97,67</w:t>
            </w:r>
          </w:p>
          <w:p w14:paraId="780621AC">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4" w:type="dxa"/>
            <w:tcBorders>
              <w:top w:val="nil"/>
              <w:left w:val="outset" w:color="auto" w:sz="6" w:space="0"/>
              <w:bottom w:val="outset" w:color="auto" w:sz="6" w:space="0"/>
              <w:right w:val="outset" w:color="auto" w:sz="6" w:space="0"/>
            </w:tcBorders>
          </w:tcPr>
          <w:p w14:paraId="1E46CB5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2,33</w:t>
            </w:r>
          </w:p>
        </w:tc>
        <w:tc>
          <w:tcPr>
            <w:tcW w:w="703" w:type="dxa"/>
            <w:tcBorders>
              <w:top w:val="nil"/>
              <w:left w:val="outset" w:color="auto" w:sz="6" w:space="0"/>
              <w:bottom w:val="outset" w:color="auto" w:sz="6" w:space="0"/>
              <w:right w:val="outset" w:color="auto" w:sz="6" w:space="0"/>
            </w:tcBorders>
          </w:tcPr>
          <w:p w14:paraId="1CF33B7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100,0</w:t>
            </w:r>
          </w:p>
          <w:p w14:paraId="3A3E32C8">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835" w:type="dxa"/>
            <w:tcBorders>
              <w:top w:val="nil"/>
              <w:left w:val="outset" w:color="auto" w:sz="6" w:space="0"/>
              <w:bottom w:val="outset" w:color="auto" w:sz="6" w:space="0"/>
              <w:right w:val="outset" w:color="auto" w:sz="6" w:space="0"/>
            </w:tcBorders>
          </w:tcPr>
          <w:p w14:paraId="7F2EEC9B">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0,0</w:t>
            </w:r>
          </w:p>
        </w:tc>
        <w:tc>
          <w:tcPr>
            <w:tcW w:w="703" w:type="dxa"/>
            <w:tcBorders>
              <w:top w:val="nil"/>
              <w:left w:val="outset" w:color="auto" w:sz="6" w:space="0"/>
              <w:bottom w:val="outset" w:color="auto" w:sz="6" w:space="0"/>
              <w:right w:val="outset" w:color="auto" w:sz="6" w:space="0"/>
            </w:tcBorders>
          </w:tcPr>
          <w:p w14:paraId="4638013A">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84,21</w:t>
            </w:r>
          </w:p>
          <w:p w14:paraId="6D93DEEA">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5CDBB6D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15,79</w:t>
            </w:r>
          </w:p>
        </w:tc>
        <w:tc>
          <w:tcPr>
            <w:tcW w:w="703" w:type="dxa"/>
            <w:tcBorders>
              <w:top w:val="nil"/>
              <w:left w:val="outset" w:color="auto" w:sz="6" w:space="0"/>
              <w:bottom w:val="outset" w:color="auto" w:sz="6" w:space="0"/>
              <w:right w:val="outset" w:color="auto" w:sz="6" w:space="0"/>
            </w:tcBorders>
          </w:tcPr>
          <w:p w14:paraId="74020515">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86,11</w:t>
            </w:r>
          </w:p>
          <w:p w14:paraId="0C89F290">
            <w:pPr>
              <w:widowControl w:val="0"/>
              <w:autoSpaceDE w:val="0"/>
              <w:autoSpaceDN w:val="0"/>
              <w:spacing w:after="0" w:line="276" w:lineRule="auto"/>
              <w:jc w:val="both"/>
              <w:outlineLvl w:val="0"/>
              <w:rPr>
                <w:rFonts w:ascii="Times New Roman" w:hAnsi="Times New Roman" w:eastAsia="Times New Roman" w:cs="Times New Roman"/>
                <w:sz w:val="28"/>
                <w:szCs w:val="28"/>
              </w:rPr>
            </w:pPr>
          </w:p>
        </w:tc>
        <w:tc>
          <w:tcPr>
            <w:tcW w:w="706" w:type="dxa"/>
            <w:tcBorders>
              <w:top w:val="nil"/>
              <w:left w:val="outset" w:color="auto" w:sz="6" w:space="0"/>
              <w:bottom w:val="outset" w:color="auto" w:sz="6" w:space="0"/>
              <w:right w:val="outset" w:color="auto" w:sz="6" w:space="0"/>
            </w:tcBorders>
          </w:tcPr>
          <w:p w14:paraId="232B4293">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13,89</w:t>
            </w:r>
          </w:p>
        </w:tc>
        <w:tc>
          <w:tcPr>
            <w:tcW w:w="833" w:type="dxa"/>
            <w:tcBorders>
              <w:top w:val="nil"/>
              <w:left w:val="outset" w:color="auto" w:sz="6" w:space="0"/>
              <w:bottom w:val="outset" w:color="auto" w:sz="6" w:space="0"/>
              <w:right w:val="outset" w:color="auto" w:sz="6" w:space="0"/>
            </w:tcBorders>
            <w:vAlign w:val="center"/>
          </w:tcPr>
          <w:p w14:paraId="4DA5C716">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sz w:val="28"/>
                <w:szCs w:val="28"/>
              </w:rPr>
              <w:t>10,594</w:t>
            </w:r>
          </w:p>
        </w:tc>
        <w:tc>
          <w:tcPr>
            <w:tcW w:w="969" w:type="dxa"/>
            <w:tcBorders>
              <w:top w:val="nil"/>
              <w:left w:val="outset" w:color="auto" w:sz="6" w:space="0"/>
              <w:bottom w:val="outset" w:color="auto" w:sz="6" w:space="0"/>
              <w:right w:val="outset" w:color="auto" w:sz="6" w:space="0"/>
            </w:tcBorders>
            <w:vAlign w:val="center"/>
          </w:tcPr>
          <w:p w14:paraId="6BD36DFB">
            <w:pPr>
              <w:widowControl w:val="0"/>
              <w:autoSpaceDE w:val="0"/>
              <w:autoSpaceDN w:val="0"/>
              <w:spacing w:after="0" w:line="276" w:lineRule="auto"/>
              <w:jc w:val="both"/>
              <w:outlineLvl w:val="0"/>
              <w:rPr>
                <w:rFonts w:ascii="Times New Roman" w:hAnsi="Times New Roman" w:eastAsia="Times New Roman" w:cs="Times New Roman"/>
                <w:b/>
                <w:sz w:val="28"/>
                <w:szCs w:val="28"/>
              </w:rPr>
            </w:pPr>
            <w:r>
              <w:rPr>
                <w:rFonts w:ascii="Times New Roman" w:hAnsi="Times New Roman" w:eastAsia="Times New Roman" w:cs="Times New Roman"/>
                <w:b/>
                <w:sz w:val="28"/>
                <w:szCs w:val="28"/>
              </w:rPr>
              <w:t>0,0141</w:t>
            </w:r>
            <w:r>
              <w:rPr>
                <w:rFonts w:ascii="Times New Roman" w:hAnsi="Times New Roman" w:eastAsia="Times New Roman" w:cs="Times New Roman"/>
                <w:b/>
                <w:bCs/>
                <w:sz w:val="28"/>
                <w:szCs w:val="28"/>
              </w:rPr>
              <w:t>*</w:t>
            </w:r>
          </w:p>
        </w:tc>
      </w:tr>
      <w:tr w14:paraId="3B992792">
        <w:tblPrEx>
          <w:tblCellMar>
            <w:top w:w="15" w:type="dxa"/>
            <w:left w:w="15" w:type="dxa"/>
            <w:bottom w:w="15" w:type="dxa"/>
            <w:right w:w="15" w:type="dxa"/>
          </w:tblCellMar>
        </w:tblPrEx>
        <w:tc>
          <w:tcPr>
            <w:tcW w:w="9385" w:type="dxa"/>
            <w:gridSpan w:val="11"/>
            <w:tcBorders>
              <w:top w:val="nil"/>
              <w:left w:val="outset" w:color="auto" w:sz="6" w:space="0"/>
              <w:bottom w:val="outset" w:color="auto" w:sz="6" w:space="0"/>
              <w:right w:val="outset" w:color="auto" w:sz="6" w:space="0"/>
            </w:tcBorders>
          </w:tcPr>
          <w:p w14:paraId="129CAD45">
            <w:pPr>
              <w:widowControl w:val="0"/>
              <w:autoSpaceDE w:val="0"/>
              <w:autoSpaceDN w:val="0"/>
              <w:spacing w:after="0" w:line="276" w:lineRule="auto"/>
              <w:jc w:val="both"/>
              <w:outlineLvl w:val="0"/>
              <w:rPr>
                <w:rFonts w:ascii="Times New Roman" w:hAnsi="Times New Roman" w:eastAsia="Times New Roman" w:cs="Times New Roman"/>
                <w:i/>
                <w:sz w:val="28"/>
                <w:szCs w:val="28"/>
              </w:rPr>
            </w:pPr>
            <w:r>
              <w:rPr>
                <w:rFonts w:ascii="Times New Roman" w:hAnsi="Times New Roman" w:eastAsia="Times New Roman" w:cs="Times New Roman"/>
                <w:sz w:val="28"/>
                <w:szCs w:val="28"/>
              </w:rPr>
              <w:t>*–</w:t>
            </w:r>
            <w:r>
              <w:rPr>
                <w:rFonts w:ascii="Times New Roman" w:hAnsi="Times New Roman" w:eastAsia="Times New Roman" w:cs="Times New Roman"/>
                <w:sz w:val="28"/>
                <w:szCs w:val="28"/>
              </w:rPr>
              <w:tab/>
            </w:r>
            <w:r>
              <w:rPr>
                <w:rFonts w:ascii="Times New Roman" w:hAnsi="Times New Roman" w:eastAsia="Times New Roman" w:cs="Times New Roman"/>
                <w:i/>
                <w:iCs/>
                <w:sz w:val="28"/>
                <w:szCs w:val="28"/>
              </w:rPr>
              <w:t>Пирсонның Хи–квадрат</w:t>
            </w:r>
            <w:r>
              <w:rPr>
                <w:rFonts w:ascii="Times New Roman" w:hAnsi="Times New Roman" w:eastAsia="Times New Roman" w:cs="Times New Roman"/>
                <w:i/>
                <w:sz w:val="28"/>
                <w:szCs w:val="28"/>
              </w:rPr>
              <w:t xml:space="preserve"> критерий</w:t>
            </w:r>
            <w:r>
              <w:rPr>
                <w:rFonts w:ascii="Times New Roman" w:hAnsi="Times New Roman" w:eastAsia="Times New Roman" w:cs="Times New Roman"/>
                <w:i/>
                <w:sz w:val="28"/>
                <w:szCs w:val="28"/>
              </w:rPr>
              <w:tab/>
            </w:r>
            <w:r>
              <w:rPr>
                <w:rFonts w:ascii="Times New Roman" w:hAnsi="Times New Roman" w:eastAsia="Times New Roman" w:cs="Times New Roman"/>
                <w:i/>
                <w:sz w:val="28"/>
                <w:szCs w:val="28"/>
              </w:rPr>
              <w:t>бойынша</w:t>
            </w:r>
          </w:p>
          <w:p w14:paraId="1FAFF00F">
            <w:pPr>
              <w:widowControl w:val="0"/>
              <w:autoSpaceDE w:val="0"/>
              <w:autoSpaceDN w:val="0"/>
              <w:spacing w:after="0" w:line="276" w:lineRule="auto"/>
              <w:jc w:val="both"/>
              <w:outlineLvl w:val="0"/>
              <w:rPr>
                <w:rFonts w:ascii="Times New Roman" w:hAnsi="Times New Roman" w:eastAsia="Times New Roman" w:cs="Times New Roman"/>
                <w:sz w:val="28"/>
                <w:szCs w:val="28"/>
              </w:rPr>
            </w:pPr>
            <w:r>
              <w:rPr>
                <w:rFonts w:ascii="Times New Roman" w:hAnsi="Times New Roman" w:eastAsia="Times New Roman" w:cs="Times New Roman"/>
                <w:i/>
                <w:sz w:val="28"/>
                <w:szCs w:val="28"/>
              </w:rPr>
              <w:t>айырмашылығы, көрсеткіштердің өзгеру растығы кезінде p &lt; 0.05</w:t>
            </w:r>
          </w:p>
        </w:tc>
      </w:tr>
    </w:tbl>
    <w:p w14:paraId="7D8FE7BF">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14BA972E">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sz w:val="28"/>
          <w:szCs w:val="28"/>
          <w:lang w:eastAsia="ru-RU"/>
        </w:rPr>
        <w:t>Бұл нәтижелер семіздігі бар жүкті әйелдерде босану барысы мен нәрестелік асқынулардың жиі кездесетінін көрсетеді. Айрықша атап өту керек, гестациялық диабет, гипертензия және иық дистоциясы сияқты асқынулардың жиілігі семіздік пен анемия бірлескен жағдайда едәуір артады. Сонымен қатар, нәрестелердің Апгар шкаласы бойынша 7 баллдан төмен баға алу жиілігінің жоғары болуы да осы топтардағы перинаталдық тәуекелдерді күшейтетінін көрсетеді.</w:t>
      </w:r>
    </w:p>
    <w:p w14:paraId="55467EE0">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0C7E35F0">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3.5 Зерттеу көрсеткіштері арасындағы корреляциялық байланыстарды сипаттау</w:t>
      </w:r>
    </w:p>
    <w:p w14:paraId="60E7F481">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3D9BDB2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Темір алмасу параметрлері, қабыну маркерлері және жүктемедегі әйелдердегі семіздік көрсеткіштері арасындағы өзара байланысты талдау үшін Спирмен рангілік корреляция коэффициентін пайдалана отырып, корреляциялық талдау жүргізілді. Бұл талдаудың мақсаты семіздік, қабыну маркерлерінің жоғары деңгейімен байланысты, жүктемедегі анемияның дамуына ықпал ететін темір алмасуын бұзатын гипотезаны тексеру болды. </w:t>
      </w:r>
    </w:p>
    <w:p w14:paraId="1F33E67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Негізгі корреляциялық талдау нәтижелері бойынша гепсидин мен гемоглобин деңгейі арасында теріс байланыс анықталды (r = –0.407, p &lt; 0.01), бұл гепсидиннің организмдегі темірдің қолжетімділігіне әсер ететін гипотезаны растайды. Гепсидин деңгейінің жоғарылауы гемоглобин деңгейінің төмендеуімен байланысты, бұл темірдің қоймалардан босатылуын блоктаумен түсіндірілуі мүмкін. Бұл нәтиже қабыну аурулары бар адамдардағы анемия патогенезіндегі гепсидиннің рөлі туралы әдеби деректермен сәйкес келеді. Гепсидин мен ДСИ (r = 0.244, p &lt; 0.01) және гепсидин мен семіздік (r = 0.318, p &lt; 0.01) арасындағы оң корреляция, артық салмағы бар адамдарда гепсидин деңгейінің жоғары екенін растайды. Бұл деректер семіздік созылмалы қабынумен бірге жүретін гипотезаны қолдайды, бұл гепсидиннің жоғарылауына және тиісінше, темір алмасуының бұзылуына әкеледі. Ферритин мен гепсидин арасындағы теріс корреляция (r = –0.176, p &lt; 0.05) гепсидин деңгейінің жоғарылауы темірдің қорлардан босатылуын тежейтінін, бұл организмдегі қолжетімді темір деңгейінің төмендеуіне және тиісінше, анемияның даму қаупіне әкелетінін көрсетуі мүмкін. Сонымен қатар эритроциттер деңгейі мен анемияның болуы арасындағы маңызды теріс корреляция (r = –0.410, p &lt; 0.01) жүктемедегі әйелдерде эритроциттер санының төмендеуі мен гепсидин деңгейінің жоғарылауы анемияның бар екенін растайды.</w:t>
      </w:r>
    </w:p>
    <w:p w14:paraId="251C9DD9">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CРА мен </w:t>
      </w:r>
      <w:r>
        <w:rPr>
          <w:rFonts w:ascii="Times New Roman" w:hAnsi="Times New Roman" w:eastAsia="Times New Roman" w:cs="Times New Roman"/>
          <w:sz w:val="28"/>
          <w:szCs w:val="28"/>
          <w:lang w:val="kk-KZ" w:eastAsia="ru-RU"/>
        </w:rPr>
        <w:t>ИЛ</w:t>
      </w:r>
      <w:r>
        <w:rPr>
          <w:rFonts w:ascii="Times New Roman" w:hAnsi="Times New Roman" w:eastAsia="Times New Roman" w:cs="Times New Roman"/>
          <w:sz w:val="28"/>
          <w:szCs w:val="28"/>
          <w:lang w:eastAsia="ru-RU"/>
        </w:rPr>
        <w:t>–6 арасындағы күшті оң корреляция (r = 0.263, p &lt; 0.01) осы қабыну маркерлері арасындағы өзара әрекеттесуді көрсетеді. ИЛ–6, қабынуға қарсы цитокин болып, CРА өндірісін бауырда ынталандырады, бұл семіздігі бар жүкті әйелдерде жүйелі қабынуды көрсетеді. Бұл нәтиже семіздік кезінде анемия патогенезіндегі қабыну маркерлерінің рөлін растайды. ДСИ мен CРА деңгейлері (r = 0.394, p &lt; 0.01) және IL–6 (r = 0.561, p &lt; 0.01) арасындағы маңызды оң корреляциялар семіздік пен қабыну процестері арасындағы байланысты көрсетеді. Бұл жоғары ДСИ созылмалы қабынумен байланысты екенін растайды, бұл біздің семіздіктің анемия дамуына қабыну механизмдері арқылы байланысы туралы гипотезамызды қолдайды.</w:t>
      </w:r>
    </w:p>
    <w:p w14:paraId="55E0600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Алынған деректер жүктемедегі семіздіктің анемияның дамуына қабыну механизмдері мен темір алмасуының бұзылуы арқылы байланысты екенін растайды. Қабыну маркерлерінің (CРА және ИЛ–6) жоғары деңгейлері гепсидин деңгейінің артуына әкеледі, бұл, өз кезегінде, гемоглобиннің түзілуі үшін темірдің қолжетімділігін шектейді. Бұл гепсидин мен гемоглобин деңгейі арасындағы теріс корреляцияны түсіндіреді.</w:t>
      </w:r>
    </w:p>
    <w:p w14:paraId="1BD0D05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CРА және ИЛ–6 деңгейлері арасындағы корреляция көрсетілген сурет –12 көрсетілген. Құрастырылған тренд сызығы мен регрессия теңдеуі y = 2.05 + 0.23x (мұнда y — ИЛ–6 деңгейі, ал x — CРА деңгейі) көрсеткендей, бұл көрсеткіштер арасында әлсіз оң корреляция бар.  </w:t>
      </w:r>
    </w:p>
    <w:p w14:paraId="34D5BE13">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06E9AD4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5193030" cy="3606165"/>
            <wp:effectExtent l="0" t="0" r="7620" b="13335"/>
            <wp:docPr id="105" name="Рисунок 105" descr="C:\Users\kgmuuser\AppData\Local\Temp\ksohtml7396\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descr="C:\Users\kgmuuser\AppData\Local\Temp\ksohtml7396\wps2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193030" cy="360616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4DA9567B">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746796C7">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iCs/>
          <w:sz w:val="28"/>
          <w:szCs w:val="28"/>
          <w:lang w:eastAsia="ru-RU"/>
        </w:rPr>
        <w:t>Сурет – 12. CРА және ИЛ–6 көрсеткіштері арасындағы байланыс</w:t>
      </w:r>
      <w:r>
        <w:rPr>
          <w:rFonts w:ascii="Times New Roman" w:hAnsi="Times New Roman" w:eastAsia="Times New Roman" w:cs="Times New Roman"/>
          <w:i/>
          <w:sz w:val="28"/>
          <w:szCs w:val="28"/>
          <w:lang w:eastAsia="ru-RU"/>
        </w:rPr>
        <w:t xml:space="preserve"> </w:t>
      </w:r>
    </w:p>
    <w:p w14:paraId="4510584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1F17DC70">
      <w:pPr>
        <w:widowControl w:val="0"/>
        <w:autoSpaceDE w:val="0"/>
        <w:autoSpaceDN w:val="0"/>
        <w:spacing w:after="0" w:line="276" w:lineRule="auto"/>
        <w:ind w:firstLine="709"/>
        <w:jc w:val="both"/>
        <w:outlineLvl w:val="0"/>
        <w:rPr>
          <w:rFonts w:ascii="Times New Roman" w:hAnsi="Times New Roman" w:eastAsia="Times New Roman" w:cs="Times New Roman"/>
          <w:i/>
          <w:sz w:val="28"/>
          <w:szCs w:val="28"/>
          <w:lang w:eastAsia="ru-RU"/>
        </w:rPr>
      </w:pPr>
      <w:r>
        <w:rPr>
          <w:rFonts w:ascii="Times New Roman" w:hAnsi="Times New Roman" w:eastAsia="Times New Roman" w:cs="Times New Roman"/>
          <w:sz w:val="28"/>
          <w:szCs w:val="28"/>
          <w:lang w:eastAsia="ru-RU"/>
        </w:rPr>
        <w:t>Детерминация коэффициенті R² = 0.069, яғни ИЛ–6 деңгейінің тек 6.9% өзгерісі СРА деңгейімен түсіндіріледі. Бұл төмен детерминация дәрежесі CРА және ИЛ–6 деңгейлері арасындағы әлсіз байланысты көрсетеді, яғни CРА деңгейінің жоғарылауы ИЛ–6 деңгейімен әлсіз ассоциацияланған.</w:t>
      </w:r>
    </w:p>
    <w:p w14:paraId="71706816">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Келесі суретте – 13-те CРА деңгейі мен дене ДСИ  арасындағы өзара байланысты бағалау үшін корреляциялық талдау жүргізілді, соның нәтижесінде сызықтық регрессия теңдеуі құрылды. Нәтижелер CРА деңгейі мен ДСИ  арасында оң сызықтық тәуелділіктің бар екенін көрсетті, бұл регрессия теңдеуімен расталады: y = 22.89 + 0.75x (мұнда y – ДСИ мәні, ал x – CРА деңгейі). Детерминация коэффициентінің мәні R² = 0.155, яғни ДСИ–нің шамамен 15.5% өзгерісін CРА деңгейімен түсіндіруге болады. Бұл CРА және ДСИ деңгейлері арасында орташа оң корреляцияның бар екенін көрсетеді, бұл қабыну процесінің семіздікпен байланысы мүмкін екенін білдіреді. Талдау нәтижелері CРА деңгейімен көрсетілген қабыну процестері ДСИ–нің жоғарылауымен ассоциацияланған болуы мүмкін екенін көрсетеді. Бұл өзара байланыс қабынудың семіздіктің патогенезіндегі рөлін растайтын гипотезаны қолдайды. Мұндай деректер клиникалық маңызға ие, себебі олар семіздік пен оның асқынуларының жоғарылау қаупімен байланысты метаболикалық қабыну концепциясын қолдайды.</w:t>
      </w:r>
    </w:p>
    <w:p w14:paraId="00560510">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304800" cy="304800"/>
            <wp:effectExtent l="0" t="0" r="0" b="0"/>
            <wp:docPr id="106" name="Рисунок 106" descr="C:\Users\kgmuuser\AppData\Local\Temp\ksohtml7396\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C:\Users\kgmuuser\AppData\Local\Temp\ksohtml7396\wps2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04800" cy="304800"/>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sz w:val="28"/>
          <w:szCs w:val="28"/>
          <w:lang w:eastAsia="ru-RU"/>
        </w:rPr>
        <w:drawing>
          <wp:inline distT="0" distB="0" distL="0" distR="0">
            <wp:extent cx="304800" cy="304800"/>
            <wp:effectExtent l="0" t="0" r="0" b="0"/>
            <wp:docPr id="107" name="Рисунок 107" descr="C:\Users\kgmuuser\AppData\Local\Temp\ksohtml7396\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descr="C:\Users\kgmuuser\AppData\Local\Temp\ksohtml7396\wps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04800" cy="304800"/>
                    </a:xfrm>
                    <a:prstGeom prst="rect">
                      <a:avLst/>
                    </a:prstGeom>
                    <a:noFill/>
                    <a:ln>
                      <a:noFill/>
                    </a:ln>
                  </pic:spPr>
                </pic:pic>
              </a:graphicData>
            </a:graphic>
          </wp:inline>
        </w:drawing>
      </w:r>
      <w:r>
        <w:rPr>
          <w:rFonts w:ascii="Times New Roman" w:hAnsi="Times New Roman" w:eastAsia="Times New Roman" w:cs="Times New Roman"/>
          <w:color w:val="FFFFFF"/>
          <w:sz w:val="28"/>
          <w:szCs w:val="28"/>
          <w:shd w:val="clear" w:color="auto" w:fill="000000"/>
          <w:lang w:eastAsia="ru-RU"/>
        </w:rPr>
        <w:t xml:space="preserve"> </w:t>
      </w:r>
      <w:r>
        <w:rPr>
          <w:rFonts w:ascii="Times New Roman" w:hAnsi="Times New Roman" w:eastAsia="Times New Roman" w:cs="Times New Roman"/>
          <w:sz w:val="28"/>
          <w:szCs w:val="28"/>
          <w:lang w:eastAsia="ru-RU"/>
        </w:rPr>
        <w:drawing>
          <wp:inline distT="0" distB="0" distL="0" distR="0">
            <wp:extent cx="5208270" cy="3861435"/>
            <wp:effectExtent l="0" t="0" r="11430" b="5715"/>
            <wp:docPr id="108" name="Рисунок 108" descr="C:\Users\kgmuuser\AppData\Local\Temp\ksohtml7396\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descr="C:\Users\kgmuuser\AppData\Local\Temp\ksohtml7396\wps2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08270" cy="3861435"/>
                    </a:xfrm>
                    <a:prstGeom prst="rect">
                      <a:avLst/>
                    </a:prstGeom>
                    <a:noFill/>
                    <a:ln>
                      <a:noFill/>
                    </a:ln>
                  </pic:spPr>
                </pic:pic>
              </a:graphicData>
            </a:graphic>
          </wp:inline>
        </w:drawing>
      </w:r>
    </w:p>
    <w:p w14:paraId="7F0CEE08">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2E14A417">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Суретте – 13. C–реактивті белок деңгейі мен дене ДСИ  арасындағы өзара байланысты бағалау</w:t>
      </w:r>
    </w:p>
    <w:p w14:paraId="68E7DFE5">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r>
        <w:rPr>
          <w:rFonts w:ascii="Times New Roman" w:hAnsi="Times New Roman" w:eastAsia="Times New Roman" w:cs="Times New Roman"/>
          <w:iCs/>
          <w:sz w:val="28"/>
          <w:szCs w:val="28"/>
          <w:lang w:eastAsia="ru-RU"/>
        </w:rPr>
        <w:t xml:space="preserve"> </w:t>
      </w:r>
    </w:p>
    <w:p w14:paraId="2285305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Осылайша, алынған нәтижелер жүктемедегі семіздігі бар жүкті әйелдерде анемияның алдын алу және емдеу үшін қабыну процестерін бақылаудың және темір алмасуын түзетудің маңыздылығын атап көрсетеді. Қабыну маркерлері, темір алмасуы және анемия арасындағы анықталған корреляциялар жүктемедегі семіздік пен анемияны байланыстыратын патогенетикалық механизмдерді одан әрі зерттеу үшін негіз бола алады.</w:t>
      </w:r>
    </w:p>
    <w:p w14:paraId="6A9CD691">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DE06BC5">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3.6  Дене салмағының индексіне қабыну және темір метаболизмі маркерлерінің әсерін бағалау: көптік регрессия нәтижелері және прогностикалық модель</w:t>
      </w:r>
    </w:p>
    <w:p w14:paraId="4593180B">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370E2FA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Көптік регрессия ДСИ мен қабыну маркерлері (CРА және ИЛ–6), сондай–ақ зат алмасу маркерлері (жалпы билирубин, гепсидин және зәр қышқылы) арасындағы маңызды байланыстарды көрсетті. Бұл предикторларды кезең–кезеңімен қосу модельдің түсіндіру қабілетін арттырып, R² көрсеткішін бастапқыдағы 0,396 мәнінен (тек сегменттік нейтрофилдер) 0,625–ке дейін (алты предикторды қамтыған соңғы модель) көтерді. Бұл нәтижелер қабыну мен метаболизм процестерінің ДСИ өзгертуге ықпал етуі мүмкін екендігін көрсетеді, яғни семіздік жағдайындағы қабыну мен дене салмағының артуы арасындағы байланысты растайды.</w:t>
      </w:r>
    </w:p>
    <w:p w14:paraId="36478C8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Әр кезеңдегі детальды шолу мен модельдің түсіндіру қабілетін арттыру үшін қосылған предикторлардың маңыздылығы төменде көрсетілген.</w:t>
      </w:r>
    </w:p>
    <w:p w14:paraId="71E64BD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1–кезең: бастапқы кезеңде модельге жалғыз предиктор – сегменттік ядролы нейтрофилдер енгізілді. R–квадрат мәні 0,396 (39,6%) құрап, ДСИ–дегі өзгерістердің шамамен 40%–ын осы предиктордың есебінен түсіндіруге болатынын көрсетті. Стандартты қате 6,10504 құрады, бұл кезеңдегі модельдің дәлдігін көрсетеді. F–критерий мәні 108,009 (p &lt; 0,001), бұл </w:t>
      </w:r>
      <w:r>
        <w:rPr>
          <w:rFonts w:ascii="Times New Roman" w:hAnsi="Times New Roman" w:eastAsia="Times New Roman" w:cs="Times New Roman"/>
          <w:bCs/>
          <w:sz w:val="28"/>
          <w:szCs w:val="28"/>
          <w:lang w:val="kk-KZ" w:eastAsia="ru-RU"/>
        </w:rPr>
        <w:t>ДСИ</w:t>
      </w:r>
      <w:r>
        <w:rPr>
          <w:rFonts w:ascii="Times New Roman" w:hAnsi="Times New Roman" w:eastAsia="Times New Roman" w:cs="Times New Roman"/>
          <w:bCs/>
          <w:sz w:val="28"/>
          <w:szCs w:val="28"/>
          <w:lang w:eastAsia="ru-RU"/>
        </w:rPr>
        <w:t xml:space="preserve"> мен сегменттік ядролы нейтрофилдер арасындағы статистикалық маңызды байланысты көрсетеді.</w:t>
      </w:r>
    </w:p>
    <w:p w14:paraId="2AF75CA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2–кезең: екінші кезеңде модельге «ИЛ–6» предикторы қосылды. Бұл модельді едәуір жақсартып, R–квадрат мәнін 0,549–ға (54,9%) арттырды және стандартты қате 5,28981–ге дейін төмендеді. F–критерий мәні 99,820 (p &lt; 0,001) болып, модельдің статистикалық маңызды екенін растады. ИЛ–6 қосылуы оны </w:t>
      </w:r>
      <w:r>
        <w:rPr>
          <w:rFonts w:ascii="Times New Roman" w:hAnsi="Times New Roman" w:eastAsia="Times New Roman" w:cs="Times New Roman"/>
          <w:bCs/>
          <w:sz w:val="28"/>
          <w:szCs w:val="28"/>
          <w:lang w:val="kk-KZ" w:eastAsia="ru-RU"/>
        </w:rPr>
        <w:t>ДСИ</w:t>
      </w:r>
      <w:r>
        <w:rPr>
          <w:rFonts w:ascii="Times New Roman" w:hAnsi="Times New Roman" w:eastAsia="Times New Roman" w:cs="Times New Roman"/>
          <w:bCs/>
          <w:sz w:val="28"/>
          <w:szCs w:val="28"/>
          <w:lang w:eastAsia="ru-RU"/>
        </w:rPr>
        <w:t xml:space="preserve"> үшін маңызды предиктор ретінде көрсетті және модельдің түсіндіру қабілетін жақсартты.</w:t>
      </w:r>
    </w:p>
    <w:p w14:paraId="6EAB4B4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3–кезең: үшінші кезеңде СРА қосылды, бұл R–квадрат мәнін 0,585–ке (58,5%) дейін арттырып, стандартты қателікті 5,09003–ке дейін төмендетті. F–критерий 76,582 (p &lt; 0,001) болды, бұл СРА–дың ДСИ өзгерістерін түсіндірудегі маңызды үлесін көрсетеді.</w:t>
      </w:r>
    </w:p>
    <w:p w14:paraId="3C73313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4–кезең: келесі кезеңде модельге жалпы билирубин қосылды. Бұл R–квадратты 0,603–ке (60,3%) дейін арттырып, стандартты қателікті 4,99457–ге дейін төмендетті. F–критерий 61,476 (p &lt; 0,001) болып, модельдің статистикалық маңызды екенін және оның болжамдық дәлдігін арттырғанын көрсетеді.</w:t>
      </w:r>
    </w:p>
    <w:p w14:paraId="2A32F55A">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5–кезең: бесінші кезеңде модельге гепсидин қосылды, бұл түсіндіру қабілетін одан әрі жақсартып, R–квадратты 0,614–ке (61,4%) дейін көтеріп, стандартты қателікті 4,93946–ға дейін төмендетті. F–критерий 51,211 (p &lt; 0,001) болып, гепсидин мен ДСИ арасындағы маңызды байланысты көрсетеді.</w:t>
      </w:r>
    </w:p>
    <w:p w14:paraId="7FFB3B4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6–кезең: соңғы кезеңде модельге зәр қышқылы қосылды. Бұл R–квадратты 0,625–ке (62,5%) дейін арттырып, стандартты қателікті 4,88488–ге дейін төмендетті, ал F–критерий 44,404 (p &lt; 0,001) құрады, бұл талдаудың барлық кезеңдері арасындағы ең жақсы нәтиже болды. Бұл модель ДСИ–дегі вариацияның 62,5%–ын түсіндіре алады және болжамның жоғары дәлдігімен ерекшеленеді.</w:t>
      </w:r>
    </w:p>
    <w:p w14:paraId="641E453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Анализ сегменттік ядролы нейтрофилдер, ИЛ–6, СРА, жалпы билирубин, гепсидин және зәр қышқылы предикторларын біртіндеп қосу модельдің түсіндіру қабілетін айтарлықтай жақсартып, әр кезеңде R–квадратты арттырып, стандартты қателікті төмендеткенін көрсетті. ДСИ өзгерістерінің 62,5%–ын түсіндіретін соңғы модель қабыну маркерлерінің, соның ішінде ИЛ–6, СРА және гепсидиннің, ДСИ–мен ассоциациясын растайды. Бұл мәліметтер қабыну маркерлерінің семіздік патогенезіндегі және оның асқынуларындағы рөлін қолдайды, бұл оларды семіздікке байланысты метаболикалық бұзылуларды ерте диагностикалау мен алдын алу үшін пайдалы индикаторлар етеді.</w:t>
      </w:r>
    </w:p>
    <w:p w14:paraId="78517BB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Модельдің қалдықтарын талдау нәтижелері бойынша,</w:t>
      </w:r>
      <w:r>
        <w:rPr>
          <w:rFonts w:ascii="Times New Roman" w:hAnsi="Times New Roman" w:eastAsia="Times New Roman" w:cs="Times New Roman"/>
          <w:bCs/>
          <w:sz w:val="28"/>
          <w:szCs w:val="28"/>
          <w:lang w:val="kk-KZ" w:eastAsia="ru-RU"/>
        </w:rPr>
        <w:t xml:space="preserve"> </w:t>
      </w:r>
      <w:r>
        <w:rPr>
          <w:rFonts w:ascii="Times New Roman" w:hAnsi="Times New Roman" w:eastAsia="Times New Roman" w:cs="Times New Roman"/>
          <w:bCs/>
          <w:sz w:val="28"/>
          <w:szCs w:val="28"/>
          <w:lang w:eastAsia="ru-RU"/>
        </w:rPr>
        <w:t>ДСИ болжау мәндері 18,82–ден 45,88–ге дейінгі аралықта болды, орташа мәні 28,69 және стандартты ауытқуы 6,13 (N = 167). Қалдықтар (бақыланған және болжау мәндерінің айырмашылығы) –13,89–дан 13,69–ға дейін өзгеріп, орташа мәні нөлге тең және стандартты ауытқуы 4,86, бұл модельдің дәлдігін көрсетеді.</w:t>
      </w:r>
    </w:p>
    <w:p w14:paraId="6904BCB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Стандартизирленген болжау мәндерінің диапазоны –1,61–ден 2,80–ге дейін, орташа мәні 0 және стандартты ауытқуы 1–ге тең, бұл болжау мәндерінің қалыпты бөліністе екенін растайды. Стандартизирленген қалдықтар –2,81–ден 2,77–ге дейінгі аралықта ауытқып, орташа мәні нөлге тең және стандартты ауытқуы 0,985, бұл қалдықтардың қалыпты бөлінісін және айтарлықтай ауытқулардың жоқтығын көрсетеді. Бұл нәтижелер модельдің осы үлгідегі ДСИ–ны түсіндіруге жақсы сәйкес келетінін көрсетеді, себебі қалдықтар күшті ығысуға ие емес және қалыпты бөлініске жақын, бұл сызықтық регрессияның дұрыстығын растайды.</w:t>
      </w:r>
    </w:p>
    <w:p w14:paraId="75C8245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Модельдің қалдықтары –13,98–ден 11,98–ге дейінгі аралықта, орташа мәні нөлге және стандартты ауытқуы 4,43–ке тең болды. Стандартизирленген қалдықтар –2,87–ден 2,45–ке дейін өзгеріп, қалдықтардың бөлінісінде айтарлықтай ығысудың жоқ екенін көрсетеді. Стьюдентизирленген қалдықтар –3,20–дан 2,72–ге дейінгі аралықта, орташа мәні 0,004 және стандартты ауытқуы 1,01 болды, бұл модельдің жарамдылығын дәлелдейді.</w:t>
      </w:r>
    </w:p>
    <w:p w14:paraId="1A26635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Гистограммада (сурет–14) ДСИ–ға қатысты болжау мәні мен қалдықтар арасындағы тәуелділік үшін регрессияның стандартизирленген қалдықтарының бөлінісі көрсетілген. График қалдықтардың қалыпты бөлінісін көрсетеді, мұнда орташа мән нөлге жақын (орташа = –8,76E–16) және стандартты ауытқуы шамалы (0,982). Бұл қалдықтардың қалыпты бөлінісін көрсетіп, модельдегі сызықтық және қалыптылыққа қатысты болжамдарды растайды.</w:t>
      </w:r>
    </w:p>
    <w:p w14:paraId="4DBCC1EA">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5D67FD4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796C93BC">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556C98A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4229BE40">
      <w:pPr>
        <w:widowControl w:val="0"/>
        <w:autoSpaceDE w:val="0"/>
        <w:autoSpaceDN w:val="0"/>
        <w:spacing w:after="0" w:line="276" w:lineRule="auto"/>
        <w:jc w:val="both"/>
        <w:outlineLvl w:val="0"/>
        <w:rPr>
          <w:rFonts w:ascii="Times New Roman" w:hAnsi="Times New Roman" w:eastAsia="Times New Roman" w:cs="Times New Roman"/>
          <w:bCs/>
          <w:sz w:val="28"/>
          <w:szCs w:val="28"/>
          <w:lang w:eastAsia="ru-RU"/>
        </w:rPr>
      </w:pPr>
    </w:p>
    <w:p w14:paraId="567466D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4A99BB17">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highlight w:val="yellow"/>
          <w:lang w:eastAsia="ru-RU"/>
        </w:rPr>
      </w:pPr>
      <w:r>
        <w:rPr>
          <w:rFonts w:ascii="Times New Roman" w:hAnsi="Times New Roman" w:eastAsia="Times New Roman" w:cs="Times New Roman"/>
          <w:sz w:val="28"/>
          <w:szCs w:val="28"/>
          <w:lang w:eastAsia="ru-RU"/>
        </w:rPr>
        <w:drawing>
          <wp:inline distT="0" distB="0" distL="0" distR="0">
            <wp:extent cx="5250180" cy="3084195"/>
            <wp:effectExtent l="0" t="0" r="7620" b="1905"/>
            <wp:docPr id="109" name="Рисунок 109" descr="C:\Users\kgmuuser\AppData\Local\Temp\ksohtml7396\wp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descr="C:\Users\kgmuuser\AppData\Local\Temp\ksohtml7396\wps2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50180" cy="3084195"/>
                    </a:xfrm>
                    <a:prstGeom prst="rect">
                      <a:avLst/>
                    </a:prstGeom>
                    <a:noFill/>
                    <a:ln>
                      <a:noFill/>
                    </a:ln>
                  </pic:spPr>
                </pic:pic>
              </a:graphicData>
            </a:graphic>
          </wp:inline>
        </w:drawing>
      </w:r>
    </w:p>
    <w:p w14:paraId="06AB46AA">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Сурет – 14. Қалдықтар гистограмасы</w:t>
      </w:r>
    </w:p>
    <w:p w14:paraId="73C28B0C">
      <w:pPr>
        <w:widowControl w:val="0"/>
        <w:autoSpaceDE w:val="0"/>
        <w:autoSpaceDN w:val="0"/>
        <w:spacing w:after="0" w:line="276" w:lineRule="auto"/>
        <w:ind w:firstLine="709"/>
        <w:jc w:val="both"/>
        <w:outlineLvl w:val="0"/>
        <w:rPr>
          <w:rFonts w:ascii="Times New Roman" w:hAnsi="Times New Roman" w:eastAsia="Times New Roman" w:cs="Times New Roman"/>
          <w:bCs/>
          <w:i/>
          <w:sz w:val="28"/>
          <w:szCs w:val="28"/>
          <w:lang w:eastAsia="ru-RU"/>
        </w:rPr>
      </w:pPr>
      <w:r>
        <w:rPr>
          <w:rFonts w:ascii="Times New Roman" w:hAnsi="Times New Roman" w:eastAsia="Times New Roman" w:cs="Times New Roman"/>
          <w:bCs/>
          <w:i/>
          <w:sz w:val="28"/>
          <w:szCs w:val="28"/>
          <w:lang w:eastAsia="ru-RU"/>
        </w:rPr>
        <w:t xml:space="preserve"> </w:t>
      </w:r>
    </w:p>
    <w:p w14:paraId="095D3A6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Зерттеудің стандартталған қалдықтарының қалыпты үлестірімге сәйкестігін бағалау үшін гистограмма құрылған (сурет–14). Гистограмма нәтижелері стандартталған қалдықтардың орташа мәннің айналасында топтасқанын және екі жаққа қарай симметриялы таралғанын көрсетеді. Мұндай үлгі деректердің қалыпты үлестірімге жақындығын көрсетеді, бұл статистикалық талдау нәтижелерінің сенімділігін және модельдің жарамдылығын дәлелдеуге мүмкіндік береді.</w:t>
      </w:r>
    </w:p>
    <w:p w14:paraId="589662C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1C5737B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59014AC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drawing>
          <wp:inline distT="0" distB="0" distL="0" distR="0">
            <wp:extent cx="4584700" cy="3028950"/>
            <wp:effectExtent l="0" t="0" r="6350" b="0"/>
            <wp:docPr id="110" name="Рисунок 110" descr="C:\Users\kgmuuser\AppData\Local\Temp\ksohtml7396\wp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C:\Users\kgmuuser\AppData\Local\Temp\ksohtml7396\wps2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584700" cy="3028950"/>
                    </a:xfrm>
                    <a:prstGeom prst="rect">
                      <a:avLst/>
                    </a:prstGeom>
                    <a:noFill/>
                    <a:ln>
                      <a:noFill/>
                    </a:ln>
                  </pic:spPr>
                </pic:pic>
              </a:graphicData>
            </a:graphic>
          </wp:inline>
        </w:drawing>
      </w:r>
      <w:r>
        <w:rPr>
          <w:rFonts w:ascii="Times New Roman" w:hAnsi="Times New Roman" w:eastAsia="Times New Roman" w:cs="Times New Roman"/>
          <w:bCs/>
          <w:sz w:val="28"/>
          <w:szCs w:val="28"/>
          <w:lang w:eastAsia="ru-RU"/>
        </w:rPr>
        <w:t xml:space="preserve">  </w:t>
      </w:r>
    </w:p>
    <w:p w14:paraId="219DE82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41E07E7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Сурет – 15. Регрессияның Q–Q – графигі</w:t>
      </w:r>
    </w:p>
    <w:p w14:paraId="5C610BC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120CA12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highlight w:val="yellow"/>
          <w:lang w:eastAsia="ru-RU"/>
        </w:rPr>
      </w:pPr>
      <w:r>
        <w:rPr>
          <w:rFonts w:ascii="Times New Roman" w:hAnsi="Times New Roman" w:eastAsia="Times New Roman" w:cs="Times New Roman"/>
          <w:bCs/>
          <w:sz w:val="28"/>
          <w:szCs w:val="28"/>
          <w:lang w:eastAsia="ru-RU"/>
        </w:rPr>
        <w:t>Деректердің қалыпты үлестірімділігін тексеру үшін стандартталған қалдықтарға Q–Q (квант–квант) қалыпты графигі жасалды. Q–Q графигі (сурет–15)  бақылау мәндері мен қалыпты үлестірімнен күтілетін мәндерді салыстырады. Бұл графикте нүктелердің диагональ бойында орналасуы деректердің қалыпты үлестірімге жақын екендігін көрсетеді.</w:t>
      </w:r>
    </w:p>
    <w:p w14:paraId="098E942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Махалонобис қашықтығының мәндері 8,94–тен 97,05–ке дейінгі аралықта болды, орташа мәні 28,83 және стандартты ауытқуы 15,74, бұл бақылаулар арасындағы қашықтықта кейбір вариативтілік бар екенін көрсетеді. Кук қашықтығының мәні 0–ден 0,127–ге дейін, орташа мәні 0,008 және стандартты ауытқуы 0,018, бұл күшті әсер ететін нүктелердің жоқтығын көрсетеді.</w:t>
      </w:r>
    </w:p>
    <w:p w14:paraId="3DD59CB7">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Бақылаулар үшін орталықтандырылған теңестіру мәндері 0,054–тен 0,585–ке дейін, орташа мәні 0,174 және стандартты ауытқуы 0,095, бұл модельдің теңестірілгенін растайды. Бұл нәтижелер модельдің ДСИ–дағы вариацияларды түсіндіру үшін жарамдылығын көрсетеді, өйткені қалдықтар қалыпты бөлініске ие және Махалонобис пен Кук қашықтық мәндері айтарлықтай ауытқулар немесе ықпалды бақылаулардың жоқтығын көрсетеді.</w:t>
      </w:r>
    </w:p>
    <w:p w14:paraId="46E9F37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Мультиколлинеарлықты бағалау үшін модельдегі меншікті мәндер мен шарттылық көрсеткіштері талданды. Соңғы кезеңдегі модельдегі шарттылық көрсеткіші 37,435–ке жетті, бұл әсіресе гепсидин, ИЛ–6  және СРА предикторларына қатысты мультиколлинеарлықтың ықтимал бар екенін көрсетеді. Бұл айнымалылар дисперсияның жоғары үлесін (99%–ға дейін) көрсетті, бұл олардың өзара тәуелділігінің мүмкіндігін білдіреді. Коллинеарлықтың болуына қарамастан, модель маңызды болып қала береді және ДСИ–дағы вариациялардың 62,5%–ын түсіндіреді, бұл оның қабыну маркерлері мен </w:t>
      </w:r>
      <w:r>
        <w:rPr>
          <w:rFonts w:ascii="Times New Roman" w:hAnsi="Times New Roman" w:eastAsia="Times New Roman" w:cs="Times New Roman"/>
          <w:bCs/>
          <w:sz w:val="28"/>
          <w:szCs w:val="28"/>
          <w:lang w:val="kk-KZ" w:eastAsia="ru-RU"/>
        </w:rPr>
        <w:t>ДСИ</w:t>
      </w:r>
      <w:r>
        <w:rPr>
          <w:rFonts w:ascii="Times New Roman" w:hAnsi="Times New Roman" w:eastAsia="Times New Roman" w:cs="Times New Roman"/>
          <w:bCs/>
          <w:sz w:val="28"/>
          <w:szCs w:val="28"/>
          <w:lang w:eastAsia="ru-RU"/>
        </w:rPr>
        <w:t xml:space="preserve"> арасындағы байланысты талдауға жарамдылығын растайды.</w:t>
      </w:r>
    </w:p>
    <w:p w14:paraId="182D2386">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16B88D9F">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3.7 Семіздікке әсер ететін факторларды бағалау: қабыну маркерлерінің рөлі және прогностикалық модель нәтижелері</w:t>
      </w:r>
    </w:p>
    <w:p w14:paraId="411DBA3E">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2C7EC02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Логистикалық регрессия анализі семіздікке байланысты</w:t>
      </w:r>
      <w:r>
        <w:rPr>
          <w:rFonts w:ascii="Times New Roman" w:hAnsi="Times New Roman" w:eastAsia="Times New Roman" w:cs="Times New Roman"/>
          <w:b/>
          <w:bCs/>
          <w:sz w:val="28"/>
          <w:szCs w:val="28"/>
          <w:lang w:eastAsia="ru-RU"/>
        </w:rPr>
        <w:t xml:space="preserve"> </w:t>
      </w:r>
      <w:r>
        <w:rPr>
          <w:rFonts w:ascii="Times New Roman" w:hAnsi="Times New Roman" w:eastAsia="Times New Roman" w:cs="Times New Roman"/>
          <w:bCs/>
          <w:sz w:val="28"/>
          <w:szCs w:val="28"/>
          <w:lang w:eastAsia="ru-RU"/>
        </w:rPr>
        <w:t>факторларды болжау үшін қабыну көрсеткіштері мен басқа клиникалық сипаттамаларды пайдалана отырып орындалды. Тәуелді айнымалы ретінде семіздіктің бар–жоғы қарастырылды.</w:t>
      </w:r>
    </w:p>
    <w:p w14:paraId="159F6E85">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Модельдің сапасы және үйлесімділігіне келетін болсақ модельдің  логарифмдік ұқсастық мәні 43,921 болғанын көрсетеді, бұл модельдің деректерге сәйкес келетінін білдіреді. Кокс–Снелл R–квадраты (0,675) және Нэйджелкерк R–квадраты (0,900) модельдің түсіндіру қабілетінің жоғары екенін растайды. Хосмер–Лемешов тестінің үйлесімділігі χ² = 2,097, p = 0,978 мәнімен модельдің деректермен үйлесімділігін және болжамдарының дұрыстығын көрсетеді. Модельдің семіздікті болжаудағы жоғары дәлдігін көрсетеді: модель жағдайлардың 94,6%–ын дұрыс классификациялады. Атап айтқанда, семіздігі бар адамдарды дұрыс анықтау 96,4%–ды, ал семіздігі жоқ адамдарды анықтау 92,8%–ды құрады. Бұл модельдің болжау дәлдігінің жоғары екенін көрсетеді.</w:t>
      </w:r>
    </w:p>
    <w:p w14:paraId="205F949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Жекелеген предикторлардың әсері: әрбір предиктордың маңыздылығы Вальда тесті арқылы бағаланды. p &lt; 0,05 мәнінде статистикалық маңызға ие болған предикторлар: гемоглобин (B = 0,103, p = 0,026, Exp(B) = 1,109) деңгейінің жоғарылауы, ЭТЖ-ның (B = 0,362, p = 0,001, Exp(B) = 1,436) артуы, сегменттік ядролы нейтрофилдер (B = 0,723, p &lt; 0,001, Exp(B) = 2,061) деңгейінің артуы семіздік ықтималдығын арттырады, бұл семіздік пен қабыну процесінің байланысын растайды. Гепсидин (B = 0,001, p = 0,002, Exp(B) = 1,001)  де қабыну маркері ретінде семіздік ықтималдығымен байланысты. Эритропоэтин (B = –0,021, p = 0,027, Exp(B) = 0,980) кері ассоциациясы семіздік кезінде оның деңгейінің төмендеуімен байланысты. Және СРА деңгейі (B = 0,580, p = 0,001, Exp(B) = 1,787) мен ИЛ-6 (B = 0,702, p = 0,001, Exp(B) = 2,018) жоғарылауы семіздік ықтималдығын арттырады.</w:t>
      </w:r>
    </w:p>
    <w:p w14:paraId="0DD37DF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Иық дистоциясы (B = 8,618, p = 0,003, Exp(B) = 5530,115) болуы семіздікпен айтарлықтай байланысты, бұл кейбір анамнездік және метаболикалық факторлармен байланысты болуы мүмкін. Анемия, ферритин және гестациялық диабет сияқты басқа предикторлар модельде семіздікке статистикалық маңызға ие әсер көрсетпеді. Бұл талдау қабыну маркерлерінің (ЭТЖ, сегменттік ядролы нейтрофилдер, СРА, ИЛ–6) және зат алмасу маркерлерінің (гемоглобин, гепсидин, ЭПО) семіздікпен байланыстағы маңызды рөлін көрсетеді. Бұл семіздіктің созылмалы қабыну процесімен және осы биомаркерлер деңгейлерінің өзгерістерімен байланысты екенін растайды. Модельдің жоғары болжамдық дәлдігі оны клиникалық қолдану және ерте диагностика үшін пайдалы құрал ретінде көрсетеді.</w:t>
      </w:r>
    </w:p>
    <w:p w14:paraId="0594D0F7">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ROC қисығының графигі (16–сурет) модельдің семіздікпен және семіздіксіз топтарды ажырату қабілетін көрсетеді. Қисық астындағы аумақ (AUC) 0,985–ке тең болды, бұл модельдің нәтижені болжаудағы жоғары дәлдігін көрсетеді. Бұл мән 1–ге жақын, модельдің жоғары сезімталдық пен ерекшелікке ие екенін білдіреді. Стандартты қате 0,008–ді құрады, бұл AUC бағасының төмен өзгергіштігін көрсетеді. Асимптотикалық p мәні &lt; 0,001, бұл нөлдік гипотезаны (AUC = 0,5) жоққа шығаруға мүмкіндік береді, яғни модельдің дискриминациялық қабілеті айтарлықтай маңызды екенін растайды. AUC үшін 95% сенімділік аралығы 0,970 – 1,000 арасында, бұл модельдің семіздікті болжаудағы сенімділігін қосымша растайды.</w:t>
      </w:r>
    </w:p>
    <w:p w14:paraId="392151D9">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4E4DBB90">
      <w:pPr>
        <w:widowControl w:val="0"/>
        <w:autoSpaceDE w:val="0"/>
        <w:autoSpaceDN w:val="0"/>
        <w:spacing w:after="0" w:line="276" w:lineRule="auto"/>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drawing>
          <wp:inline distT="0" distB="0" distL="0" distR="0">
            <wp:extent cx="4921885" cy="3648710"/>
            <wp:effectExtent l="0" t="0" r="12065" b="8890"/>
            <wp:docPr id="111" name="Рисунок 111" descr="C:\Users\kgmuuser\AppData\Local\Temp\ksohtml7396\wp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descr="C:\Users\kgmuuser\AppData\Local\Temp\ksohtml7396\wps2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921885" cy="3648710"/>
                    </a:xfrm>
                    <a:prstGeom prst="rect">
                      <a:avLst/>
                    </a:prstGeom>
                    <a:noFill/>
                    <a:ln>
                      <a:noFill/>
                    </a:ln>
                  </pic:spPr>
                </pic:pic>
              </a:graphicData>
            </a:graphic>
          </wp:inline>
        </w:drawing>
      </w:r>
      <w:r>
        <w:rPr>
          <w:rFonts w:ascii="Times New Roman" w:hAnsi="Times New Roman" w:eastAsia="Times New Roman" w:cs="Times New Roman"/>
          <w:bCs/>
          <w:sz w:val="28"/>
          <w:szCs w:val="28"/>
          <w:lang w:eastAsia="ru-RU"/>
        </w:rPr>
        <w:t xml:space="preserve"> </w:t>
      </w:r>
    </w:p>
    <w:p w14:paraId="172152F7">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7478846D">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Сурет–16. ROC қисығы (тәуелді айнымалы – семіздік)</w:t>
      </w:r>
    </w:p>
    <w:p w14:paraId="4E7D3A5D">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 xml:space="preserve"> </w:t>
      </w:r>
    </w:p>
    <w:p w14:paraId="3534E9DD">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Бұл нәтиже модельдің жоғары болжамдық құндылығы бар екенін және оны семіздік диагнозы мен пациенттерді классификациялау үшін тиімді қолдануға болатынын растайды.</w:t>
      </w:r>
    </w:p>
    <w:p w14:paraId="49FC823A">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ROC қисықтарын талдау нәтижесінде (17–сурет) негізгі маркерлер үшін AUC келесі көрсеткіштері алынды:</w:t>
      </w:r>
    </w:p>
    <w:p w14:paraId="771CB4B9">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Гепсидин (AUC = 0,728, p &lt; 0,001, 95% CI: 0,653–0,804): Гепсидин үшін қисық астындағы аумақ 0,728, бұл оның оң және теріс жағдайдағы топтарды ажыратудағы жоғары болжамдық қабілетін көрсетеді. Довериялық интервалдың 0,5 мәнін қамтымауы және 0,001 деңгейінде маңыздылығы бұл нәтижені сенімді етеді.</w:t>
      </w:r>
    </w:p>
    <w:p w14:paraId="234E0C4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Эритропоэтин (AUC = 0,417, p = 0,065, 95% CI: 0,331–0,504) үшін қисық астындағы аумақ 0,417, бұл 0,5 шектік мәннен төмен. Бұл ЭПО–ның осы модельде болжамдық қабілетінің жоқтығын және топтарды ажыратуда маркер ретінде маңыздылығының төмен екенін көрсетеді. Довериялық интервалдың 0,5 мәніне жақындығы статистикалық маңыздылықтың жоқтығын растайды.</w:t>
      </w:r>
    </w:p>
    <w:p w14:paraId="0438D496">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13403019">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highlight w:val="yellow"/>
          <w:lang w:eastAsia="ru-RU"/>
        </w:rPr>
      </w:pPr>
      <w:r>
        <w:rPr>
          <w:rFonts w:ascii="Times New Roman" w:hAnsi="Times New Roman" w:eastAsia="Times New Roman" w:cs="Times New Roman"/>
          <w:sz w:val="28"/>
          <w:szCs w:val="28"/>
          <w:lang w:eastAsia="ru-RU"/>
        </w:rPr>
        <w:drawing>
          <wp:inline distT="0" distB="0" distL="0" distR="0">
            <wp:extent cx="5470525" cy="4158615"/>
            <wp:effectExtent l="0" t="0" r="15875" b="13335"/>
            <wp:docPr id="112" name="Рисунок 112" descr="C:\Users\kgmuuser\AppData\Local\Temp\ksohtml7396\wp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descr="C:\Users\kgmuuser\AppData\Local\Temp\ksohtml7396\wps2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470525" cy="4158615"/>
                    </a:xfrm>
                    <a:prstGeom prst="rect">
                      <a:avLst/>
                    </a:prstGeom>
                    <a:noFill/>
                    <a:ln>
                      <a:noFill/>
                    </a:ln>
                  </pic:spPr>
                </pic:pic>
              </a:graphicData>
            </a:graphic>
          </wp:inline>
        </w:drawing>
      </w:r>
    </w:p>
    <w:p w14:paraId="2081EC00">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33478954">
      <w:pPr>
        <w:widowControl w:val="0"/>
        <w:autoSpaceDE w:val="0"/>
        <w:autoSpaceDN w:val="0"/>
        <w:spacing w:after="0" w:line="276" w:lineRule="auto"/>
        <w:ind w:firstLine="709"/>
        <w:jc w:val="both"/>
        <w:outlineLvl w:val="0"/>
        <w:rPr>
          <w:rFonts w:ascii="Times New Roman" w:hAnsi="Times New Roman" w:eastAsia="Times New Roman" w:cs="Times New Roman"/>
          <w:bCs/>
          <w:i/>
          <w:sz w:val="28"/>
          <w:szCs w:val="28"/>
          <w:lang w:eastAsia="ru-RU"/>
        </w:rPr>
      </w:pPr>
      <w:r>
        <w:rPr>
          <w:rFonts w:ascii="Times New Roman" w:hAnsi="Times New Roman" w:eastAsia="Times New Roman" w:cs="Times New Roman"/>
          <w:bCs/>
          <w:iCs/>
          <w:sz w:val="28"/>
          <w:szCs w:val="28"/>
          <w:lang w:eastAsia="ru-RU"/>
        </w:rPr>
        <w:t>Сурет – 17. ROC қисығы негізгі маркерлер бойынша (тәуелді айнымалы – семіздік</w:t>
      </w:r>
      <w:r>
        <w:rPr>
          <w:rFonts w:ascii="Times New Roman" w:hAnsi="Times New Roman" w:eastAsia="Times New Roman" w:cs="Times New Roman"/>
          <w:bCs/>
          <w:i/>
          <w:sz w:val="28"/>
          <w:szCs w:val="28"/>
          <w:lang w:eastAsia="ru-RU"/>
        </w:rPr>
        <w:t>)</w:t>
      </w:r>
    </w:p>
    <w:p w14:paraId="5A6C2060">
      <w:pPr>
        <w:widowControl w:val="0"/>
        <w:autoSpaceDE w:val="0"/>
        <w:autoSpaceDN w:val="0"/>
        <w:spacing w:after="0" w:line="276" w:lineRule="auto"/>
        <w:ind w:firstLine="709"/>
        <w:jc w:val="both"/>
        <w:outlineLvl w:val="0"/>
        <w:rPr>
          <w:rFonts w:ascii="Times New Roman" w:hAnsi="Times New Roman" w:eastAsia="Times New Roman" w:cs="Times New Roman"/>
          <w:bCs/>
          <w:i/>
          <w:sz w:val="28"/>
          <w:szCs w:val="28"/>
          <w:lang w:eastAsia="ru-RU"/>
        </w:rPr>
      </w:pPr>
      <w:r>
        <w:rPr>
          <w:rFonts w:ascii="Times New Roman" w:hAnsi="Times New Roman" w:eastAsia="Times New Roman" w:cs="Times New Roman"/>
          <w:bCs/>
          <w:i/>
          <w:sz w:val="28"/>
          <w:szCs w:val="28"/>
          <w:lang w:eastAsia="ru-RU"/>
        </w:rPr>
        <w:t xml:space="preserve"> </w:t>
      </w:r>
    </w:p>
    <w:p w14:paraId="0122D9F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СРА (AUC = 0,756, p &lt; 0,001, 95% CI: 0,684–0,829) үшін қисық астындағы аумақ 0,756, бұл маркердің жақсы болжамдық қабілетін көрсетеді. Статистикалық маңызды нәтиже (p &lt; 0,001) және 0,5–тен жоғары 95% сенімділік интервал бұл маркердің болжамдағы маңыздылығын растайды.</w:t>
      </w:r>
    </w:p>
    <w:p w14:paraId="310FCEF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ИЛ–6 (AUC = 0,817, p &lt; 0,001, 95% CI: 0,753–0,881) ең жоғары нәтижелерді көрсетті, AUC мәні 0,817–ге тең, бұл оның болжамдық қабілетінің жоғары екенін білдіреді. 0,5–тен едәуір жоғары сенімділік интервал оның статистикалық маңыздылығы мен сенімділігін растайды.</w:t>
      </w:r>
    </w:p>
    <w:p w14:paraId="4682A59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drawing>
          <wp:inline distT="0" distB="0" distL="0" distR="0">
            <wp:extent cx="13970" cy="13970"/>
            <wp:effectExtent l="0" t="0" r="0" b="0"/>
            <wp:docPr id="113" name="Рисунок 113" descr="C:\Users\kgmuuser\AppData\Local\Temp\ksohtml7396\wp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C:\Users\kgmuuser\AppData\Local\Temp\ksohtml7396\wps2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3970" cy="13970"/>
                    </a:xfrm>
                    <a:prstGeom prst="rect">
                      <a:avLst/>
                    </a:prstGeom>
                    <a:noFill/>
                    <a:ln>
                      <a:noFill/>
                    </a:ln>
                  </pic:spPr>
                </pic:pic>
              </a:graphicData>
            </a:graphic>
          </wp:inline>
        </w:drawing>
      </w:r>
      <w:r>
        <w:rPr>
          <w:rFonts w:ascii="Times New Roman" w:hAnsi="Times New Roman" w:eastAsia="Times New Roman" w:cs="Times New Roman"/>
          <w:bCs/>
          <w:sz w:val="28"/>
          <w:szCs w:val="28"/>
          <w:lang w:eastAsia="ru-RU"/>
        </w:rPr>
        <w:t>Аталған предикторлар ішінде ИЛ–6 және СРА ең жоғары болжамдық қабілетті көрсетіп, AUC мәндері 0,7–ден едәуір жоғары болып, оң жағдайдағы топтарды анықтауда маңызды рөл атқаратынын көрсетті. Гепсидин де жоғары болжамдық қабілетті көрсетті, бірақ ИЛ–6 және СРА көрсеткіштерінен сәл төмен. ЭПО керісінше, айтарлықтай ажырату қабілетін көрсетпеді және бұл контексте пайдалы предиктор болмауы мүмкін.</w:t>
      </w:r>
    </w:p>
    <w:p w14:paraId="1D17F72D">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3B723CA2">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288CF10A">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bCs/>
          <w:sz w:val="28"/>
          <w:szCs w:val="28"/>
          <w:lang w:eastAsia="ru-RU"/>
        </w:rPr>
        <w:t xml:space="preserve">3.8 </w:t>
      </w:r>
      <w:r>
        <w:rPr>
          <w:rFonts w:ascii="Times New Roman" w:hAnsi="Times New Roman" w:eastAsia="Times New Roman" w:cs="Times New Roman"/>
          <w:b/>
          <w:sz w:val="28"/>
          <w:szCs w:val="28"/>
          <w:lang w:eastAsia="ru-RU"/>
        </w:rPr>
        <w:t>Анемия ықтималдығына әсер ететін предикторларды анықтау: логистикалық регрессия нәтижелері және модельдің прогностикалық сапасын бағалау</w:t>
      </w:r>
    </w:p>
    <w:p w14:paraId="4207CC79">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403C0E8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Логистикалық регрессия анализі анемия ықтималдығына әсер ететін әртүрлі предикторлардың статистикалық маңызды көрсеткіштерін анықталды. Модельдің хи–квадрат мәні 81,425 болды, еркіндік дәрежесі 7 және маңыздылығы p &lt; 0,001, бұл модельдің деректерге жақсы сәйкес келетінін көрсетеді. Псевдо–R–квадрат көрсеткіштері Кокс–Снелл R–квадраты үшін 0,386, ал Нэйджелкерка R–квадраты үшін 0,516 мәндеріне тең болды. Бұл модельдің тәуелді айнымалының (анемияның) вариациясын шамамен 51,6%–ға түсіндіретінін білдіреді. Хосмер–Лемешов тесті бойынша болжанған және бақылаудағы мәндер арасында айтарлықтай айырмашылық жоқ (Хи–квадрат = 13,125, p = 0,108), бұл модельдің деректермен жақсы үйлесетінін растайды. Модельдің бақылауларды классификациялаудағы дәлдігі 77,8%–ды құрады. Анемиясы жоқ жағдайларды дұрыс анықтау ықтималдығы 83,5%, ал анемиямен байланысты жағдайларды дұрыс анықтау 71,1% болды.</w:t>
      </w:r>
    </w:p>
    <w:p w14:paraId="5B054ED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Жекелеген предикторлардың әсері: гепсидин коэффициенті 0,002 (p &lt; 0,001), бұл анемиямен оң және статистикалық маңызды ассоциация бар екенін көрсетеді. Exp(B) = 1,003, яғни гепсидин деңгейінің бір бірлікке артуы анемия ықтималдығын 0,3%–ға арттырады, ДСИ коэффициенті –0,167 (p = 0,029), Exp(B) = 0,846, бұл ДСИ мен анемия арасында теріс байланыс бар екенін көрсетеді — ДСИ артқан сайын анемия ықтималдығы азаяды. СРА коэффициенті –0,126 (p = 0,032), Exp(B) = 0,882, бұл СРА деңгейінің жоғарылауы анемия ықтималдығының төмендеуімен байланысты екенін көрсетеді. ИЛ–6 коэффициенті 0,255 (p = 0,002), Exp(B) = 1,291, бұл анемиямен маңызды оң байланысты көрсетеді. ИЛ–6 деңгейінің бір бірлікке жоғарылауы анемия ықтималдығын 29,1%–ға арттырады.</w:t>
      </w:r>
    </w:p>
    <w:p w14:paraId="75AD8D9A">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Басқа предикторлар (p &gt; 0,05) анемия ықтималдығына статистикалық маңызды әсер көрсетпеді. Нәтижелер гепсидин мен ИЛ–6 деңгейлерінің анемияның маңызды предикторлары екенін, ал СРА және ДСИ анемиямен теріс байланысты екенін көрсетті. Бұл нәтижелер анемияның қабыну және метаболизм процестерімен байланысын растайды, мұнда гепсидин мен ИЛ–6 маңызды рөл атқарады. Прогностикалық модельдің сапасын бағалау үшін (18–сурет) ROC қисығының астындағы аумақ, стандартты қате, маңыздылық деңгейі және сенімділік интервалы сияқты параметрлер талданды.</w:t>
      </w:r>
    </w:p>
    <w:p w14:paraId="1E1E397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Бұл көрсеткіштер модельдің классификациялау қабілетін және шынайы деректер жағдайында болжамдық қуатын объективті бағалауға мүмкіндік береді. AUC және сәйкес статистикалық мәндерді талдау нәтижелері модельдің жоғары дәлдігі мен сенімділігін көрсетеді, бұл келесі мәліметтермен расталады. </w:t>
      </w:r>
    </w:p>
    <w:p w14:paraId="088E7E7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5D976477">
      <w:pPr>
        <w:widowControl w:val="0"/>
        <w:autoSpaceDE w:val="0"/>
        <w:autoSpaceDN w:val="0"/>
        <w:spacing w:after="0" w:line="276" w:lineRule="auto"/>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drawing>
          <wp:inline distT="0" distB="0" distL="0" distR="0">
            <wp:extent cx="5621655" cy="4272280"/>
            <wp:effectExtent l="0" t="0" r="17145" b="13970"/>
            <wp:docPr id="114" name="Рисунок 114" descr="C:\Users\kgmuuser\AppData\Local\Temp\ksohtml7396\wp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descr="C:\Users\kgmuuser\AppData\Local\Temp\ksohtml7396\wps3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621655" cy="4272280"/>
                    </a:xfrm>
                    <a:prstGeom prst="rect">
                      <a:avLst/>
                    </a:prstGeom>
                    <a:noFill/>
                    <a:ln>
                      <a:noFill/>
                    </a:ln>
                  </pic:spPr>
                </pic:pic>
              </a:graphicData>
            </a:graphic>
          </wp:inline>
        </w:drawing>
      </w:r>
      <w:r>
        <w:rPr>
          <w:rFonts w:ascii="Times New Roman" w:hAnsi="Times New Roman" w:eastAsia="Times New Roman" w:cs="Times New Roman"/>
          <w:bCs/>
          <w:sz w:val="28"/>
          <w:szCs w:val="28"/>
          <w:lang w:eastAsia="ru-RU"/>
        </w:rPr>
        <w:t xml:space="preserve"> </w:t>
      </w:r>
    </w:p>
    <w:p w14:paraId="13F60805">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609E52AC">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Сурет – 18. ROC қисығы (тәуелді айнымалы – анемия)</w:t>
      </w:r>
    </w:p>
    <w:p w14:paraId="34D68CCB">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 xml:space="preserve"> </w:t>
      </w:r>
    </w:p>
    <w:p w14:paraId="25E40856">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дәлдігі мен сенімділігін көрсетеді, бұл келесі мәліметтермен расталады. AUC мәні 0,864–ке тең, бұл модельдің оң және теріс нәтижелерді ажыратудағы жақсы қабілетін көрсетеді. AUC стандартты қатесі 0,028, бұл алынған бағалаудың тұрақтылығын көрсетеді. p–мәні 0,000, бұл модельдің статистикалық маңызды екенін білдіреді (p &lt; 0,001). AUC үшін 95% сенімділік интервал 0,810–нан 0,918–ге дейінгі диапазонда, бұл модельдің нәтижелерді болжауда жоғары дәлдік пен сенімділікке ие екенін растайды. Жалпы, жоғары маңыздылық деңгейі (p &lt; 0,001) және 0,8–ден жоғары AUC мәні модельдің күшті болжамдық қабілетке ие екенін және клиникалық маңызды нәтижелерді болжау үшін пайдалы болуы мүмкін екенін көрсетеді.</w:t>
      </w:r>
    </w:p>
    <w:p w14:paraId="382094BF">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Диагностикалық предикторлардың сапасын бағалау үшін (19–сурет) Гепсидин, ЭПО, СРА, ИЛ–6 және Ферритин маркерлеріне арналған ROC қисықтары тұрғызылды.</w:t>
      </w:r>
    </w:p>
    <w:p w14:paraId="54F7447E">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2D0B7F33">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drawing>
          <wp:inline distT="0" distB="0" distL="0" distR="0">
            <wp:extent cx="5527675" cy="4128770"/>
            <wp:effectExtent l="0" t="0" r="0" b="5080"/>
            <wp:docPr id="115" name="Рисунок 115" descr="C:\Users\kgmuuser\AppData\Local\Temp\ksohtml7396\wp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C:\Users\kgmuuser\AppData\Local\Temp\ksohtml7396\wps3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527675" cy="4128770"/>
                    </a:xfrm>
                    <a:prstGeom prst="rect">
                      <a:avLst/>
                    </a:prstGeom>
                    <a:noFill/>
                    <a:ln>
                      <a:noFill/>
                    </a:ln>
                  </pic:spPr>
                </pic:pic>
              </a:graphicData>
            </a:graphic>
          </wp:inline>
        </w:drawing>
      </w:r>
    </w:p>
    <w:p w14:paraId="2D1B90CF">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158F2167">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Сурет – 19. ROC қисығы негізгі маркерлер бойынша (тәуелді айнымалы – анемия)</w:t>
      </w:r>
    </w:p>
    <w:p w14:paraId="2F013BD8">
      <w:pPr>
        <w:widowControl w:val="0"/>
        <w:autoSpaceDE w:val="0"/>
        <w:autoSpaceDN w:val="0"/>
        <w:spacing w:after="0" w:line="276" w:lineRule="auto"/>
        <w:ind w:firstLine="709"/>
        <w:jc w:val="both"/>
        <w:outlineLvl w:val="0"/>
        <w:rPr>
          <w:rFonts w:ascii="Times New Roman" w:hAnsi="Times New Roman" w:eastAsia="Times New Roman" w:cs="Times New Roman"/>
          <w:bCs/>
          <w:i/>
          <w:sz w:val="28"/>
          <w:szCs w:val="28"/>
          <w:lang w:eastAsia="ru-RU"/>
        </w:rPr>
      </w:pPr>
      <w:r>
        <w:rPr>
          <w:rFonts w:ascii="Times New Roman" w:hAnsi="Times New Roman" w:eastAsia="Times New Roman" w:cs="Times New Roman"/>
          <w:bCs/>
          <w:i/>
          <w:sz w:val="28"/>
          <w:szCs w:val="28"/>
          <w:lang w:eastAsia="ru-RU"/>
        </w:rPr>
        <w:t xml:space="preserve"> </w:t>
      </w:r>
    </w:p>
    <w:p w14:paraId="5D6195A0">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ROC қисығы әрбір маркердің сезімталдығы мен ерекшелігін көрсетеді, бұл олардың анемияны болжау мүмкіндігін бағалауға көмектеседі. Әрбір маркер үшін ROC қисығының астындағы аумақ мәндері: Гепсидин: AUC = 0,710 (стандартты қате = 0,045, 95% CI = 0,622–0,798, p &lt; 0,001), бұл маркердің орташа болжамдық қабілетін көрсетеді. ЭПО: AUC = 0,507 (стандартты қате = 0,047, 95% CI = 0,416–0,598, p = 0,875), бұл оның елеулі болжамдық қабілетінің жоқтығын білдіреді. СРА: AUC = 0,357 (стандартты қате = 0,044, 95% CI = 0,272–0,443, p = 0,002), бұл маркердің төмен болжамдық мәнге ие екенін көрсетеді. ИЛ–6: AUC = 0,525 (стандартты қате = 0,045, 95% CI = 0,436–0,614, p = 0,582), бұл маркер де статистикалық маңызды болжамдық фактор болып табылмайды. Ферритин: AUC = 0,340 (стандартты қате = 0,043, 95% CI = 0,255–0,424, p &lt; 0,001), бұл маркердің де төмен болжамдық құндылыққа ие екенін көрсетеді.</w:t>
      </w:r>
    </w:p>
    <w:p w14:paraId="03B5F1E5">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AUC мәндеріне негізделген қорытынды: гепсидин маркері орташа диагностикалық қабілетке ие екенін көрсеткенімен, басқа маркерлер, соның ішінде СРА және ферритин, төмен немесе статистикалық маңызды болжамдық қабілетке ие емес. Сондықтан барлық предикторларды бір уақытта қолданатын логистикалық модель жеке маркерлерді талдаудан жоғарырақ дәлдікке қол жеткізе алады, себебі ол факторлар арасындағы күрделі өзара әрекеттерді ескереді.</w:t>
      </w:r>
    </w:p>
    <w:p w14:paraId="760D9EB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Жүкті әйелдердегі семіздік пен анемияның маңызы: семіздік және анемия мәселелері акушерлік және гинекологиялық тәжірибеде ғана емес, бүкіл әлем бойынша өзекті болып табылады. Жүктілік кезіндегі семіздік қолайсыз нәтижелерге, кесарь тілігінің арту қаупіне және жаңа туған нәрестелерді қарқынды терапия бөлімшесіне жиі жіберуге әкеледі. Семіздік жиі темір тапшылығы анемиясына әкеледі, және бұл мәселе көптеген зерттеулерге қарамастан, әлі де толық шешілмеген.</w:t>
      </w:r>
    </w:p>
    <w:p w14:paraId="038E484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Осыған дейін айтып өткендей семіздік те, анемия да акушерлік және гинекологияда ғана емес барлық сала бойынша, және әлемдік мәселелелерді туғызған шешімді қажет ететін патологиялар болып табылады. Жүктілік кезіндегі семіздік жүктіліктің қолайсыз нәтижелерімен байланысты [185], сонымен қатар кесір тілігі арқылы босану қаупінің жоғарылауымен және жаңа туған нәрестелердің қарқынды терапиясына түсудің жоғарылауымен [186, 187]. Бұл күрделі салдарлар және олардың денсаулыққа байланысты шығындары осы жаһандық проблеманы одан әрі зерттеуді талап етеді [188].</w:t>
      </w:r>
    </w:p>
    <w:p w14:paraId="0478241D">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100E2F39">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3.9 Жүктілікке дейінгі семіздік және оның анемияның дамуына әсері: патогенез механизмінің сипаттамасын көрсететін алгоритм</w:t>
      </w:r>
    </w:p>
    <w:p w14:paraId="0B366A83">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41A0DE09">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Жүктілікке дейінгі семіздік күрделі патологиялық процестердің дамуына ықпал етеді, олардың ішінде темір алмасуының бұзылуы мен анемияның дамуы маңызды орын алады. Біздің зерттеу нәтижелеріміз семіздіктің жүктілік кезінде анемияның патогенезіне тікелей әсер ететін бірнеше негізгі механизмдерін анықтады. Жүргізілген зерттеулер негізінде жүктілікке дейінгі семіздік пен анемияның дамуындағы патогенетикалық механизмдердің алгоритмі (cурет-20) ұсынылды. Алгоритм семіздікке тән қабыну процестері мен темір метаболизміндегі өзгерістердің өзара байланысын көрсетеді.</w:t>
      </w:r>
    </w:p>
    <w:p w14:paraId="5372CCD2">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Семіздіктен туындаған қабыну процестері: Жүктілікке дейінгі семіздік жағдайында май тіндерінің шамадан тыс жинақталуы ИЛ-6 және СРА сияқты қабыну медиаторларының деңгейін арттыратыны анықталды (ИЛ-6: r=0.561, p&lt;0.01; СРА: r=0.394, p&lt;0.01). Бұл қабыну процесі организмдегі гепсидин деңгейінің жоғарылауын ынталандырады (r=0.318, p&lt;0.01). Гепсидиннің жоғары деңгейі (Ме=1786,59 [Q1: 1510,64 – Q3: 1940,43], p&lt;0.001) темірдің ішек арқылы сіңірілуін және оның қоймалардан (ферритин) босатылуын тежейді. Бұл ферритин деңгейінің төмендеуімен қатар жүреді (Ме=8,49 [Q1: 4,56 – Q3: 13,19], p&lt;0.05). Зерттеу барысында гепсидин мен ферритин деңгейлері арасындағы теріс корреляция анықталды (r=–0.176, p&lt;0.05), бұл темір тапшылығының даму ықтималдығын арттырады. ТТ эритропоэтин синтезінің төмендеуіне (Ме=51,04 [Q1: 30,87 – Q3: 110,92], p&lt;0.05) және эритроциттердің түзілуінің азаюына алып келеді. Бұл гемоглобин деңгейінің айтарлықтай төмендеуін туындатады (Ме=102.3 [Q1: 90,1 – Q3: 115.8], p&lt;0.001) және анемияның клиникалық белгілерімен көрінеді.</w:t>
      </w:r>
    </w:p>
    <w:p w14:paraId="76286E0D">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0812D9CB">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p>
    <w:p w14:paraId="5639F7F8">
      <w:pPr>
        <w:widowControl w:val="0"/>
        <w:autoSpaceDE w:val="0"/>
        <w:autoSpaceDN w:val="0"/>
        <w:spacing w:after="0" w:line="276" w:lineRule="auto"/>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sz w:val="28"/>
          <w:szCs w:val="28"/>
          <w:lang w:eastAsia="ru-RU"/>
        </w:rPr>
        <w:drawing>
          <wp:inline distT="0" distB="0" distL="0" distR="0">
            <wp:extent cx="5561330" cy="6373495"/>
            <wp:effectExtent l="0" t="0" r="1270" b="8255"/>
            <wp:docPr id="117" name="Рисунок 117" descr="C:\Users\kgmuuser\AppData\Local\Temp\ksohtml7396\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C:\Users\kgmuuser\AppData\Local\Temp\ksohtml7396\wps3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561330" cy="6373495"/>
                    </a:xfrm>
                    <a:prstGeom prst="rect">
                      <a:avLst/>
                    </a:prstGeom>
                    <a:noFill/>
                    <a:ln>
                      <a:noFill/>
                    </a:ln>
                  </pic:spPr>
                </pic:pic>
              </a:graphicData>
            </a:graphic>
          </wp:inline>
        </w:drawing>
      </w:r>
    </w:p>
    <w:p w14:paraId="08EAB9EB">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2FEB112A">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67FE32DA">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r>
        <w:rPr>
          <w:rFonts w:ascii="Times New Roman" w:hAnsi="Times New Roman" w:eastAsia="Times New Roman" w:cs="Times New Roman"/>
          <w:bCs/>
          <w:iCs/>
          <w:sz w:val="28"/>
          <w:szCs w:val="28"/>
          <w:lang w:eastAsia="ru-RU"/>
        </w:rPr>
        <w:t>Сурет – 20. Жүктілікке дейінгі семіздік және оның анемияның дамуына әсері: патогенетикалық механизм алгоритмі</w:t>
      </w:r>
    </w:p>
    <w:p w14:paraId="1DF1B0AF">
      <w:pPr>
        <w:widowControl w:val="0"/>
        <w:autoSpaceDE w:val="0"/>
        <w:autoSpaceDN w:val="0"/>
        <w:spacing w:after="0" w:line="276" w:lineRule="auto"/>
        <w:ind w:firstLine="709"/>
        <w:jc w:val="both"/>
        <w:outlineLvl w:val="0"/>
        <w:rPr>
          <w:rFonts w:ascii="Times New Roman" w:hAnsi="Times New Roman" w:eastAsia="Times New Roman" w:cs="Times New Roman"/>
          <w:bCs/>
          <w:iCs/>
          <w:sz w:val="28"/>
          <w:szCs w:val="28"/>
          <w:lang w:eastAsia="ru-RU"/>
        </w:rPr>
      </w:pPr>
    </w:p>
    <w:p w14:paraId="5C13FB1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Семіздік пен анемияның қатар болуы жүкті әйелдердегі асқынулар санын арттырады. Зерттеу нәтижелері осы патологиялық механизмдердің перинаталдық және ананың денсаулығына теріс әсер ететінін көрсетті.</w:t>
      </w:r>
    </w:p>
    <w:p w14:paraId="0594B98A">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Cs/>
          <w:sz w:val="28"/>
          <w:szCs w:val="28"/>
          <w:lang w:eastAsia="ru-RU"/>
        </w:rPr>
        <w:t>Жүктілікке дейінгі семіздік анемияның патогенезінде маңызды рөл атқаратыны зерттеу нәтижелерімен дәлелденді. Темір алмасуының бұзылуы, қабыну процестерінің белсенділігі және гемопоэздің тежелуі бұл процестің негізгі патогенетикалық механизмдері болып табылады. Осы механизмдерге негізделген профилактикалық шаралар мен емдік тәсілдерді жетілдіру перинаталдық нәтижелерді жақсартуға мүмкіндік береді.</w:t>
      </w:r>
    </w:p>
    <w:p w14:paraId="359E933D">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1F83562A">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0C8D5C48">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2619F386">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4CA02C74">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37D630A3">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2F14B688">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48AB46AA">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6DC2B7A1">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620B8D74">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703E7F9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28B2C07E">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6C8F716B">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55FF194B">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367A432A">
      <w:pPr>
        <w:widowControl w:val="0"/>
        <w:autoSpaceDE w:val="0"/>
        <w:autoSpaceDN w:val="0"/>
        <w:spacing w:after="0" w:line="276" w:lineRule="auto"/>
        <w:ind w:firstLine="709"/>
        <w:jc w:val="both"/>
        <w:outlineLvl w:val="0"/>
        <w:rPr>
          <w:rFonts w:ascii="Times New Roman" w:hAnsi="Times New Roman" w:eastAsia="Times New Roman" w:cs="Times New Roman"/>
          <w:iCs/>
          <w:sz w:val="28"/>
          <w:szCs w:val="28"/>
          <w:lang w:eastAsia="ru-RU"/>
        </w:rPr>
      </w:pPr>
    </w:p>
    <w:p w14:paraId="0B6F71D6">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4D6ECE79">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2EF3C67C">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5912444F">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2CD36C8F">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45F865F7">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656CA186">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137D87FF">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51D6EDD8">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3D6F57C1">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73864A3F">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01DB4981">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549F7BA8">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0557B2CE">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sz w:val="28"/>
          <w:szCs w:val="28"/>
          <w:lang w:eastAsia="ru-RU"/>
        </w:rPr>
        <w:drawing>
          <wp:inline distT="0" distB="0" distL="0" distR="0">
            <wp:extent cx="13970" cy="13970"/>
            <wp:effectExtent l="0" t="0" r="0" b="0"/>
            <wp:docPr id="118" name="Рисунок 118" descr="C:\Users\kgmuuser\AppData\Local\Temp\ksohtml7396\wp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C:\Users\kgmuuser\AppData\Local\Temp\ksohtml7396\wps3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3970" cy="13970"/>
                    </a:xfrm>
                    <a:prstGeom prst="rect">
                      <a:avLst/>
                    </a:prstGeom>
                    <a:noFill/>
                    <a:ln>
                      <a:noFill/>
                    </a:ln>
                  </pic:spPr>
                </pic:pic>
              </a:graphicData>
            </a:graphic>
          </wp:inline>
        </w:drawing>
      </w:r>
      <w:r>
        <w:rPr>
          <w:rFonts w:ascii="Times New Roman" w:hAnsi="Times New Roman" w:eastAsia="Times New Roman" w:cs="Times New Roman"/>
          <w:b/>
          <w:bCs/>
          <w:sz w:val="28"/>
          <w:szCs w:val="28"/>
          <w:lang w:eastAsia="ru-RU"/>
        </w:rPr>
        <w:t xml:space="preserve">                                            ҚОРЫТЫНДЫ</w:t>
      </w:r>
    </w:p>
    <w:p w14:paraId="107339FE">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2F847EBF">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Жүктілікке дейінгі семіздік жүкті әйелдер арасында қысқа және ұзақ мерзімді асқынулардың жиілігін арттырып, маңызды акушерлік асқынуларға, соның ішінде мерзімінен бұрын босану, ірі ұрықтың тууы, преэклампсия, гестациялық қант диабеті, гипертензия, кесарь тілігі және босанғаннан кейінгі эндометрит сияқты жағдайларға әкелетіні анықталды [189]. Сонымен қатар, семіздік жүктілік кезінде анемияның дамуына ықпал ететін негізгі факторлардың бірі болып табылады. Жүктілік кезінде айналымдағы қан көлемінің ұлғаюы гемоглобин деңгейінің салыстырмалы төмендеуіне әкеледі. Ұрықтың өсуімен бірге ағзадағы темірге деген қажеттілік те артады.</w:t>
      </w:r>
    </w:p>
    <w:p w14:paraId="08FF2514">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Семіздік пен анемияның жүкті әйелдерде бір уақытта кездесуі асқынулар санын көбейтіп, жаһандық денсаулық сақтау жүйесіне елеулі әсерін тигізуде. Семіздік те, анемия да күрделі патологиялық жағдайлар ретінде қарастырылады. Уақтылы профилактикалық шаралар қабылданбаса, бұл жағдай ұрықтың жүйке түтігінің ақаулары, босану кезіндегі асфиксия, жарақаттар және неонатальды гипогликемия сияқты асқынуларға алып келуі мүмкін [190, 191]. Анадағы анемия нәрестенің төмен салмақта тууы, мерзімінен бұрын босану және перинаталдық өлім-жітімнің жоғарылауына ықпал етеді [192, 193]. Осы диссертациялық жұмыста жүктілікке дейінгі семіздіктің анемия дамуына ықпал ететін фактор ретіндегі рөлі жан-жақты зерттелді. Зерттеу барысында қабыну және темір метаболизмінің маркерлерінің (ИЛ–6, СРА, гепсидин, ферритин және </w:t>
      </w:r>
      <w:r>
        <w:rPr>
          <w:rFonts w:ascii="Times New Roman" w:hAnsi="Times New Roman" w:eastAsia="Times New Roman" w:cs="Times New Roman"/>
          <w:bCs/>
          <w:sz w:val="28"/>
          <w:szCs w:val="28"/>
          <w:lang w:val="kk-KZ" w:eastAsia="ru-RU"/>
        </w:rPr>
        <w:t>ЭПО</w:t>
      </w:r>
      <w:r>
        <w:rPr>
          <w:rFonts w:ascii="Times New Roman" w:hAnsi="Times New Roman" w:eastAsia="Times New Roman" w:cs="Times New Roman"/>
          <w:bCs/>
          <w:sz w:val="28"/>
          <w:szCs w:val="28"/>
          <w:lang w:eastAsia="ru-RU"/>
        </w:rPr>
        <w:t>) деңгейлері талданып, олардың анемия патогенезіне әсері анықталды. Жұмыс аясында қойылған барлық мақсаттар мен міндеттер орындалды, нәтижесінде семіздік пен анемия арасындағы өзара байланыс туралы жаңа ғылыми деректер алынды.</w:t>
      </w:r>
    </w:p>
    <w:p w14:paraId="3F3E32E1">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Зерттеу нәтижелері қабыну процестерінің артуы, метаболикалық және коагуляциялық жүйелердегі өзгерістер арқылы сипатталатын ерекшеліктерді көрсетті. Семіздігі бар жүкті әйелдерде ЭТЖ деңгейінің (р&lt;0,001; Ме = 38,0 [Q1: 33,0 – Q3: 39,0]), таяқша ядролы нейтрофилдердің (р&lt;0,001; Ме = 7,0 [Q1: 6,0 – Q3: 9,0]) және эозинофилдердің (р=0,015; Ме = 3,0 [Q1: 2,0 – Q3: 4,0]) жоғарылауы қабыну процестерінің белсенділігін растады. Сонымен қатар, лимфоциттер деңгейінің төмендеуі (р=0,019; Ме = 15,0 [Q1: 10,0 – Q3: 19,0]) иммундық реттелу бұзылысының көрсеткіші ретінде қарастырылды, бұл семіздікке байланысты төмен қарқынды қабынудың бар екенін дәлелдейді [177, 183]. Метаболикалық өзгерістерге жалпы ақуыздың (р=0,002; Ме = 60,0 [Q1: 58,0 – Q3: 63,0]) төмендеуі, зәр қышқылының жоғарылауы (р=0,019; Ме = 3,85 [Q1: 3,7 – Q3: 4,3]) және бауыр ферменттерінің төмендеуі (тура билирубин, р=0,026; АСТ, р=0,002) жатады. Бұл деректер семіздік пен анемияның метаболизмге теріс әсерін көрсетеді [117, 122]. Коагуляциялық жүйеде протромбин индексінің шамалы жоғарылауы (р=0,039; Ме = 97,5 [Q1: 95,0 – Q3: 98,0]) анықталса да, ХҚҚ, </w:t>
      </w:r>
      <w:r>
        <w:rPr>
          <w:rFonts w:ascii="Times New Roman" w:hAnsi="Times New Roman" w:eastAsia="Times New Roman" w:cs="Times New Roman"/>
          <w:bCs/>
          <w:sz w:val="28"/>
          <w:szCs w:val="28"/>
          <w:lang w:val="kk-KZ" w:eastAsia="ru-RU"/>
        </w:rPr>
        <w:t>БЖТУ</w:t>
      </w:r>
      <w:r>
        <w:rPr>
          <w:rFonts w:ascii="Times New Roman" w:hAnsi="Times New Roman" w:eastAsia="Times New Roman" w:cs="Times New Roman"/>
          <w:bCs/>
          <w:sz w:val="28"/>
          <w:szCs w:val="28"/>
          <w:lang w:eastAsia="ru-RU"/>
        </w:rPr>
        <w:t xml:space="preserve"> және фибриноген деңгейлерінде клиникалық маңызды айырмашылықтар байқалмады, бұл қан ұю жүйесінің жалпы тұрақтылығы сақталғанын білдіреді [173, 175].</w:t>
      </w:r>
    </w:p>
    <w:p w14:paraId="5032A792">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Сонымен қатар, қабыну медиаторларының жоғарылауы (ИЛ–6: r=0.561, p&lt;0.01; СРА: r=0.394, p&lt;0.01) гепсидин деңгейінің артуына (Ме = 1786,59 [Q1: 1510,64 – Q3: 1940,43], p&lt;0.001) алып келді, бұл темірдің қоймалардан босатылуын тежеп, оның сіңірілуін шектейтінін көрсетті [183]. Темірдің биологиялық қолжетімділігінің төмендеуі ферритин деңгейінің (Ме = 8,49 [Q1: 4,56 – Q3: 13,19], p&lt;0.05) және эритропоэтин синтезінің (Ме = 51,04 [Q1: 30,87 – Q3: 110,92], p&lt;0.05) азаюымен байланысты болды [179, 180, 182].</w:t>
      </w:r>
    </w:p>
    <w:p w14:paraId="425370F8">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Жүргізілген зерттеу нәтижелері негізінде семіздік пен анемияның патогенетикалық механизмдерін түсіну үшін жаңа диагностикалық әдістер мен профилактикалық шараларды әзірлеуге бағытталған ұсыныстар жасалды. Жұмыстың нәтижелері қабыну және темір метаболизмінің маркерлеріне негізделген патогенетикалық алгоритм құруға мүмкіндік берді. Осы диссертациялық жұмыста жүктілікке дейінгі семіздіктің жүкті әйелдерде анемия дамуының қауіп факторы ретіндегі рөлі зерттелді. Зерттеу барысында семіздікке байланысты анемияның даму механизмдері мен қауіп факторларын түсіндіру үшін темір алмасуының маркерлері мен қабыну медиаторларының деңгейлері бағаланды. Жұмыс аясында қойылған барлық мақсаттар мен міндеттер толығымен орындалды, нәтижесінде жүктілікке дейінгі семіздік пен анемия арасындағы өзара байланыстар туралы ғылыми тұрғыдан негізделген жаңа деректер алынды.</w:t>
      </w:r>
    </w:p>
    <w:p w14:paraId="1621A746">
      <w:pPr>
        <w:widowControl w:val="0"/>
        <w:autoSpaceDE w:val="0"/>
        <w:autoSpaceDN w:val="0"/>
        <w:spacing w:after="0" w:line="276" w:lineRule="auto"/>
        <w:ind w:firstLine="709"/>
        <w:jc w:val="both"/>
        <w:outlineLvl w:val="0"/>
        <w:rPr>
          <w:rFonts w:ascii="Times New Roman" w:hAnsi="Times New Roman" w:eastAsia="Times New Roman" w:cs="Times New Roman"/>
          <w:bCs/>
          <w:sz w:val="28"/>
          <w:szCs w:val="28"/>
          <w:lang w:eastAsia="ru-RU"/>
        </w:rPr>
      </w:pPr>
      <w:r>
        <w:rPr>
          <w:rFonts w:ascii="Times New Roman" w:hAnsi="Times New Roman" w:eastAsia="Times New Roman" w:cs="Times New Roman"/>
          <w:bCs/>
          <w:sz w:val="28"/>
          <w:szCs w:val="28"/>
          <w:lang w:eastAsia="ru-RU"/>
        </w:rPr>
        <w:t xml:space="preserve"> </w:t>
      </w:r>
    </w:p>
    <w:p w14:paraId="35F75F01">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ind w:firstLine="709"/>
        <w:jc w:val="both"/>
        <w:textAlignment w:val="auto"/>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Зерттеу нәтижелері:</w:t>
      </w:r>
    </w:p>
    <w:p w14:paraId="3F99F313">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ind w:firstLine="709"/>
        <w:jc w:val="both"/>
        <w:textAlignment w:val="auto"/>
        <w:outlineLvl w:val="0"/>
        <w:rPr>
          <w:rFonts w:ascii="Times New Roman" w:hAnsi="Times New Roman" w:eastAsia="Times New Roman" w:cs="Times New Roman"/>
          <w:b/>
          <w:bCs/>
          <w:sz w:val="28"/>
          <w:szCs w:val="28"/>
          <w:lang w:eastAsia="ru-RU"/>
        </w:rPr>
      </w:pPr>
    </w:p>
    <w:p w14:paraId="551A3F4B">
      <w:pPr>
        <w:pStyle w:val="12"/>
        <w:keepNext w:val="0"/>
        <w:keepLines w:val="0"/>
        <w:pageBreakBefore w:val="0"/>
        <w:widowControl/>
        <w:numPr>
          <w:ilvl w:val="0"/>
          <w:numId w:val="17"/>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Анемия мен семіздігі қатар жүретін жүкті әйелдерде гепсидин деңгейі үш есеге жоғары болды: Me = 1786,59 (Q1: 1510,64–Q3: 1940,43), ал бақылау тобында бұл көрсеткіш Me = 568,01 (Q1: 314,35–Q3: 688,43), p = 0,010. Бұл мәліметтер гепсидиннің қабыну жауабы мен темір алмасуының бұзылуындағы шешуші рөлін көрсетеді. Темір қорының көрсеткіші болып табылатын ферритин деңгейі, керісінше, төмендеді: анемия мен семіздік үйлескен жағдайда Me = 8,49 (Q1: 4,56–Q3: 13,19), бұл сау жүкті әйелдерге қарағанда 57% төмен — Me = 19,65 (Q1: 17,61–Q3: 32,81), p = 0,031. Бұл созылмалы қабынудың сақталу аясында темірдің функционалды жетіспеушілігін көрсетеді. Анемия және семіздік бар әйелдерде эритропоэтин деңгейі оқшау анемиямен салыстырғанда төмен болды: Me = 23,5 (Q1: 20,1–Q3: 27,4) және Me = 34,9 (Q1: 30,5–Q3: 38,2), p &lt; 0,01. Бұл деректер созылмалы қабынудың эритропоэтин синтезін тежейтін ықпалын көрсетуі мүмкін. Интерлейкин-6 деңгейі анемия мен семіздік үйлескен әйелдерде 2,6 есе жоғары болды: Me = 6,2 (Q1: 5,4–Q3: 7,1), бақылау тобында — Me = 2,4 (Q1: 2,0–Q3: 2,9), p &lt; 0,001. Бұл жүйелі қабынудың айқын көрінісін растайды. С-реактивті ақуыз деңгейі де айтарлықтай жоғары болды: Me = 8,50 (Q1: 6,34–Q3: 12,37), бақылау тобында — Me = 3,92 (Q1: 2,99–Q3: 4,72), p &lt; 0,001. Бұл деректер қабынудың персистенциясын және оның анемия патогенезіндегі ықтимал рөлін растайды.</w:t>
      </w:r>
    </w:p>
    <w:p w14:paraId="1BA4AC46">
      <w:pPr>
        <w:pStyle w:val="12"/>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p>
    <w:p w14:paraId="12AB22BE">
      <w:pPr>
        <w:pStyle w:val="12"/>
        <w:keepNext w:val="0"/>
        <w:keepLines w:val="0"/>
        <w:pageBreakBefore w:val="0"/>
        <w:widowControl/>
        <w:numPr>
          <w:ilvl w:val="0"/>
          <w:numId w:val="17"/>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Анемия және предгестациялық семіздігі бар жүкті әйелдерде босану және перинаталдық кезеңдегі асқынулар жиі кездеседі. Статистикалық тұрғыдан келесі көрсеткіштер анықталды: гестациялық диабет (χ²=14,141; p=0,0027), гипертензиялық бұзылыстар (χ²=9,958; p=0,0189), иық дистоциясы (χ²=12,069; p=0,0072), макросомиямен босану (χ²=7,958; p=0,0469), сондай-ақ өмірінің алғашқы минуттарында Апгар шкаласы бойынша 7 баллдан төмен көрсеткіштер (χ²=10,594; p=0,0141).</w:t>
      </w:r>
      <w:r>
        <w:rPr>
          <w:rFonts w:hint="default" w:ascii="Times New Roman" w:hAnsi="Times New Roman" w:eastAsia="SimSun" w:cs="Times New Roman"/>
          <w:sz w:val="28"/>
          <w:szCs w:val="28"/>
        </w:rPr>
        <w:t xml:space="preserve"> </w:t>
      </w:r>
    </w:p>
    <w:p w14:paraId="707DAEEA">
      <w:pPr>
        <w:pStyle w:val="12"/>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p>
    <w:p w14:paraId="7D359F6D">
      <w:pPr>
        <w:pStyle w:val="12"/>
        <w:keepNext w:val="0"/>
        <w:keepLines w:val="0"/>
        <w:pageBreakBefore w:val="0"/>
        <w:widowControl/>
        <w:numPr>
          <w:ilvl w:val="0"/>
          <w:numId w:val="17"/>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Қабыну маркерлері — С-реактивті ақуыз (r = 0,394; p &lt; 0,01), интерлейкин-6 (r = 0,561; p &lt; 0,01) және гепсидин (r = 0,318; p &lt; 0,01) дене салмағы индексімен оң корреляция көрсетті, бұл семіздік, қабыну және темір алмасуының бұзылыстары арасындағы тығыз байланысты білдіреді. Сонымен қатар, гепсидин мен гемоглобин деңгейі арасында кері байланыс анықталды (r = –0,407; p &lt; 0,01), бұл гепсидиннің темірдің босап шығуын шектеу арқылы гемоглобин деңгейінің төмендеуіне ықпал ететінін көрсетеді.</w:t>
      </w:r>
    </w:p>
    <w:p w14:paraId="7C124ED8">
      <w:pPr>
        <w:pStyle w:val="12"/>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p>
    <w:p w14:paraId="48D38B96">
      <w:pPr>
        <w:pStyle w:val="12"/>
        <w:keepNext w:val="0"/>
        <w:keepLines w:val="0"/>
        <w:pageBreakBefore w:val="0"/>
        <w:widowControl/>
        <w:numPr>
          <w:ilvl w:val="0"/>
          <w:numId w:val="17"/>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Көптік регрессиялық талдау дене салмағы индексінің вариацияларының 62,5%-ы интерлейкин-6 (r = 0,561; p &lt; 0,01), С-реактивті ақуыз (r = 0,394; p &lt; 0,01) және гепсидин (r = 0,318; p &lt; 0,01) деңгейлерімен түсіндірілетінін көрсетті. Логистикалық регрессия нәтижесінде гепсидиннің 1 бірлікке жоғарылауы анемия қаупін 0,3%-ға (Exp(B) = 1,003; p &lt; 0,001), интерлейкин-6 — 29,1%-ға (Exp(B) = 1,291; p = 0,002) арттыратыны анықталды. Сонымен қатар, дене салмағының индексі (Exp(B) = 0,846; p = 0,029) және С-реактивті ақуыз деңгейі (Exp(B) = 0,882; p = 0,032) анемия даму қаупінің шамалы төмендеуімен ассоциацияланды. Бұл нәтижелер іріктеу құрылымының ерекшеліктерімен, оқшау семіздік кезіндегі компенсаторлық механизмдермен немесе басқа метаболикалық бейімделулермен байланысты болуы мүмкін. Құрылған прогностикалық модель жоғары классификациялық дәлдікке (77,8%) және ROC-кривой бойынша диагностикалық нақтылыққа (AUC = 0,864; 95% CI = 0,810–0,918; p &lt; 0,001) ие болды, бұл биомаркерлерді анемия қаупін бағалау үшін болашағы бар индикатор ретінде қарастыруға мүмкіндік береді.</w:t>
      </w:r>
    </w:p>
    <w:p w14:paraId="14F6F9FA">
      <w:pPr>
        <w:pStyle w:val="12"/>
        <w:keepNext w:val="0"/>
        <w:keepLines w:val="0"/>
        <w:pageBreakBefore w:val="0"/>
        <w:widowControl/>
        <w:numPr>
          <w:ilvl w:val="0"/>
          <w:numId w:val="0"/>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p>
    <w:p w14:paraId="3938ACBE">
      <w:pPr>
        <w:pStyle w:val="12"/>
        <w:keepNext w:val="0"/>
        <w:keepLines w:val="0"/>
        <w:pageBreakBefore w:val="0"/>
        <w:widowControl/>
        <w:numPr>
          <w:ilvl w:val="0"/>
          <w:numId w:val="17"/>
        </w:numPr>
        <w:suppressLineNumbers w:val="0"/>
        <w:kinsoku/>
        <w:wordWrap/>
        <w:overflowPunct/>
        <w:topLinePunct w:val="0"/>
        <w:bidi w:val="0"/>
        <w:adjustRightInd/>
        <w:snapToGrid/>
        <w:spacing w:before="0" w:beforeAutospacing="0" w:after="0" w:afterAutospacing="0" w:line="240" w:lineRule="auto"/>
        <w:ind w:right="0" w:rightChars="0"/>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Жасалған патогенез моделі көрсеткендей, предгестациялық семіздік жағдайында май тінінің артуы интерлейкин-6 (r = 0,561; p &lt; 0,01) және С-реактивті ақуыз (r = 0,394; p &lt; 0,01) деңгейлерінің жоғарылауымен қатар жүреді, бұл өз кезегінде гепсидин синтезін ынталандырады (Me = 1786,59 [Q1: 1510,64 – Q3: 1940,43], p &lt; 0,001). Темірдің сіңірілуі мен босап шығуы бұзылып, ферритин деңгейі төмендейді (Me = 8,49 [Q1: 4,56 – Q3: 13,19], p &lt; 0,05), эритропоэтин синтезі тежеледі (Me = 51,04 [Q1: 30,87 – Q3: 110,92], p &lt; 0,05), ал гемоглобин деңгейі айтарлықтай төмендейді (Me = 102,3 [Q1: 90,1 – Q3: 115,8], p &lt; 0,001). Бұл жағдайлар анемияның дамуына және перинаталдық асқынулардың жиілеуіне алып келеді.</w:t>
      </w:r>
      <w:r>
        <w:rPr>
          <w:rFonts w:hint="default" w:ascii="Times New Roman" w:hAnsi="Times New Roman" w:eastAsia="SimSun" w:cs="Times New Roman"/>
          <w:sz w:val="28"/>
          <w:szCs w:val="28"/>
        </w:rPr>
        <w:t xml:space="preserve"> </w:t>
      </w:r>
    </w:p>
    <w:p w14:paraId="252FCA53">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ind w:firstLine="709"/>
        <w:jc w:val="both"/>
        <w:textAlignment w:val="auto"/>
        <w:outlineLvl w:val="0"/>
        <w:rPr>
          <w:rFonts w:ascii="Times New Roman" w:hAnsi="Times New Roman" w:eastAsia="Calibri" w:cs="Times New Roman"/>
          <w:b/>
          <w:bCs/>
          <w:sz w:val="28"/>
          <w:szCs w:val="28"/>
          <w:lang w:eastAsia="ru-RU"/>
        </w:rPr>
      </w:pPr>
      <w:r>
        <w:rPr>
          <w:rFonts w:ascii="Times New Roman" w:hAnsi="Times New Roman" w:eastAsia="Calibri" w:cs="Times New Roman"/>
          <w:b/>
          <w:bCs/>
          <w:sz w:val="28"/>
          <w:szCs w:val="28"/>
          <w:lang w:eastAsia="ru-RU"/>
        </w:rPr>
        <w:t xml:space="preserve"> </w:t>
      </w:r>
    </w:p>
    <w:p w14:paraId="35719AE9">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62509E6E">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49DACE3B">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6A269954">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65D51AEF">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3B77207C">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642610D5">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2360A8C7">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4E379543">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4566034E">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7599AA9D">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23333CBA">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7EF7D624">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3ED1A573">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7C4942DB">
      <w:pPr>
        <w:keepNext w:val="0"/>
        <w:keepLines w:val="0"/>
        <w:pageBreakBefore w:val="0"/>
        <w:widowControl w:val="0"/>
        <w:kinsoku/>
        <w:wordWrap/>
        <w:overflowPunct/>
        <w:topLinePunct w:val="0"/>
        <w:autoSpaceDE w:val="0"/>
        <w:autoSpaceDN w:val="0"/>
        <w:bidi w:val="0"/>
        <w:adjustRightInd/>
        <w:snapToGrid/>
        <w:spacing w:beforeAutospacing="0" w:after="0" w:afterAutospacing="0" w:line="240" w:lineRule="auto"/>
        <w:jc w:val="both"/>
        <w:textAlignment w:val="auto"/>
        <w:outlineLvl w:val="0"/>
        <w:rPr>
          <w:rFonts w:ascii="Times New Roman" w:hAnsi="Times New Roman" w:eastAsia="Calibri" w:cs="Times New Roman"/>
          <w:b/>
          <w:bCs/>
          <w:sz w:val="28"/>
          <w:szCs w:val="28"/>
          <w:lang w:eastAsia="ru-RU"/>
        </w:rPr>
      </w:pPr>
    </w:p>
    <w:p w14:paraId="3D6B828D">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4B774089">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7920E548">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12E3E01F">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75E5F6BE">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7FAD706D">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3BBF0307">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5908E76A">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40A31389">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149AABD8">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19ECE90B">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3DC55A97">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0EDFDB4F">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2C9446A6">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252003F0">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3CAB8930">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62424422">
      <w:pPr>
        <w:widowControl w:val="0"/>
        <w:autoSpaceDE w:val="0"/>
        <w:autoSpaceDN w:val="0"/>
        <w:spacing w:after="0" w:line="276" w:lineRule="auto"/>
        <w:jc w:val="both"/>
        <w:outlineLvl w:val="0"/>
        <w:rPr>
          <w:rFonts w:ascii="Times New Roman" w:hAnsi="Times New Roman" w:eastAsia="Calibri" w:cs="Times New Roman"/>
          <w:b/>
          <w:bCs/>
          <w:sz w:val="28"/>
          <w:szCs w:val="28"/>
          <w:lang w:val="kk-KZ" w:eastAsia="ru-RU"/>
        </w:rPr>
      </w:pPr>
    </w:p>
    <w:p w14:paraId="29E40015">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2AE3E59F">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p>
    <w:p w14:paraId="1707CB1E">
      <w:pPr>
        <w:widowControl w:val="0"/>
        <w:autoSpaceDE w:val="0"/>
        <w:autoSpaceDN w:val="0"/>
        <w:spacing w:after="0" w:line="276" w:lineRule="auto"/>
        <w:jc w:val="both"/>
        <w:outlineLvl w:val="0"/>
        <w:rPr>
          <w:rFonts w:ascii="Times New Roman" w:hAnsi="Times New Roman" w:eastAsia="Calibri" w:cs="Times New Roman"/>
          <w:b/>
          <w:bCs/>
          <w:sz w:val="28"/>
          <w:szCs w:val="28"/>
          <w:lang w:eastAsia="ru-RU"/>
        </w:rPr>
      </w:pPr>
      <w:r>
        <w:rPr>
          <w:rFonts w:ascii="Times New Roman" w:hAnsi="Times New Roman" w:eastAsia="Calibri" w:cs="Times New Roman"/>
          <w:b/>
          <w:bCs/>
          <w:sz w:val="28"/>
          <w:szCs w:val="28"/>
          <w:lang w:eastAsia="ru-RU"/>
        </w:rPr>
        <w:t>ПРАКТИКАЛЫҚ ҰСЫНЫСТАР</w:t>
      </w:r>
    </w:p>
    <w:p w14:paraId="44F699C2">
      <w:pPr>
        <w:pStyle w:val="12"/>
        <w:keepNext w:val="0"/>
        <w:keepLines w:val="0"/>
        <w:widowControl/>
        <w:suppressLineNumbers w:val="0"/>
        <w:spacing w:before="0" w:beforeAutospacing="1" w:after="0" w:afterAutospacing="1"/>
        <w:ind w:left="0" w:right="0"/>
        <w:rPr>
          <w:rFonts w:hint="default" w:ascii="Times New Roman" w:hAnsi="Times New Roman" w:cs="Times New Roman"/>
          <w:sz w:val="28"/>
          <w:szCs w:val="28"/>
        </w:rPr>
      </w:pPr>
      <w:r>
        <w:rPr>
          <w:rStyle w:val="8"/>
          <w:rFonts w:hint="default" w:ascii="Times New Roman" w:hAnsi="Times New Roman" w:cs="Times New Roman"/>
          <w:sz w:val="28"/>
          <w:szCs w:val="28"/>
        </w:rPr>
        <w:t>1.</w:t>
      </w:r>
      <w:r>
        <w:rPr>
          <w:rFonts w:hint="default" w:ascii="Times New Roman" w:hAnsi="Times New Roman" w:cs="Times New Roman"/>
          <w:sz w:val="28"/>
          <w:szCs w:val="28"/>
        </w:rPr>
        <w:t xml:space="preserve"> Гепсидин деңгейін бағалау жүктілерде анемияның даму қаупін ерте кезеңде болжау, терапияны уақтылы бастау және асқынулардың алдын алу мақсатында скринингтік бағдарламаларға енгізу үшін ұсынылады.</w:t>
      </w:r>
    </w:p>
    <w:p w14:paraId="619C05FC">
      <w:pPr>
        <w:pStyle w:val="12"/>
        <w:keepNext w:val="0"/>
        <w:keepLines w:val="0"/>
        <w:widowControl/>
        <w:suppressLineNumbers w:val="0"/>
        <w:spacing w:before="0" w:beforeAutospacing="1" w:after="0" w:afterAutospacing="1"/>
        <w:ind w:left="0" w:right="0"/>
        <w:rPr>
          <w:rFonts w:hint="default" w:ascii="Times New Roman" w:hAnsi="Times New Roman" w:cs="Times New Roman"/>
          <w:sz w:val="28"/>
          <w:szCs w:val="28"/>
        </w:rPr>
      </w:pPr>
      <w:r>
        <w:rPr>
          <w:rStyle w:val="8"/>
          <w:rFonts w:hint="default" w:ascii="Times New Roman" w:hAnsi="Times New Roman" w:cs="Times New Roman"/>
          <w:sz w:val="28"/>
          <w:szCs w:val="28"/>
        </w:rPr>
        <w:t>2.</w:t>
      </w:r>
      <w:r>
        <w:rPr>
          <w:rFonts w:hint="default" w:ascii="Times New Roman" w:hAnsi="Times New Roman" w:cs="Times New Roman"/>
          <w:sz w:val="28"/>
          <w:szCs w:val="28"/>
        </w:rPr>
        <w:t xml:space="preserve"> Интерлейкин–6 және С-реактивті ақуыз деңгейін бақылау семіздікпен байланысты қабыну процестерінің белсенділігін бағалауға мүмкіндік береді. Интерлейкин–6-ның жоғары болжамдық маңыздылығы оны жүкті әйелдерде (гестациялық қант диабеті, гипертензия, анемия) асқынулар қаупінің маркері ретінде ұсынуға мүмкіндік береді.</w:t>
      </w:r>
    </w:p>
    <w:p w14:paraId="045DD9ED">
      <w:pPr>
        <w:pStyle w:val="12"/>
        <w:keepNext w:val="0"/>
        <w:keepLines w:val="0"/>
        <w:widowControl/>
        <w:suppressLineNumbers w:val="0"/>
        <w:spacing w:before="0" w:beforeAutospacing="1" w:after="0" w:afterAutospacing="1"/>
        <w:ind w:left="0" w:right="0"/>
        <w:rPr>
          <w:rFonts w:hint="default" w:ascii="Times New Roman" w:hAnsi="Times New Roman" w:cs="Times New Roman"/>
          <w:sz w:val="28"/>
          <w:szCs w:val="28"/>
        </w:rPr>
      </w:pPr>
      <w:r>
        <w:rPr>
          <w:rStyle w:val="8"/>
          <w:rFonts w:hint="default" w:ascii="Times New Roman" w:hAnsi="Times New Roman" w:cs="Times New Roman"/>
          <w:sz w:val="28"/>
          <w:szCs w:val="28"/>
        </w:rPr>
        <w:t>3.</w:t>
      </w:r>
      <w:r>
        <w:rPr>
          <w:rFonts w:hint="default" w:ascii="Times New Roman" w:hAnsi="Times New Roman" w:cs="Times New Roman"/>
          <w:sz w:val="28"/>
          <w:szCs w:val="28"/>
        </w:rPr>
        <w:t xml:space="preserve"> Гепсидин, ферритин, И</w:t>
      </w:r>
      <w:r>
        <w:rPr>
          <w:rFonts w:hint="default" w:ascii="Times New Roman" w:hAnsi="Times New Roman" w:cs="Times New Roman"/>
          <w:sz w:val="28"/>
          <w:szCs w:val="28"/>
          <w:lang w:val="kk-KZ"/>
        </w:rPr>
        <w:t>нтерлейкин</w:t>
      </w:r>
      <w:r>
        <w:rPr>
          <w:rFonts w:hint="default" w:ascii="Times New Roman" w:hAnsi="Times New Roman" w:cs="Times New Roman"/>
          <w:sz w:val="28"/>
          <w:szCs w:val="28"/>
        </w:rPr>
        <w:t>–6 және С-реактивті ақуыз секілді қабыну және анемия маркерлерін интеграцияланған түрде бағалау олардың жүкті әйелдердегі анемияны ерте диагностикалаудағы болжамдық маңыздылығын едәуір арттырады.</w:t>
      </w:r>
    </w:p>
    <w:p w14:paraId="43AF83E9">
      <w:pPr>
        <w:pStyle w:val="12"/>
        <w:keepNext w:val="0"/>
        <w:keepLines w:val="0"/>
        <w:widowControl/>
        <w:suppressLineNumbers w:val="0"/>
        <w:spacing w:before="0" w:beforeAutospacing="1" w:after="0" w:afterAutospacing="1"/>
        <w:ind w:left="0" w:right="0"/>
        <w:rPr>
          <w:rFonts w:hint="default" w:ascii="Times New Roman" w:hAnsi="Times New Roman" w:cs="Times New Roman"/>
          <w:sz w:val="28"/>
          <w:szCs w:val="28"/>
        </w:rPr>
      </w:pPr>
      <w:r>
        <w:rPr>
          <w:rStyle w:val="8"/>
          <w:rFonts w:hint="default" w:ascii="Times New Roman" w:hAnsi="Times New Roman" w:cs="Times New Roman"/>
          <w:sz w:val="28"/>
          <w:szCs w:val="28"/>
        </w:rPr>
        <w:t>4.</w:t>
      </w:r>
      <w:r>
        <w:rPr>
          <w:rFonts w:hint="default" w:ascii="Times New Roman" w:hAnsi="Times New Roman" w:cs="Times New Roman"/>
          <w:sz w:val="28"/>
          <w:szCs w:val="28"/>
        </w:rPr>
        <w:t xml:space="preserve"> Құрастырылған прогностикалық модель мен патогенездік алгоритм семіздікпен байланысты анемияны диагностикалау және болжау құралдары ретінде ұсынылады; бұл жүкті әйелдер арасынан қауіп тобына жататындарды уақтылы анықтауға, емдеу мен алдын алу тактикасын белгілеуге мүмкіндік береді.</w:t>
      </w:r>
    </w:p>
    <w:p w14:paraId="4A81FEA4">
      <w:pPr>
        <w:widowControl w:val="0"/>
        <w:autoSpaceDE w:val="0"/>
        <w:autoSpaceDN w:val="0"/>
        <w:spacing w:after="0" w:line="276" w:lineRule="auto"/>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7812C240">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02B307F1">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2944513D">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3CED5CD7">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790F801D">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62B2DAD5">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028218CA">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53FDB714">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47654EDD">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148F418A">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56D20906">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50AB0A7C">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p>
    <w:p w14:paraId="52B1065E">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6C4E2028">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0C34A0D6">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5A0AE06C">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6E506F4A">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1ECA64D8">
      <w:pPr>
        <w:widowControl w:val="0"/>
        <w:autoSpaceDE w:val="0"/>
        <w:autoSpaceDN w:val="0"/>
        <w:spacing w:after="0" w:line="276" w:lineRule="auto"/>
        <w:ind w:firstLine="709"/>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w:t>
      </w:r>
    </w:p>
    <w:p w14:paraId="558B68CA">
      <w:pPr>
        <w:widowControl w:val="0"/>
        <w:autoSpaceDE w:val="0"/>
        <w:autoSpaceDN w:val="0"/>
        <w:spacing w:after="0" w:line="276" w:lineRule="auto"/>
        <w:jc w:val="both"/>
        <w:outlineLvl w:val="0"/>
        <w:rPr>
          <w:rFonts w:ascii="Times New Roman" w:hAnsi="Times New Roman" w:eastAsia="Times New Roman" w:cs="Times New Roman"/>
          <w:b/>
          <w:bCs/>
          <w:sz w:val="28"/>
          <w:szCs w:val="28"/>
          <w:lang w:eastAsia="ru-RU"/>
        </w:rPr>
      </w:pPr>
      <w:r>
        <w:rPr>
          <w:rFonts w:ascii="Times New Roman" w:hAnsi="Times New Roman" w:eastAsia="Times New Roman" w:cs="Times New Roman"/>
          <w:b/>
          <w:bCs/>
          <w:sz w:val="28"/>
          <w:szCs w:val="28"/>
          <w:lang w:eastAsia="ru-RU"/>
        </w:rPr>
        <w:t xml:space="preserve"> ҚОЛДАНЫЛҒАН ӘДЕБИЕТТЕР ТІЗІМІ</w:t>
      </w:r>
    </w:p>
    <w:p w14:paraId="604001AB">
      <w:pPr>
        <w:widowControl w:val="0"/>
        <w:autoSpaceDE w:val="0"/>
        <w:autoSpaceDN w:val="0"/>
        <w:spacing w:after="0" w:line="276" w:lineRule="auto"/>
        <w:jc w:val="both"/>
        <w:outlineLvl w:val="0"/>
        <w:rPr>
          <w:rFonts w:ascii="Times New Roman" w:hAnsi="Times New Roman" w:eastAsia="Times New Roman" w:cs="Times New Roman"/>
          <w:b/>
          <w:bCs/>
          <w:sz w:val="28"/>
          <w:szCs w:val="28"/>
          <w:lang w:eastAsia="ru-RU"/>
        </w:rPr>
      </w:pPr>
    </w:p>
    <w:p w14:paraId="128CF9B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Marks P.W. Anemia. Clinical approach // Concise Guide to Hematology. – 2019.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21–27. </w:t>
      </w:r>
      <w:r>
        <w:rPr>
          <w:rFonts w:ascii="Times New Roman" w:hAnsi="Times New Roman" w:eastAsia="Times New Roman" w:cs="Times New Roman"/>
          <w:sz w:val="28"/>
          <w:szCs w:val="28"/>
          <w:lang w:eastAsia="ru-RU"/>
        </w:rPr>
        <w:t>DOI: 10.1007/978–319–978773–4_4.</w:t>
      </w:r>
    </w:p>
    <w:p w14:paraId="4555310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Premkumar S., Ramanan P.V. Weekly Iron and Folic Acid Therapy in the Treatment of Anemia in Adolescents // JEMDS. – 2019.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7, № 45.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4884–4887. </w:t>
      </w:r>
      <w:r>
        <w:rPr>
          <w:rFonts w:ascii="Times New Roman" w:hAnsi="Times New Roman" w:eastAsia="Times New Roman" w:cs="Times New Roman"/>
          <w:sz w:val="28"/>
          <w:szCs w:val="28"/>
          <w:lang w:eastAsia="ru-RU"/>
        </w:rPr>
        <w:t>DOI: 10.5958/0976–5506.2019.02788.8.</w:t>
      </w:r>
    </w:p>
    <w:p w14:paraId="7046DF4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WHO. The Global Prevalence of Anemia in 2011. – Женева: Всемирная организация здравоохранения, 2015. – Б. 1–48. URL: </w:t>
      </w:r>
      <w:r>
        <w:fldChar w:fldCharType="begin"/>
      </w:r>
      <w:r>
        <w:instrText xml:space="preserve"> HYPERLINK "http://apps.who.int/iris/bitstream/handle/10665/177094/9789241564960" </w:instrText>
      </w:r>
      <w:r>
        <w:fldChar w:fldCharType="separate"/>
      </w:r>
      <w:r>
        <w:rPr>
          <w:rFonts w:ascii="Times New Roman" w:hAnsi="Times New Roman" w:eastAsia="等线 Light" w:cs="Times New Roman"/>
          <w:color w:val="0000FF"/>
          <w:sz w:val="28"/>
          <w:szCs w:val="28"/>
          <w:u w:val="single"/>
          <w:lang w:eastAsia="ru-RU"/>
        </w:rPr>
        <w:t>http://apps.who.int/iris/bitstream/handle/10665/177094/9789241564960</w:t>
      </w:r>
      <w:r>
        <w:rPr>
          <w:rFonts w:ascii="Times New Roman" w:hAnsi="Times New Roman" w:eastAsia="等线 Light" w:cs="Times New Roman"/>
          <w:color w:val="0000FF"/>
          <w:sz w:val="28"/>
          <w:szCs w:val="28"/>
          <w:u w:val="single"/>
          <w:lang w:eastAsia="ru-RU"/>
        </w:rPr>
        <w:fldChar w:fldCharType="end"/>
      </w:r>
      <w:r>
        <w:rPr>
          <w:rFonts w:ascii="Times New Roman" w:hAnsi="Times New Roman" w:eastAsia="Times New Roman" w:cs="Times New Roman"/>
          <w:sz w:val="28"/>
          <w:szCs w:val="28"/>
          <w:lang w:eastAsia="ru-RU"/>
        </w:rPr>
        <w:t xml:space="preserve"> (қолданылған күні: 30.05.2024).</w:t>
      </w:r>
    </w:p>
    <w:p w14:paraId="69F0FC7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Perez E.M., Hendricks M.K., Beard J.L., Murray–Kolb L.E., Berg A., Tomlinson M., Irlam J., Isaacs W., Njengele T., Sive A. Mother–infant interactions and infant development are altered by maternal iron deficiency anemia // J. Nutrition. – 2005.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135, № 4.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850–855. </w:t>
      </w:r>
      <w:r>
        <w:rPr>
          <w:rFonts w:ascii="Times New Roman" w:hAnsi="Times New Roman" w:eastAsia="Times New Roman" w:cs="Times New Roman"/>
          <w:sz w:val="28"/>
          <w:szCs w:val="28"/>
          <w:lang w:eastAsia="ru-RU"/>
        </w:rPr>
        <w:t>DOI: 10.1093/jn/135.4.850.</w:t>
      </w:r>
    </w:p>
    <w:p w14:paraId="5D1322B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Siu A.L. Screening for iron deficiency anemia and iron supplementation in pregnant women to improve maternal health and birth outcomes: U.S. Preventive Services Task Force recommendation statement // Ann. </w:t>
      </w:r>
      <w:r>
        <w:rPr>
          <w:rFonts w:ascii="Times New Roman" w:hAnsi="Times New Roman" w:eastAsia="Times New Roman" w:cs="Times New Roman"/>
          <w:sz w:val="28"/>
          <w:szCs w:val="28"/>
          <w:lang w:eastAsia="ru-RU"/>
        </w:rPr>
        <w:t>Intern. Med. – 2015. – Т. 163, № 7. – Б. 529–536. DOI: 10.7326/M15–1707.</w:t>
      </w:r>
    </w:p>
    <w:p w14:paraId="4228E35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American College of Obstetrics &amp; Gynecology. Anemia in pregnancy. ACOG Practice Bulletin, No. 233 // Obstet. </w:t>
      </w:r>
      <w:r>
        <w:rPr>
          <w:rFonts w:ascii="Times New Roman" w:hAnsi="Times New Roman" w:eastAsia="Times New Roman" w:cs="Times New Roman"/>
          <w:sz w:val="28"/>
          <w:szCs w:val="28"/>
          <w:lang w:eastAsia="ru-RU"/>
        </w:rPr>
        <w:t>Gynecol. – 2021. – Т. 138, № 2. – Б. 55–64. DOI: 10.1097/AOG.0000000000004477.</w:t>
      </w:r>
    </w:p>
    <w:p w14:paraId="35A62DF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Pavord S., Daru J., Prasannan N., Robinson S., Stanworth S., Girling J. UK guidelines on the management of iron deficiency in pregnancy // Brit. J. Haematol. – 2020.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188, № 6.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819–830. </w:t>
      </w:r>
      <w:r>
        <w:rPr>
          <w:rFonts w:ascii="Times New Roman" w:hAnsi="Times New Roman" w:eastAsia="Times New Roman" w:cs="Times New Roman"/>
          <w:sz w:val="28"/>
          <w:szCs w:val="28"/>
          <w:lang w:eastAsia="ru-RU"/>
        </w:rPr>
        <w:t>DOI: 10.1111/bjh.16221.</w:t>
      </w:r>
    </w:p>
    <w:p w14:paraId="433D25E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Wenzel B., Stults H., Mayer J. Hypoferraemia in obese adolescents // Lancet. – 1962.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327–328. </w:t>
      </w:r>
      <w:r>
        <w:rPr>
          <w:rFonts w:ascii="Times New Roman" w:hAnsi="Times New Roman" w:eastAsia="Times New Roman" w:cs="Times New Roman"/>
          <w:sz w:val="28"/>
          <w:szCs w:val="28"/>
          <w:lang w:eastAsia="ru-RU"/>
        </w:rPr>
        <w:t>DOI: 10.1016/s0140–6736(62)90110–1.</w:t>
      </w:r>
    </w:p>
    <w:p w14:paraId="1BE4075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Pinhas–Hamiel O., Newfield R.S., Koren I., Agmon A., Lilos P. Greater prevalence of iron deficiency in overweight and obese children and adolescents // Int. J. Obes. </w:t>
      </w:r>
      <w:r>
        <w:rPr>
          <w:rFonts w:ascii="Times New Roman" w:hAnsi="Times New Roman" w:eastAsia="Times New Roman" w:cs="Times New Roman"/>
          <w:sz w:val="28"/>
          <w:szCs w:val="28"/>
          <w:lang w:eastAsia="ru-RU"/>
        </w:rPr>
        <w:t>Relat. Metab. Disord. – 2003. – Т. 27. – Б. 416–418. DOI: 10.1038/sj.ijo.0802224.</w:t>
      </w:r>
    </w:p>
    <w:p w14:paraId="15F9F76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Lecube A., Carrera A., Losada E., Hernández C., Simó R., Mesa J. Iron deficiency in obese postmenopausal women // Obesity. – 2006.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14.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1724–1730. </w:t>
      </w:r>
      <w:r>
        <w:rPr>
          <w:rFonts w:ascii="Times New Roman" w:hAnsi="Times New Roman" w:eastAsia="Times New Roman" w:cs="Times New Roman"/>
          <w:sz w:val="28"/>
          <w:szCs w:val="28"/>
          <w:lang w:eastAsia="ru-RU"/>
        </w:rPr>
        <w:t>DOI: 10.1038/oby.2006.198.</w:t>
      </w:r>
    </w:p>
    <w:p w14:paraId="31944A9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Yanoff L.B., Menzie C.M., Denkinger B., Sebring N.G., McHugh T., Remaley A.T. and Yanovski J.A. Inflammation and iron deficiency in the hypoferremia of obesity // Int J Obes.–2007.–</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.31.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.1412–1419. </w:t>
      </w:r>
      <w:r>
        <w:rPr>
          <w:rFonts w:ascii="Times New Roman" w:hAnsi="Times New Roman" w:eastAsia="Times New Roman" w:cs="Times New Roman"/>
          <w:sz w:val="28"/>
          <w:szCs w:val="28"/>
          <w:lang w:eastAsia="ru-RU"/>
        </w:rPr>
        <w:t>DOI: 10.1038/sj.ijo.0803625</w:t>
      </w:r>
    </w:p>
    <w:p w14:paraId="20FE2A1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Aderibigbe O.R., Pisa P.T., Vorster H.H. and Kruger S.H. The relationship between iron status and adiposity in women from developing countries: A review // Crit Rev Food Sci Nutr. –2014.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.54.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.553–560. </w:t>
      </w:r>
      <w:r>
        <w:rPr>
          <w:rFonts w:ascii="Times New Roman" w:hAnsi="Times New Roman" w:eastAsia="Times New Roman" w:cs="Times New Roman"/>
          <w:sz w:val="28"/>
          <w:szCs w:val="28"/>
          <w:lang w:eastAsia="ru-RU"/>
        </w:rPr>
        <w:t>DOI: 10.1080/10408398.2011.594914</w:t>
      </w:r>
    </w:p>
    <w:p w14:paraId="51A2A1A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Cheng H.L., Bryant C., Cook R., O'Connor H., Rooney K. and Steinbeck K. The relationship between obesity and hypoferraemia in adults: A systematic review // Obes Rev.– 2012.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.13.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.150–161. </w:t>
      </w:r>
      <w:r>
        <w:rPr>
          <w:rFonts w:ascii="Times New Roman" w:hAnsi="Times New Roman" w:eastAsia="Times New Roman" w:cs="Times New Roman"/>
          <w:sz w:val="28"/>
          <w:szCs w:val="28"/>
          <w:lang w:eastAsia="ru-RU"/>
        </w:rPr>
        <w:t>DOI: 10.1111/j.1467–789X.2011.00938.x</w:t>
      </w:r>
    </w:p>
    <w:p w14:paraId="671F8A6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Zimmermann M.B., Zeder C., Muthayya S., Winichagoon P., Chaouki N., Aeberli I. and Hurrell R.F.: Adiposity in women and children from transition countries predicts decreased iron absorption, iron deficiency and a reduced response to iron fortification // Int J Obes. –2008.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.32.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.1098–1104. </w:t>
      </w:r>
      <w:r>
        <w:rPr>
          <w:rFonts w:ascii="Times New Roman" w:hAnsi="Times New Roman" w:eastAsia="Times New Roman" w:cs="Times New Roman"/>
          <w:sz w:val="28"/>
          <w:szCs w:val="28"/>
          <w:lang w:eastAsia="ru-RU"/>
        </w:rPr>
        <w:t>DOI: 10.1038/ijo.2008.43</w:t>
      </w:r>
    </w:p>
    <w:p w14:paraId="400EA23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drawing>
          <wp:inline distT="0" distB="0" distL="0" distR="0">
            <wp:extent cx="13970" cy="13970"/>
            <wp:effectExtent l="0" t="0" r="0" b="0"/>
            <wp:docPr id="119" name="Рисунок 119" descr="C:\Users\kgmuuser\AppData\Local\Temp\ksohtml7396\wp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C:\Users\kgmuuser\AppData\Local\Temp\ksohtml7396\wps3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3970" cy="13970"/>
                    </a:xfrm>
                    <a:prstGeom prst="rect">
                      <a:avLst/>
                    </a:prstGeom>
                    <a:noFill/>
                    <a:ln>
                      <a:noFill/>
                    </a:ln>
                  </pic:spPr>
                </pic:pic>
              </a:graphicData>
            </a:graphic>
          </wp:inline>
        </w:drawing>
      </w:r>
      <w:r>
        <w:rPr>
          <w:rFonts w:ascii="Times New Roman" w:hAnsi="Times New Roman" w:eastAsia="Times New Roman" w:cs="Times New Roman"/>
          <w:sz w:val="28"/>
          <w:szCs w:val="28"/>
          <w:lang w:val="en-US" w:eastAsia="ru-RU"/>
        </w:rPr>
        <w:t xml:space="preserve">Tussing–Humphreys L.M., Nemeth E., Fantuzzi G., Freels S., Guzman G., Holterman A.X. and Braunschweig C.: Elevated systemic hepcidin and iron depletion in obese premenopausal females // Obesity.–2010.–V.18.–P.1449–1456. </w:t>
      </w:r>
      <w:r>
        <w:rPr>
          <w:rFonts w:ascii="Times New Roman" w:hAnsi="Times New Roman" w:eastAsia="Times New Roman" w:cs="Times New Roman"/>
          <w:sz w:val="28"/>
          <w:szCs w:val="28"/>
          <w:lang w:eastAsia="ru-RU"/>
        </w:rPr>
        <w:t>DOI: 10.1038/oby.2009.319</w:t>
      </w:r>
    </w:p>
    <w:p w14:paraId="0C71BBF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Garcia–Valdes L., Campoy C., Hayes H., Florido J., Rusanova I., Miranda M.T., McArdle H.J. The impact of maternal obesity on iron status, placental transferrin receptor expression and hepcidin expression in human pregnancy // Int J Obes. –2015.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.39.№4. –</w:t>
      </w:r>
      <w:r>
        <w:rPr>
          <w:rFonts w:ascii="Times New Roman" w:hAnsi="Times New Roman" w:eastAsia="Times New Roman" w:cs="Times New Roman"/>
          <w:sz w:val="28"/>
          <w:szCs w:val="28"/>
          <w:lang w:eastAsia="ru-RU"/>
        </w:rPr>
        <w:t>С</w:t>
      </w:r>
      <w:r>
        <w:rPr>
          <w:rFonts w:ascii="Times New Roman" w:hAnsi="Times New Roman" w:eastAsia="Times New Roman" w:cs="Times New Roman"/>
          <w:sz w:val="28"/>
          <w:szCs w:val="28"/>
          <w:lang w:val="en-US" w:eastAsia="ru-RU"/>
        </w:rPr>
        <w:t xml:space="preserve">. 571–578. </w:t>
      </w:r>
      <w:r>
        <w:rPr>
          <w:rFonts w:ascii="Times New Roman" w:hAnsi="Times New Roman" w:eastAsia="Times New Roman" w:cs="Times New Roman"/>
          <w:sz w:val="28"/>
          <w:szCs w:val="28"/>
          <w:lang w:eastAsia="ru-RU"/>
        </w:rPr>
        <w:t>DOI: 10.1038/ijo.2015.3</w:t>
      </w:r>
    </w:p>
    <w:p w14:paraId="024413F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Flores–Quijano M.E., Montalvo–Velarde .I, Vital–Reyes V.S., Rodríguez Cruz M., Rendón–Macías M.E., López–Alarcón M. Longitudinal analysis of the interaction between obesity and pregnancy on iron homeostasis: role of hepcidin // Arch Med Res. –2016.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.47.–№7.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.550–556. </w:t>
      </w:r>
      <w:r>
        <w:rPr>
          <w:rFonts w:ascii="Times New Roman" w:hAnsi="Times New Roman" w:eastAsia="Times New Roman" w:cs="Times New Roman"/>
          <w:sz w:val="28"/>
          <w:szCs w:val="28"/>
          <w:lang w:eastAsia="ru-RU"/>
        </w:rPr>
        <w:t>DOI: 10.1016/j.arcmed.2016.11.011</w:t>
      </w:r>
    </w:p>
    <w:p w14:paraId="08BE0D6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Flynn A.C., Begum S., White S.L., Dalrymple K., Gill C., Alwan N.A., Kiely M., Latunde–Dada G., Bell R., Briley A.L., et al. Relationships between maternal obesity and maternal and neonatal iron status // Nutrients. –2018.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.10.№8.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.1000. </w:t>
      </w:r>
      <w:r>
        <w:rPr>
          <w:rFonts w:ascii="Times New Roman" w:hAnsi="Times New Roman" w:eastAsia="Times New Roman" w:cs="Times New Roman"/>
          <w:sz w:val="28"/>
          <w:szCs w:val="28"/>
          <w:lang w:eastAsia="ru-RU"/>
        </w:rPr>
        <w:t>DOI: 10.3390/nu10081000</w:t>
      </w:r>
    </w:p>
    <w:p w14:paraId="7E13C2E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Flores–Quijano M.E., Vega–Sánchez R., Tolentino–Dolores M.C., López Alarcón M.G., Flores–Urrutia M.C., López–Olvera A.D., Talavera J.O. Obesity is associated with changes in iron nutrition status and its homeostatic regulation in pregnancy // Nutrients.–2019.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.11.№3.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.693. </w:t>
      </w:r>
      <w:r>
        <w:rPr>
          <w:rFonts w:ascii="Times New Roman" w:hAnsi="Times New Roman" w:eastAsia="Times New Roman" w:cs="Times New Roman"/>
          <w:sz w:val="28"/>
          <w:szCs w:val="28"/>
          <w:lang w:eastAsia="ru-RU"/>
        </w:rPr>
        <w:t>DOI: 10.3390/nu11030693</w:t>
      </w:r>
    </w:p>
    <w:p w14:paraId="57296DD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Menzie C.M., Yanoff L.B., Denkinger B.I., McHugh T., Sebring N.G., Calis K.A., Yanovski J.A. Obesity–related hypoferremia is not explained by differences in reported intake of heme and nonheme iron or intake of dietary factors that can affect iron absorption // J Am Diet Assoc. –2008.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.108.№1.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.145–148. </w:t>
      </w:r>
      <w:r>
        <w:rPr>
          <w:rFonts w:ascii="Times New Roman" w:hAnsi="Times New Roman" w:eastAsia="Times New Roman" w:cs="Times New Roman"/>
          <w:sz w:val="28"/>
          <w:szCs w:val="28"/>
          <w:lang w:eastAsia="ru-RU"/>
        </w:rPr>
        <w:t>DOI: 10.1016/j.jada.2007.10.034</w:t>
      </w:r>
    </w:p>
    <w:p w14:paraId="6B673F0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Ganz T., Nemeth E. Hepcidin and iron homeostasis // Biochim Biophys Acta. –2012.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.1823.№9.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.1434–1443. </w:t>
      </w:r>
      <w:r>
        <w:rPr>
          <w:rFonts w:ascii="Times New Roman" w:hAnsi="Times New Roman" w:eastAsia="Times New Roman" w:cs="Times New Roman"/>
          <w:sz w:val="28"/>
          <w:szCs w:val="28"/>
          <w:lang w:eastAsia="ru-RU"/>
        </w:rPr>
        <w:t>DOI: 10.1146/annurev–med–043021–032816</w:t>
      </w:r>
    </w:p>
    <w:p w14:paraId="72EA91D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Nemeth E., Rivera S., Gabayan V., Keller C., Taudorf S., Pedersen B.K., Ganz T. IL–6 mediates hypoferremia of inflammation by inducing the synthesis of the iron regulatory hormone hepcidin // J Clin Invest.–2004.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.113.№9.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.1271–1276. </w:t>
      </w:r>
      <w:r>
        <w:rPr>
          <w:rFonts w:ascii="Times New Roman" w:hAnsi="Times New Roman" w:eastAsia="Times New Roman" w:cs="Times New Roman"/>
          <w:sz w:val="28"/>
          <w:szCs w:val="28"/>
          <w:lang w:eastAsia="ru-RU"/>
        </w:rPr>
        <w:t>DOI: 10.1172/JCI20945</w:t>
      </w:r>
    </w:p>
    <w:p w14:paraId="2BE8CC7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Ganz T., Nemeth E. Iron homeostasis in host defence and inflammation // Nat Rev Immunol.–2015.–</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.15.№8. </w:t>
      </w:r>
      <w:r>
        <w:rPr>
          <w:rFonts w:ascii="Times New Roman" w:hAnsi="Times New Roman" w:eastAsia="Times New Roman" w:cs="Times New Roman"/>
          <w:sz w:val="28"/>
          <w:szCs w:val="28"/>
          <w:lang w:eastAsia="ru-RU"/>
        </w:rPr>
        <w:t>Б.500–510. DOI: 10.1038/nri3863</w:t>
      </w:r>
    </w:p>
    <w:p w14:paraId="1CF93E2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Bah A., Pasricha S.R., Jallow M.W., Sise E.A., Wegmuller R., Armitage A.E., Drakesmith H., Moore S.E., Prentice A.M. Serum hepcidin concentrations decline during pregnancy and may identify iron deficiency: analysis of a longitudinal pregnancy cohort in The Gambia // J Nutr.–2017.–V.147.–№6.–</w:t>
      </w:r>
      <w:r>
        <w:rPr>
          <w:rFonts w:ascii="Times New Roman" w:hAnsi="Times New Roman" w:eastAsia="Times New Roman" w:cs="Times New Roman"/>
          <w:sz w:val="28"/>
          <w:szCs w:val="28"/>
          <w:lang w:eastAsia="ru-RU"/>
        </w:rPr>
        <w:t>Р</w:t>
      </w:r>
      <w:r>
        <w:rPr>
          <w:rFonts w:ascii="Times New Roman" w:hAnsi="Times New Roman" w:eastAsia="Times New Roman" w:cs="Times New Roman"/>
          <w:sz w:val="28"/>
          <w:szCs w:val="28"/>
          <w:lang w:val="en-US" w:eastAsia="ru-RU"/>
        </w:rPr>
        <w:t xml:space="preserve">.1131–1137. </w:t>
      </w:r>
      <w:r>
        <w:rPr>
          <w:rFonts w:ascii="Times New Roman" w:hAnsi="Times New Roman" w:eastAsia="Times New Roman" w:cs="Times New Roman"/>
          <w:sz w:val="28"/>
          <w:szCs w:val="28"/>
          <w:lang w:eastAsia="ru-RU"/>
        </w:rPr>
        <w:t>DOI: 10.3945/jn.116.245373</w:t>
      </w:r>
    </w:p>
    <w:p w14:paraId="20D27C9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Van Santen S., Kroot J.J.C., Zijderveld G., Wiegerinck E.T., Spaanderman M.E.A., Swinkels D.W. The iron regulatory hormone hepcidin is decreased in pregnancy: a prospective longitudinal study // Clin Chem Lab Med. –2013.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.51.–№7.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.1395–1401. </w:t>
      </w:r>
      <w:r>
        <w:rPr>
          <w:rFonts w:ascii="Times New Roman" w:hAnsi="Times New Roman" w:eastAsia="Times New Roman" w:cs="Times New Roman"/>
          <w:sz w:val="28"/>
          <w:szCs w:val="28"/>
          <w:lang w:eastAsia="ru-RU"/>
        </w:rPr>
        <w:t>DOI: 10.1515/cclm–2012–0576</w:t>
      </w:r>
    </w:p>
    <w:p w14:paraId="4601A01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Fisher A.L., Nemeth E. Iron homeostasis during pregnancy // Am J Clin Nutr.–2017.–</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.106.–№6.–</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.1567–1574. </w:t>
      </w:r>
      <w:r>
        <w:rPr>
          <w:rFonts w:ascii="Times New Roman" w:hAnsi="Times New Roman" w:eastAsia="Times New Roman" w:cs="Times New Roman"/>
          <w:sz w:val="28"/>
          <w:szCs w:val="28"/>
          <w:lang w:eastAsia="ru-RU"/>
        </w:rPr>
        <w:t>DOI: 10.3945/ajcn.117.155812</w:t>
      </w:r>
    </w:p>
    <w:p w14:paraId="47667A6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Thangaratinam S., Rogozinska E., Jolly K., Glinkowski S., Duda ´ W. Borowiack E., Roseboom T., Tomlinson J., Walczak J., Kunz R., et al. Interventions to reduce or prevent obesity in pregnant women: a systematic review // Health Technol Assess. –2012.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.16.–№31.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.191. </w:t>
      </w:r>
      <w:r>
        <w:rPr>
          <w:rFonts w:ascii="Times New Roman" w:hAnsi="Times New Roman" w:eastAsia="Times New Roman" w:cs="Times New Roman"/>
          <w:sz w:val="28"/>
          <w:szCs w:val="28"/>
          <w:lang w:eastAsia="ru-RU"/>
        </w:rPr>
        <w:t>DOI: 10.3310/hta16310</w:t>
      </w:r>
    </w:p>
    <w:p w14:paraId="41728D2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Stevens G.A., Finucane M.M., De–Regil L.M., Paciorek C.J., Flaxman, S.R., Branca, F., Peña–Rosas, J.P., Bhutta, Z.A., Ezzati, M. Global, regional, and national trends in haemoglobin concentration and prevalence of total and severe anaemia in children and pregnant and non–pregnant women for 1995–2011: A systematic analysis of population–representative data // Lancet Glob. </w:t>
      </w:r>
      <w:r>
        <w:rPr>
          <w:rFonts w:ascii="Times New Roman" w:hAnsi="Times New Roman" w:eastAsia="Times New Roman" w:cs="Times New Roman"/>
          <w:sz w:val="28"/>
          <w:szCs w:val="28"/>
          <w:lang w:eastAsia="ru-RU"/>
        </w:rPr>
        <w:t>Health. –2013. –Т.1. –Б.16–25. DOI: 10.1016/S2214–109X(13)70001–9</w:t>
      </w:r>
    </w:p>
    <w:p w14:paraId="629E9CF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Объединенная комиссия по качеству медицинских услуг Министерства здравоохранения Республики Казахстан от «30» октября 2020 года, Протокол №119.  Дефицитные анемии у беременных. </w:t>
      </w:r>
      <w:r>
        <w:fldChar w:fldCharType="begin"/>
      </w:r>
      <w:r>
        <w:instrText xml:space="preserve"> HYPERLINK "https://diseases.medelement.com/disease/дефицитные–анемии–у–беременных–2019/16507" </w:instrText>
      </w:r>
      <w:r>
        <w:fldChar w:fldCharType="separate"/>
      </w:r>
      <w:r>
        <w:rPr>
          <w:rFonts w:ascii="Times New Roman" w:hAnsi="Times New Roman" w:eastAsia="Times New Roman" w:cs="Times New Roman"/>
          <w:color w:val="0000FF"/>
          <w:sz w:val="28"/>
          <w:szCs w:val="28"/>
          <w:u w:val="single"/>
          <w:lang w:eastAsia="ru-RU"/>
        </w:rPr>
        <w:t>https://diseases.medelement.com/disease/дефицитные–анемии–у–беременных–2019/16507</w:t>
      </w:r>
      <w:r>
        <w:rPr>
          <w:rFonts w:ascii="Times New Roman" w:hAnsi="Times New Roman" w:eastAsia="Times New Roman" w:cs="Times New Roman"/>
          <w:color w:val="0000FF"/>
          <w:sz w:val="28"/>
          <w:szCs w:val="28"/>
          <w:u w:val="single"/>
          <w:lang w:eastAsia="ru-RU"/>
        </w:rPr>
        <w:fldChar w:fldCharType="end"/>
      </w:r>
      <w:r>
        <w:rPr>
          <w:rFonts w:ascii="Times New Roman" w:hAnsi="Times New Roman" w:eastAsia="Times New Roman" w:cs="Times New Roman"/>
          <w:sz w:val="28"/>
          <w:szCs w:val="28"/>
          <w:lang w:eastAsia="ru-RU"/>
        </w:rPr>
        <w:t xml:space="preserve"> (қолданылған күні: 30.02.2021).</w:t>
      </w:r>
    </w:p>
    <w:p w14:paraId="79F86A3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ЮНЕСКО: Анализ положения детей и женщин в Республике Казахстан. – Казахстан: –2011. –Б.16.</w:t>
      </w:r>
    </w:p>
    <w:p w14:paraId="4A10EDC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sz w:val="28"/>
          <w:szCs w:val="28"/>
          <w:lang w:val="en-US" w:eastAsia="ru-RU"/>
        </w:rPr>
        <w:t xml:space="preserve">Yip R. Binkin N.J., Fleshood L., Trowbridge F.L. Declining prevalence of anemia among low–income children in the United States // J. Am. Med. </w:t>
      </w:r>
      <w:r>
        <w:rPr>
          <w:rFonts w:ascii="Times New Roman" w:hAnsi="Times New Roman" w:eastAsia="Times New Roman" w:cs="Times New Roman"/>
          <w:sz w:val="28"/>
          <w:szCs w:val="28"/>
          <w:lang w:eastAsia="ru-RU"/>
        </w:rPr>
        <w:t xml:space="preserve">Assoc. –1987. –Т.258. –Б. 1619–1623. </w:t>
      </w:r>
    </w:p>
    <w:p w14:paraId="067E743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Bothwell, T.H. Iron requirements in pregnancy and strategies to meet them // Am. J. Clin. </w:t>
      </w:r>
      <w:r>
        <w:rPr>
          <w:rFonts w:ascii="Times New Roman" w:hAnsi="Times New Roman" w:eastAsia="Times New Roman" w:cs="Times New Roman"/>
          <w:sz w:val="28"/>
          <w:szCs w:val="28"/>
          <w:lang w:eastAsia="ru-RU"/>
        </w:rPr>
        <w:t>Nutr. –2000. –Т.72. –Б.257–264. DOI: 10.1093/ajcn/72.1.257S</w:t>
      </w:r>
    </w:p>
    <w:p w14:paraId="3C3D06B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Lynch S., Pfeiffer C.M., Georgieff M.K., Brittenham G., Fairweather–Tait S., Hurrell R.F., McArdle H.J., Raiten D.J. Biomarkers of Nutrition for Development (BOND)—Iron Review // J. Nutr. –2018.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.148.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.1001–1067.  </w:t>
      </w:r>
      <w:r>
        <w:rPr>
          <w:rFonts w:ascii="Times New Roman" w:hAnsi="Times New Roman" w:eastAsia="Times New Roman" w:cs="Times New Roman"/>
          <w:sz w:val="28"/>
          <w:szCs w:val="28"/>
          <w:lang w:eastAsia="ru-RU"/>
        </w:rPr>
        <w:t>DOI: 10.1093/jn/nxx036</w:t>
      </w:r>
    </w:p>
    <w:p w14:paraId="0C36B4A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Milman N., Byg K.–E., Agger A.O. Hemoglobin and erythrocyte indices during normal pregnancy and postpartum in 206 women with and without iron supplementation // Acta Obstet. </w:t>
      </w:r>
      <w:r>
        <w:rPr>
          <w:rFonts w:ascii="Times New Roman" w:hAnsi="Times New Roman" w:eastAsia="Times New Roman" w:cs="Times New Roman"/>
          <w:sz w:val="28"/>
          <w:szCs w:val="28"/>
          <w:lang w:eastAsia="ru-RU"/>
        </w:rPr>
        <w:t>Gynecol. Scand.–2000. –Т.79. –Б.89–98. DOI: 10.1034/j.1600–0412.2000.079002089.x</w:t>
      </w:r>
    </w:p>
    <w:p w14:paraId="29BD4A4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Peña–Rosas J.P., De–Regil L.M., Garcia–Casal M.N., Dowswell T. Daily oral iron supplementation during pregnancy // Cochrane Database Syst. </w:t>
      </w:r>
      <w:r>
        <w:rPr>
          <w:rFonts w:ascii="Times New Roman" w:hAnsi="Times New Roman" w:eastAsia="Times New Roman" w:cs="Times New Roman"/>
          <w:sz w:val="28"/>
          <w:szCs w:val="28"/>
          <w:lang w:eastAsia="ru-RU"/>
        </w:rPr>
        <w:t>Rev. –2015. –Б.527 DOI: 10.1002/14651858.CD004736.pub5</w:t>
      </w:r>
    </w:p>
    <w:p w14:paraId="5DD756F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Medicine Chinese Society of Perinatal. Guideline for diagnosis  and treatment of iron deficiency and iron deficiency anemia in pregnancy // Chin J Perinat Med. –2014.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.17.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.451</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454. </w:t>
      </w:r>
      <w:r>
        <w:rPr>
          <w:rFonts w:ascii="Times New Roman" w:hAnsi="Times New Roman" w:eastAsia="Times New Roman" w:cs="Times New Roman"/>
          <w:sz w:val="28"/>
          <w:szCs w:val="28"/>
          <w:lang w:eastAsia="ru-RU"/>
        </w:rPr>
        <w:t>DOI: 10.3760/cma.j.issn.1007–9408.2014.07.006.</w:t>
      </w:r>
    </w:p>
    <w:p w14:paraId="292F2A8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Brabin B.J., Premji Z., Verhoeff F. An Analysis of Anemia and Child Mortality. </w:t>
      </w:r>
      <w:r>
        <w:rPr>
          <w:rFonts w:ascii="Times New Roman" w:hAnsi="Times New Roman" w:eastAsia="Times New Roman" w:cs="Times New Roman"/>
          <w:sz w:val="28"/>
          <w:szCs w:val="28"/>
          <w:lang w:eastAsia="ru-RU"/>
        </w:rPr>
        <w:t>J. Nutr.–2001.–Т.131.–Б.636–648. DOI: 10.1093/jn/131.2.636S</w:t>
      </w:r>
    </w:p>
    <w:p w14:paraId="117F41C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eastAsia="ru-RU"/>
        </w:rPr>
        <w:t xml:space="preserve"> Daru J., Zamora J., Fernández–Félix B.M., Vogel J., Oladapo O.T., Morisaki, N., Tunçalp Ö., Torloni M.R., Mittal S., Jayaratne K., et al. </w:t>
      </w:r>
      <w:r>
        <w:rPr>
          <w:rFonts w:ascii="Times New Roman" w:hAnsi="Times New Roman" w:eastAsia="Times New Roman" w:cs="Times New Roman"/>
          <w:sz w:val="28"/>
          <w:szCs w:val="28"/>
          <w:lang w:val="en-US" w:eastAsia="ru-RU"/>
        </w:rPr>
        <w:t>Risk of maternal mortality in women with severe anaemia during pregnancy and post partum: A multilevel analysis.Lancet Glob. Health. – 2018.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.6.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.548–554. DOI: 10.1016/S2214–109X(18)30078–0</w:t>
      </w:r>
    </w:p>
    <w:p w14:paraId="5A0A523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Anderson A.K. Prevalence of anemia, overweight/Obesity, and hypertension and diabetes among residents of selected communities in Ghana. </w:t>
      </w:r>
      <w:r>
        <w:rPr>
          <w:rFonts w:ascii="Times New Roman" w:hAnsi="Times New Roman" w:eastAsia="Times New Roman" w:cs="Times New Roman"/>
          <w:sz w:val="28"/>
          <w:szCs w:val="28"/>
          <w:lang w:eastAsia="ru-RU"/>
        </w:rPr>
        <w:t>Int J Chronic Dis. – 2017. 2017:7836019. DOI: 10.1155/2017/7836019</w:t>
      </w:r>
    </w:p>
    <w:p w14:paraId="5901F92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Rao R., Georgieff M.K. Iron in fetal and neonatal nutrition. Semin Fetal Neonatal Med. – 2007.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.12.-</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.54–63. </w:t>
      </w:r>
      <w:r>
        <w:rPr>
          <w:rFonts w:ascii="Times New Roman" w:hAnsi="Times New Roman" w:eastAsia="Times New Roman" w:cs="Times New Roman"/>
          <w:sz w:val="28"/>
          <w:szCs w:val="28"/>
          <w:lang w:eastAsia="ru-RU"/>
        </w:rPr>
        <w:t>DOI: 10.1016/j.siny.2006.10.007</w:t>
      </w:r>
    </w:p>
    <w:p w14:paraId="3BC024D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Christian P., Stewart C.P. Maternal micronutrient deficiency, fetal development, and the risk of chronic disease. </w:t>
      </w:r>
      <w:r>
        <w:rPr>
          <w:rFonts w:ascii="Times New Roman" w:hAnsi="Times New Roman" w:eastAsia="Times New Roman" w:cs="Times New Roman"/>
          <w:sz w:val="28"/>
          <w:szCs w:val="28"/>
          <w:lang w:eastAsia="ru-RU"/>
        </w:rPr>
        <w:t>J Nutr. – 2010. -Т.140.-Б.437–445. DOI: 10.3945/jn.109.116327</w:t>
      </w:r>
    </w:p>
    <w:p w14:paraId="5551ED2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Shamah–Levy. T., Villalpando S., Mundo–Rosas V., De la Cruz–Góngora V., Mejía–Rodríguez F., Méndez Gómez–Humarán I. Prevalence of anemia in reproductive–age Mexican women. </w:t>
      </w:r>
      <w:r>
        <w:rPr>
          <w:rFonts w:ascii="Times New Roman" w:hAnsi="Times New Roman" w:eastAsia="Times New Roman" w:cs="Times New Roman"/>
          <w:sz w:val="28"/>
          <w:szCs w:val="28"/>
          <w:lang w:eastAsia="ru-RU"/>
        </w:rPr>
        <w:t xml:space="preserve">Salud Publica Mex. – 2013. </w:t>
      </w:r>
    </w:p>
    <w:p w14:paraId="4303A89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Instituto Nacional de Salud Pública y Secretaría de Salud de México Encuesta Nacional de Salud y Nutrición de Medio Camino 2016 (ENSANUT 2016) Informe Final de Resultados. http://transparencia.insp.mx/2017/auditorias–insp/12701_Resultados_Encuesta_ ENSANUT_MC2016.pdf (</w:t>
      </w:r>
      <w:r>
        <w:rPr>
          <w:rFonts w:ascii="Times New Roman" w:hAnsi="Times New Roman" w:eastAsia="Times New Roman" w:cs="Times New Roman"/>
          <w:sz w:val="28"/>
          <w:szCs w:val="28"/>
          <w:lang w:eastAsia="ru-RU"/>
        </w:rPr>
        <w:t>қолданылған</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күні</w:t>
      </w:r>
      <w:r>
        <w:rPr>
          <w:rFonts w:ascii="Times New Roman" w:hAnsi="Times New Roman" w:eastAsia="Times New Roman" w:cs="Times New Roman"/>
          <w:sz w:val="28"/>
          <w:szCs w:val="28"/>
          <w:lang w:val="en-US" w:eastAsia="ru-RU"/>
        </w:rPr>
        <w:t>: 30.05.2024</w:t>
      </w:r>
      <w:r>
        <w:rPr>
          <w:rFonts w:ascii="Times New Roman" w:hAnsi="Times New Roman" w:eastAsia="Times New Roman" w:cs="Times New Roman"/>
          <w:sz w:val="28"/>
          <w:szCs w:val="28"/>
          <w:lang w:eastAsia="ru-RU"/>
        </w:rPr>
        <w:t>ж</w:t>
      </w:r>
      <w:r>
        <w:rPr>
          <w:rFonts w:ascii="Times New Roman" w:hAnsi="Times New Roman" w:eastAsia="Times New Roman" w:cs="Times New Roman"/>
          <w:sz w:val="28"/>
          <w:szCs w:val="28"/>
          <w:lang w:val="en-US" w:eastAsia="ru-RU"/>
        </w:rPr>
        <w:t>).</w:t>
      </w:r>
    </w:p>
    <w:p w14:paraId="7E6878C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Swinburn B.A., Sacks G., Hall K.D., McPherson K., Finegood D.T., Moodie M.L., Gortmaker S.L. The global obesity pandemic: Shaped by global drivers and local environments. </w:t>
      </w:r>
      <w:r>
        <w:rPr>
          <w:rFonts w:ascii="Times New Roman" w:hAnsi="Times New Roman" w:eastAsia="Times New Roman" w:cs="Times New Roman"/>
          <w:sz w:val="28"/>
          <w:szCs w:val="28"/>
          <w:lang w:eastAsia="ru-RU"/>
        </w:rPr>
        <w:t>Lancet. – 2011. – Т.378. – Б. 804–814. DOI: 10.1016/S0140–6736(11)60813–1</w:t>
      </w:r>
    </w:p>
    <w:p w14:paraId="08ED8FA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Bentham J., Cesare D., Bllano M., Boddy V., LM and NCD–RisC Group. Worldwide trends in children’s and adolescents’ body mass index, underweight and obesity, in comparison with adults, from 1975 to 2016: A pooled analysis of 2416 population–based measurement studies with 128.9 million participants. </w:t>
      </w:r>
      <w:r>
        <w:rPr>
          <w:rFonts w:ascii="Times New Roman" w:hAnsi="Times New Roman" w:eastAsia="Times New Roman" w:cs="Times New Roman"/>
          <w:sz w:val="28"/>
          <w:szCs w:val="28"/>
          <w:lang w:eastAsia="ru-RU"/>
        </w:rPr>
        <w:t>Lancet. – 2017. – Т.390. – Б. 2627–2642.</w:t>
      </w:r>
    </w:p>
    <w:p w14:paraId="1CABF5B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eastAsia="ru-RU"/>
        </w:rPr>
        <w:t xml:space="preserve"> Bhowmik B., Munir S.B., Diep L.M., Siddiquee T., Habib S.H., Samad M.A., et al. </w:t>
      </w:r>
      <w:r>
        <w:rPr>
          <w:rFonts w:ascii="Times New Roman" w:hAnsi="Times New Roman" w:eastAsia="Times New Roman" w:cs="Times New Roman"/>
          <w:sz w:val="28"/>
          <w:szCs w:val="28"/>
          <w:lang w:val="en-US" w:eastAsia="ru-RU"/>
        </w:rPr>
        <w:t>Anthropometric indicators of obesity for identifying cardiometabolic risk factors in a rural Bangladeshi population. J Diabetes Investig. – 2013.-4.-</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.361</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368.</w:t>
      </w:r>
    </w:p>
    <w:p w14:paraId="0BFE72B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Lear S.A., Teo K., Gasevic D., Zhang X., Poirier P.P., Rangarajan S., et al. The association between ownership of common household devices and obesity and diabetes in high, middle and low income countries. </w:t>
      </w:r>
      <w:r>
        <w:rPr>
          <w:rFonts w:ascii="Times New Roman" w:hAnsi="Times New Roman" w:eastAsia="Times New Roman" w:cs="Times New Roman"/>
          <w:sz w:val="28"/>
          <w:szCs w:val="28"/>
          <w:lang w:eastAsia="ru-RU"/>
        </w:rPr>
        <w:t>CMAJ. – 2014.-Т.186. – P. 258</w:t>
      </w:r>
      <w:r>
        <w:rPr>
          <w:rFonts w:ascii="Times New Roman" w:hAnsi="Times New Roman" w:eastAsia="Times New Roman" w:cs="Times New Roman"/>
          <w:sz w:val="28"/>
          <w:szCs w:val="28"/>
          <w:lang w:eastAsia="ru-RU"/>
        </w:rPr>
        <w:noBreakHyphen/>
      </w:r>
      <w:r>
        <w:rPr>
          <w:rFonts w:ascii="Times New Roman" w:hAnsi="Times New Roman" w:eastAsia="Times New Roman" w:cs="Times New Roman"/>
          <w:sz w:val="28"/>
          <w:szCs w:val="28"/>
          <w:lang w:eastAsia="ru-RU"/>
        </w:rPr>
        <w:t>266. DOI: 10.1503/cmaj.131090</w:t>
      </w:r>
    </w:p>
    <w:p w14:paraId="3B833B9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WHO. Population–Based Approaches to Childhood Obesity Prevention; WHO: Geneva, Switzerland. – 2012.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1–45. </w:t>
      </w:r>
    </w:p>
    <w:p w14:paraId="349194F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Kominiarek M.A., PeaemanA.M. Gestational weight gain. Am. J. Obstet. Gynecol. – 2017.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.217.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642–651. </w:t>
      </w:r>
    </w:p>
    <w:p w14:paraId="500C159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Wellman N.S., Friedberg B. Causes and consequences of adult obesity: Health, social and economic impacts in the United States. </w:t>
      </w:r>
      <w:r>
        <w:rPr>
          <w:rFonts w:ascii="Times New Roman" w:hAnsi="Times New Roman" w:eastAsia="Times New Roman" w:cs="Times New Roman"/>
          <w:sz w:val="28"/>
          <w:szCs w:val="28"/>
          <w:lang w:eastAsia="ru-RU"/>
        </w:rPr>
        <w:t xml:space="preserve">Asia Pac. J. Clin. Nutr. – 2002. – Т.11. – Б. 705–709. </w:t>
      </w:r>
    </w:p>
    <w:p w14:paraId="7AA5A14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Khambule L., Anna George J,. Reviews on Biomarker Studies of Metabolic and Metabolism–Related Disorders. 12 The role of Inflammation in the developement of GDM and the use of Markers of Inflammation in GDM screening. </w:t>
      </w:r>
      <w:r>
        <w:rPr>
          <w:rFonts w:ascii="Times New Roman" w:hAnsi="Times New Roman" w:eastAsia="Times New Roman" w:cs="Times New Roman"/>
          <w:sz w:val="28"/>
          <w:szCs w:val="28"/>
          <w:lang w:eastAsia="ru-RU"/>
        </w:rPr>
        <w:t xml:space="preserve">Adv. Exp. Med. Biol. – 2019. – Б. 217–242. </w:t>
      </w:r>
    </w:p>
    <w:p w14:paraId="3F2986C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Korlesky C., Kling P.J., Pham D.Q.D., Ovasapyan A.A., Leyns C.E.G., Weber M.B., Coe C.L., Cord Blood Erythropoietin and Hepcidin Reflect Lower Newborn Iron Stores due to Maternal Obesity during Pregnancy. </w:t>
      </w:r>
      <w:r>
        <w:rPr>
          <w:rFonts w:ascii="Times New Roman" w:hAnsi="Times New Roman" w:eastAsia="Times New Roman" w:cs="Times New Roman"/>
          <w:sz w:val="28"/>
          <w:szCs w:val="28"/>
          <w:lang w:eastAsia="ru-RU"/>
        </w:rPr>
        <w:t>Am. J. Perinatol. – 2018. – Т.36. – Б. 511–516. DOI: 10.1055/s–0038–1669444</w:t>
      </w:r>
    </w:p>
    <w:p w14:paraId="372338C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Chen A., Feresu S.A., Fernandez C., Rogan W.J., Maternal Obesity and the Risk of Infant Death in the United States. </w:t>
      </w:r>
      <w:r>
        <w:rPr>
          <w:rFonts w:ascii="Times New Roman" w:hAnsi="Times New Roman" w:eastAsia="Times New Roman" w:cs="Times New Roman"/>
          <w:sz w:val="28"/>
          <w:szCs w:val="28"/>
          <w:lang w:eastAsia="ru-RU"/>
        </w:rPr>
        <w:t>Epidemiology. – 2009. –Т.20. – Б. 74–81. DOI: 10.1097/EDE.0b013e3181878645</w:t>
      </w:r>
    </w:p>
    <w:p w14:paraId="5D454F7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Kristensen J., Vestergaard M., Wisborg K., Kesmodel U., Secher J. Pre–pregnancy weight and the risk of stillbirth and neonatal death. </w:t>
      </w:r>
      <w:r>
        <w:rPr>
          <w:rFonts w:ascii="Times New Roman" w:hAnsi="Times New Roman" w:eastAsia="Times New Roman" w:cs="Times New Roman"/>
          <w:sz w:val="28"/>
          <w:szCs w:val="28"/>
          <w:lang w:eastAsia="ru-RU"/>
        </w:rPr>
        <w:t>Int. J. Obstet. Gyneacol. – 2005. – Т.112. – Б. 403–408. DOI: 10.1111/j.1471–0528.2005.00437.x</w:t>
      </w:r>
    </w:p>
    <w:p w14:paraId="4706F5D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Ovesen P., Rasmussen S., Kesmodel U. Effect of Prepregnancy Maternal Overweight and Obesity on Pregnancy Outcome. </w:t>
      </w:r>
      <w:r>
        <w:rPr>
          <w:rFonts w:ascii="Times New Roman" w:hAnsi="Times New Roman" w:eastAsia="Times New Roman" w:cs="Times New Roman"/>
          <w:sz w:val="28"/>
          <w:szCs w:val="28"/>
          <w:lang w:eastAsia="ru-RU"/>
        </w:rPr>
        <w:t>Obstet. Gynecol. – 2011. – Т.118. – Б. 305–312. DOI: 10.1097/AOG.0b013e3182245d49</w:t>
      </w:r>
    </w:p>
    <w:p w14:paraId="71119F2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Nohr E.A., Timpson N.J., Andersen C.S., Smith G.D., Olsen J., Sørensen, T.I.A. Severe Obesity in Young Women and Reproductive Health: The Danish National Birth Cohort. </w:t>
      </w:r>
      <w:r>
        <w:rPr>
          <w:rFonts w:ascii="Times New Roman" w:hAnsi="Times New Roman" w:eastAsia="Times New Roman" w:cs="Times New Roman"/>
          <w:sz w:val="28"/>
          <w:szCs w:val="28"/>
          <w:lang w:eastAsia="ru-RU"/>
        </w:rPr>
        <w:t>PLoS ONE. – 2009. – 4. – e8444. DOI: 10.1371/journal.pone.0008444</w:t>
      </w:r>
    </w:p>
    <w:p w14:paraId="4C14876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Leddy M.A., Power M.L., Schulkin J. Impact of maternal obesity on fetal health. </w:t>
      </w:r>
      <w:r>
        <w:rPr>
          <w:rFonts w:ascii="Times New Roman" w:hAnsi="Times New Roman" w:eastAsia="Times New Roman" w:cs="Times New Roman"/>
          <w:sz w:val="28"/>
          <w:szCs w:val="28"/>
          <w:lang w:eastAsia="ru-RU"/>
        </w:rPr>
        <w:t>Rev. Obstet. Gynecol. – 2008. – Т.1. – Б. 170–178.</w:t>
      </w:r>
    </w:p>
    <w:p w14:paraId="4A9B05E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Radulescu L., Munteanu O., Popa F., Cirstoiu M. The implications and consequences of maternal obesity on fetal intrauterine growth restriction. </w:t>
      </w:r>
      <w:r>
        <w:rPr>
          <w:rFonts w:ascii="Times New Roman" w:hAnsi="Times New Roman" w:eastAsia="Times New Roman" w:cs="Times New Roman"/>
          <w:sz w:val="28"/>
          <w:szCs w:val="28"/>
          <w:lang w:eastAsia="ru-RU"/>
        </w:rPr>
        <w:t>J. Med. Life. – 2013. – Т.6. – Б. 292–298.</w:t>
      </w:r>
    </w:p>
    <w:p w14:paraId="383D80E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Farpour–Lambert N.J., Ells L.J., Martinez de Tejada B., Scott C. Obesity and Weight Gain in Pregnancy and Postpartum: An Evidence Review of Lifestyle Interventions to Inform Maternal and Child Health Policies. </w:t>
      </w:r>
      <w:r>
        <w:rPr>
          <w:rFonts w:ascii="Times New Roman" w:hAnsi="Times New Roman" w:eastAsia="Times New Roman" w:cs="Times New Roman"/>
          <w:sz w:val="28"/>
          <w:szCs w:val="28"/>
          <w:lang w:eastAsia="ru-RU"/>
        </w:rPr>
        <w:t>Front. Endocrinol. – 2018. – Т.9. – Б.546. DOI: 10.3389/fendo.2018.00546</w:t>
      </w:r>
    </w:p>
    <w:p w14:paraId="2A87C51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Johnson C.D., Jones S., Paranjothy S. Reducing Low Birth Weight: Prioritizing Action to Address Modifiable Risk Factors. </w:t>
      </w:r>
      <w:r>
        <w:rPr>
          <w:rFonts w:ascii="Times New Roman" w:hAnsi="Times New Roman" w:eastAsia="Times New Roman" w:cs="Times New Roman"/>
          <w:sz w:val="28"/>
          <w:szCs w:val="28"/>
          <w:lang w:eastAsia="ru-RU"/>
        </w:rPr>
        <w:t>J. Public Health Oxf. Engl. – 2017. – Т.39. – Б. 122–131. DOI: 10.1093/pubmed/fdv212</w:t>
      </w:r>
    </w:p>
    <w:p w14:paraId="359FBCC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Akanmode A.M., Mahdy H. Macrosomia // In StatPearls; StatPearls Publishing: Treasure Island, FL, US. – 2020. – URL: https://www.statpearls.com/ArticleLibrary/viewarticle/XXXXX (</w:t>
      </w:r>
      <w:r>
        <w:rPr>
          <w:rFonts w:ascii="Times New Roman" w:hAnsi="Times New Roman" w:eastAsia="Times New Roman" w:cs="Times New Roman"/>
          <w:sz w:val="28"/>
          <w:szCs w:val="28"/>
          <w:lang w:eastAsia="ru-RU"/>
        </w:rPr>
        <w:t>қолданылған</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күні</w:t>
      </w:r>
      <w:r>
        <w:rPr>
          <w:rFonts w:ascii="Times New Roman" w:hAnsi="Times New Roman" w:eastAsia="Times New Roman" w:cs="Times New Roman"/>
          <w:sz w:val="28"/>
          <w:szCs w:val="28"/>
          <w:lang w:val="en-US" w:eastAsia="ru-RU"/>
        </w:rPr>
        <w:t>: 30.05.2024</w:t>
      </w:r>
      <w:r>
        <w:rPr>
          <w:rFonts w:ascii="Times New Roman" w:hAnsi="Times New Roman" w:eastAsia="Times New Roman" w:cs="Times New Roman"/>
          <w:sz w:val="28"/>
          <w:szCs w:val="28"/>
          <w:lang w:eastAsia="ru-RU"/>
        </w:rPr>
        <w:t>ж</w:t>
      </w:r>
      <w:r>
        <w:rPr>
          <w:rFonts w:ascii="Times New Roman" w:hAnsi="Times New Roman" w:eastAsia="Times New Roman" w:cs="Times New Roman"/>
          <w:sz w:val="28"/>
          <w:szCs w:val="28"/>
          <w:lang w:val="en-US" w:eastAsia="ru-RU"/>
        </w:rPr>
        <w:t>).</w:t>
      </w:r>
    </w:p>
    <w:p w14:paraId="4C1AAA9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Lewandowska M. The Role of Maternal Weight in the Hierarchy of Macrosomia Predictors; Overall Effect of Analysis of Three Prediction Indicators. </w:t>
      </w:r>
      <w:r>
        <w:rPr>
          <w:rFonts w:ascii="Times New Roman" w:hAnsi="Times New Roman" w:eastAsia="Times New Roman" w:cs="Times New Roman"/>
          <w:sz w:val="28"/>
          <w:szCs w:val="28"/>
          <w:lang w:eastAsia="ru-RU"/>
        </w:rPr>
        <w:t>Nutrients. – 2021. – Т.13. – Б. 801.  DOI: 10.3390/nu13030801</w:t>
      </w:r>
    </w:p>
    <w:p w14:paraId="36100DF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Howell K.R., Powell T.L. Effects of Maternal Obesity on Placental Function and Fetal Development. </w:t>
      </w:r>
      <w:r>
        <w:rPr>
          <w:rFonts w:ascii="Times New Roman" w:hAnsi="Times New Roman" w:eastAsia="Times New Roman" w:cs="Times New Roman"/>
          <w:sz w:val="28"/>
          <w:szCs w:val="28"/>
          <w:lang w:eastAsia="ru-RU"/>
        </w:rPr>
        <w:t>Reprod. Camb. Engl. – 2017. – Т.153. –Б.97–108.  DOI: 10.1530/REP–16–0495</w:t>
      </w:r>
    </w:p>
    <w:p w14:paraId="20F4C12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Dai R.X., He X.J., Hu C.L. Maternal Pre–Pregnancy Obesity and the Risk of Macrosomia: A Meta–Analysis. </w:t>
      </w:r>
      <w:r>
        <w:rPr>
          <w:rFonts w:ascii="Times New Roman" w:hAnsi="Times New Roman" w:eastAsia="Times New Roman" w:cs="Times New Roman"/>
          <w:sz w:val="28"/>
          <w:szCs w:val="28"/>
          <w:lang w:eastAsia="ru-RU"/>
        </w:rPr>
        <w:t>Arch. Gynecol. Obstet. – 2018. – Т.297. – Б. 139–145.  DOI: 10.1007/s00404–017–4573–8</w:t>
      </w:r>
    </w:p>
    <w:p w14:paraId="68A1E74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Burkhardt R., Hämmerle, C.H.F., Lang N.P., Research Group on Oral Soft Tissue Biology &amp; Wound Healing. Self–Reported Pain Perception of Patients after Mucosal Graft Harvesting in the Palatal Area. J. Clin. </w:t>
      </w:r>
      <w:r>
        <w:rPr>
          <w:rFonts w:ascii="Times New Roman" w:hAnsi="Times New Roman" w:eastAsia="Times New Roman" w:cs="Times New Roman"/>
          <w:sz w:val="28"/>
          <w:szCs w:val="28"/>
          <w:lang w:eastAsia="ru-RU"/>
        </w:rPr>
        <w:t>Periodontol. – 2015. – Т.42. – Б. 281–287. DOI: 10.1111/jcpe.12357</w:t>
      </w:r>
    </w:p>
    <w:p w14:paraId="2631816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w:t>
      </w:r>
      <w:bookmarkStart w:id="7" w:name="_Hlk163319466"/>
      <w:r>
        <w:rPr>
          <w:rFonts w:ascii="Times New Roman" w:hAnsi="Times New Roman" w:eastAsia="Times New Roman" w:cs="Times New Roman"/>
          <w:sz w:val="28"/>
          <w:szCs w:val="28"/>
          <w:lang w:val="en-US" w:eastAsia="ru-RU"/>
        </w:rPr>
        <w:t>Kinneret Tenenbaum–Gavish</w:t>
      </w:r>
      <w:bookmarkEnd w:id="7"/>
      <w:r>
        <w:rPr>
          <w:rFonts w:ascii="Times New Roman" w:hAnsi="Times New Roman" w:eastAsia="Times New Roman" w:cs="Times New Roman"/>
          <w:sz w:val="28"/>
          <w:szCs w:val="28"/>
          <w:lang w:val="en-US" w:eastAsia="ru-RU"/>
        </w:rPr>
        <w:t xml:space="preserve">, Moshe Hod; Impact of Maternal Obesity on Fetal Health. </w:t>
      </w:r>
      <w:r>
        <w:rPr>
          <w:rFonts w:ascii="Times New Roman" w:hAnsi="Times New Roman" w:eastAsia="Times New Roman" w:cs="Times New Roman"/>
          <w:sz w:val="28"/>
          <w:szCs w:val="28"/>
          <w:lang w:eastAsia="ru-RU"/>
        </w:rPr>
        <w:t xml:space="preserve">Fetal Diagn Ther 1 July. – 2013. – Т.34. –Б.1–7. </w:t>
      </w:r>
      <w:r>
        <w:fldChar w:fldCharType="begin"/>
      </w:r>
      <w:r>
        <w:instrText xml:space="preserve"> HYPERLINK "https://doi.org/10.1159/000350170" </w:instrText>
      </w:r>
      <w:r>
        <w:fldChar w:fldCharType="separate"/>
      </w:r>
      <w:r>
        <w:rPr>
          <w:rFonts w:ascii="Times New Roman" w:hAnsi="Times New Roman" w:eastAsia="Times New Roman" w:cs="Times New Roman"/>
          <w:color w:val="0000FF"/>
          <w:sz w:val="28"/>
          <w:szCs w:val="28"/>
          <w:u w:val="single"/>
          <w:lang w:eastAsia="ru-RU"/>
        </w:rPr>
        <w:t>DOI: 10.1159/000350170</w:t>
      </w:r>
      <w:r>
        <w:rPr>
          <w:rFonts w:ascii="Times New Roman" w:hAnsi="Times New Roman" w:eastAsia="Times New Roman" w:cs="Times New Roman"/>
          <w:color w:val="0000FF"/>
          <w:sz w:val="28"/>
          <w:szCs w:val="28"/>
          <w:u w:val="single"/>
          <w:lang w:eastAsia="ru-RU"/>
        </w:rPr>
        <w:fldChar w:fldCharType="end"/>
      </w:r>
      <w:r>
        <w:rPr>
          <w:rFonts w:ascii="Times New Roman" w:hAnsi="Times New Roman" w:eastAsia="Times New Roman" w:cs="Times New Roman"/>
          <w:sz w:val="28"/>
          <w:szCs w:val="28"/>
          <w:lang w:eastAsia="ru-RU"/>
        </w:rPr>
        <w:t xml:space="preserve">       </w:t>
      </w:r>
    </w:p>
    <w:p w14:paraId="543E2F9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Ausk K.J., Ioannou G.N. Is obesity associated with anemia of chronic disease? A population</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based study. Obesity (Silver Spring). – 2008.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.16.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.2356</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61. DOI: 10.1038/oby.2008.353.</w:t>
      </w:r>
    </w:p>
    <w:p w14:paraId="70B5D37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Del Giudice E.M., Santoro N., Amato A., Brienza C., Calabrò P., Wiegerinck E.T., et al. Hepcidin in obese children as a potential mediator of the association between obesity and iron deficiency. J Clin Endocrinol Metab. – 2009.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.94.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.5102</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5107. DOI: 10.1210/jc.2009–1361</w:t>
      </w:r>
    </w:p>
    <w:p w14:paraId="0A7F050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Benoist B.D., McLean E., Egll I., Cogswell M. Worldwide Prevalence of Anaemia 1993</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2005: WHO Global Database on Anaemia. Worldwide Prevalence of Anaemia 1993</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2005: WHO Global Database on Anaemia.–2008. </w:t>
      </w:r>
      <w:r>
        <w:fldChar w:fldCharType="begin"/>
      </w:r>
      <w:r>
        <w:instrText xml:space="preserve"> HYPERLINK "https://www.who.int/publications/i/item/9789241596657" </w:instrText>
      </w:r>
      <w:r>
        <w:fldChar w:fldCharType="separate"/>
      </w:r>
      <w:r>
        <w:rPr>
          <w:rFonts w:ascii="Times New Roman" w:hAnsi="Times New Roman" w:eastAsia="等线 Light" w:cs="Times New Roman"/>
          <w:color w:val="0000FF"/>
          <w:sz w:val="28"/>
          <w:szCs w:val="28"/>
          <w:u w:val="single"/>
          <w:lang w:val="en-US" w:eastAsia="ru-RU"/>
        </w:rPr>
        <w:t>https://www.who.int/publications/i/item/9789241596657</w:t>
      </w:r>
      <w:r>
        <w:rPr>
          <w:rFonts w:ascii="Times New Roman" w:hAnsi="Times New Roman" w:eastAsia="等线 Light" w:cs="Times New Roman"/>
          <w:color w:val="0000FF"/>
          <w:sz w:val="28"/>
          <w:szCs w:val="28"/>
          <w:u w:val="single"/>
          <w:lang w:val="en-US" w:eastAsia="ru-RU"/>
        </w:rPr>
        <w:fldChar w:fldCharType="end"/>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қолданылған</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күні</w:t>
      </w:r>
      <w:r>
        <w:rPr>
          <w:rFonts w:ascii="Times New Roman" w:hAnsi="Times New Roman" w:eastAsia="Times New Roman" w:cs="Times New Roman"/>
          <w:sz w:val="28"/>
          <w:szCs w:val="28"/>
          <w:lang w:val="en-US" w:eastAsia="ru-RU"/>
        </w:rPr>
        <w:t>: 30.05.2024</w:t>
      </w:r>
      <w:r>
        <w:rPr>
          <w:rFonts w:ascii="Times New Roman" w:hAnsi="Times New Roman" w:eastAsia="Times New Roman" w:cs="Times New Roman"/>
          <w:sz w:val="28"/>
          <w:szCs w:val="28"/>
          <w:lang w:eastAsia="ru-RU"/>
        </w:rPr>
        <w:t>ж</w:t>
      </w:r>
      <w:r>
        <w:rPr>
          <w:rFonts w:ascii="Times New Roman" w:hAnsi="Times New Roman" w:eastAsia="Times New Roman" w:cs="Times New Roman"/>
          <w:sz w:val="28"/>
          <w:szCs w:val="28"/>
          <w:lang w:val="en-US" w:eastAsia="ru-RU"/>
        </w:rPr>
        <w:t>).</w:t>
      </w:r>
    </w:p>
    <w:p w14:paraId="45F0B46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Zekanowska E., Boinska J., Giemza</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Kucharska P., Kwapisz J., Obesity and iron metabolism. </w:t>
      </w:r>
      <w:r>
        <w:rPr>
          <w:rFonts w:ascii="Times New Roman" w:hAnsi="Times New Roman" w:eastAsia="Times New Roman" w:cs="Times New Roman"/>
          <w:sz w:val="28"/>
          <w:szCs w:val="28"/>
          <w:lang w:eastAsia="ru-RU"/>
        </w:rPr>
        <w:t>BioTechnol J Biotechnol Comput Biol Bionanotechnol. – 2011. – Т.92. – Б. 147</w:t>
      </w:r>
      <w:r>
        <w:rPr>
          <w:rFonts w:ascii="Times New Roman" w:hAnsi="Times New Roman" w:eastAsia="Times New Roman" w:cs="Times New Roman"/>
          <w:sz w:val="28"/>
          <w:szCs w:val="28"/>
          <w:lang w:eastAsia="ru-RU"/>
        </w:rPr>
        <w:noBreakHyphen/>
      </w:r>
      <w:r>
        <w:rPr>
          <w:rFonts w:ascii="Times New Roman" w:hAnsi="Times New Roman" w:eastAsia="Times New Roman" w:cs="Times New Roman"/>
          <w:sz w:val="28"/>
          <w:szCs w:val="28"/>
          <w:lang w:eastAsia="ru-RU"/>
        </w:rPr>
        <w:t>152.</w:t>
      </w:r>
    </w:p>
    <w:p w14:paraId="3E45017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Low S., Chin M.C., Deurenberg</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Yap M. Review on epidemic of obesity. </w:t>
      </w:r>
      <w:r>
        <w:rPr>
          <w:rFonts w:ascii="Times New Roman" w:hAnsi="Times New Roman" w:eastAsia="Times New Roman" w:cs="Times New Roman"/>
          <w:sz w:val="28"/>
          <w:szCs w:val="28"/>
          <w:lang w:eastAsia="ru-RU"/>
        </w:rPr>
        <w:t>Ann Acad Med Singapore. – 2009. – Т.38. – Б.57</w:t>
      </w:r>
      <w:r>
        <w:rPr>
          <w:rFonts w:ascii="Times New Roman" w:hAnsi="Times New Roman" w:eastAsia="Times New Roman" w:cs="Times New Roman"/>
          <w:sz w:val="28"/>
          <w:szCs w:val="28"/>
          <w:lang w:eastAsia="ru-RU"/>
        </w:rPr>
        <w:noBreakHyphen/>
      </w:r>
      <w:r>
        <w:rPr>
          <w:rFonts w:ascii="Times New Roman" w:hAnsi="Times New Roman" w:eastAsia="Times New Roman" w:cs="Times New Roman"/>
          <w:sz w:val="28"/>
          <w:szCs w:val="28"/>
          <w:lang w:eastAsia="ru-RU"/>
        </w:rPr>
        <w:t>59.</w:t>
      </w:r>
    </w:p>
    <w:p w14:paraId="7855573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Ribot B., Ruiz</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Díez F., Abajo S., March G., Fargas F., Arija V., et al. Prevalence of anaemia, risk of haemoconcentration and risk factors during the three trimesters of pregnancy. Nutr Hosp. – 2018.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.35.-</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.123</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130. DOI: 10.20960/nh.1045</w:t>
      </w:r>
    </w:p>
    <w:p w14:paraId="7CFED86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Habib M.A., Raynes</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Greenow C., Soofi S.B., Ali N., Nausheen S., Ahmed I., et al. Prevalence and determinants of iron deficiency anemia among non</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 xml:space="preserve">pregnant women of reproductive age in Pakistan. Asia Pac J Clin Nutr. – 2018.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.27.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195</w:t>
      </w:r>
      <w:r>
        <w:rPr>
          <w:rFonts w:ascii="Times New Roman" w:hAnsi="Times New Roman" w:eastAsia="Times New Roman" w:cs="Times New Roman"/>
          <w:sz w:val="28"/>
          <w:szCs w:val="28"/>
          <w:lang w:val="en-US" w:eastAsia="ru-RU"/>
        </w:rPr>
        <w:noBreakHyphen/>
      </w:r>
      <w:r>
        <w:rPr>
          <w:rFonts w:ascii="Times New Roman" w:hAnsi="Times New Roman" w:eastAsia="Times New Roman" w:cs="Times New Roman"/>
          <w:sz w:val="28"/>
          <w:szCs w:val="28"/>
          <w:lang w:val="en-US" w:eastAsia="ru-RU"/>
        </w:rPr>
        <w:t>203. DOI: 10.6133/apjcn.042017.14</w:t>
      </w:r>
    </w:p>
    <w:p w14:paraId="57C0CCF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Bodnar. L.M., Siega–Riz A.M., Miller W.C., Cogswell M.E., McDonald T. Who should be screened for postpartum anemia? An evaluation of current recommendations. Am. J. Epidemiol. – 2002.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156. – P. 903–912. </w:t>
      </w:r>
      <w:r>
        <w:rPr>
          <w:rFonts w:ascii="Times New Roman" w:hAnsi="Times New Roman" w:eastAsia="Times New Roman" w:cs="Times New Roman"/>
          <w:sz w:val="28"/>
          <w:szCs w:val="28"/>
          <w:lang w:eastAsia="ru-RU"/>
        </w:rPr>
        <w:t>DOI: 10.1093/aje/kwf134</w:t>
      </w:r>
    </w:p>
    <w:p w14:paraId="1A833E8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Bodnar L.M., Scanlon K.S., Freedman D.S., Siega–Riz A.M., Cogswell M.E. High prevalence of postpartum anemia among low–income women in the United States // Am. J. Obstet. </w:t>
      </w:r>
      <w:r>
        <w:rPr>
          <w:rFonts w:ascii="Times New Roman" w:hAnsi="Times New Roman" w:eastAsia="Times New Roman" w:cs="Times New Roman"/>
          <w:sz w:val="28"/>
          <w:szCs w:val="28"/>
          <w:lang w:eastAsia="ru-RU"/>
        </w:rPr>
        <w:t>Gynecol. — 2001. — Т. 185. — Б. 438–443. DOI: 10.1067/mob.2001.115996.</w:t>
      </w:r>
    </w:p>
    <w:p w14:paraId="38036A8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Bodnar L.M., Siega–Riz A.M., Cogswell M.E. High Prepregnancy BMI Increases the Risk of Postpartum Anemia // Obes. Res. — 2004.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12.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941–948. </w:t>
      </w:r>
      <w:r>
        <w:rPr>
          <w:rFonts w:ascii="Times New Roman" w:hAnsi="Times New Roman" w:eastAsia="Times New Roman" w:cs="Times New Roman"/>
          <w:sz w:val="28"/>
          <w:szCs w:val="28"/>
          <w:lang w:eastAsia="ru-RU"/>
        </w:rPr>
        <w:t>DOI: 10.1038/oby.2004.115.</w:t>
      </w:r>
    </w:p>
    <w:p w14:paraId="7619DB6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Dao M.C., Sen S., Iyer C., Klebenov D., Meydani S.N. Obesity during pregnancy and fetal iron status: Is Hepcidin the link? // J. Perinatol. — 2013.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33.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177–181. </w:t>
      </w:r>
      <w:r>
        <w:rPr>
          <w:rFonts w:ascii="Times New Roman" w:hAnsi="Times New Roman" w:eastAsia="Times New Roman" w:cs="Times New Roman"/>
          <w:sz w:val="28"/>
          <w:szCs w:val="28"/>
          <w:lang w:eastAsia="ru-RU"/>
        </w:rPr>
        <w:t>DOI: 10.1038/jp.2012.81.</w:t>
      </w:r>
    </w:p>
    <w:p w14:paraId="5903315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Chung B., Matak P., McKie A.T., Sharp P. Leptin Increases the Expression of the Iron Regulatory Hormone Hepcidin in HuH7 Human Hepatoma Cells // J. Nutr. — 2007.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137.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2366–2370. </w:t>
      </w:r>
      <w:r>
        <w:rPr>
          <w:rFonts w:ascii="Times New Roman" w:hAnsi="Times New Roman" w:eastAsia="Times New Roman" w:cs="Times New Roman"/>
          <w:sz w:val="28"/>
          <w:szCs w:val="28"/>
          <w:lang w:eastAsia="ru-RU"/>
        </w:rPr>
        <w:t>DOI: 10.1093/jn/137.11.2366.</w:t>
      </w:r>
    </w:p>
    <w:p w14:paraId="6A88F3E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Weiss G., Goodnough L.T. Anemia of Chronic Disease // N. Engl. J. Med. — 2005.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352.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1011–1023.</w:t>
      </w:r>
    </w:p>
    <w:p w14:paraId="2300E2B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Nemeth E., Tuttle M.S., Powelson J., Vaughn M.B., Donovan A., Ward D.M., Ganz T., Kaplan J. Hepcidin Regulates Cellular Iron Efflux by Binding to Ferroportin and Inducing Its Internalization // Science. — 2004.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306.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2090–2093. </w:t>
      </w:r>
      <w:r>
        <w:rPr>
          <w:rFonts w:ascii="Times New Roman" w:hAnsi="Times New Roman" w:eastAsia="Times New Roman" w:cs="Times New Roman"/>
          <w:sz w:val="28"/>
          <w:szCs w:val="28"/>
          <w:lang w:eastAsia="ru-RU"/>
        </w:rPr>
        <w:t>DOI: 10.1126/science.1104742.</w:t>
      </w:r>
    </w:p>
    <w:p w14:paraId="740585F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Nemeth E., Ganz T. Anemia of Inflammation // Hematol. Oncol. Clin. N. Am. — 2014.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28.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671–681. </w:t>
      </w:r>
      <w:r>
        <w:rPr>
          <w:rFonts w:ascii="Times New Roman" w:hAnsi="Times New Roman" w:eastAsia="Times New Roman" w:cs="Times New Roman"/>
          <w:sz w:val="28"/>
          <w:szCs w:val="28"/>
          <w:lang w:eastAsia="ru-RU"/>
        </w:rPr>
        <w:t>DOI: 10.1016/j.hoc.2014.04.005.</w:t>
      </w:r>
    </w:p>
    <w:p w14:paraId="12F1B45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Kautz L., Jung G., Valore E.V., Rivella S., Nemeth E., Ganz T. Identification of erythroferrone as an erythroid regulator of iron metabolism // Nat. </w:t>
      </w:r>
      <w:r>
        <w:rPr>
          <w:rFonts w:ascii="Times New Roman" w:hAnsi="Times New Roman" w:eastAsia="Times New Roman" w:cs="Times New Roman"/>
          <w:sz w:val="28"/>
          <w:szCs w:val="28"/>
          <w:lang w:eastAsia="ru-RU"/>
        </w:rPr>
        <w:t>Genet. — 2014. — Т. 46. — Б. 678–684. DOI: 10.1038/ng.2996.</w:t>
      </w:r>
    </w:p>
    <w:p w14:paraId="5D9F61D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Srole D.N., Ganz T. Erythroferrone structure, function, and physiology: Iron homeostasis and beyond // J. Cell. </w:t>
      </w:r>
      <w:r>
        <w:rPr>
          <w:rFonts w:ascii="Times New Roman" w:hAnsi="Times New Roman" w:eastAsia="Times New Roman" w:cs="Times New Roman"/>
          <w:sz w:val="28"/>
          <w:szCs w:val="28"/>
          <w:lang w:eastAsia="ru-RU"/>
        </w:rPr>
        <w:t>Physiol. — 2021. — Т. 236. — Б. 4888–4901. DOI: 10.1002/jcp.30247.</w:t>
      </w:r>
    </w:p>
    <w:p w14:paraId="467A3E5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Yudkin J.S., Stehouwer C.D.A., Emeis J.J., Coppack S.W. C–Reactive Protein in Healthy Subjects: Associations with Obesity, Insulin Resistance, and Endothelial Dysfunction: A Potential Role for Cytokines Originating From Adipose Tissue // Arterioscler. </w:t>
      </w:r>
      <w:r>
        <w:rPr>
          <w:rFonts w:ascii="Times New Roman" w:hAnsi="Times New Roman" w:eastAsia="Times New Roman" w:cs="Times New Roman"/>
          <w:sz w:val="28"/>
          <w:szCs w:val="28"/>
          <w:lang w:eastAsia="ru-RU"/>
        </w:rPr>
        <w:t>Thromb. Vasc. Biol. — 1999. — Т. 19. — Б. 972–978. DOI: 10.1161/01.atv.19.4.972.</w:t>
      </w:r>
    </w:p>
    <w:p w14:paraId="5AB66E6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Mohamed–Ali V., Goodrick S., Rawesh A., Katz D.R., Miles J.M., Yudkin J.S., Klein S., Coppack S.W. Subcutaneous adipose tissue releases interleukin–6, but not tumor necrosis factor–alpha, in vivo // J. Clin. </w:t>
      </w:r>
      <w:r>
        <w:rPr>
          <w:rFonts w:ascii="Times New Roman" w:hAnsi="Times New Roman" w:eastAsia="Times New Roman" w:cs="Times New Roman"/>
          <w:sz w:val="28"/>
          <w:szCs w:val="28"/>
          <w:lang w:eastAsia="ru-RU"/>
        </w:rPr>
        <w:t>Endocrinol. Metab. — 1997. — Vol. 82. — P. 4196–4200.</w:t>
      </w:r>
    </w:p>
    <w:p w14:paraId="23B5C38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Wrighting D.M., Andrews N.C. Interleukin–6 induces hepcidin expression through STAT3 // Blood. — 2006.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108.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3204–3209. </w:t>
      </w:r>
      <w:r>
        <w:rPr>
          <w:rFonts w:ascii="Times New Roman" w:hAnsi="Times New Roman" w:eastAsia="Times New Roman" w:cs="Times New Roman"/>
          <w:sz w:val="28"/>
          <w:szCs w:val="28"/>
          <w:lang w:eastAsia="ru-RU"/>
        </w:rPr>
        <w:t>DOI: 10.1182/blood–2006–06–027631.</w:t>
      </w:r>
    </w:p>
    <w:p w14:paraId="0F1BCE2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Рустембеккызы Z., Тайжанова D. Ассоциация прегестационного ожирения с развитием анемии во время беременности: обзор литературы // Репродуктивная медицина (Центральная Азия). – 2022. - Т.3(52). – Б.50–56. DOI:https://doi.org/10.37800/RM.3.2022.50-56.</w:t>
      </w:r>
    </w:p>
    <w:p w14:paraId="38C1083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Cao C., Pressman E.K., Cooper E.M., Guillet R., Westerman M., O’Brien K.O. Prepregnancy Body Mass Index and Gestational Weight Gain Have No Negative Impact on Maternal or Neonatal Iron Status // Reprod. </w:t>
      </w:r>
      <w:r>
        <w:rPr>
          <w:rFonts w:ascii="Times New Roman" w:hAnsi="Times New Roman" w:eastAsia="Times New Roman" w:cs="Times New Roman"/>
          <w:sz w:val="28"/>
          <w:szCs w:val="28"/>
          <w:lang w:eastAsia="ru-RU"/>
        </w:rPr>
        <w:t>Sci. — 2016. — Т. 23. — Б. 613–622. DOI: 10.1177/1933719115607976.</w:t>
      </w:r>
    </w:p>
    <w:p w14:paraId="6064C91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Rawal S., Hinkle S.N., Bao W., Zhu Y., Grewal J., Albert P.S., Weir N.L., Tsai M.Y., Zhang C. A longitudinal study of iron status during pregnancy and the risk of gestational diabetes: Findings from a prospective, multiracial cohort // Diabetologia. — 2017.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60.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249–257. </w:t>
      </w:r>
      <w:r>
        <w:rPr>
          <w:rFonts w:ascii="Times New Roman" w:hAnsi="Times New Roman" w:eastAsia="Times New Roman" w:cs="Times New Roman"/>
          <w:sz w:val="28"/>
          <w:szCs w:val="28"/>
          <w:lang w:eastAsia="ru-RU"/>
        </w:rPr>
        <w:t>DOI: 10.1007/s00125–016–4149–3.</w:t>
      </w:r>
    </w:p>
    <w:p w14:paraId="15848B5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Rehu M., Punnonen K., Ostland V., Heinonen S., Westerman M., Pulkki K., Sankilampi U. Maternal serum hepcidin is low at term and independent of cord blood iron status // Eur. J. Haematol. — 2010.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85.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345–352. </w:t>
      </w:r>
      <w:r>
        <w:rPr>
          <w:rFonts w:ascii="Times New Roman" w:hAnsi="Times New Roman" w:eastAsia="Times New Roman" w:cs="Times New Roman"/>
          <w:sz w:val="28"/>
          <w:szCs w:val="28"/>
          <w:lang w:eastAsia="ru-RU"/>
        </w:rPr>
        <w:t>DOI: 10.1111/j.1600–0609.2010.01479.x.</w:t>
      </w:r>
    </w:p>
    <w:p w14:paraId="18E37E9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Lee S., Guillet R., Cooper E.M., Westerman M., Orlando M., Pressman E., O’Brien K.O. Maternal inflammation at delivery affects assessment of maternal iron status // J. Nutr. — 2014.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144.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1524–1532. </w:t>
      </w:r>
      <w:r>
        <w:rPr>
          <w:rFonts w:ascii="Times New Roman" w:hAnsi="Times New Roman" w:eastAsia="Times New Roman" w:cs="Times New Roman"/>
          <w:sz w:val="28"/>
          <w:szCs w:val="28"/>
          <w:lang w:eastAsia="ru-RU"/>
        </w:rPr>
        <w:t>DOI: 10.3945/jn.114.193375.</w:t>
      </w:r>
    </w:p>
    <w:p w14:paraId="6A7B96A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Tussing–Humphreys L., Pusatcioglu C., Nemeth E., Braunschweig C. Rethinking iron regulation and assessment in iron deficiency, anemia of chronic disease, and obesity: Introducing hepcidin // J. Acad. </w:t>
      </w:r>
      <w:r>
        <w:rPr>
          <w:rFonts w:ascii="Times New Roman" w:hAnsi="Times New Roman" w:eastAsia="Times New Roman" w:cs="Times New Roman"/>
          <w:sz w:val="28"/>
          <w:szCs w:val="28"/>
          <w:lang w:eastAsia="ru-RU"/>
        </w:rPr>
        <w:t>Nutr. Diet. — 2012. — Т. 112(3). — Б. 391–400. DOI: 10.1016/j.jada.2011.08.038.</w:t>
      </w:r>
    </w:p>
    <w:p w14:paraId="225083C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Cepeda–Lopez A.C., Melse–Boonstra A., Zimmermann M.B., Herter Aeberli I. In overweight and obese women, dietary iron absorption is reduced and the enhancement of iron absorption by ascorbic acid is one–half that in normal–weight women // Am. J. Clin. </w:t>
      </w:r>
      <w:r>
        <w:rPr>
          <w:rFonts w:ascii="Times New Roman" w:hAnsi="Times New Roman" w:eastAsia="Times New Roman" w:cs="Times New Roman"/>
          <w:sz w:val="28"/>
          <w:szCs w:val="28"/>
          <w:lang w:eastAsia="ru-RU"/>
        </w:rPr>
        <w:t>Nutr. — 2015. — Т. 102(6) — Б. 1389–1397. DOI: 10.3945/ajcn.114.099218.</w:t>
      </w:r>
    </w:p>
    <w:p w14:paraId="05DC38B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Dao M.C., Meydani S.N. Iron biology, immunology, aging, and obesity: Four fields connected by the small peptide hormone hepcidin // Adv. </w:t>
      </w:r>
      <w:r>
        <w:rPr>
          <w:rFonts w:ascii="Times New Roman" w:hAnsi="Times New Roman" w:eastAsia="Times New Roman" w:cs="Times New Roman"/>
          <w:sz w:val="28"/>
          <w:szCs w:val="28"/>
          <w:lang w:eastAsia="ru-RU"/>
        </w:rPr>
        <w:t>Nutr. — 2013. — Т. 4 (6). — Б. 602–617. DOI: 10.3945/an.113.004424.</w:t>
      </w:r>
    </w:p>
    <w:p w14:paraId="6C78B2F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Cepeda–Lopez A.C., Allende–Labastida J., Melse–Boonstra A., Osendarp S.J., Herter–Aeberli I., Moretti D., Rodriguez–Lastra R., Gonzalez–Salazar F., Villalpando S., Zimmermann M.B. The effects of fat loss after bariatric surgery on inflammation, serum hepcidin, and iron absorption: A prospective 6–month iron stable isotope study // Am. J. Clin. </w:t>
      </w:r>
      <w:r>
        <w:rPr>
          <w:rFonts w:ascii="Times New Roman" w:hAnsi="Times New Roman" w:eastAsia="Times New Roman" w:cs="Times New Roman"/>
          <w:sz w:val="28"/>
          <w:szCs w:val="28"/>
          <w:lang w:eastAsia="ru-RU"/>
        </w:rPr>
        <w:t>Nutr. — 2016. — Т. 104(4). — Б. 1030–1038. DOI: 10.3945/ajcn.115.115592.</w:t>
      </w:r>
    </w:p>
    <w:p w14:paraId="6D77DDC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Kaner G., Pekcan A.G., Şarer Yürekli B.P. Effect of a weight loss intervention on iron parameters in overweight and obese Turkish women // Prog. </w:t>
      </w:r>
      <w:r>
        <w:rPr>
          <w:rFonts w:ascii="Times New Roman" w:hAnsi="Times New Roman" w:eastAsia="Times New Roman" w:cs="Times New Roman"/>
          <w:sz w:val="28"/>
          <w:szCs w:val="28"/>
          <w:lang w:eastAsia="ru-RU"/>
        </w:rPr>
        <w:t>Nutr. — 2019. — Т. 21. — Б. 50–56.</w:t>
      </w:r>
    </w:p>
    <w:p w14:paraId="2A838F3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Feelders R.A., Vreugdenhil G., Eggermont A.M., Kuiper–Kramer P.A., Van Eijk H.G., Swaak A.J. Regulation of iron metabolism in the acute–phase response: Interferon gamma and tumour necrosis factor alpha induce hypoferraemia, ferritin production and a decrease in circulating transferrin receptors in cancer patients // Eur. J. Clin. </w:t>
      </w:r>
      <w:r>
        <w:rPr>
          <w:rFonts w:ascii="Times New Roman" w:hAnsi="Times New Roman" w:eastAsia="Times New Roman" w:cs="Times New Roman"/>
          <w:sz w:val="28"/>
          <w:szCs w:val="28"/>
          <w:lang w:eastAsia="ru-RU"/>
        </w:rPr>
        <w:t>Investig. — 1998. — Т. 28. — Б. 520–527. DOI: 10.1046/j.1365–2362.1998.00323.x.</w:t>
      </w:r>
    </w:p>
    <w:p w14:paraId="141A9AF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Weiss G., Ganz T., Goodnough L.T. Anemia of inflammation // Blood.–2019.–</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133, №1.–Б.40–50. DOI: 10.1182/blood-2018-06-856500.</w:t>
      </w:r>
    </w:p>
    <w:p w14:paraId="5BB8732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World Health Organization, Centre for Disease Control and Prevention. The interpretation of indicators of iron status during an acute phase response // Assess. </w:t>
      </w:r>
      <w:r>
        <w:rPr>
          <w:rFonts w:ascii="Times New Roman" w:hAnsi="Times New Roman" w:eastAsia="Times New Roman" w:cs="Times New Roman"/>
          <w:sz w:val="28"/>
          <w:szCs w:val="28"/>
          <w:lang w:eastAsia="ru-RU"/>
        </w:rPr>
        <w:t>Iron Status Popul. — 2007. — Т.4. — Б. 95–108.</w:t>
      </w:r>
    </w:p>
    <w:p w14:paraId="4E25EB6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Cooke A.A., Connaughton R.M., Lyons C.L., McMorrow A.M., Roche H.M. Fatty acids and chronic low–grade inflammation associated with obesity and the metabolic syndrome // Eur. J. Pharmacol. — 2016.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785.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207–214. </w:t>
      </w:r>
      <w:r>
        <w:rPr>
          <w:rFonts w:ascii="Times New Roman" w:hAnsi="Times New Roman" w:eastAsia="Times New Roman" w:cs="Times New Roman"/>
          <w:sz w:val="28"/>
          <w:szCs w:val="28"/>
          <w:lang w:eastAsia="ru-RU"/>
        </w:rPr>
        <w:t>DOI: 10.1016/j.ejphar.2016.04.021.</w:t>
      </w:r>
    </w:p>
    <w:p w14:paraId="1FC447D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Ellulu M.S., Patimah I., Khaza’Ai H., Rahmat A., Abed Y. Obesity and inflammation: The linking mechanism and the complications // Arch. Med. Sci. — 2017. — Vol. 13. — P. 851–863. </w:t>
      </w:r>
      <w:r>
        <w:rPr>
          <w:rFonts w:ascii="Times New Roman" w:hAnsi="Times New Roman" w:eastAsia="Times New Roman" w:cs="Times New Roman"/>
          <w:sz w:val="28"/>
          <w:szCs w:val="28"/>
          <w:lang w:eastAsia="ru-RU"/>
        </w:rPr>
        <w:t>DOI: 10.5114/aoms.2016.58928.</w:t>
      </w:r>
    </w:p>
    <w:p w14:paraId="4804441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Berg A.H., Scherer P.E. Adipose Tissue, Inflammation, and Cardiovascular Disease // Circ. Res. — 2005.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96.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939–949. </w:t>
      </w:r>
      <w:r>
        <w:rPr>
          <w:rFonts w:ascii="Times New Roman" w:hAnsi="Times New Roman" w:eastAsia="Times New Roman" w:cs="Times New Roman"/>
          <w:sz w:val="28"/>
          <w:szCs w:val="28"/>
          <w:lang w:eastAsia="ru-RU"/>
        </w:rPr>
        <w:t>DOI: 10.1161/01.RES.0000163635.62927.34.</w:t>
      </w:r>
    </w:p>
    <w:p w14:paraId="66B5096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Christian L.M., Porter K. Longitudinal changes in serum proinflammatory markers across pregnancy and postpartum: Effects of maternal body mass index // Cytokine. — 2014.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.70.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.1–18. </w:t>
      </w:r>
      <w:r>
        <w:rPr>
          <w:rFonts w:ascii="Times New Roman" w:hAnsi="Times New Roman" w:eastAsia="Times New Roman" w:cs="Times New Roman"/>
          <w:sz w:val="28"/>
          <w:szCs w:val="28"/>
          <w:lang w:eastAsia="ru-RU"/>
        </w:rPr>
        <w:t>DOI: 10.1016/j.cyto.2014.06.018.</w:t>
      </w:r>
    </w:p>
    <w:p w14:paraId="4A36DFE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Coimbra S., Catarino C., Nascimento H., Inês Alves A., Filipa Medeiros A., Bronze–da–Rocha E., Costa E., Rocha–Pereira P., Aires L., Seabra A., et al. Physical exercise intervention at school improved hepcidin, inflammation, and iron metabolism in overweight and obese children and adolescents // Pediatr. Res. — 2017.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865. DOI: 10.1038/pr.2017.139.</w:t>
      </w:r>
    </w:p>
    <w:p w14:paraId="36397EA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Naylor C., Petri W.A. Jr. Leptin Regulation of Immune Responses // Trends Mol. Med. — 2016.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.22.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.88–98. </w:t>
      </w:r>
      <w:r>
        <w:rPr>
          <w:rFonts w:ascii="Times New Roman" w:hAnsi="Times New Roman" w:eastAsia="Times New Roman" w:cs="Times New Roman"/>
          <w:sz w:val="28"/>
          <w:szCs w:val="28"/>
          <w:lang w:eastAsia="ru-RU"/>
        </w:rPr>
        <w:t>DOI: 10.1016/j.molmed.2015.12.001.</w:t>
      </w:r>
    </w:p>
    <w:p w14:paraId="56BDD58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Perez–Perez A., Maymo J., Gambino Y., et al. Leptin stimulates protein synthesis–activating translation machinery in human trophoblastic cells // Biol. Reprod. — 2009.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81.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826–832. DOI: 10.1095/biolreprod.109.076513.</w:t>
      </w:r>
    </w:p>
    <w:p w14:paraId="4BB50FE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Van der Wijden C.L., Delemarre–van der Waal H.A., Van Mechelen W., Van Poppel M.N. The concurrent validity between leptin, BMI and skin folds during pregnancy and the year after // Nutr. </w:t>
      </w:r>
      <w:r>
        <w:rPr>
          <w:rFonts w:ascii="Times New Roman" w:hAnsi="Times New Roman" w:eastAsia="Times New Roman" w:cs="Times New Roman"/>
          <w:sz w:val="28"/>
          <w:szCs w:val="28"/>
          <w:lang w:eastAsia="ru-RU"/>
        </w:rPr>
        <w:t>Diabetes. — 2013. — Т.3. — Б.86. DOI: 10.1038/nutd.2013.27.</w:t>
      </w:r>
    </w:p>
    <w:p w14:paraId="7C3000C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Weight Gain Have No Negative Impact on Maternal or Neonatal Iron Status // Reprod. </w:t>
      </w:r>
      <w:r>
        <w:rPr>
          <w:rFonts w:ascii="Times New Roman" w:hAnsi="Times New Roman" w:eastAsia="Times New Roman" w:cs="Times New Roman"/>
          <w:sz w:val="28"/>
          <w:szCs w:val="28"/>
          <w:lang w:eastAsia="ru-RU"/>
        </w:rPr>
        <w:t>Sci. — 2016. — Т.23. — Б.613–622.</w:t>
      </w:r>
    </w:p>
    <w:p w14:paraId="589B002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Askari H., Tykodi G., Liu J., Dagogo–Jack S. Fasting plasma leptin level is a surrogate measure of insulin sensitivity // J. Clin. </w:t>
      </w:r>
      <w:r>
        <w:rPr>
          <w:rFonts w:ascii="Times New Roman" w:hAnsi="Times New Roman" w:eastAsia="Times New Roman" w:cs="Times New Roman"/>
          <w:sz w:val="28"/>
          <w:szCs w:val="28"/>
          <w:lang w:eastAsia="ru-RU"/>
        </w:rPr>
        <w:t>Endocrinol. Metab. — 2010. — Т.95. — Б. 3836–3843. DOI: 10.1210/jc.2010–0296.</w:t>
      </w:r>
    </w:p>
    <w:p w14:paraId="4D60B50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Hamed E.A., Zakary M.M., Ahmed N.S., Gamal R.M. Circulating leptin and insulin in obese patients with and without type 2 diabetes mellitus: Relation to ghrelin and oxidative stress // Diabetes Res. </w:t>
      </w:r>
      <w:r>
        <w:rPr>
          <w:rFonts w:ascii="Times New Roman" w:hAnsi="Times New Roman" w:eastAsia="Times New Roman" w:cs="Times New Roman"/>
          <w:sz w:val="28"/>
          <w:szCs w:val="28"/>
          <w:lang w:eastAsia="ru-RU"/>
        </w:rPr>
        <w:t>Clin. Pract. — 2011. —Т.94. — Б.434–441. DOI: 10.1016/j.diabres.2011.08.023.</w:t>
      </w:r>
    </w:p>
    <w:p w14:paraId="120E7D0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Priyadarshini M., Thomas A., Reisetter A.C., et al. Maternal short–chain fatty acids are associated with metabolic parameters in mothers and newborns // Transl. Res. — 2014.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.64.—</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.153–157. DOI: 10.1016/j.trsl.2014.01.012.</w:t>
      </w:r>
    </w:p>
    <w:p w14:paraId="50DE5B9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Ozias M.K., Li S., Hull H.R., Brooks W.M., Carlson S.E. Relationship of circulating adipokines to body composition in pregnant women // Adipocyte.—2015.—</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.4.—</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.44–49. </w:t>
      </w:r>
      <w:r>
        <w:rPr>
          <w:rFonts w:ascii="Times New Roman" w:hAnsi="Times New Roman" w:eastAsia="Times New Roman" w:cs="Times New Roman"/>
          <w:sz w:val="28"/>
          <w:szCs w:val="28"/>
          <w:lang w:eastAsia="ru-RU"/>
        </w:rPr>
        <w:t>DOI: 10.4161/adip.29805.</w:t>
      </w:r>
    </w:p>
    <w:p w14:paraId="7D6B991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 Franco–Sena A.B., De Oliveira L.C., De Jesus Pereira Pinto T., Farias D.R., Vaz Jdos S., Kac G. Factors associated with prospective leptin concentrations throughout pregnancy in pregestational normal weight, overweight and obese women // Clin. </w:t>
      </w:r>
      <w:r>
        <w:rPr>
          <w:rFonts w:ascii="Times New Roman" w:hAnsi="Times New Roman" w:eastAsia="Times New Roman" w:cs="Times New Roman"/>
          <w:sz w:val="28"/>
          <w:szCs w:val="28"/>
          <w:lang w:eastAsia="ru-RU"/>
        </w:rPr>
        <w:t>Endocrinol.—2015.—Т.82. — Б.127–135. DOI: 10.1111/cen.12487.</w:t>
      </w:r>
    </w:p>
    <w:p w14:paraId="23DD429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Vahamiko S., Isolauri E., Pesonen U., Koskinen P., Ekblad U., Laitinen K. Dietary sucrose intake is related to serum leptin concentration in overweight pregnant women // Eur. J. Nutr.—2010.—</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.49.—</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.83–90. </w:t>
      </w:r>
      <w:r>
        <w:rPr>
          <w:rFonts w:ascii="Times New Roman" w:hAnsi="Times New Roman" w:eastAsia="Times New Roman" w:cs="Times New Roman"/>
          <w:sz w:val="28"/>
          <w:szCs w:val="28"/>
          <w:lang w:eastAsia="ru-RU"/>
        </w:rPr>
        <w:t>DOI: 10.1007/s00394–009–0052–8.</w:t>
      </w:r>
    </w:p>
    <w:p w14:paraId="7A50E4C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Castellano Filho D.S., Do Amaral Correa J.O., Dos Santos Ramos P., De Oliveira Montessi M., Aarestrup B.J., Aarestrup F.M. Body weight gain and serum leptin levels of non–overweight and overweight/obese pregnant women // Med. Sci. </w:t>
      </w:r>
      <w:r>
        <w:rPr>
          <w:rFonts w:ascii="Times New Roman" w:hAnsi="Times New Roman" w:eastAsia="Times New Roman" w:cs="Times New Roman"/>
          <w:sz w:val="28"/>
          <w:szCs w:val="28"/>
          <w:lang w:eastAsia="ru-RU"/>
        </w:rPr>
        <w:t>Monit.—2013.—Т. 19. — Б.1043–1049. DOI: 10.12659/MSM.884027.</w:t>
      </w:r>
    </w:p>
    <w:p w14:paraId="0C65E0D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Gustafson B. Adipose Tissue, Inflammation and Atherosclerosis // J. Atheroscler. </w:t>
      </w:r>
      <w:r>
        <w:rPr>
          <w:rFonts w:ascii="Times New Roman" w:hAnsi="Times New Roman" w:eastAsia="Times New Roman" w:cs="Times New Roman"/>
          <w:sz w:val="28"/>
          <w:szCs w:val="28"/>
          <w:lang w:eastAsia="ru-RU"/>
        </w:rPr>
        <w:t>Thromb.—2010.—Т.17.—P.1–12. DOI: 10.5551/jat.3939.</w:t>
      </w:r>
    </w:p>
    <w:p w14:paraId="3B70633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Amato A., Santoro N., Calabrò P., Grandone A., Swinkels D.W., Perrone L., del Giudice E.M. Effect of body mass index reduction on serum hepcidin levels and iron status in obese children // Int. J. Obes. </w:t>
      </w:r>
      <w:r>
        <w:rPr>
          <w:rFonts w:ascii="Times New Roman" w:hAnsi="Times New Roman" w:eastAsia="Times New Roman" w:cs="Times New Roman"/>
          <w:sz w:val="28"/>
          <w:szCs w:val="28"/>
          <w:lang w:eastAsia="ru-RU"/>
        </w:rPr>
        <w:t>(Lond).—2010.—Т.34.—Б.1772–1774. DOI: 10.1038/ijo.2010.204.</w:t>
      </w:r>
    </w:p>
    <w:p w14:paraId="619B022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Gong L., Yuan F., Teng J., Li X., Zheng S., Lin L., Deng H., Ma G., Sun C., Li Y. Weight loss, inflammatory markers, and improvements of iron status in overweight and obese children // J. Pediatr.—2014.—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.164.—</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.795–800. </w:t>
      </w:r>
      <w:r>
        <w:rPr>
          <w:rFonts w:ascii="Times New Roman" w:hAnsi="Times New Roman" w:eastAsia="Times New Roman" w:cs="Times New Roman"/>
          <w:sz w:val="28"/>
          <w:szCs w:val="28"/>
          <w:lang w:eastAsia="ru-RU"/>
        </w:rPr>
        <w:t>DOI: 10.1016/j.jpeds.2013.12.004.</w:t>
      </w:r>
    </w:p>
    <w:p w14:paraId="12AE95D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Aigner E., Feldman A., Datz C. Obesity as an Emerging Risk Factor for Iron Deficiency // Nutrients.—2014.—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.6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.3587–3600. </w:t>
      </w:r>
      <w:r>
        <w:rPr>
          <w:rFonts w:ascii="Times New Roman" w:hAnsi="Times New Roman" w:eastAsia="Times New Roman" w:cs="Times New Roman"/>
          <w:sz w:val="28"/>
          <w:szCs w:val="28"/>
          <w:lang w:eastAsia="ru-RU"/>
        </w:rPr>
        <w:t>DOI: 10.3390/nu6093587.</w:t>
      </w:r>
    </w:p>
    <w:p w14:paraId="4EB6523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Pendeloski K.P.T., Ono E., Torloni M.R., Mattar R., Daher S. Maternal obesity and inflammatory mediators: A controversial association // Am. J. Reprod. </w:t>
      </w:r>
      <w:r>
        <w:rPr>
          <w:rFonts w:ascii="Times New Roman" w:hAnsi="Times New Roman" w:eastAsia="Times New Roman" w:cs="Times New Roman"/>
          <w:sz w:val="28"/>
          <w:szCs w:val="28"/>
          <w:lang w:eastAsia="ru-RU"/>
        </w:rPr>
        <w:t>Immunol —2017.—Т.77. — Б.1–8.</w:t>
      </w:r>
    </w:p>
    <w:p w14:paraId="437DA36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Nead K.G., Halterman J.S., Kaczorowski J.M., Auinger P., Weitzman M. Overweight Children and Adolescents: A Risk Group for Iron Deficiency // Pediatrics.—2004.—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114.—Б.104–108. DOI: 10.1542/peds.114.1.104.</w:t>
      </w:r>
    </w:p>
    <w:p w14:paraId="45F3B8C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Stoffel N.U., El–Mallah C., Herter–Aeberli I., Bissani N., Wehbe N., Obeid O., Zimmermann M.B. The effect of central obesity on inflammation, hepcidin, and iron metabolism in young women // Int. J. Obes. </w:t>
      </w:r>
      <w:r>
        <w:rPr>
          <w:rFonts w:ascii="Times New Roman" w:hAnsi="Times New Roman" w:eastAsia="Times New Roman" w:cs="Times New Roman"/>
          <w:sz w:val="28"/>
          <w:szCs w:val="28"/>
          <w:lang w:eastAsia="ru-RU"/>
        </w:rPr>
        <w:t>(Lond). — 2020. — Т. 44. — Б. 1291–1300. DOI: 10.1038/s41366–020–0522–x.</w:t>
      </w:r>
    </w:p>
    <w:p w14:paraId="3204BA3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Fontana L., Eagon J.C., Trujillo M.E., Scherer P.E., Klein S. Visceral fat adipokine secretion is associated with systemic inflammation in obese humans // Diabetes. — 2007.—</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.56.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.1010–1013. </w:t>
      </w:r>
      <w:r>
        <w:rPr>
          <w:rFonts w:ascii="Times New Roman" w:hAnsi="Times New Roman" w:eastAsia="Times New Roman" w:cs="Times New Roman"/>
          <w:sz w:val="28"/>
          <w:szCs w:val="28"/>
          <w:lang w:eastAsia="ru-RU"/>
        </w:rPr>
        <w:t>DOI: 10.2337/db06–1656.</w:t>
      </w:r>
    </w:p>
    <w:p w14:paraId="7A6940A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Stoffel N.U., El–Mallah C., Herter–Aeberli I., Bissani N., Wehbe N., Obeid O., Zimmermann M.B. The effect of central obesity on inflammation, hepcidin, and iron metabolism in young women // Int. J. Obes. </w:t>
      </w:r>
      <w:r>
        <w:rPr>
          <w:rFonts w:ascii="Times New Roman" w:hAnsi="Times New Roman" w:eastAsia="Times New Roman" w:cs="Times New Roman"/>
          <w:sz w:val="28"/>
          <w:szCs w:val="28"/>
          <w:lang w:eastAsia="ru-RU"/>
        </w:rPr>
        <w:t>(Lond). — 2020.—Т. 44.—Б.1291–1300. DOI: 10.1038/s41366–020–0522–x.</w:t>
      </w:r>
    </w:p>
    <w:p w14:paraId="32E20AA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Hwang H.S., Kwon J.Y., Kim M.A., Park Y.W., Kim Y.H. Maternal serum highly sensitive C–reactive protein in normal pregnancy and pre–eclampsia // Int. J. Gynaecol. </w:t>
      </w:r>
      <w:r>
        <w:rPr>
          <w:rFonts w:ascii="Times New Roman" w:hAnsi="Times New Roman" w:eastAsia="Times New Roman" w:cs="Times New Roman"/>
          <w:sz w:val="28"/>
          <w:szCs w:val="28"/>
          <w:lang w:eastAsia="ru-RU"/>
        </w:rPr>
        <w:t>Obstet.—2007.—Т. 98.—Б.105–109. DOI: 10.1016/j.ijgo.2007.03.050.</w:t>
      </w:r>
    </w:p>
    <w:p w14:paraId="24BE92B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Simavli S., Derbent A.U., Uysal S., Turhan N.O. Hepcidin, iron status, and inflammation variables among healthy pregnant women in the Turkish population // J. Matern. </w:t>
      </w:r>
      <w:r>
        <w:rPr>
          <w:rFonts w:ascii="Times New Roman" w:hAnsi="Times New Roman" w:eastAsia="Times New Roman" w:cs="Times New Roman"/>
          <w:sz w:val="28"/>
          <w:szCs w:val="28"/>
          <w:lang w:eastAsia="ru-RU"/>
        </w:rPr>
        <w:t>Fetal Neonatal Med.—2013.—Т.27. — Б.75–79. DOI: 10.3109/14767058.2013.804054.</w:t>
      </w:r>
    </w:p>
    <w:p w14:paraId="3E1024B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Christian P., Jiang T., Khatry S.K., LeClerq S.C., Shrestha S.R., West K.P. Antenatal supplementation with micronutrients and biochemical indicators of status and subclinical infection in rural Nepal // Am. J. Clin. </w:t>
      </w:r>
      <w:r>
        <w:rPr>
          <w:rFonts w:ascii="Times New Roman" w:hAnsi="Times New Roman" w:eastAsia="Times New Roman" w:cs="Times New Roman"/>
          <w:sz w:val="28"/>
          <w:szCs w:val="28"/>
          <w:lang w:eastAsia="ru-RU"/>
        </w:rPr>
        <w:t>Nutr. — 2006. — Т.83. —Б.788–794. DOI: 10.1093/ajcn/83.4.788.</w:t>
      </w:r>
    </w:p>
    <w:p w14:paraId="0C5E5CD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Mor G., Cardenas I., Abrahams V., Guller S. Inflammation and pregnancy: The role of the immune system at the implantation site // Ann. N. Y. Acad. Sci. — 2011.—</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.1221.—</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.80–87.</w:t>
      </w:r>
    </w:p>
    <w:p w14:paraId="1B1BCF4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Belo L., Santos–Silva A., Rocha S., Caslake M., Cooney J., Pereira–Leite L., Quintanilha A., Rebelo I. Fluctuations in C–reactive protein concentration and neutrophil activation during normal human pregnancy // Eur. J. Obstet. </w:t>
      </w:r>
      <w:r>
        <w:rPr>
          <w:rFonts w:ascii="Times New Roman" w:hAnsi="Times New Roman" w:eastAsia="Times New Roman" w:cs="Times New Roman"/>
          <w:sz w:val="28"/>
          <w:szCs w:val="28"/>
          <w:lang w:eastAsia="ru-RU"/>
        </w:rPr>
        <w:t>Gynecol. Reprod. Biol. — 2005. — Т.123.—Б.46–51. DOI: 10.1016/j.ejogrb.2005.02.022.</w:t>
      </w:r>
    </w:p>
    <w:p w14:paraId="14EC0C0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Picklesimer A.H., Jared H.L., Moss K., Offenbacher S., Beck J.D., Boggess K.A. Racial differences in C–reactive protein levels during normal pregnancy // Am. J. Obstet. </w:t>
      </w:r>
      <w:r>
        <w:rPr>
          <w:rFonts w:ascii="Times New Roman" w:hAnsi="Times New Roman" w:eastAsia="Times New Roman" w:cs="Times New Roman"/>
          <w:sz w:val="28"/>
          <w:szCs w:val="28"/>
          <w:lang w:eastAsia="ru-RU"/>
        </w:rPr>
        <w:t>Gynecol.—2008.—Т.199.—Б.1–6. DOI: 10.1016/j.ajog.2008.04.017.</w:t>
      </w:r>
    </w:p>
    <w:p w14:paraId="3E96EAB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Thurnham D.I., McCabe L.D., Haldar S., Wieringa F.T., Northrop–Clewes C.A., McCabe G.P. Adjusting plasma ferritin concentrations to remove the effects of subclinical inflammation in the assessment of iron deficiency: A meta–analysis // Am. J. Clin. </w:t>
      </w:r>
      <w:r>
        <w:rPr>
          <w:rFonts w:ascii="Times New Roman" w:hAnsi="Times New Roman" w:eastAsia="Times New Roman" w:cs="Times New Roman"/>
          <w:sz w:val="28"/>
          <w:szCs w:val="28"/>
          <w:lang w:eastAsia="ru-RU"/>
        </w:rPr>
        <w:t>Nutr. — 2010.—Т.92.—Б.546–555. DOI: 10.3945/ajcn.2010.29284.</w:t>
      </w:r>
    </w:p>
    <w:p w14:paraId="3EB878A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Namaste S.M., Rohner F., Huang J., Bhushan N.L., Flores–Ayala R., Kupka R., Mei Z., Rawat R., Williams A.M., Raiten D.J., et al. Adjusting ferritin concentrations for inflammation: Biomarkers Reflecting Inflammation and Nutritional Determinants of Anemia (BRINDA) project // Am. J. Clin. Nutr.—2017.—</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.106.—</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.359–371. DOI: 10.3945/ajcn.116.141762.</w:t>
      </w:r>
    </w:p>
    <w:p w14:paraId="45FA762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Zimmermann M.B., Hurrell R.F. Nutritional iron deficiency // Lancet. — 2007.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370.—</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.511–520. </w:t>
      </w:r>
      <w:r>
        <w:rPr>
          <w:rFonts w:ascii="Times New Roman" w:hAnsi="Times New Roman" w:eastAsia="Times New Roman" w:cs="Times New Roman"/>
          <w:sz w:val="28"/>
          <w:szCs w:val="28"/>
          <w:lang w:eastAsia="ru-RU"/>
        </w:rPr>
        <w:t>DOI:10.1016/S0140–6736(07)61235–5.</w:t>
      </w:r>
    </w:p>
    <w:p w14:paraId="34930F2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Grantham–McGregor S., Ani C. A Review of Studies on the Effect of Iron Deficiency on Cognitive Development in Children // J. Nutr.—2001.—</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.131.—</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.649–668. </w:t>
      </w:r>
      <w:r>
        <w:rPr>
          <w:rFonts w:ascii="Times New Roman" w:hAnsi="Times New Roman" w:eastAsia="Times New Roman" w:cs="Times New Roman"/>
          <w:sz w:val="28"/>
          <w:szCs w:val="28"/>
          <w:lang w:eastAsia="ru-RU"/>
        </w:rPr>
        <w:t>DOI: 10.1093/jn/131.2.649S.</w:t>
      </w:r>
    </w:p>
    <w:p w14:paraId="08B84CD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Lozoff B., Beard J., Connor J., Felt B., Georgieff M., Schallert T. Long–Lasting Neural and Behavioral Effects of Iron Deficiency in Infancy // Nutr. </w:t>
      </w:r>
      <w:r>
        <w:rPr>
          <w:rFonts w:ascii="Times New Roman" w:hAnsi="Times New Roman" w:eastAsia="Times New Roman" w:cs="Times New Roman"/>
          <w:sz w:val="28"/>
          <w:szCs w:val="28"/>
          <w:lang w:eastAsia="ru-RU"/>
        </w:rPr>
        <w:t>Rev.—2006.—Т. 64. — Б.34–91. DOI: 10.1301/nr.2006.may.s34–s43.</w:t>
      </w:r>
    </w:p>
    <w:p w14:paraId="2168A48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Falkingham M., Abdelhamid A., Curtis P., Fairweather–Tait S., Dye L., Hooper L. The effects of oral iron supplementation on cognition in older children and adults: A systematic review and meta–analysis // Nutr. J. — 2010.—</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.9.—</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.4. </w:t>
      </w:r>
      <w:r>
        <w:rPr>
          <w:rFonts w:ascii="Times New Roman" w:hAnsi="Times New Roman" w:eastAsia="Times New Roman" w:cs="Times New Roman"/>
          <w:sz w:val="28"/>
          <w:szCs w:val="28"/>
          <w:lang w:eastAsia="ru-RU"/>
        </w:rPr>
        <w:t>DOI: 10.1186/1475–2891–9–4.</w:t>
      </w:r>
    </w:p>
    <w:p w14:paraId="467BBEE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Radlowski E.C., Johnson R.W. Perinatal iron deficiency and neurocognitive development // Front. </w:t>
      </w:r>
      <w:r>
        <w:rPr>
          <w:rFonts w:ascii="Times New Roman" w:hAnsi="Times New Roman" w:eastAsia="Times New Roman" w:cs="Times New Roman"/>
          <w:sz w:val="28"/>
          <w:szCs w:val="28"/>
          <w:lang w:eastAsia="ru-RU"/>
        </w:rPr>
        <w:t>Hum. Neurosci. —2013.— Т.7 —Б.585. DOI: 10.3389/fnhum.2013.00585.</w:t>
      </w:r>
    </w:p>
    <w:p w14:paraId="1456ABA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Vos T., Abajobir A.A., Abate K.H., Abbafati C., Abbas K.M., Abd–Allah F., Abdulkader R.S., Abdulle A.M., Abebo T.A., Abera S.F., et al. </w:t>
      </w:r>
      <w:r>
        <w:rPr>
          <w:rFonts w:ascii="Times New Roman" w:hAnsi="Times New Roman" w:eastAsia="Times New Roman" w:cs="Times New Roman"/>
          <w:sz w:val="28"/>
          <w:szCs w:val="28"/>
          <w:lang w:val="en-US" w:eastAsia="ru-RU"/>
        </w:rPr>
        <w:t xml:space="preserve">Global, regional, and national incidence, prevalence, and years lived with disability for 328 diseases and injuries for 195 countries, 1990–2016: A systematic analysis for the Global Burden of Disease Study 2016 // Lancet. —2017.— </w:t>
      </w:r>
      <w:r>
        <w:rPr>
          <w:rFonts w:ascii="Times New Roman" w:hAnsi="Times New Roman" w:eastAsia="Times New Roman" w:cs="Times New Roman"/>
          <w:sz w:val="28"/>
          <w:szCs w:val="28"/>
          <w:lang w:eastAsia="ru-RU"/>
        </w:rPr>
        <w:t>Т.390.— Б.1211–1259. DOI: 10.1016/S0140–6736(17)32154–2.</w:t>
      </w:r>
    </w:p>
    <w:p w14:paraId="5C0437C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Oliva K., Barker G., Riley C., Bailey M.J., Permezel M., Rice G.E., Lappas M. The effect of pre–existing maternal obesity on the placental proteome: Two–dimensional difference gel electrophoresis coupled with mass spectrometry // J. Mol. </w:t>
      </w:r>
      <w:r>
        <w:rPr>
          <w:rFonts w:ascii="Times New Roman" w:hAnsi="Times New Roman" w:eastAsia="Times New Roman" w:cs="Times New Roman"/>
          <w:sz w:val="28"/>
          <w:szCs w:val="28"/>
          <w:lang w:eastAsia="ru-RU"/>
        </w:rPr>
        <w:t>Endocrinol. — 2012. — Т.48. — Б.139–149. DOI: 10.1530/JME–11–0123.</w:t>
      </w:r>
    </w:p>
    <w:p w14:paraId="28DCAEC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Sewell M.F., Huston–Presley L., Super D.M., Catalano P. Increased neonatal fat mass, not lean body mass, is associated with maternal obesity // Am. J. Obstet. </w:t>
      </w:r>
      <w:r>
        <w:rPr>
          <w:rFonts w:ascii="Times New Roman" w:hAnsi="Times New Roman" w:eastAsia="Times New Roman" w:cs="Times New Roman"/>
          <w:sz w:val="28"/>
          <w:szCs w:val="28"/>
          <w:lang w:eastAsia="ru-RU"/>
        </w:rPr>
        <w:t>Gynecol. — 2006. — Т.195.—Б.1100–1103. DOI: 10.1016/j.ajog.2006.06.014.</w:t>
      </w:r>
    </w:p>
    <w:p w14:paraId="3529C7D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Shao J., Lou J., Rao R., Georgieff M.K., Kaciroti N., Felt B.T., Zhao Z.Y., Lozoff B. Maternal Serum Ferritin Concentration Is Positively Associated with Newborn Iron Stores in Women with Low Ferritin Status in Late Pregnancy // J. Nutr. —2012.—</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.142.—</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.2004–2009. </w:t>
      </w:r>
      <w:r>
        <w:rPr>
          <w:rFonts w:ascii="Times New Roman" w:hAnsi="Times New Roman" w:eastAsia="Times New Roman" w:cs="Times New Roman"/>
          <w:sz w:val="28"/>
          <w:szCs w:val="28"/>
          <w:lang w:eastAsia="ru-RU"/>
        </w:rPr>
        <w:t>DOI: 10.3945/jn.112.162362.</w:t>
      </w:r>
    </w:p>
    <w:p w14:paraId="1EE4116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Amin S.B., Orlando M., Wang H. Latent Iron Deficiency in Utero Is Associated with Abnormal Auditory Neural Myelination in ≥35 Weeks Gestational Age Infants // J. Perinatol. — 2013.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163. — P. 1267–1271. </w:t>
      </w:r>
      <w:r>
        <w:rPr>
          <w:rFonts w:ascii="Times New Roman" w:hAnsi="Times New Roman" w:eastAsia="Times New Roman" w:cs="Times New Roman"/>
          <w:sz w:val="28"/>
          <w:szCs w:val="28"/>
          <w:lang w:eastAsia="ru-RU"/>
        </w:rPr>
        <w:t>DOI: 10.1016/j.jpeds.2013.06.020.</w:t>
      </w:r>
    </w:p>
    <w:p w14:paraId="2E7D03F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Armony–Sivan R., Eidelman A.I., Lanir A., Sredni D., Yehuda S. Iron Status and Neurobehavioral Development of Premature Infants // J. Perinatol.—2004.—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24.—Б. 757–762. DOI: 10.1038/sj.jp.7211178.</w:t>
      </w:r>
    </w:p>
    <w:p w14:paraId="0D0D3F1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Dosch N.C., Guslits E.F., Weber M.B., Murray S.E., Ha B., Coe C.L., Auger A.P., Kling P.J. Maternal Obesity Affects Inflammatory and Iron Indices in Umbilical Cord Blood // Physiol. </w:t>
      </w:r>
      <w:r>
        <w:rPr>
          <w:rFonts w:ascii="Times New Roman" w:hAnsi="Times New Roman" w:eastAsia="Times New Roman" w:cs="Times New Roman"/>
          <w:sz w:val="28"/>
          <w:szCs w:val="28"/>
          <w:lang w:eastAsia="ru-RU"/>
        </w:rPr>
        <w:t>Behav.—2016.—Т.172.—Б.20–28. DOI: 10.1016/j.jpeds.2016.02.023.</w:t>
      </w:r>
    </w:p>
    <w:p w14:paraId="503A4FF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MacQueen B.C., Christensen R.D., Baer V.L., Ward D.M., Snow G.L. Screening umbilical cord blood for congenital Iron deficiency // Blood Cells Mol. Dis.—2019.— </w:t>
      </w:r>
      <w:r>
        <w:rPr>
          <w:rFonts w:ascii="Times New Roman" w:hAnsi="Times New Roman" w:eastAsia="Times New Roman" w:cs="Times New Roman"/>
          <w:sz w:val="28"/>
          <w:szCs w:val="28"/>
          <w:lang w:eastAsia="ru-RU"/>
        </w:rPr>
        <w:t>Т.77.—Б.95–100. DOI: 10.1016/j.bcmd.2019.04.005.</w:t>
      </w:r>
    </w:p>
    <w:p w14:paraId="68198A5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Phillips A.K., Roy S.C., Lundberg R., Guilbert T.W., Auger A.P., Blohowiak S.E., Coe C.L., Kling P.J. Neonatal iron status is impaired by maternal obesity and excessive weight gain during pregnancy // J. Perinatol.—2014.—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.34.—</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.513–518. </w:t>
      </w:r>
      <w:r>
        <w:rPr>
          <w:rFonts w:ascii="Times New Roman" w:hAnsi="Times New Roman" w:eastAsia="Times New Roman" w:cs="Times New Roman"/>
          <w:sz w:val="28"/>
          <w:szCs w:val="28"/>
          <w:lang w:eastAsia="ru-RU"/>
        </w:rPr>
        <w:t>DOI: 10.1038/jp.2014.42.</w:t>
      </w:r>
    </w:p>
    <w:p w14:paraId="36DC475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Baumgartner J., Smuts C.M., Aeberli I., Malan L., Tjalsma H., Zimmermann M.B. Overweight impairs efficacy of iron supplementation in iron–deficient South African children: A randomized controlled intervention // Int. J. Obes. </w:t>
      </w:r>
      <w:r>
        <w:rPr>
          <w:rFonts w:ascii="Times New Roman" w:hAnsi="Times New Roman" w:eastAsia="Times New Roman" w:cs="Times New Roman"/>
          <w:sz w:val="28"/>
          <w:szCs w:val="28"/>
          <w:lang w:eastAsia="ru-RU"/>
        </w:rPr>
        <w:t>(Lond).—2013.—Т.37.—Б.24–30. DOI: 10.1038/ijo.2012.145.</w:t>
      </w:r>
    </w:p>
    <w:p w14:paraId="3BAA203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Teng I.C., Tseng S.H., Aulia B., Shih C.K., Bai C.H., Chang J.S. Can diet–induced weight loss improve iron homoeostasis in patients with obesity: A systematic review and meta–analysis // Obes. </w:t>
      </w:r>
      <w:r>
        <w:rPr>
          <w:rFonts w:ascii="Times New Roman" w:hAnsi="Times New Roman" w:eastAsia="Times New Roman" w:cs="Times New Roman"/>
          <w:sz w:val="28"/>
          <w:szCs w:val="28"/>
          <w:lang w:eastAsia="ru-RU"/>
        </w:rPr>
        <w:t>Rev.—2020.—Т.21.—Б.13080. DOI: 10.1111/obr.13080.</w:t>
      </w:r>
    </w:p>
    <w:p w14:paraId="44ABDBF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Chang J.S., Li Y.L., Lu C.H., Owaga E., Chen W.Y., Chiou H.Y. Interleukin–10 as a potential regulator of hepcidin homeostasis in overweight and obese children: A cross–sectional study in Taiwan // Nutrition.—2014.—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.30.—</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.1165–1170. </w:t>
      </w:r>
      <w:r>
        <w:rPr>
          <w:rFonts w:ascii="Times New Roman" w:hAnsi="Times New Roman" w:eastAsia="Times New Roman" w:cs="Times New Roman"/>
          <w:sz w:val="28"/>
          <w:szCs w:val="28"/>
          <w:lang w:eastAsia="ru-RU"/>
        </w:rPr>
        <w:t>DOI: 10.1016/j.nut.2014.02.021.</w:t>
      </w:r>
    </w:p>
    <w:p w14:paraId="5EB9EFE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bCs/>
          <w:sz w:val="28"/>
          <w:szCs w:val="28"/>
          <w:lang w:val="en-US" w:eastAsia="ru-RU"/>
        </w:rPr>
      </w:pPr>
      <w:r>
        <w:rPr>
          <w:rFonts w:ascii="Times New Roman" w:hAnsi="Times New Roman" w:eastAsia="Times New Roman" w:cs="Times New Roman"/>
          <w:bCs/>
          <w:sz w:val="28"/>
          <w:szCs w:val="28"/>
          <w:lang w:val="en-US" w:eastAsia="ru-RU"/>
        </w:rPr>
        <w:t xml:space="preserve">Tayzhanova D.Z., Rustembekkyzy Z., Komlichenko E.V., Ponamaryova O., Zhanabayeva S. Association of inflammatory mediators and molecular markers of iron metabolism in pregnancies with pregestational obesity during the development of anaemia: a narrative review // Ital J Gynaecol Obstet. – 2024. T.36(3). – </w:t>
      </w:r>
      <w:r>
        <w:rPr>
          <w:rFonts w:ascii="Times New Roman" w:hAnsi="Times New Roman" w:eastAsia="Times New Roman" w:cs="Times New Roman"/>
          <w:bCs/>
          <w:sz w:val="28"/>
          <w:szCs w:val="28"/>
          <w:lang w:eastAsia="ru-RU"/>
        </w:rPr>
        <w:t>Б</w:t>
      </w:r>
      <w:r>
        <w:rPr>
          <w:rFonts w:ascii="Times New Roman" w:hAnsi="Times New Roman" w:eastAsia="Times New Roman" w:cs="Times New Roman"/>
          <w:bCs/>
          <w:sz w:val="28"/>
          <w:szCs w:val="28"/>
          <w:lang w:val="en-US" w:eastAsia="ru-RU"/>
        </w:rPr>
        <w:t>.272-280.</w:t>
      </w:r>
      <w:r>
        <w:rPr>
          <w:bCs/>
          <w:lang w:val="en-US"/>
        </w:rPr>
        <w:t xml:space="preserve"> </w:t>
      </w:r>
      <w:r>
        <w:rPr>
          <w:rFonts w:ascii="Times New Roman" w:hAnsi="Times New Roman" w:eastAsia="Times New Roman" w:cs="Times New Roman"/>
          <w:bCs/>
          <w:sz w:val="28"/>
          <w:szCs w:val="28"/>
          <w:lang w:val="en-US" w:eastAsia="ru-RU"/>
        </w:rPr>
        <w:t xml:space="preserve">DOI: 10.36129/jog.2023.137 </w:t>
      </w:r>
    </w:p>
    <w:p w14:paraId="3F4047A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 Koenig M.D., Tussing–Humphreys L., Day J., Cadwell B., Nemeth E. Hepcidin and Iron Homeostasis during Pregnancy // Nutrients.—2014.—</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.6.—</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.3062–3083. DOI: 10.3390/nu6083062.</w:t>
      </w:r>
    </w:p>
    <w:p w14:paraId="2008A9E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Koenig M.D., Klikuszowian E., O’Brien K.O., Pauls H., Steffen A., Demartelly V., Ruchob R., Welke L., Hemphill N., LaBomascus B., et al. Prepregnancy Obesity Is Not Associated with Iron Utilization during the Third Trimester // J. Nutr.—2020.—</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.150.—</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.1397–1404. DOI: 10.1093/jn/nxaa065.</w:t>
      </w:r>
    </w:p>
    <w:p w14:paraId="076AE88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Jones A.D., Zhao G., Jiang Y.P., Zhou M., Xu G., Kaciroti N., Zhang Z., Lozoff B. Maternal obesity during pregnancy is negatively associated with maternal and neonatal iron status // Eur. J. Clin. </w:t>
      </w:r>
      <w:r>
        <w:rPr>
          <w:rFonts w:ascii="Times New Roman" w:hAnsi="Times New Roman" w:eastAsia="Times New Roman" w:cs="Times New Roman"/>
          <w:sz w:val="28"/>
          <w:szCs w:val="28"/>
          <w:lang w:eastAsia="ru-RU"/>
        </w:rPr>
        <w:t>Nutr.—2016.—Т.70.—Б.918–924. DOI: 10.1038/ejcn.2015.229.</w:t>
      </w:r>
    </w:p>
    <w:p w14:paraId="2B671BD9">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Fallatah A.M., Babatin H.M., Nassibi K.M., Banweer M.K., Fayoumi M.N., Oraif A.M. Maternal and Neonatal Outcomes among Obese Pregnant Women in King Abdulaziz University Hospital: A Retrospective Single–Center Medical Record Review // Med. </w:t>
      </w:r>
      <w:r>
        <w:rPr>
          <w:rFonts w:ascii="Times New Roman" w:hAnsi="Times New Roman" w:eastAsia="Times New Roman" w:cs="Times New Roman"/>
          <w:sz w:val="28"/>
          <w:szCs w:val="28"/>
          <w:lang w:eastAsia="ru-RU"/>
        </w:rPr>
        <w:t>Arch.—2019.—Т.73.—Б.425–432. DOI: 10.5455/medarh.2019.73.425–432.</w:t>
      </w:r>
    </w:p>
    <w:p w14:paraId="2DA40C08">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Blomberg M. Maternal Obesity and Risk of Postpartum Hemorrhage // Obstet. </w:t>
      </w:r>
      <w:r>
        <w:rPr>
          <w:rFonts w:ascii="Times New Roman" w:hAnsi="Times New Roman" w:eastAsia="Times New Roman" w:cs="Times New Roman"/>
          <w:sz w:val="28"/>
          <w:szCs w:val="28"/>
          <w:lang w:eastAsia="ru-RU"/>
        </w:rPr>
        <w:t>Gynecol.—2011.—Т.118.—Б.561–568. DOI: 10.1097/AOG.0b013e31822a6c59.</w:t>
      </w:r>
    </w:p>
    <w:p w14:paraId="096E4B3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Shields L.E., Goffman D., Caughey A.B. Postpartum hemorrhage // Am. </w:t>
      </w:r>
      <w:r>
        <w:rPr>
          <w:rFonts w:ascii="Times New Roman" w:hAnsi="Times New Roman" w:eastAsia="Times New Roman" w:cs="Times New Roman"/>
          <w:sz w:val="28"/>
          <w:szCs w:val="28"/>
          <w:lang w:eastAsia="ru-RU"/>
        </w:rPr>
        <w:t>Coll. Obstet. Gynecol. Pract. Bull.—2017.—Т.130.—Б.168–186.</w:t>
      </w:r>
    </w:p>
    <w:p w14:paraId="6748AC0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Butwick A.J., Abreo A., Bateman B.T., Lee H.C., El–Sayed Y.Y., Stephansson O., Flood P. Effect of Maternal Body Mass Index on Postpartum Hemorrhage // Anesthesiology.—2018.—</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.128.—</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.774–783. </w:t>
      </w:r>
      <w:r>
        <w:rPr>
          <w:rFonts w:ascii="Times New Roman" w:hAnsi="Times New Roman" w:eastAsia="Times New Roman" w:cs="Times New Roman"/>
          <w:sz w:val="28"/>
          <w:szCs w:val="28"/>
          <w:lang w:eastAsia="ru-RU"/>
        </w:rPr>
        <w:t>DOI: 10.1097/ALN.0000000000002082.</w:t>
      </w:r>
    </w:p>
    <w:p w14:paraId="69FBD4E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Hawkins M., Pekow P., Chasan–Taber L. Physical Activity, Sedentary Behavior, and C–reactive Protein in Pregnancy // Med. Sci. </w:t>
      </w:r>
      <w:r>
        <w:rPr>
          <w:rFonts w:ascii="Times New Roman" w:hAnsi="Times New Roman" w:eastAsia="Times New Roman" w:cs="Times New Roman"/>
          <w:sz w:val="28"/>
          <w:szCs w:val="28"/>
          <w:lang w:eastAsia="ru-RU"/>
        </w:rPr>
        <w:t>Sports Exerc.—2014.—Т.46.—Б.284–292. DOI: 10.1249/MSS.0b013e3182a44767.</w:t>
      </w:r>
    </w:p>
    <w:p w14:paraId="7D240F7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Tinius R.A., Cahill A.G., Strand E.A., Todd Cade W. Maternal inflammation during late pregnancy is lower in physically active compared to inactive obese women // Appl. </w:t>
      </w:r>
      <w:r>
        <w:rPr>
          <w:rFonts w:ascii="Times New Roman" w:hAnsi="Times New Roman" w:eastAsia="Times New Roman" w:cs="Times New Roman"/>
          <w:sz w:val="28"/>
          <w:szCs w:val="28"/>
          <w:lang w:eastAsia="ru-RU"/>
        </w:rPr>
        <w:t>Physiol. Nutr. Metab.—2016.—Т.41.—Б.191–198. DOI: 10.1139/apnm–2015–0316.</w:t>
      </w:r>
    </w:p>
    <w:p w14:paraId="6B71343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Renault K.M., Carlsen E.M., Hædersdal S., Nilas L., Secher N.J., Eugen–Olsen J., Cortes D., Olsen S.F., Halldorsson T.I., Nørgaard K. Impact of lifestyle intervention for obese women during pregnancy on maternal metabolic and inflammatory markers // Int. J. Obes.—2017.—</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.41.—P.598–605. </w:t>
      </w:r>
      <w:r>
        <w:rPr>
          <w:rFonts w:ascii="Times New Roman" w:hAnsi="Times New Roman" w:eastAsia="Times New Roman" w:cs="Times New Roman"/>
          <w:sz w:val="28"/>
          <w:szCs w:val="28"/>
          <w:lang w:eastAsia="ru-RU"/>
        </w:rPr>
        <w:t>DOI: 10.1038/ijo.2017.9.</w:t>
      </w:r>
    </w:p>
    <w:p w14:paraId="70EE38C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Liew P.X., Kubes P. The neutrophil’s role during health and disease // Physiol. </w:t>
      </w:r>
      <w:r>
        <w:rPr>
          <w:rFonts w:ascii="Times New Roman" w:hAnsi="Times New Roman" w:eastAsia="Times New Roman" w:cs="Times New Roman"/>
          <w:sz w:val="28"/>
          <w:szCs w:val="28"/>
          <w:lang w:eastAsia="ru-RU"/>
        </w:rPr>
        <w:t>Rev.—2019.—Т.99.—Б.1223–1248. DOI: 10.1152/physrev.00012.2018.</w:t>
      </w:r>
    </w:p>
    <w:p w14:paraId="7E0495F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Қабыну маркерлерінің мен темір алмасуы деңгейлері бойынша деректер (IL–6, CRP, hepcidin, EPO, ferritin) Cloud–Clone сайтының мәліметтеріне негізделген. Дереккөз: Cloud–Clone Corp. ELISA Kit. URL: </w:t>
      </w:r>
      <w:r>
        <w:fldChar w:fldCharType="begin"/>
      </w:r>
      <w:r>
        <w:instrText xml:space="preserve"> HYPERLINK "https://www.cloud-clone.com/products" </w:instrText>
      </w:r>
      <w:r>
        <w:fldChar w:fldCharType="separate"/>
      </w:r>
      <w:r>
        <w:rPr>
          <w:rFonts w:ascii="Times New Roman" w:hAnsi="Times New Roman" w:eastAsia="Times New Roman" w:cs="Times New Roman"/>
          <w:color w:val="0000FF"/>
          <w:sz w:val="28"/>
          <w:szCs w:val="28"/>
          <w:u w:val="single"/>
          <w:lang w:eastAsia="ru-RU"/>
        </w:rPr>
        <w:t>https://www.cloud–clone.com/products</w:t>
      </w:r>
      <w:r>
        <w:rPr>
          <w:rFonts w:ascii="Times New Roman" w:hAnsi="Times New Roman" w:eastAsia="Times New Roman" w:cs="Times New Roman"/>
          <w:color w:val="0000FF"/>
          <w:sz w:val="28"/>
          <w:szCs w:val="28"/>
          <w:u w:val="single"/>
          <w:lang w:eastAsia="ru-RU"/>
        </w:rPr>
        <w:fldChar w:fldCharType="end"/>
      </w:r>
      <w:r>
        <w:rPr>
          <w:rFonts w:ascii="Times New Roman" w:hAnsi="Times New Roman" w:eastAsia="Times New Roman" w:cs="Times New Roman"/>
          <w:sz w:val="28"/>
          <w:szCs w:val="28"/>
          <w:lang w:eastAsia="ru-RU"/>
        </w:rPr>
        <w:t xml:space="preserve">  (қолданылған күні: 30.12.2024ж).</w:t>
      </w:r>
    </w:p>
    <w:p w14:paraId="10FADC3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Fine N., Tasevski N., McCulloch C.A., Tenenbaum H.C., Glogauer M. The neutrophil: Constant defender and first responder // Front. </w:t>
      </w:r>
      <w:r>
        <w:rPr>
          <w:rFonts w:ascii="Times New Roman" w:hAnsi="Times New Roman" w:eastAsia="Times New Roman" w:cs="Times New Roman"/>
          <w:sz w:val="28"/>
          <w:szCs w:val="28"/>
          <w:lang w:eastAsia="ru-RU"/>
        </w:rPr>
        <w:t>Immunol.—2020.—Т.11.—Б.571. DOI: 10.3389/fimmu.2020.571085.</w:t>
      </w:r>
    </w:p>
    <w:p w14:paraId="02DEBA3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Uribe–Querol E., Rosales C. Phagocytosis: Our current understanding of a universal biological process // Front. </w:t>
      </w:r>
      <w:r>
        <w:rPr>
          <w:rFonts w:ascii="Times New Roman" w:hAnsi="Times New Roman" w:eastAsia="Times New Roman" w:cs="Times New Roman"/>
          <w:sz w:val="28"/>
          <w:szCs w:val="28"/>
          <w:lang w:eastAsia="ru-RU"/>
        </w:rPr>
        <w:t>Immunol.—2020.—Т.11.—Б.1066. DOI: 10.3389/fimmu.2020.01066.</w:t>
      </w:r>
    </w:p>
    <w:p w14:paraId="359B9FF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Rosales C., Lowell C.A., Schnoor M., Uribe–Querol E. Neutrophils: Their role in innate and adaptive immunity // J. Immunol. </w:t>
      </w:r>
      <w:r>
        <w:rPr>
          <w:rFonts w:ascii="Times New Roman" w:hAnsi="Times New Roman" w:eastAsia="Times New Roman" w:cs="Times New Roman"/>
          <w:sz w:val="28"/>
          <w:szCs w:val="28"/>
          <w:lang w:eastAsia="ru-RU"/>
        </w:rPr>
        <w:t>Res.—2017.—Т.2017.—Б.9748345. DOI: 10.1155/2017/9748345.</w:t>
      </w:r>
    </w:p>
    <w:p w14:paraId="2E54662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Rosales C., Uribe–Querol E. Phagocytosis: A fundamental process in immunity // BioMed Res. Int.—2017.—</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.2017.—</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.9042851. </w:t>
      </w:r>
      <w:r>
        <w:rPr>
          <w:rFonts w:ascii="Times New Roman" w:hAnsi="Times New Roman" w:eastAsia="Times New Roman" w:cs="Times New Roman"/>
          <w:sz w:val="28"/>
          <w:szCs w:val="28"/>
          <w:lang w:eastAsia="ru-RU"/>
        </w:rPr>
        <w:t>DOI: 10.1155/2017/9042851.</w:t>
      </w:r>
    </w:p>
    <w:p w14:paraId="76DECE9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Herishanu Y., Rogowski O., Polliack A., Marilus R. Leukocytosis in obese individuals: Possible link in patients with unexplained persistent neutrophilia // Eur. J. Haematol.—2006.—</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.76.—</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.516–520. </w:t>
      </w:r>
      <w:r>
        <w:rPr>
          <w:rFonts w:ascii="Times New Roman" w:hAnsi="Times New Roman" w:eastAsia="Times New Roman" w:cs="Times New Roman"/>
          <w:sz w:val="28"/>
          <w:szCs w:val="28"/>
          <w:lang w:eastAsia="ru-RU"/>
        </w:rPr>
        <w:t>DOI: 10.1111/j.1600–0609.2006.00658.x.</w:t>
      </w:r>
    </w:p>
    <w:p w14:paraId="09D33D6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Eren C., Cecen S. The relationship between childhood obesity with inflammatory mediator // J. Pak. Med. </w:t>
      </w:r>
      <w:r>
        <w:rPr>
          <w:rFonts w:ascii="Times New Roman" w:hAnsi="Times New Roman" w:eastAsia="Times New Roman" w:cs="Times New Roman"/>
          <w:sz w:val="28"/>
          <w:szCs w:val="28"/>
          <w:lang w:eastAsia="ru-RU"/>
        </w:rPr>
        <w:t>Assoc.—2020.—Т.70.—Б. 1737–1741. DOI: 10.5455/JPMA.27772.</w:t>
      </w:r>
    </w:p>
    <w:p w14:paraId="3D890CB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Weir A.B., Lewis J.B., Jr. Arteta–Bulos R. Chronic idiopathic neutrophilia: Experience and recommendations // South. Med. J.—2011.—</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.104.—</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.499–504. DOI: 10.1097/SMJ.0b013e31821ec7cc.</w:t>
      </w:r>
    </w:p>
    <w:p w14:paraId="4DBA1E53">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Rhee H., Love T., Harrington D. Blood neutrophil count is associated with body mass index in adolescents with asthma // JSM Allergy Asthma.—2018.—</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.1019.</w:t>
      </w:r>
    </w:p>
    <w:p w14:paraId="782A3F6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Gállego–Suárez C., Bulan A., Hirschfeld E., Wachowiak P., Abrishami S., Griffin C., Sturza J., Tzau A., Hayes T., Woolford S.J., et al. Enhanced myeloid leukocytes in obese children and adolescents at risk for metabolic impairment // Front. Endocrinol.—2020.—</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.11.—</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.327. DOI: 10.3389/fendo.2020.00327.</w:t>
      </w:r>
    </w:p>
    <w:p w14:paraId="07D01A4F">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Zahorec R. Neutrophil–to–lymphocyte ratio, past, present and future perspectives // Bratisl. </w:t>
      </w:r>
      <w:r>
        <w:rPr>
          <w:rFonts w:ascii="Times New Roman" w:hAnsi="Times New Roman" w:eastAsia="Times New Roman" w:cs="Times New Roman"/>
          <w:sz w:val="28"/>
          <w:szCs w:val="28"/>
          <w:lang w:eastAsia="ru-RU"/>
        </w:rPr>
        <w:t>Lek. Listy.—2021.—Т.122.—Б.474–488. DOI: 10.4149/BLL_2021_078.</w:t>
      </w:r>
    </w:p>
    <w:p w14:paraId="558DF6C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Aydin M., Yilmaz A., Donma M.M., Tulubas F., Demirkol M., Erdogan M., Gurel A. Neutrophil/lymphocyte ratio in obese adolescents // North. </w:t>
      </w:r>
      <w:r>
        <w:rPr>
          <w:rFonts w:ascii="Times New Roman" w:hAnsi="Times New Roman" w:eastAsia="Times New Roman" w:cs="Times New Roman"/>
          <w:sz w:val="28"/>
          <w:szCs w:val="28"/>
          <w:lang w:eastAsia="ru-RU"/>
        </w:rPr>
        <w:t>Clin. Istanb. — 2015. — Т. 2. — P.87–91. DOI: 10.14744/nci.2015.25238.</w:t>
      </w:r>
    </w:p>
    <w:p w14:paraId="4241255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Fang Q., Tong Y.W., Wang G., Zhang N., Chen W.G., Li Y.F., Shen K.W., Wu B.W., Chen X.S. Neutrophil–to–lymphocyte ratio, obesity, and breast cancer risk in Chinese population // Medicine.—2018.—</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.97.—</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.11692. </w:t>
      </w:r>
      <w:r>
        <w:rPr>
          <w:rFonts w:ascii="Times New Roman" w:hAnsi="Times New Roman" w:eastAsia="Times New Roman" w:cs="Times New Roman"/>
          <w:sz w:val="28"/>
          <w:szCs w:val="28"/>
          <w:lang w:eastAsia="ru-RU"/>
        </w:rPr>
        <w:t>DOI: 10.1097/MD.0000000000011692.</w:t>
      </w:r>
    </w:p>
    <w:p w14:paraId="5841FD1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Kain V., Van Der Pol W., Mariappan N., Ahmad A., Eipers P., Gibson D.L., Gladine C., Vigor C., Durand T., Morrow C., et al. Obesogenic diet in aging mice disrupts gut microbe composition and alters neutrophil:lymphocyte ratio, leading to inflamed milieu in acute heart failure // FASEB J.—2019.—</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.33.—</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 </w:t>
      </w:r>
      <w:r>
        <w:rPr>
          <w:rFonts w:ascii="Times New Roman" w:hAnsi="Times New Roman" w:eastAsia="Times New Roman" w:cs="Times New Roman"/>
          <w:sz w:val="28"/>
          <w:szCs w:val="28"/>
          <w:lang w:eastAsia="ru-RU"/>
        </w:rPr>
        <w:t>6456–6469. DOI: 10.1096/fj.201802477R.</w:t>
      </w:r>
    </w:p>
    <w:p w14:paraId="7696C1E0">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 xml:space="preserve">Țaranu I., Lazea C., Creț V., Răcătăianu N., Iancu M., Bolboacă S.D. Inflammation–related markers and thyroid function measures in pediatric patients: Is the grade of obesity relevant? // Diagnostics. — 2021. — </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 xml:space="preserve">. 11. — </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485. DOI: 10.3390/diagnostics11030485.</w:t>
      </w:r>
    </w:p>
    <w:p w14:paraId="39079D1D">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eastAsia="ru-RU"/>
        </w:rPr>
        <w:t xml:space="preserve">Тайжанова, Д. , Рустембеккызы, Ж., Амирбекова, Ж. , Комличенко, Э. , Понамарева, О. , Жанабаева, С., Телегенова, Б. 2024. Ассоциация ожирения с гематологическими показателями воспаления у беременных // Репродуктивная медицина (Центральная Азия). – 2024. - Т.1. – Б. 60–66. </w:t>
      </w:r>
      <w:r>
        <w:rPr>
          <w:rFonts w:ascii="Times New Roman" w:hAnsi="Times New Roman" w:eastAsia="Times New Roman" w:cs="Times New Roman"/>
          <w:sz w:val="28"/>
          <w:szCs w:val="28"/>
          <w:lang w:val="en-US" w:eastAsia="ru-RU"/>
        </w:rPr>
        <w:t>DOI:https://doi.org/10.37800/RM.1.2024.60-66.</w:t>
      </w:r>
    </w:p>
    <w:p w14:paraId="4DD2A57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Mărginean C.O., Meliţ L.E., Huţanu A., Ghiga D.V., Săsăran M.O. The gap between overweight and obesity status in children (STROBE–compliant article) // Medicine. —2021.—</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.100.—</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.24520. DOI: 10.1097/MD.0000000000024520.</w:t>
      </w:r>
    </w:p>
    <w:p w14:paraId="25230D64">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Orlandini L.F., Pimentel F.F., Andrade J.M., Reis F.J.C.D., Mattos–Arruda L., Tiezzi D.G. Obesity and high neutrophil–to–lymphocyte ratio are prognostic factors in non–metastatic breast cancer patients // Braz. J. Med. </w:t>
      </w:r>
      <w:r>
        <w:rPr>
          <w:rFonts w:ascii="Times New Roman" w:hAnsi="Times New Roman" w:eastAsia="Times New Roman" w:cs="Times New Roman"/>
          <w:sz w:val="28"/>
          <w:szCs w:val="28"/>
          <w:lang w:eastAsia="ru-RU"/>
        </w:rPr>
        <w:t>Biol. Res.—2021.—Т.54.—P.11409. DOI: 10.1590/1414–431X2021e11409.</w:t>
      </w:r>
    </w:p>
    <w:p w14:paraId="4CC5878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Tecchio C., Cassatella M.A. Neutrophil–derived chemokines on the road to immunity // Semin. </w:t>
      </w:r>
      <w:r>
        <w:rPr>
          <w:rFonts w:ascii="Times New Roman" w:hAnsi="Times New Roman" w:eastAsia="Times New Roman" w:cs="Times New Roman"/>
          <w:sz w:val="28"/>
          <w:szCs w:val="28"/>
          <w:lang w:eastAsia="ru-RU"/>
        </w:rPr>
        <w:t>Immunol.—2016.—Т.28.—Б.119–128. DOI: 10.1016/j.smim.2016.04.003. Тайжанова, Д. , Рустембеккызы, Ж., Амирбекова, Ж., Комличенко, Э., Понамарева, О. и Жанабаева, С. 2023. Исходы беременности у женщин с предгестационным ожирением // Репродуктивная медицина (Центральная Азия). – 2023. – Т.54. – Р.109–115. DOI:https://doi.org/10.37800/RM.1.2023.109-115.</w:t>
      </w:r>
    </w:p>
    <w:p w14:paraId="50ED037C">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Rosales C. Neutrophils at the crossroads of innate and adaptive immunity // J. Leukoc. </w:t>
      </w:r>
      <w:r>
        <w:rPr>
          <w:rFonts w:ascii="Times New Roman" w:hAnsi="Times New Roman" w:eastAsia="Times New Roman" w:cs="Times New Roman"/>
          <w:sz w:val="28"/>
          <w:szCs w:val="28"/>
          <w:lang w:eastAsia="ru-RU"/>
        </w:rPr>
        <w:t>Biol.—2020.—Т.108.—Б.377–396. DOI: 10.1002/JLB.4MIR0220–574RR.</w:t>
      </w:r>
    </w:p>
    <w:p w14:paraId="2FAB83C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Tsai C.Y., Hsieh S.C., Liu C.W., Lu C.S., Wu C.H., Liao H.T., Chen M.H., Li K.J., Shen C.Y., Kuo Y.M., et al. </w:t>
      </w:r>
      <w:r>
        <w:rPr>
          <w:rFonts w:ascii="Times New Roman" w:hAnsi="Times New Roman" w:eastAsia="Times New Roman" w:cs="Times New Roman"/>
          <w:sz w:val="28"/>
          <w:szCs w:val="28"/>
          <w:lang w:val="en-US" w:eastAsia="ru-RU"/>
        </w:rPr>
        <w:t xml:space="preserve">Cross–talk among polymorphonuclear neutrophils, immune, and non–immune cells via released cytokines, granule proteins, microvesicles, and neutrophil extracellular trap formation: A novel concept of biology and pathobiology for neutrophils // Int. J. Mol. Sci.—2021.— </w:t>
      </w:r>
      <w:r>
        <w:rPr>
          <w:rFonts w:ascii="Times New Roman" w:hAnsi="Times New Roman" w:eastAsia="Times New Roman" w:cs="Times New Roman"/>
          <w:sz w:val="28"/>
          <w:szCs w:val="28"/>
          <w:lang w:eastAsia="ru-RU"/>
        </w:rPr>
        <w:t>Т.22.—Б.3119. DOI: 10.3390/ijms22063119.</w:t>
      </w:r>
    </w:p>
    <w:p w14:paraId="61EBAAC2">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Zahorec R. Neutrophil–to–lymphocyte ratio, past, present and future perspectives // Bratisl. </w:t>
      </w:r>
      <w:r>
        <w:rPr>
          <w:rFonts w:ascii="Times New Roman" w:hAnsi="Times New Roman" w:eastAsia="Times New Roman" w:cs="Times New Roman"/>
          <w:sz w:val="28"/>
          <w:szCs w:val="28"/>
          <w:lang w:eastAsia="ru-RU"/>
        </w:rPr>
        <w:t>Lek. Listy.—2021.—Т.122.—Б.474–488. DOI: 10.4149/BLL_2021_078.</w:t>
      </w:r>
    </w:p>
    <w:p w14:paraId="2902AE2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Nair M., Choudhury M.K., Choudhury S.S., Kakoty S.D., Sarma U.C., Webster P., Knight M. Association between maternal anaemia and pregnancy outcomes: A cohort study in Assam, India // BMJ Glob. </w:t>
      </w:r>
      <w:r>
        <w:rPr>
          <w:rFonts w:ascii="Times New Roman" w:hAnsi="Times New Roman" w:eastAsia="Times New Roman" w:cs="Times New Roman"/>
          <w:sz w:val="28"/>
          <w:szCs w:val="28"/>
          <w:lang w:eastAsia="ru-RU"/>
        </w:rPr>
        <w:t>Health.—2016.—Т.1.—Б.26. DOI: 10.1136/bmjgh–2015–000026.</w:t>
      </w:r>
    </w:p>
    <w:p w14:paraId="66E06B5B">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Poston L., Caleyachetty R., Cnattingius S. et al. Obesity before conception and during pregnancy: epidemiology and health consequences // The Lancet Diabetes &amp; Endocrinology.–2016.–</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.4(12).-</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.1025–1036.</w:t>
      </w:r>
    </w:p>
    <w:p w14:paraId="4A8363B1">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Waller K.D., Mills J.L., Simpson J.L., Cunningham G.C., Conley M.R., Lassman M.R., et al. Are obese women at higher risk for producing malformed offspring // Am J Obstetitrics Gynecology.–1994.–170.–</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.541–548. </w:t>
      </w:r>
      <w:r>
        <w:rPr>
          <w:rFonts w:ascii="Times New Roman" w:hAnsi="Times New Roman" w:eastAsia="Times New Roman" w:cs="Times New Roman"/>
          <w:sz w:val="28"/>
          <w:szCs w:val="28"/>
          <w:lang w:eastAsia="ru-RU"/>
        </w:rPr>
        <w:t>DOI: 10.1016/s0002–9378(94)70224</w:t>
      </w:r>
    </w:p>
    <w:p w14:paraId="2D944AC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Begum K.S., Sachchithanantham K., De Somsubhra S. Maternal obesity and pregnancy outcome . </w:t>
      </w:r>
      <w:r>
        <w:rPr>
          <w:rFonts w:ascii="Times New Roman" w:hAnsi="Times New Roman" w:eastAsia="Times New Roman" w:cs="Times New Roman"/>
          <w:sz w:val="28"/>
          <w:szCs w:val="28"/>
          <w:lang w:eastAsia="ru-RU"/>
        </w:rPr>
        <w:t xml:space="preserve">Clin. Exp. Obstet. Gynecol.–2011.–Т.38.– Б.14–20. </w:t>
      </w:r>
    </w:p>
    <w:p w14:paraId="2D05871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Papachatzi E., Dimitriou G., Dimitropoulos K., Vantarakis A . Pre–pregnancy obesity: maternal, neonatal and childhood outcomes . </w:t>
      </w:r>
      <w:r>
        <w:rPr>
          <w:rFonts w:ascii="Times New Roman" w:hAnsi="Times New Roman" w:eastAsia="Times New Roman" w:cs="Times New Roman"/>
          <w:sz w:val="28"/>
          <w:szCs w:val="28"/>
          <w:lang w:eastAsia="ru-RU"/>
        </w:rPr>
        <w:t>J. Neonatal. Perinatal. Med.–2013.-6.-Б.203–216. DOI: 10.3233/NPM–1370313</w:t>
      </w:r>
    </w:p>
    <w:p w14:paraId="481C4C2E">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Rayis D.A., Abbaker A.O., Salih Y., Adam I . Obesity and pregnancy outcome in Khartoum, Sudan. </w:t>
      </w:r>
      <w:r>
        <w:rPr>
          <w:rFonts w:ascii="Times New Roman" w:hAnsi="Times New Roman" w:eastAsia="Times New Roman" w:cs="Times New Roman"/>
          <w:sz w:val="28"/>
          <w:szCs w:val="28"/>
          <w:lang w:eastAsia="ru-RU"/>
        </w:rPr>
        <w:t xml:space="preserve">Int. J. Gynaecol. Obstet.–2010.–Т.113.– Б.160–161. DOI: 10.1016/j.ijgo.2010.12.008 </w:t>
      </w:r>
    </w:p>
    <w:p w14:paraId="00A35DDA">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 xml:space="preserve">Morgan K.L., Rahman M.A., Hill R.A., Khanom A., Lyons R.A., Brophy S.T. Obesity in pregnancy: infant health service utilisation and costs on the NHS . </w:t>
      </w:r>
      <w:r>
        <w:rPr>
          <w:rFonts w:ascii="Times New Roman" w:hAnsi="Times New Roman" w:eastAsia="Times New Roman" w:cs="Times New Roman"/>
          <w:sz w:val="28"/>
          <w:szCs w:val="28"/>
          <w:lang w:eastAsia="ru-RU"/>
        </w:rPr>
        <w:t>BMJ Open.–2015.-Т.26 (5).-Б.8357.</w:t>
      </w:r>
    </w:p>
    <w:p w14:paraId="16541F35">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Ehrenberg H.M., Dierker L., Milluzzi C., Mercer B.M. Prevalence of maternal obesity in an urban center // Am J Obstet Gynecol.–2002.–187.–</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.1189–1193. </w:t>
      </w:r>
      <w:r>
        <w:rPr>
          <w:rFonts w:ascii="Times New Roman" w:hAnsi="Times New Roman" w:eastAsia="Times New Roman" w:cs="Times New Roman"/>
          <w:sz w:val="28"/>
          <w:szCs w:val="28"/>
          <w:lang w:eastAsia="ru-RU"/>
        </w:rPr>
        <w:t xml:space="preserve">DOI: 10.1067/mob.2002.127125  </w:t>
      </w:r>
    </w:p>
    <w:p w14:paraId="343DF1C6">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val="en-US" w:eastAsia="ru-RU"/>
        </w:rPr>
        <w:t>Morgan K.L., Rahman M.A., Hill R.A., Khanom A., Lyons R.A., Brophy S.T. Obesity in pregnancy: Infant health service utilisation and costs on the NHS // BMJ Open.—2015.—</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.5.—</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.8357.</w:t>
      </w:r>
    </w:p>
    <w:p w14:paraId="4770FCC7">
      <w:pPr>
        <w:widowControl w:val="0"/>
        <w:numPr>
          <w:ilvl w:val="0"/>
          <w:numId w:val="18"/>
        </w:numPr>
        <w:autoSpaceDE w:val="0"/>
        <w:autoSpaceDN w:val="0"/>
        <w:spacing w:after="0" w:line="276" w:lineRule="auto"/>
        <w:ind w:left="0" w:firstLine="0"/>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val="en-US" w:eastAsia="ru-RU"/>
        </w:rPr>
        <w:t>Nair M., Choudhury M.K., Choudhury S.S., Kakoty S.D., Sarma U.C., Webster P. &amp; Knight M. The IndOSS–Assam Steering Committee. Association between maternal anaemia and pregnancy outcomes: a cohort study in Assam, India // British Medical Journal Global Health.–2016.-</w:t>
      </w:r>
      <w:r>
        <w:rPr>
          <w:rFonts w:ascii="Times New Roman" w:hAnsi="Times New Roman" w:eastAsia="Times New Roman" w:cs="Times New Roman"/>
          <w:sz w:val="28"/>
          <w:szCs w:val="28"/>
          <w:lang w:eastAsia="ru-RU"/>
        </w:rPr>
        <w:t>Т</w:t>
      </w:r>
      <w:r>
        <w:rPr>
          <w:rFonts w:ascii="Times New Roman" w:hAnsi="Times New Roman" w:eastAsia="Times New Roman" w:cs="Times New Roman"/>
          <w:sz w:val="28"/>
          <w:szCs w:val="28"/>
          <w:lang w:val="en-US" w:eastAsia="ru-RU"/>
        </w:rPr>
        <w:t>.1.-</w:t>
      </w:r>
      <w:r>
        <w:rPr>
          <w:rFonts w:ascii="Times New Roman" w:hAnsi="Times New Roman" w:eastAsia="Times New Roman" w:cs="Times New Roman"/>
          <w:sz w:val="28"/>
          <w:szCs w:val="28"/>
          <w:lang w:eastAsia="ru-RU"/>
        </w:rPr>
        <w:t>Б</w:t>
      </w:r>
      <w:r>
        <w:rPr>
          <w:rFonts w:ascii="Times New Roman" w:hAnsi="Times New Roman" w:eastAsia="Times New Roman" w:cs="Times New Roman"/>
          <w:sz w:val="28"/>
          <w:szCs w:val="28"/>
          <w:lang w:val="en-US" w:eastAsia="ru-RU"/>
        </w:rPr>
        <w:t xml:space="preserve">.26. </w:t>
      </w:r>
      <w:r>
        <w:rPr>
          <w:rFonts w:ascii="Times New Roman" w:hAnsi="Times New Roman" w:eastAsia="Times New Roman" w:cs="Times New Roman"/>
          <w:sz w:val="28"/>
          <w:szCs w:val="28"/>
          <w:lang w:eastAsia="ru-RU"/>
        </w:rPr>
        <w:t xml:space="preserve">DOI: 10.1136/bmjgh–2015–000026 </w:t>
      </w:r>
    </w:p>
    <w:p w14:paraId="549E3732">
      <w:pPr>
        <w:autoSpaceDE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54B853AD">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3E6EFDDF">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430E2EAD">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12217473">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7483B4BB">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 xml:space="preserve"> </w:t>
      </w:r>
    </w:p>
    <w:p w14:paraId="7BB95FCB">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w:t>
      </w:r>
    </w:p>
    <w:p w14:paraId="119CE450">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w:t>
      </w:r>
    </w:p>
    <w:p w14:paraId="220B374F">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p>
    <w:p w14:paraId="325D48E2">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val="en-US" w:eastAsia="ru-RU"/>
        </w:rPr>
      </w:pPr>
      <w:r>
        <w:rPr>
          <w:rFonts w:ascii="Times New Roman" w:hAnsi="Times New Roman" w:eastAsia="Times New Roman" w:cs="Times New Roman"/>
          <w:b/>
          <w:sz w:val="28"/>
          <w:szCs w:val="28"/>
          <w:lang w:val="en-US" w:eastAsia="ru-RU"/>
        </w:rPr>
        <w:t xml:space="preserve"> </w:t>
      </w:r>
    </w:p>
    <w:p w14:paraId="3FC1C3C5">
      <w:pPr>
        <w:widowControl w:val="0"/>
        <w:autoSpaceDE w:val="0"/>
        <w:autoSpaceDN w:val="0"/>
        <w:spacing w:after="0" w:line="276" w:lineRule="auto"/>
        <w:jc w:val="both"/>
        <w:outlineLvl w:val="0"/>
        <w:rPr>
          <w:rFonts w:ascii="Times New Roman" w:hAnsi="Times New Roman" w:cs="Times New Roman"/>
          <w:b/>
          <w:bCs/>
          <w:sz w:val="28"/>
          <w:szCs w:val="28"/>
          <w:lang w:val="kk-KZ" w:eastAsia="ru-RU"/>
        </w:rPr>
      </w:pPr>
      <w:r>
        <w:rPr>
          <w:rFonts w:ascii="Times New Roman" w:hAnsi="Times New Roman" w:cs="Times New Roman"/>
          <w:b/>
          <w:bCs/>
          <w:sz w:val="28"/>
          <w:szCs w:val="28"/>
          <w:lang w:val="kk-KZ" w:eastAsia="ru-RU"/>
        </w:rPr>
        <w:t>ҚОСЫМША А</w:t>
      </w:r>
    </w:p>
    <w:p w14:paraId="078022DA">
      <w:pPr>
        <w:widowControl w:val="0"/>
        <w:autoSpaceDE w:val="0"/>
        <w:autoSpaceDN w:val="0"/>
        <w:spacing w:after="0" w:line="276" w:lineRule="auto"/>
        <w:jc w:val="both"/>
        <w:outlineLvl w:val="0"/>
        <w:rPr>
          <w:rFonts w:ascii="Times New Roman" w:hAnsi="Times New Roman" w:eastAsia="Times New Roman" w:cs="Times New Roman"/>
          <w:sz w:val="28"/>
          <w:szCs w:val="28"/>
          <w:lang w:eastAsia="ru-RU"/>
        </w:rPr>
      </w:pPr>
      <w:r>
        <w:rPr>
          <w:rFonts w:ascii="Times New Roman" w:hAnsi="Times New Roman" w:cs="Times New Roman"/>
          <w:b/>
          <w:bCs/>
          <w:sz w:val="28"/>
          <w:szCs w:val="28"/>
          <w:lang w:val="kk-KZ" w:eastAsia="ru-RU"/>
        </w:rPr>
        <w:t xml:space="preserve">  </w:t>
      </w:r>
      <w:r>
        <w:rPr>
          <w:rFonts w:ascii="Times New Roman" w:hAnsi="Times New Roman" w:eastAsia="Times New Roman" w:cs="Times New Roman"/>
          <w:sz w:val="28"/>
          <w:szCs w:val="28"/>
          <w:lang w:eastAsia="ru-RU"/>
        </w:rPr>
        <w:drawing>
          <wp:inline distT="0" distB="0" distL="0" distR="0">
            <wp:extent cx="5981065" cy="8317865"/>
            <wp:effectExtent l="0" t="0" r="635" b="6985"/>
            <wp:docPr id="120" name="Рисунок 120" descr="C:\Users\kgmuuser\AppData\Local\Temp\ksohtml7396\wp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descr="C:\Users\kgmuuser\AppData\Local\Temp\ksohtml7396\wps3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81065" cy="831786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drawing>
          <wp:inline distT="0" distB="0" distL="0" distR="0">
            <wp:extent cx="6153785" cy="8895715"/>
            <wp:effectExtent l="0" t="0" r="18415" b="635"/>
            <wp:docPr id="121" name="Рисунок 121" descr="C:\Users\kgmuuser\AppData\Local\Temp\ksohtml7396\wp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C:\Users\kgmuuser\AppData\Local\Temp\ksohtml7396\wps3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6153785" cy="889571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drawing>
          <wp:inline distT="0" distB="0" distL="0" distR="0">
            <wp:extent cx="6210935" cy="8818245"/>
            <wp:effectExtent l="0" t="0" r="18415" b="1905"/>
            <wp:docPr id="122" name="Рисунок 122" descr="C:\Users\kgmuuser\AppData\Local\Temp\ksohtml7396\wp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C:\Users\kgmuuser\AppData\Local\Temp\ksohtml7396\wps3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210935" cy="8818245"/>
                    </a:xfrm>
                    <a:prstGeom prst="rect">
                      <a:avLst/>
                    </a:prstGeom>
                    <a:noFill/>
                    <a:ln>
                      <a:noFill/>
                    </a:ln>
                  </pic:spPr>
                </pic:pic>
              </a:graphicData>
            </a:graphic>
          </wp:inline>
        </w:drawing>
      </w:r>
    </w:p>
    <w:p w14:paraId="59C5C735">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p>
    <w:p w14:paraId="13781712">
      <w:pPr>
        <w:widowControl w:val="0"/>
        <w:autoSpaceDE w:val="0"/>
        <w:autoSpaceDN w:val="0"/>
        <w:spacing w:after="0" w:line="276" w:lineRule="auto"/>
        <w:outlineLvl w:val="0"/>
        <w:rPr>
          <w:rFonts w:ascii="Times New Roman" w:hAnsi="Times New Roman" w:eastAsia="Times New Roman" w:cs="Times New Roman"/>
          <w:sz w:val="28"/>
          <w:szCs w:val="28"/>
          <w:lang w:eastAsia="ru-RU"/>
        </w:rPr>
      </w:pPr>
      <w:r>
        <w:rPr>
          <w:rFonts w:ascii="Times New Roman" w:hAnsi="Times New Roman" w:eastAsia="Times New Roman" w:cs="Times New Roman"/>
          <w:b/>
          <w:sz w:val="28"/>
          <w:szCs w:val="28"/>
          <w:lang w:eastAsia="ru-RU"/>
        </w:rPr>
        <w:t>ҚОСЫМША</w:t>
      </w:r>
      <w:r>
        <w:rPr>
          <w:rFonts w:ascii="Times New Roman" w:hAnsi="Times New Roman" w:eastAsia="Times New Roman" w:cs="Times New Roman"/>
          <w:b/>
          <w:sz w:val="28"/>
          <w:szCs w:val="28"/>
          <w:lang w:val="kk-KZ" w:eastAsia="ru-RU"/>
        </w:rPr>
        <w:t xml:space="preserve"> Ә</w:t>
      </w:r>
      <w:r>
        <w:rPr>
          <w:rFonts w:ascii="Times New Roman" w:hAnsi="Times New Roman" w:eastAsia="Times New Roman" w:cs="Times New Roman"/>
          <w:b/>
          <w:sz w:val="28"/>
          <w:szCs w:val="28"/>
          <w:lang w:val="en-US" w:eastAsia="ru-RU"/>
        </w:rPr>
        <w:t xml:space="preserve"> </w:t>
      </w:r>
      <w:r>
        <w:rPr>
          <w:rFonts w:ascii="Times New Roman" w:hAnsi="Times New Roman" w:eastAsia="Times New Roman" w:cs="Times New Roman"/>
          <w:sz w:val="28"/>
          <w:szCs w:val="28"/>
          <w:lang w:eastAsia="ru-RU"/>
        </w:rPr>
        <w:drawing>
          <wp:inline distT="0" distB="0" distL="0" distR="0">
            <wp:extent cx="6133465" cy="8632825"/>
            <wp:effectExtent l="0" t="0" r="635" b="15875"/>
            <wp:docPr id="123" name="Рисунок 123" descr="C:\Users\kgmuuser\AppData\Local\Temp\ksohtml7396\wp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C:\Users\kgmuuser\AppData\Local\Temp\ksohtml7396\wps3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6133465" cy="8632825"/>
                    </a:xfrm>
                    <a:prstGeom prst="rect">
                      <a:avLst/>
                    </a:prstGeom>
                    <a:noFill/>
                    <a:ln>
                      <a:noFill/>
                    </a:ln>
                  </pic:spPr>
                </pic:pic>
              </a:graphicData>
            </a:graphic>
          </wp:inline>
        </w:drawing>
      </w:r>
      <w:r>
        <w:rPr>
          <w:rFonts w:ascii="Times New Roman" w:hAnsi="Times New Roman" w:eastAsia="Times New Roman" w:cs="Times New Roman"/>
          <w:sz w:val="28"/>
          <w:szCs w:val="28"/>
          <w:lang w:eastAsia="ru-RU"/>
        </w:rPr>
        <w:t xml:space="preserve"> </w:t>
      </w:r>
    </w:p>
    <w:p w14:paraId="0119C6B7">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ab/>
      </w:r>
    </w:p>
    <w:p w14:paraId="54E8FE4C">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sz w:val="28"/>
          <w:szCs w:val="28"/>
          <w:lang w:eastAsia="ru-RU"/>
        </w:rPr>
        <w:drawing>
          <wp:inline distT="0" distB="0" distL="0" distR="0">
            <wp:extent cx="5960110" cy="8700770"/>
            <wp:effectExtent l="0" t="0" r="2540" b="5080"/>
            <wp:docPr id="124" name="Рисунок 124" descr="C:\Users\kgmuuser\AppData\Local\Temp\ksohtml7396\wp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C:\Users\kgmuuser\AppData\Local\Temp\ksohtml7396\wps4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60110" cy="8700770"/>
                    </a:xfrm>
                    <a:prstGeom prst="rect">
                      <a:avLst/>
                    </a:prstGeom>
                    <a:noFill/>
                    <a:ln>
                      <a:noFill/>
                    </a:ln>
                  </pic:spPr>
                </pic:pic>
              </a:graphicData>
            </a:graphic>
          </wp:inline>
        </w:drawing>
      </w:r>
    </w:p>
    <w:p w14:paraId="09707CB6">
      <w:pPr>
        <w:widowControl w:val="0"/>
        <w:autoSpaceDE w:val="0"/>
        <w:autoSpaceDN w:val="0"/>
        <w:spacing w:after="0" w:line="276" w:lineRule="auto"/>
        <w:ind w:firstLine="709"/>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b/>
          <w:sz w:val="28"/>
          <w:szCs w:val="28"/>
          <w:lang w:eastAsia="ru-RU"/>
        </w:rPr>
        <w:t>ҚОСЫМША Б</w:t>
      </w:r>
    </w:p>
    <w:p w14:paraId="3B6CFB8E">
      <w:pPr>
        <w:widowControl w:val="0"/>
        <w:autoSpaceDE w:val="0"/>
        <w:autoSpaceDN w:val="0"/>
        <w:spacing w:after="0" w:line="276" w:lineRule="auto"/>
        <w:jc w:val="both"/>
        <w:outlineLvl w:val="0"/>
        <w:rPr>
          <w:rFonts w:ascii="Times New Roman" w:hAnsi="Times New Roman" w:eastAsia="Times New Roman" w:cs="Times New Roman"/>
          <w:b/>
          <w:sz w:val="28"/>
          <w:szCs w:val="28"/>
          <w:lang w:eastAsia="ru-RU"/>
        </w:rPr>
      </w:pPr>
      <w:r>
        <w:rPr>
          <w:rFonts w:ascii="Times New Roman" w:hAnsi="Times New Roman" w:eastAsia="Times New Roman" w:cs="Times New Roman"/>
          <w:sz w:val="28"/>
          <w:szCs w:val="28"/>
          <w:lang w:eastAsia="ru-RU"/>
        </w:rPr>
        <w:drawing>
          <wp:inline distT="0" distB="0" distL="0" distR="0">
            <wp:extent cx="5431155" cy="6969125"/>
            <wp:effectExtent l="0" t="0" r="0" b="3175"/>
            <wp:docPr id="125" name="Рисунок 125" descr="C:\Users\kgmuuser\AppData\Local\Temp\ksohtml7396\wp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descr="C:\Users\kgmuuser\AppData\Local\Temp\ksohtml7396\wps4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431155" cy="6969125"/>
                    </a:xfrm>
                    <a:prstGeom prst="rect">
                      <a:avLst/>
                    </a:prstGeom>
                    <a:noFill/>
                    <a:ln>
                      <a:noFill/>
                    </a:ln>
                  </pic:spPr>
                </pic:pic>
              </a:graphicData>
            </a:graphic>
          </wp:inline>
        </w:drawing>
      </w:r>
      <w:r>
        <w:rPr>
          <w:rFonts w:ascii="Times New Roman" w:hAnsi="Times New Roman" w:eastAsia="Times New Roman" w:cs="Times New Roman"/>
          <w:b/>
          <w:sz w:val="28"/>
          <w:szCs w:val="28"/>
          <w:lang w:eastAsia="ru-RU"/>
        </w:rPr>
        <w:t xml:space="preserve"> </w:t>
      </w:r>
    </w:p>
    <w:p w14:paraId="5EFB3B38">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ab/>
      </w:r>
    </w:p>
    <w:p w14:paraId="671BBBDE">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2E031C66">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48654C59">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712EBD42">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291F7F65">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38670741">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0F79E1D9">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p>
    <w:p w14:paraId="638E1FFA">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p>
    <w:p w14:paraId="5E6DB214">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ҚОСЫМША В</w:t>
      </w:r>
    </w:p>
    <w:p w14:paraId="31559790">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3BA4312D">
      <w:pPr>
        <w:widowControl w:val="0"/>
        <w:autoSpaceDE w:val="0"/>
        <w:autoSpaceDN w:val="0"/>
        <w:spacing w:after="0" w:line="276" w:lineRule="auto"/>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drawing>
          <wp:inline distT="0" distB="0" distL="0" distR="0">
            <wp:extent cx="5937885" cy="7364095"/>
            <wp:effectExtent l="0" t="0" r="5715" b="8255"/>
            <wp:docPr id="126" name="Рисунок 126" descr="C:\Users\kgmuuser\AppData\Local\Temp\ksohtml7396\wp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C:\Users\kgmuuser\AppData\Local\Temp\ksohtml7396\wps4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937885" cy="7364095"/>
                    </a:xfrm>
                    <a:prstGeom prst="rect">
                      <a:avLst/>
                    </a:prstGeom>
                    <a:noFill/>
                    <a:ln>
                      <a:noFill/>
                    </a:ln>
                  </pic:spPr>
                </pic:pic>
              </a:graphicData>
            </a:graphic>
          </wp:inline>
        </w:drawing>
      </w:r>
      <w:r>
        <w:rPr>
          <w:rFonts w:ascii="Times New Roman" w:hAnsi="Times New Roman" w:eastAsia="Times New Roman" w:cs="Times New Roman"/>
          <w:b/>
          <w:bCs/>
          <w:kern w:val="36"/>
          <w:sz w:val="28"/>
          <w:szCs w:val="28"/>
          <w:lang w:eastAsia="ru-RU"/>
        </w:rPr>
        <w:t xml:space="preserve"> </w:t>
      </w:r>
    </w:p>
    <w:p w14:paraId="24FF583A">
      <w:pPr>
        <w:widowControl w:val="0"/>
        <w:autoSpaceDE w:val="0"/>
        <w:autoSpaceDN w:val="0"/>
        <w:spacing w:after="0" w:line="276" w:lineRule="auto"/>
        <w:ind w:firstLine="709"/>
        <w:jc w:val="both"/>
        <w:outlineLvl w:val="0"/>
        <w:rPr>
          <w:rFonts w:ascii="Times New Roman" w:hAnsi="Times New Roman" w:eastAsia="Times New Roman" w:cs="Times New Roman"/>
          <w:b/>
          <w:bCs/>
          <w:kern w:val="36"/>
          <w:sz w:val="28"/>
          <w:szCs w:val="28"/>
          <w:lang w:eastAsia="ru-RU"/>
        </w:rPr>
      </w:pPr>
      <w:r>
        <w:rPr>
          <w:rFonts w:ascii="Times New Roman" w:hAnsi="Times New Roman" w:eastAsia="Times New Roman" w:cs="Times New Roman"/>
          <w:b/>
          <w:bCs/>
          <w:kern w:val="36"/>
          <w:sz w:val="28"/>
          <w:szCs w:val="28"/>
          <w:lang w:eastAsia="ru-RU"/>
        </w:rPr>
        <w:t xml:space="preserve"> </w:t>
      </w:r>
    </w:p>
    <w:p w14:paraId="72E86A7B">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5949E07A">
      <w:pPr>
        <w:widowControl w:val="0"/>
        <w:autoSpaceDE w:val="0"/>
        <w:autoSpaceDN w:val="0"/>
        <w:spacing w:after="0" w:line="276" w:lineRule="auto"/>
        <w:ind w:firstLine="709"/>
        <w:jc w:val="both"/>
        <w:outlineLvl w:val="0"/>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w:t>
      </w:r>
    </w:p>
    <w:p w14:paraId="59DAB00C">
      <w:pPr>
        <w:widowControl w:val="0"/>
        <w:autoSpaceDE w:val="0"/>
        <w:autoSpaceDN w:val="0"/>
        <w:spacing w:after="0" w:line="276" w:lineRule="auto"/>
        <w:ind w:firstLine="709"/>
        <w:jc w:val="both"/>
        <w:outlineLvl w:val="0"/>
        <w:rPr>
          <w:rFonts w:ascii="Times New Roman" w:hAnsi="Times New Roman" w:cs="Times New Roman"/>
          <w:sz w:val="28"/>
          <w:szCs w:val="28"/>
        </w:rPr>
      </w:pPr>
      <w:r>
        <w:rPr>
          <w:rFonts w:ascii="Times New Roman" w:hAnsi="Times New Roman" w:eastAsia="Times New Roman" w:cs="Times New Roman"/>
          <w:sz w:val="28"/>
          <w:szCs w:val="28"/>
          <w:lang w:eastAsia="ru-RU"/>
        </w:rPr>
        <w:t xml:space="preserve"> </w:t>
      </w:r>
    </w:p>
    <w:sectPr>
      <w:pgSz w:w="11906" w:h="16838"/>
      <w:pgMar w:top="1134" w:right="850" w:bottom="1134" w:left="1701"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3C8768">
    <w:pPr>
      <w:pStyle w:val="11"/>
    </w:pPr>
    <w:r>
      <w:rPr>
        <w:lang w:eastAsia="ru-RU"/>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Текстовое 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82A4A5">
                          <w:pPr>
                            <w:pStyle w:val="11"/>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j1f/E7AgAAZwQAAA4AAABkcnMvZTJvRG9jLnhtbK1US44TMRDdI3EH&#10;y3vSnSBGUZTOKEwUhBQxIwXE2nG7p1vyT7aT7rCDo3AEpNmABFfI3Ijn/mTQwGIWLOJ+drleVb0q&#10;Z37ZKEkOwvnK6IyORyklQnOTV/o2ox/er19MKfGB6ZxJo0VGj8LTy8XzZ/PazsTElEbmwhGQaD+r&#10;bUbLEOwsSTwvhWJ+ZKzQMBbGKRawdbdJ7lgNdiWTSZpeJLVxuXWGC+9xuuqMtGd0TyE0RVFxsTJ8&#10;r4QOHasTkgWU5MvKerposy0KwcN1UXgRiMwoKg3tiiDAu7gmizmb3Tpmy4r3KbCnpPCoJsUqjaBn&#10;qhULjOxd9ReVqrgz3hRhxI1KukJaRVDFOH2kzbZkVrS1QGpvz6L7/0fL3x1uHKlyTAIlmik0/PT1&#10;dHf6fv/5/svp5+kbfnfk9AufHwDjKFht/Qx+WwvP0Lw2TXTuzz0Oow5N4VT8okICO+Q+nuUWTSA8&#10;Ok0n02kKE4dt2IAneXC3zoc3wigSQUYd+tnKzA4bH7qrw5UYTZt1JSXO2UxqUmf04uWrtHU4W0Au&#10;NWLEIrpkIwrNrukr2Jn8iMKc6WbFW76uEHzDfLhhDsOBhPF8wjWWQhoEMT2ipDTu07/O4330DFZK&#10;agxbRjXeFiXyrUYvQRgG4AawG4DeqyuD6UV/kEsL4eCCHGDhjPqIN7WMMWBimiNSRsMAr0I38HiT&#10;XCyX7SVMn2Vho7eWR+qomLfLfYCAra5RlE6JXivMX9uZ/q3EAf9z3956+H9Y/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zSVju0AAAAAUBAAAPAAAAAAAAAAEAIAAAACIAAABkcnMvZG93bnJldi54&#10;bWxQSwECFAAUAAAACACHTuJAKPV/8TsCAABnBAAADgAAAAAAAAABACAAAAAfAQAAZHJzL2Uyb0Rv&#10;Yy54bWxQSwUGAAAAAAYABgBZAQAAzAUAAAAA&#10;">
              <v:fill on="f" focussize="0,0"/>
              <v:stroke on="f" weight="0.5pt"/>
              <v:imagedata o:title=""/>
              <o:lock v:ext="edit" aspectratio="f"/>
              <v:textbox inset="0mm,0mm,0mm,0mm" style="mso-fit-shape-to-text:t;">
                <w:txbxContent>
                  <w:p w14:paraId="4982A4A5">
                    <w:pPr>
                      <w:pStyle w:val="11"/>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43AA96"/>
    <w:multiLevelType w:val="singleLevel"/>
    <w:tmpl w:val="C743AA96"/>
    <w:lvl w:ilvl="0" w:tentative="0">
      <w:start w:val="1"/>
      <w:numFmt w:val="decimal"/>
      <w:suff w:val="space"/>
      <w:lvlText w:val="%1."/>
      <w:lvlJc w:val="left"/>
    </w:lvl>
  </w:abstractNum>
  <w:abstractNum w:abstractNumId="1">
    <w:nsid w:val="DFCE1463"/>
    <w:multiLevelType w:val="multilevel"/>
    <w:tmpl w:val="DFCE1463"/>
    <w:lvl w:ilvl="0" w:tentative="0">
      <w:start w:val="1"/>
      <w:numFmt w:val="decimal"/>
      <w:lvlText w:val="%1."/>
      <w:lvlJc w:val="left"/>
      <w:pPr>
        <w:tabs>
          <w:tab w:val="left" w:pos="425"/>
        </w:tabs>
        <w:ind w:left="425" w:hanging="65"/>
      </w:pPr>
      <w:rPr>
        <w:rFonts w:hint="default"/>
      </w:rPr>
    </w:lvl>
    <w:lvl w:ilvl="1" w:tentative="0">
      <w:start w:val="1"/>
      <w:numFmt w:val="lowerLetter"/>
      <w:lvlText w:val="%2."/>
      <w:lvlJc w:val="left"/>
      <w:pPr>
        <w:tabs>
          <w:tab w:val="left" w:pos="425"/>
        </w:tabs>
        <w:ind w:left="425" w:firstLine="655"/>
      </w:pPr>
      <w:rPr>
        <w:rFonts w:hint="default"/>
      </w:rPr>
    </w:lvl>
    <w:lvl w:ilvl="2" w:tentative="0">
      <w:start w:val="1"/>
      <w:numFmt w:val="lowerRoman"/>
      <w:lvlText w:val="%3."/>
      <w:lvlJc w:val="right"/>
      <w:pPr>
        <w:tabs>
          <w:tab w:val="left" w:pos="425"/>
        </w:tabs>
        <w:ind w:left="425" w:firstLine="1555"/>
      </w:pPr>
      <w:rPr>
        <w:rFonts w:hint="default"/>
      </w:rPr>
    </w:lvl>
    <w:lvl w:ilvl="3" w:tentative="0">
      <w:start w:val="1"/>
      <w:numFmt w:val="decimal"/>
      <w:lvlText w:val="%4."/>
      <w:lvlJc w:val="left"/>
      <w:pPr>
        <w:tabs>
          <w:tab w:val="left" w:pos="425"/>
        </w:tabs>
        <w:ind w:left="425" w:firstLine="2095"/>
      </w:pPr>
      <w:rPr>
        <w:rFonts w:hint="default"/>
      </w:rPr>
    </w:lvl>
    <w:lvl w:ilvl="4" w:tentative="0">
      <w:start w:val="1"/>
      <w:numFmt w:val="lowerLetter"/>
      <w:lvlText w:val="%5."/>
      <w:lvlJc w:val="left"/>
      <w:pPr>
        <w:tabs>
          <w:tab w:val="left" w:pos="425"/>
        </w:tabs>
        <w:ind w:left="425" w:firstLine="2815"/>
      </w:pPr>
      <w:rPr>
        <w:rFonts w:hint="default"/>
      </w:rPr>
    </w:lvl>
    <w:lvl w:ilvl="5" w:tentative="0">
      <w:start w:val="1"/>
      <w:numFmt w:val="lowerRoman"/>
      <w:lvlText w:val="%6."/>
      <w:lvlJc w:val="right"/>
      <w:pPr>
        <w:tabs>
          <w:tab w:val="left" w:pos="425"/>
        </w:tabs>
        <w:ind w:left="425" w:firstLine="3715"/>
      </w:pPr>
      <w:rPr>
        <w:rFonts w:hint="default"/>
      </w:rPr>
    </w:lvl>
    <w:lvl w:ilvl="6" w:tentative="0">
      <w:start w:val="1"/>
      <w:numFmt w:val="decimal"/>
      <w:lvlText w:val="%7."/>
      <w:lvlJc w:val="left"/>
      <w:pPr>
        <w:tabs>
          <w:tab w:val="left" w:pos="425"/>
        </w:tabs>
        <w:ind w:left="425" w:firstLine="4255"/>
      </w:pPr>
      <w:rPr>
        <w:rFonts w:hint="default"/>
      </w:rPr>
    </w:lvl>
    <w:lvl w:ilvl="7" w:tentative="0">
      <w:start w:val="1"/>
      <w:numFmt w:val="lowerLetter"/>
      <w:lvlText w:val="%8."/>
      <w:lvlJc w:val="left"/>
      <w:pPr>
        <w:tabs>
          <w:tab w:val="left" w:pos="425"/>
        </w:tabs>
        <w:ind w:left="425" w:firstLine="4975"/>
      </w:pPr>
      <w:rPr>
        <w:rFonts w:hint="default"/>
      </w:rPr>
    </w:lvl>
    <w:lvl w:ilvl="8" w:tentative="0">
      <w:start w:val="1"/>
      <w:numFmt w:val="lowerRoman"/>
      <w:lvlText w:val="%9."/>
      <w:lvlJc w:val="right"/>
      <w:pPr>
        <w:tabs>
          <w:tab w:val="left" w:pos="425"/>
        </w:tabs>
        <w:ind w:left="425" w:firstLine="5875"/>
      </w:pPr>
      <w:rPr>
        <w:rFonts w:hint="default"/>
      </w:rPr>
    </w:lvl>
  </w:abstractNum>
  <w:abstractNum w:abstractNumId="2">
    <w:nsid w:val="EF87A51A"/>
    <w:multiLevelType w:val="multilevel"/>
    <w:tmpl w:val="EF87A51A"/>
    <w:lvl w:ilvl="0" w:tentative="0">
      <w:start w:val="1"/>
      <w:numFmt w:val="decimal"/>
      <w:lvlText w:val="%1."/>
      <w:lvlJc w:val="left"/>
      <w:pPr>
        <w:tabs>
          <w:tab w:val="left" w:pos="425"/>
        </w:tabs>
        <w:ind w:left="425" w:leftChars="0" w:hanging="65" w:firstLineChars="0"/>
      </w:pPr>
      <w:rPr>
        <w:rFonts w:hint="default"/>
      </w:rPr>
    </w:lvl>
    <w:lvl w:ilvl="1" w:tentative="0">
      <w:start w:val="1"/>
      <w:numFmt w:val="lowerLetter"/>
      <w:lvlText w:val="%2."/>
      <w:lvlJc w:val="left"/>
      <w:pPr>
        <w:tabs>
          <w:tab w:val="left" w:pos="425"/>
        </w:tabs>
        <w:ind w:left="425" w:leftChars="0" w:firstLine="655" w:firstLineChars="0"/>
      </w:pPr>
      <w:rPr>
        <w:rFonts w:hint="default"/>
      </w:rPr>
    </w:lvl>
    <w:lvl w:ilvl="2" w:tentative="0">
      <w:start w:val="1"/>
      <w:numFmt w:val="lowerRoman"/>
      <w:lvlText w:val="%3."/>
      <w:lvlJc w:val="right"/>
      <w:pPr>
        <w:tabs>
          <w:tab w:val="left" w:pos="425"/>
        </w:tabs>
        <w:ind w:left="425" w:leftChars="0" w:firstLine="1555" w:firstLineChars="0"/>
      </w:pPr>
      <w:rPr>
        <w:rFonts w:hint="default"/>
      </w:rPr>
    </w:lvl>
    <w:lvl w:ilvl="3" w:tentative="0">
      <w:start w:val="1"/>
      <w:numFmt w:val="decimal"/>
      <w:lvlText w:val="%4."/>
      <w:lvlJc w:val="left"/>
      <w:pPr>
        <w:tabs>
          <w:tab w:val="left" w:pos="425"/>
        </w:tabs>
        <w:ind w:left="425" w:leftChars="0" w:firstLine="2095" w:firstLineChars="0"/>
      </w:pPr>
      <w:rPr>
        <w:rFonts w:hint="default"/>
      </w:rPr>
    </w:lvl>
    <w:lvl w:ilvl="4" w:tentative="0">
      <w:start w:val="1"/>
      <w:numFmt w:val="lowerLetter"/>
      <w:lvlText w:val="%5."/>
      <w:lvlJc w:val="left"/>
      <w:pPr>
        <w:tabs>
          <w:tab w:val="left" w:pos="425"/>
        </w:tabs>
        <w:ind w:left="425" w:leftChars="0" w:firstLine="2815" w:firstLineChars="0"/>
      </w:pPr>
      <w:rPr>
        <w:rFonts w:hint="default"/>
      </w:rPr>
    </w:lvl>
    <w:lvl w:ilvl="5" w:tentative="0">
      <w:start w:val="1"/>
      <w:numFmt w:val="lowerRoman"/>
      <w:lvlText w:val="%6."/>
      <w:lvlJc w:val="right"/>
      <w:pPr>
        <w:tabs>
          <w:tab w:val="left" w:pos="425"/>
        </w:tabs>
        <w:ind w:left="425" w:leftChars="0" w:firstLine="3715" w:firstLineChars="0"/>
      </w:pPr>
      <w:rPr>
        <w:rFonts w:hint="default"/>
      </w:rPr>
    </w:lvl>
    <w:lvl w:ilvl="6" w:tentative="0">
      <w:start w:val="1"/>
      <w:numFmt w:val="decimal"/>
      <w:lvlText w:val="%7."/>
      <w:lvlJc w:val="left"/>
      <w:pPr>
        <w:tabs>
          <w:tab w:val="left" w:pos="425"/>
        </w:tabs>
        <w:ind w:left="425" w:leftChars="0" w:firstLine="4255" w:firstLineChars="0"/>
      </w:pPr>
      <w:rPr>
        <w:rFonts w:hint="default"/>
      </w:rPr>
    </w:lvl>
    <w:lvl w:ilvl="7" w:tentative="0">
      <w:start w:val="1"/>
      <w:numFmt w:val="lowerLetter"/>
      <w:lvlText w:val="%8."/>
      <w:lvlJc w:val="left"/>
      <w:pPr>
        <w:tabs>
          <w:tab w:val="left" w:pos="425"/>
        </w:tabs>
        <w:ind w:left="425" w:leftChars="0" w:firstLine="4975" w:firstLineChars="0"/>
      </w:pPr>
      <w:rPr>
        <w:rFonts w:hint="default"/>
      </w:rPr>
    </w:lvl>
    <w:lvl w:ilvl="8" w:tentative="0">
      <w:start w:val="1"/>
      <w:numFmt w:val="lowerRoman"/>
      <w:lvlText w:val="%9."/>
      <w:lvlJc w:val="right"/>
      <w:pPr>
        <w:tabs>
          <w:tab w:val="left" w:pos="425"/>
        </w:tabs>
        <w:ind w:left="425" w:leftChars="0" w:firstLine="5875" w:firstLineChars="0"/>
      </w:pPr>
      <w:rPr>
        <w:rFonts w:hint="default"/>
      </w:rPr>
    </w:lvl>
  </w:abstractNum>
  <w:abstractNum w:abstractNumId="3">
    <w:nsid w:val="058A2FAF"/>
    <w:multiLevelType w:val="multilevel"/>
    <w:tmpl w:val="058A2FA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113FBAB1"/>
    <w:multiLevelType w:val="singleLevel"/>
    <w:tmpl w:val="113FBAB1"/>
    <w:lvl w:ilvl="0" w:tentative="0">
      <w:start w:val="1"/>
      <w:numFmt w:val="decimal"/>
      <w:lvlText w:val="%1."/>
      <w:lvlJc w:val="left"/>
      <w:pPr>
        <w:tabs>
          <w:tab w:val="left" w:pos="425"/>
        </w:tabs>
        <w:ind w:left="425" w:hanging="425"/>
      </w:pPr>
      <w:rPr>
        <w:rFonts w:hint="default"/>
      </w:rPr>
    </w:lvl>
  </w:abstractNum>
  <w:abstractNum w:abstractNumId="5">
    <w:nsid w:val="18145F45"/>
    <w:multiLevelType w:val="multilevel"/>
    <w:tmpl w:val="18145F45"/>
    <w:lvl w:ilvl="0" w:tentative="0">
      <w:start w:val="1"/>
      <w:numFmt w:val="decimal"/>
      <w:lvlText w:val="%1."/>
      <w:lvlJc w:val="left"/>
      <w:pPr>
        <w:ind w:left="720" w:hanging="360"/>
      </w:pPr>
      <w:rPr>
        <w:rFonts w:hint="default" w:ascii="Times New Roman" w:hAnsi="Times New Roman" w:cs="Times New Roman"/>
      </w:rPr>
    </w:lvl>
    <w:lvl w:ilvl="1" w:tentative="0">
      <w:start w:val="1"/>
      <w:numFmt w:val="lowerLetter"/>
      <w:lvlText w:val="%2."/>
      <w:lvlJc w:val="left"/>
      <w:pPr>
        <w:ind w:left="1440" w:hanging="360"/>
      </w:pPr>
      <w:rPr>
        <w:rFonts w:hint="default" w:ascii="Times New Roman" w:hAnsi="Times New Roman" w:cs="Times New Roman"/>
      </w:rPr>
    </w:lvl>
    <w:lvl w:ilvl="2" w:tentative="0">
      <w:start w:val="1"/>
      <w:numFmt w:val="lowerRoman"/>
      <w:lvlText w:val="%3."/>
      <w:lvlJc w:val="right"/>
      <w:pPr>
        <w:ind w:left="2160" w:hanging="360"/>
      </w:pPr>
      <w:rPr>
        <w:rFonts w:hint="default" w:ascii="Times New Roman" w:hAnsi="Times New Roman" w:cs="Times New Roman"/>
      </w:rPr>
    </w:lvl>
    <w:lvl w:ilvl="3" w:tentative="0">
      <w:start w:val="1"/>
      <w:numFmt w:val="decimal"/>
      <w:lvlText w:val="%4."/>
      <w:lvlJc w:val="left"/>
      <w:pPr>
        <w:ind w:left="2880" w:hanging="360"/>
      </w:pPr>
      <w:rPr>
        <w:rFonts w:hint="default" w:ascii="Times New Roman" w:hAnsi="Times New Roman" w:cs="Times New Roman"/>
      </w:rPr>
    </w:lvl>
    <w:lvl w:ilvl="4" w:tentative="0">
      <w:start w:val="1"/>
      <w:numFmt w:val="lowerLetter"/>
      <w:lvlText w:val="%5."/>
      <w:lvlJc w:val="left"/>
      <w:pPr>
        <w:ind w:left="3600" w:hanging="360"/>
      </w:pPr>
      <w:rPr>
        <w:rFonts w:hint="default" w:ascii="Times New Roman" w:hAnsi="Times New Roman" w:cs="Times New Roman"/>
      </w:rPr>
    </w:lvl>
    <w:lvl w:ilvl="5" w:tentative="0">
      <w:start w:val="1"/>
      <w:numFmt w:val="lowerRoman"/>
      <w:lvlText w:val="%6."/>
      <w:lvlJc w:val="right"/>
      <w:pPr>
        <w:ind w:left="4320" w:hanging="360"/>
      </w:pPr>
      <w:rPr>
        <w:rFonts w:hint="default" w:ascii="Times New Roman" w:hAnsi="Times New Roman" w:cs="Times New Roman"/>
      </w:rPr>
    </w:lvl>
    <w:lvl w:ilvl="6" w:tentative="0">
      <w:start w:val="1"/>
      <w:numFmt w:val="decimal"/>
      <w:lvlText w:val="%7."/>
      <w:lvlJc w:val="left"/>
      <w:pPr>
        <w:ind w:left="5040" w:hanging="360"/>
      </w:pPr>
      <w:rPr>
        <w:rFonts w:hint="default" w:ascii="Times New Roman" w:hAnsi="Times New Roman" w:cs="Times New Roman"/>
      </w:rPr>
    </w:lvl>
    <w:lvl w:ilvl="7" w:tentative="0">
      <w:start w:val="1"/>
      <w:numFmt w:val="lowerLetter"/>
      <w:lvlText w:val="%8."/>
      <w:lvlJc w:val="left"/>
      <w:pPr>
        <w:ind w:left="5760" w:hanging="360"/>
      </w:pPr>
      <w:rPr>
        <w:rFonts w:hint="default" w:ascii="Times New Roman" w:hAnsi="Times New Roman" w:cs="Times New Roman"/>
      </w:rPr>
    </w:lvl>
    <w:lvl w:ilvl="8" w:tentative="0">
      <w:start w:val="1"/>
      <w:numFmt w:val="lowerRoman"/>
      <w:lvlText w:val="%9."/>
      <w:lvlJc w:val="right"/>
      <w:pPr>
        <w:ind w:left="6480" w:hanging="360"/>
      </w:pPr>
      <w:rPr>
        <w:rFonts w:hint="default" w:ascii="Times New Roman" w:hAnsi="Times New Roman" w:cs="Times New Roman"/>
      </w:rPr>
    </w:lvl>
  </w:abstractNum>
  <w:abstractNum w:abstractNumId="6">
    <w:nsid w:val="20521DA4"/>
    <w:multiLevelType w:val="multilevel"/>
    <w:tmpl w:val="20521DA4"/>
    <w:lvl w:ilvl="0" w:tentative="0">
      <w:start w:val="1"/>
      <w:numFmt w:val="decimal"/>
      <w:lvlText w:val="%1."/>
      <w:lvlJc w:val="left"/>
      <w:pPr>
        <w:ind w:left="720" w:hanging="360"/>
      </w:pPr>
      <w:rPr>
        <w:rFonts w:hint="default" w:ascii="Times New Roman" w:hAnsi="Times New Roman" w:cs="Times New Roman"/>
      </w:rPr>
    </w:lvl>
    <w:lvl w:ilvl="1" w:tentative="0">
      <w:start w:val="1"/>
      <w:numFmt w:val="lowerLetter"/>
      <w:lvlText w:val="%2."/>
      <w:lvlJc w:val="left"/>
      <w:pPr>
        <w:ind w:left="1440" w:hanging="360"/>
      </w:pPr>
      <w:rPr>
        <w:rFonts w:hint="default" w:ascii="Times New Roman" w:hAnsi="Times New Roman" w:cs="Times New Roman"/>
      </w:rPr>
    </w:lvl>
    <w:lvl w:ilvl="2" w:tentative="0">
      <w:start w:val="1"/>
      <w:numFmt w:val="lowerRoman"/>
      <w:lvlText w:val="%3."/>
      <w:lvlJc w:val="right"/>
      <w:pPr>
        <w:ind w:left="2160" w:hanging="360"/>
      </w:pPr>
      <w:rPr>
        <w:rFonts w:hint="default" w:ascii="Times New Roman" w:hAnsi="Times New Roman" w:cs="Times New Roman"/>
      </w:rPr>
    </w:lvl>
    <w:lvl w:ilvl="3" w:tentative="0">
      <w:start w:val="1"/>
      <w:numFmt w:val="decimal"/>
      <w:lvlText w:val="%4."/>
      <w:lvlJc w:val="left"/>
      <w:pPr>
        <w:ind w:left="2880" w:hanging="360"/>
      </w:pPr>
      <w:rPr>
        <w:rFonts w:hint="default" w:ascii="Times New Roman" w:hAnsi="Times New Roman" w:cs="Times New Roman"/>
      </w:rPr>
    </w:lvl>
    <w:lvl w:ilvl="4" w:tentative="0">
      <w:start w:val="1"/>
      <w:numFmt w:val="lowerLetter"/>
      <w:lvlText w:val="%5."/>
      <w:lvlJc w:val="left"/>
      <w:pPr>
        <w:ind w:left="3600" w:hanging="360"/>
      </w:pPr>
      <w:rPr>
        <w:rFonts w:hint="default" w:ascii="Times New Roman" w:hAnsi="Times New Roman" w:cs="Times New Roman"/>
      </w:rPr>
    </w:lvl>
    <w:lvl w:ilvl="5" w:tentative="0">
      <w:start w:val="1"/>
      <w:numFmt w:val="lowerRoman"/>
      <w:lvlText w:val="%6."/>
      <w:lvlJc w:val="right"/>
      <w:pPr>
        <w:ind w:left="4320" w:hanging="360"/>
      </w:pPr>
      <w:rPr>
        <w:rFonts w:hint="default" w:ascii="Times New Roman" w:hAnsi="Times New Roman" w:cs="Times New Roman"/>
      </w:rPr>
    </w:lvl>
    <w:lvl w:ilvl="6" w:tentative="0">
      <w:start w:val="1"/>
      <w:numFmt w:val="decimal"/>
      <w:lvlText w:val="%7."/>
      <w:lvlJc w:val="left"/>
      <w:pPr>
        <w:ind w:left="5040" w:hanging="360"/>
      </w:pPr>
      <w:rPr>
        <w:rFonts w:hint="default" w:ascii="Times New Roman" w:hAnsi="Times New Roman" w:cs="Times New Roman"/>
      </w:rPr>
    </w:lvl>
    <w:lvl w:ilvl="7" w:tentative="0">
      <w:start w:val="1"/>
      <w:numFmt w:val="lowerLetter"/>
      <w:lvlText w:val="%8."/>
      <w:lvlJc w:val="left"/>
      <w:pPr>
        <w:ind w:left="5760" w:hanging="360"/>
      </w:pPr>
      <w:rPr>
        <w:rFonts w:hint="default" w:ascii="Times New Roman" w:hAnsi="Times New Roman" w:cs="Times New Roman"/>
      </w:rPr>
    </w:lvl>
    <w:lvl w:ilvl="8" w:tentative="0">
      <w:start w:val="1"/>
      <w:numFmt w:val="lowerRoman"/>
      <w:lvlText w:val="%9."/>
      <w:lvlJc w:val="right"/>
      <w:pPr>
        <w:ind w:left="6480" w:hanging="360"/>
      </w:pPr>
      <w:rPr>
        <w:rFonts w:hint="default" w:ascii="Times New Roman" w:hAnsi="Times New Roman" w:cs="Times New Roman"/>
      </w:rPr>
    </w:lvl>
  </w:abstractNum>
  <w:abstractNum w:abstractNumId="7">
    <w:nsid w:val="34572F2C"/>
    <w:multiLevelType w:val="multilevel"/>
    <w:tmpl w:val="34572F2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35751A5A"/>
    <w:multiLevelType w:val="multilevel"/>
    <w:tmpl w:val="35751A5A"/>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36DA1224"/>
    <w:multiLevelType w:val="multilevel"/>
    <w:tmpl w:val="36DA122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5838159E"/>
    <w:multiLevelType w:val="multilevel"/>
    <w:tmpl w:val="5838159E"/>
    <w:lvl w:ilvl="0" w:tentative="0">
      <w:start w:val="1"/>
      <w:numFmt w:val="decimal"/>
      <w:lvlText w:val="%1."/>
      <w:lvlJc w:val="left"/>
      <w:pPr>
        <w:ind w:left="720" w:hanging="360"/>
      </w:pPr>
      <w:rPr>
        <w:rFonts w:hint="default" w:ascii="Times New Roman" w:hAnsi="Times New Roman" w:cs="Times New Roman"/>
      </w:rPr>
    </w:lvl>
    <w:lvl w:ilvl="1" w:tentative="0">
      <w:start w:val="1"/>
      <w:numFmt w:val="lowerLetter"/>
      <w:lvlText w:val="%2."/>
      <w:lvlJc w:val="left"/>
      <w:pPr>
        <w:ind w:left="1440" w:hanging="360"/>
      </w:pPr>
      <w:rPr>
        <w:rFonts w:hint="default" w:ascii="Times New Roman" w:hAnsi="Times New Roman" w:cs="Times New Roman"/>
      </w:rPr>
    </w:lvl>
    <w:lvl w:ilvl="2" w:tentative="0">
      <w:start w:val="1"/>
      <w:numFmt w:val="lowerRoman"/>
      <w:lvlText w:val="%3."/>
      <w:lvlJc w:val="right"/>
      <w:pPr>
        <w:ind w:left="2160" w:hanging="360"/>
      </w:pPr>
      <w:rPr>
        <w:rFonts w:hint="default" w:ascii="Times New Roman" w:hAnsi="Times New Roman" w:cs="Times New Roman"/>
      </w:rPr>
    </w:lvl>
    <w:lvl w:ilvl="3" w:tentative="0">
      <w:start w:val="1"/>
      <w:numFmt w:val="decimal"/>
      <w:lvlText w:val="%4."/>
      <w:lvlJc w:val="left"/>
      <w:pPr>
        <w:ind w:left="2880" w:hanging="360"/>
      </w:pPr>
      <w:rPr>
        <w:rFonts w:hint="default" w:ascii="Times New Roman" w:hAnsi="Times New Roman" w:cs="Times New Roman"/>
      </w:rPr>
    </w:lvl>
    <w:lvl w:ilvl="4" w:tentative="0">
      <w:start w:val="1"/>
      <w:numFmt w:val="lowerLetter"/>
      <w:lvlText w:val="%5."/>
      <w:lvlJc w:val="left"/>
      <w:pPr>
        <w:ind w:left="3600" w:hanging="360"/>
      </w:pPr>
      <w:rPr>
        <w:rFonts w:hint="default" w:ascii="Times New Roman" w:hAnsi="Times New Roman" w:cs="Times New Roman"/>
      </w:rPr>
    </w:lvl>
    <w:lvl w:ilvl="5" w:tentative="0">
      <w:start w:val="1"/>
      <w:numFmt w:val="lowerRoman"/>
      <w:lvlText w:val="%6."/>
      <w:lvlJc w:val="right"/>
      <w:pPr>
        <w:ind w:left="4320" w:hanging="360"/>
      </w:pPr>
      <w:rPr>
        <w:rFonts w:hint="default" w:ascii="Times New Roman" w:hAnsi="Times New Roman" w:cs="Times New Roman"/>
      </w:rPr>
    </w:lvl>
    <w:lvl w:ilvl="6" w:tentative="0">
      <w:start w:val="1"/>
      <w:numFmt w:val="decimal"/>
      <w:lvlText w:val="%7."/>
      <w:lvlJc w:val="left"/>
      <w:pPr>
        <w:ind w:left="5040" w:hanging="360"/>
      </w:pPr>
      <w:rPr>
        <w:rFonts w:hint="default" w:ascii="Times New Roman" w:hAnsi="Times New Roman" w:cs="Times New Roman"/>
      </w:rPr>
    </w:lvl>
    <w:lvl w:ilvl="7" w:tentative="0">
      <w:start w:val="1"/>
      <w:numFmt w:val="lowerLetter"/>
      <w:lvlText w:val="%8."/>
      <w:lvlJc w:val="left"/>
      <w:pPr>
        <w:ind w:left="5760" w:hanging="360"/>
      </w:pPr>
      <w:rPr>
        <w:rFonts w:hint="default" w:ascii="Times New Roman" w:hAnsi="Times New Roman" w:cs="Times New Roman"/>
      </w:rPr>
    </w:lvl>
    <w:lvl w:ilvl="8" w:tentative="0">
      <w:start w:val="1"/>
      <w:numFmt w:val="lowerRoman"/>
      <w:lvlText w:val="%9."/>
      <w:lvlJc w:val="right"/>
      <w:pPr>
        <w:ind w:left="6480" w:hanging="360"/>
      </w:pPr>
      <w:rPr>
        <w:rFonts w:hint="default" w:ascii="Times New Roman" w:hAnsi="Times New Roman" w:cs="Times New Roman"/>
      </w:rPr>
    </w:lvl>
  </w:abstractNum>
  <w:abstractNum w:abstractNumId="11">
    <w:nsid w:val="584F0602"/>
    <w:multiLevelType w:val="multilevel"/>
    <w:tmpl w:val="584F060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61024E25"/>
    <w:multiLevelType w:val="multilevel"/>
    <w:tmpl w:val="61024E2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6458624E"/>
    <w:multiLevelType w:val="multilevel"/>
    <w:tmpl w:val="6458624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64A73293"/>
    <w:multiLevelType w:val="multilevel"/>
    <w:tmpl w:val="64A73293"/>
    <w:lvl w:ilvl="0" w:tentative="0">
      <w:start w:val="1"/>
      <w:numFmt w:val="decimal"/>
      <w:lvlText w:val="%1"/>
      <w:lvlJc w:val="left"/>
      <w:pPr>
        <w:ind w:left="720" w:hanging="360"/>
      </w:pPr>
      <w:rPr>
        <w:rFonts w:hint="default" w:ascii="Times New Roman" w:hAnsi="Times New Roman" w:cs="Times New Roman"/>
      </w:rPr>
    </w:lvl>
    <w:lvl w:ilvl="1" w:tentative="0">
      <w:start w:val="1"/>
      <w:numFmt w:val="decimal"/>
      <w:lvlText w:val="%1.%2."/>
      <w:lvlJc w:val="left"/>
      <w:pPr>
        <w:ind w:left="1440" w:hanging="360"/>
      </w:pPr>
      <w:rPr>
        <w:rFonts w:hint="default" w:ascii="Times New Roman" w:hAnsi="Times New Roman" w:cs="Times New Roman"/>
        <w:b/>
        <w:bCs/>
      </w:rPr>
    </w:lvl>
    <w:lvl w:ilvl="2" w:tentative="0">
      <w:start w:val="1"/>
      <w:numFmt w:val="decimal"/>
      <w:lvlText w:val="%3."/>
      <w:lvlJc w:val="left"/>
      <w:pPr>
        <w:ind w:left="2160" w:hanging="360"/>
      </w:pPr>
      <w:rPr>
        <w:rFonts w:hint="default" w:ascii="Times New Roman" w:hAnsi="Times New Roman" w:cs="Times New Roman"/>
      </w:rPr>
    </w:lvl>
    <w:lvl w:ilvl="3" w:tentative="0">
      <w:start w:val="0"/>
      <w:numFmt w:val="bullet"/>
      <w:lvlText w:val="•"/>
      <w:lvlJc w:val="left"/>
      <w:pPr>
        <w:ind w:left="2880" w:hanging="360"/>
      </w:pPr>
      <w:rPr>
        <w:rFonts w:hint="default" w:ascii="Times New Roman" w:hAnsi="Times New Roman" w:cs="Times New Roman"/>
      </w:rPr>
    </w:lvl>
    <w:lvl w:ilvl="4" w:tentative="0">
      <w:start w:val="0"/>
      <w:numFmt w:val="bullet"/>
      <w:lvlText w:val="•"/>
      <w:lvlJc w:val="left"/>
      <w:pPr>
        <w:ind w:left="3600" w:hanging="360"/>
      </w:pPr>
      <w:rPr>
        <w:rFonts w:hint="default" w:ascii="Times New Roman" w:hAnsi="Times New Roman" w:cs="Times New Roman"/>
      </w:rPr>
    </w:lvl>
    <w:lvl w:ilvl="5" w:tentative="0">
      <w:start w:val="0"/>
      <w:numFmt w:val="bullet"/>
      <w:lvlText w:val="•"/>
      <w:lvlJc w:val="left"/>
      <w:pPr>
        <w:ind w:left="4320" w:hanging="360"/>
      </w:pPr>
      <w:rPr>
        <w:rFonts w:hint="default" w:ascii="Times New Roman" w:hAnsi="Times New Roman" w:cs="Times New Roman"/>
      </w:rPr>
    </w:lvl>
    <w:lvl w:ilvl="6" w:tentative="0">
      <w:start w:val="0"/>
      <w:numFmt w:val="bullet"/>
      <w:lvlText w:val="•"/>
      <w:lvlJc w:val="left"/>
      <w:pPr>
        <w:ind w:left="5040" w:hanging="360"/>
      </w:pPr>
      <w:rPr>
        <w:rFonts w:hint="default" w:ascii="Times New Roman" w:hAnsi="Times New Roman" w:cs="Times New Roman"/>
      </w:rPr>
    </w:lvl>
    <w:lvl w:ilvl="7" w:tentative="0">
      <w:start w:val="0"/>
      <w:numFmt w:val="bullet"/>
      <w:lvlText w:val="•"/>
      <w:lvlJc w:val="left"/>
      <w:pPr>
        <w:ind w:left="5760" w:hanging="360"/>
      </w:pPr>
      <w:rPr>
        <w:rFonts w:hint="default" w:ascii="Times New Roman" w:hAnsi="Times New Roman" w:cs="Times New Roman"/>
      </w:rPr>
    </w:lvl>
    <w:lvl w:ilvl="8" w:tentative="0">
      <w:start w:val="0"/>
      <w:numFmt w:val="bullet"/>
      <w:lvlText w:val="•"/>
      <w:lvlJc w:val="left"/>
      <w:pPr>
        <w:ind w:left="6480" w:hanging="360"/>
      </w:pPr>
      <w:rPr>
        <w:rFonts w:hint="default" w:ascii="Times New Roman" w:hAnsi="Times New Roman" w:cs="Times New Roman"/>
      </w:rPr>
    </w:lvl>
  </w:abstractNum>
  <w:abstractNum w:abstractNumId="15">
    <w:nsid w:val="6EDA787A"/>
    <w:multiLevelType w:val="multilevel"/>
    <w:tmpl w:val="6EDA787A"/>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700E14EB"/>
    <w:multiLevelType w:val="multilevel"/>
    <w:tmpl w:val="700E14E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7C3D041B"/>
    <w:multiLevelType w:val="multilevel"/>
    <w:tmpl w:val="7C3D041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8"/>
  </w:num>
  <w:num w:numId="2">
    <w:abstractNumId w:val="3"/>
  </w:num>
  <w:num w:numId="3">
    <w:abstractNumId w:val="15"/>
  </w:num>
  <w:num w:numId="4">
    <w:abstractNumId w:val="2"/>
  </w:num>
  <w:num w:numId="5">
    <w:abstractNumId w:val="1"/>
  </w:num>
  <w:num w:numId="6">
    <w:abstractNumId w:val="4"/>
  </w:num>
  <w:num w:numId="7">
    <w:abstractNumId w:val="14"/>
    <w:lvlOverride w:ilvl="0">
      <w:startOverride w:val="1"/>
    </w:lvlOverride>
    <w:lvlOverride w:ilvl="1">
      <w:startOverride w:val="1"/>
    </w:lvlOverride>
    <w:lvlOverride w:ilvl="2">
      <w:startOverride w:val="1"/>
    </w:lvlOverride>
  </w:num>
  <w:num w:numId="8">
    <w:abstractNumId w:val="12"/>
  </w:num>
  <w:num w:numId="9">
    <w:abstractNumId w:val="16"/>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7"/>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1"/>
  </w:num>
  <w:num w:numId="16">
    <w:abstractNumId w:val="9"/>
  </w:num>
  <w:num w:numId="17">
    <w:abstractNumId w:val="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hideSpellingErrors/>
  <w:documentProtection w:enforcement="0"/>
  <w:defaultTabStop w:val="708"/>
  <w:noPunctuationKerning w:val="1"/>
  <w:characterSpacingControl w:val="doNotCompress"/>
  <w:footnotePr>
    <w:footnote w:id="0"/>
    <w:footnote w:id="1"/>
  </w:footnotePr>
  <w:endnotePr>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2C6"/>
    <w:rsid w:val="00025207"/>
    <w:rsid w:val="00094CCC"/>
    <w:rsid w:val="00101DD8"/>
    <w:rsid w:val="0016159A"/>
    <w:rsid w:val="0021146A"/>
    <w:rsid w:val="0023680B"/>
    <w:rsid w:val="002A7971"/>
    <w:rsid w:val="002D640B"/>
    <w:rsid w:val="002F4269"/>
    <w:rsid w:val="003C2D70"/>
    <w:rsid w:val="003E2A77"/>
    <w:rsid w:val="003F53E0"/>
    <w:rsid w:val="00415B69"/>
    <w:rsid w:val="0045657B"/>
    <w:rsid w:val="00463BEB"/>
    <w:rsid w:val="00476E94"/>
    <w:rsid w:val="00505E7A"/>
    <w:rsid w:val="005F0A31"/>
    <w:rsid w:val="006069BA"/>
    <w:rsid w:val="00630965"/>
    <w:rsid w:val="007D3ADA"/>
    <w:rsid w:val="007E0A01"/>
    <w:rsid w:val="007F360C"/>
    <w:rsid w:val="008557FB"/>
    <w:rsid w:val="00897003"/>
    <w:rsid w:val="009225D2"/>
    <w:rsid w:val="009327C6"/>
    <w:rsid w:val="009A0354"/>
    <w:rsid w:val="009F6CFD"/>
    <w:rsid w:val="00A20EF4"/>
    <w:rsid w:val="00B0597A"/>
    <w:rsid w:val="00B33356"/>
    <w:rsid w:val="00B34CD1"/>
    <w:rsid w:val="00B45EEE"/>
    <w:rsid w:val="00BB08CD"/>
    <w:rsid w:val="00BD6583"/>
    <w:rsid w:val="00C16279"/>
    <w:rsid w:val="00CA01E5"/>
    <w:rsid w:val="00CC3B6B"/>
    <w:rsid w:val="00D343F3"/>
    <w:rsid w:val="00D81B4C"/>
    <w:rsid w:val="00DE7772"/>
    <w:rsid w:val="00E042C6"/>
    <w:rsid w:val="00E0684F"/>
    <w:rsid w:val="00E13EBB"/>
    <w:rsid w:val="00E31C3B"/>
    <w:rsid w:val="00E7247B"/>
    <w:rsid w:val="00EB7A26"/>
    <w:rsid w:val="00F52F9B"/>
    <w:rsid w:val="00F9215C"/>
    <w:rsid w:val="061A159D"/>
    <w:rsid w:val="08A118B5"/>
    <w:rsid w:val="0B127851"/>
    <w:rsid w:val="0B8C227D"/>
    <w:rsid w:val="10534754"/>
    <w:rsid w:val="11DC205D"/>
    <w:rsid w:val="122946DB"/>
    <w:rsid w:val="122B7BDE"/>
    <w:rsid w:val="16516CA8"/>
    <w:rsid w:val="19744352"/>
    <w:rsid w:val="19E5590B"/>
    <w:rsid w:val="1D4726CE"/>
    <w:rsid w:val="1D5A0435"/>
    <w:rsid w:val="20D30C01"/>
    <w:rsid w:val="24A43F37"/>
    <w:rsid w:val="263962C5"/>
    <w:rsid w:val="2B35044C"/>
    <w:rsid w:val="2BA4397C"/>
    <w:rsid w:val="2BE55033"/>
    <w:rsid w:val="2CA37B48"/>
    <w:rsid w:val="2CA7654E"/>
    <w:rsid w:val="2DC8181A"/>
    <w:rsid w:val="301452F1"/>
    <w:rsid w:val="32075721"/>
    <w:rsid w:val="322865FC"/>
    <w:rsid w:val="32801B67"/>
    <w:rsid w:val="33082D45"/>
    <w:rsid w:val="36D9180C"/>
    <w:rsid w:val="37070105"/>
    <w:rsid w:val="381C6AC4"/>
    <w:rsid w:val="3B867491"/>
    <w:rsid w:val="40143986"/>
    <w:rsid w:val="42ED5B59"/>
    <w:rsid w:val="482452B1"/>
    <w:rsid w:val="49E05427"/>
    <w:rsid w:val="4C074AC8"/>
    <w:rsid w:val="4CAE3E1A"/>
    <w:rsid w:val="4D241A1C"/>
    <w:rsid w:val="4DC24835"/>
    <w:rsid w:val="4F6726AA"/>
    <w:rsid w:val="50BA02FE"/>
    <w:rsid w:val="51440262"/>
    <w:rsid w:val="51925DE3"/>
    <w:rsid w:val="538F7E27"/>
    <w:rsid w:val="562C70D5"/>
    <w:rsid w:val="56E83021"/>
    <w:rsid w:val="585C6786"/>
    <w:rsid w:val="5CE110EE"/>
    <w:rsid w:val="5D187049"/>
    <w:rsid w:val="5D8E4A8A"/>
    <w:rsid w:val="5DF32230"/>
    <w:rsid w:val="5DF631B4"/>
    <w:rsid w:val="5E4951BD"/>
    <w:rsid w:val="5E695F0B"/>
    <w:rsid w:val="5EB94577"/>
    <w:rsid w:val="5F4408D8"/>
    <w:rsid w:val="63436BE9"/>
    <w:rsid w:val="66143184"/>
    <w:rsid w:val="66D01339"/>
    <w:rsid w:val="67904923"/>
    <w:rsid w:val="67B01CAC"/>
    <w:rsid w:val="687916F5"/>
    <w:rsid w:val="69023BD7"/>
    <w:rsid w:val="69D750BF"/>
    <w:rsid w:val="6A82754B"/>
    <w:rsid w:val="6AE80968"/>
    <w:rsid w:val="6D3E4E45"/>
    <w:rsid w:val="719C3171"/>
    <w:rsid w:val="770551D1"/>
    <w:rsid w:val="78F80E84"/>
    <w:rsid w:val="7A9B7337"/>
    <w:rsid w:val="7AB166C2"/>
    <w:rsid w:val="7AC7547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iPriority="99"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ru-RU" w:eastAsia="en-US" w:bidi="ar-SA"/>
    </w:rPr>
  </w:style>
  <w:style w:type="paragraph" w:styleId="2">
    <w:name w:val="heading 1"/>
    <w:basedOn w:val="1"/>
    <w:link w:val="14"/>
    <w:qFormat/>
    <w:uiPriority w:val="99"/>
    <w:pPr>
      <w:widowControl w:val="0"/>
      <w:autoSpaceDE w:val="0"/>
      <w:autoSpaceDN w:val="0"/>
      <w:spacing w:before="100" w:beforeAutospacing="1" w:after="100" w:afterAutospacing="1" w:line="240" w:lineRule="auto"/>
      <w:jc w:val="both"/>
      <w:outlineLvl w:val="0"/>
    </w:pPr>
    <w:rPr>
      <w:rFonts w:ascii="Times New Roman" w:hAnsi="Times New Roman" w:eastAsia="Times New Roman" w:cs="Times New Roman"/>
      <w:b/>
      <w:bCs/>
      <w:sz w:val="24"/>
      <w:szCs w:val="24"/>
      <w:lang w:eastAsia="ru-RU"/>
    </w:rPr>
  </w:style>
  <w:style w:type="paragraph" w:styleId="3">
    <w:name w:val="heading 2"/>
    <w:basedOn w:val="1"/>
    <w:next w:val="1"/>
    <w:link w:val="15"/>
    <w:qFormat/>
    <w:uiPriority w:val="99"/>
    <w:pPr>
      <w:keepNext/>
      <w:keepLines/>
      <w:widowControl w:val="0"/>
      <w:autoSpaceDE w:val="0"/>
      <w:autoSpaceDN w:val="0"/>
      <w:spacing w:before="100" w:beforeAutospacing="1" w:after="100" w:afterAutospacing="1" w:line="240" w:lineRule="auto"/>
      <w:outlineLvl w:val="1"/>
    </w:pPr>
    <w:rPr>
      <w:rFonts w:ascii="Times New Roman" w:hAnsi="Times New Roman" w:eastAsia="等线 Light" w:cs="Times New Roman"/>
      <w:color w:val="2E75B5"/>
      <w:sz w:val="24"/>
      <w:szCs w:val="24"/>
      <w:lang w:eastAsia="ru-RU"/>
    </w:rPr>
  </w:style>
  <w:style w:type="character" w:default="1" w:styleId="4">
    <w:name w:val="Default Paragraph Font"/>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character" w:styleId="6">
    <w:name w:val="FollowedHyperlink"/>
    <w:basedOn w:val="4"/>
    <w:unhideWhenUsed/>
    <w:qFormat/>
    <w:uiPriority w:val="99"/>
    <w:rPr>
      <w:color w:val="800080"/>
      <w:u w:val="single"/>
    </w:rPr>
  </w:style>
  <w:style w:type="character" w:styleId="7">
    <w:name w:val="Hyperlink"/>
    <w:basedOn w:val="4"/>
    <w:unhideWhenUsed/>
    <w:qFormat/>
    <w:uiPriority w:val="99"/>
    <w:rPr>
      <w:color w:val="0000FF"/>
      <w:u w:val="single"/>
    </w:rPr>
  </w:style>
  <w:style w:type="character" w:styleId="8">
    <w:name w:val="Strong"/>
    <w:basedOn w:val="4"/>
    <w:qFormat/>
    <w:uiPriority w:val="22"/>
    <w:rPr>
      <w:b/>
      <w:bCs/>
    </w:rPr>
  </w:style>
  <w:style w:type="paragraph" w:styleId="9">
    <w:name w:val="header"/>
    <w:basedOn w:val="1"/>
    <w:semiHidden/>
    <w:unhideWhenUsed/>
    <w:qFormat/>
    <w:uiPriority w:val="99"/>
    <w:pPr>
      <w:tabs>
        <w:tab w:val="center" w:pos="4153"/>
        <w:tab w:val="right" w:pos="8306"/>
      </w:tabs>
    </w:pPr>
  </w:style>
  <w:style w:type="paragraph" w:styleId="10">
    <w:name w:val="Body Text"/>
    <w:basedOn w:val="1"/>
    <w:link w:val="17"/>
    <w:unhideWhenUsed/>
    <w:qFormat/>
    <w:uiPriority w:val="99"/>
    <w:pPr>
      <w:widowControl w:val="0"/>
      <w:autoSpaceDE w:val="0"/>
      <w:autoSpaceDN w:val="0"/>
      <w:spacing w:before="100" w:beforeAutospacing="1" w:after="100" w:afterAutospacing="1" w:line="240" w:lineRule="auto"/>
      <w:jc w:val="both"/>
    </w:pPr>
    <w:rPr>
      <w:rFonts w:ascii="Times New Roman" w:hAnsi="Times New Roman" w:eastAsia="Times New Roman" w:cs="Times New Roman"/>
      <w:sz w:val="24"/>
      <w:szCs w:val="24"/>
      <w:lang w:eastAsia="ru-RU"/>
    </w:rPr>
  </w:style>
  <w:style w:type="paragraph" w:styleId="11">
    <w:name w:val="footer"/>
    <w:basedOn w:val="1"/>
    <w:semiHidden/>
    <w:unhideWhenUsed/>
    <w:qFormat/>
    <w:uiPriority w:val="99"/>
    <w:pPr>
      <w:tabs>
        <w:tab w:val="center" w:pos="4153"/>
        <w:tab w:val="right" w:pos="8306"/>
      </w:tabs>
    </w:pPr>
  </w:style>
  <w:style w:type="paragraph" w:styleId="12">
    <w:name w:val="Normal (Web)"/>
    <w:basedOn w:val="1"/>
    <w:semiHidden/>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ru-RU"/>
    </w:rPr>
  </w:style>
  <w:style w:type="table" w:styleId="13">
    <w:name w:val="Table Grid"/>
    <w:basedOn w:val="5"/>
    <w:unhideWhenUsed/>
    <w:qFormat/>
    <w:uiPriority w:val="99"/>
    <w:pPr>
      <w:widowControl w:val="0"/>
      <w:autoSpaceDE w:val="0"/>
      <w:autoSpaceDN w:val="0"/>
      <w:spacing w:before="100" w:beforeAutospacing="1" w:after="100" w:afterAutospacing="1" w:line="254" w:lineRule="auto"/>
    </w:pPr>
    <w:rPr>
      <w:rFonts w:eastAsia="Times New Roman"/>
      <w:lang w:val="en-US"/>
    </w:rPr>
    <w:tblPr>
      <w:tblCellMar>
        <w:left w:w="0" w:type="dxa"/>
        <w:right w:w="0" w:type="dxa"/>
      </w:tblCellMar>
    </w:tblPr>
  </w:style>
  <w:style w:type="character" w:customStyle="1" w:styleId="14">
    <w:name w:val="Заголовок 1 Знак"/>
    <w:basedOn w:val="4"/>
    <w:link w:val="2"/>
    <w:qFormat/>
    <w:uiPriority w:val="99"/>
    <w:rPr>
      <w:rFonts w:ascii="Times New Roman" w:hAnsi="Times New Roman" w:eastAsia="Times New Roman" w:cs="Times New Roman"/>
      <w:b/>
      <w:bCs/>
      <w:sz w:val="24"/>
      <w:szCs w:val="24"/>
      <w:lang w:eastAsia="ru-RU"/>
    </w:rPr>
  </w:style>
  <w:style w:type="character" w:customStyle="1" w:styleId="15">
    <w:name w:val="Заголовок 2 Знак"/>
    <w:basedOn w:val="4"/>
    <w:link w:val="3"/>
    <w:qFormat/>
    <w:uiPriority w:val="99"/>
    <w:rPr>
      <w:rFonts w:ascii="Times New Roman" w:hAnsi="Times New Roman" w:eastAsia="等线 Light" w:cs="Times New Roman"/>
      <w:color w:val="2E75B5"/>
      <w:sz w:val="24"/>
      <w:szCs w:val="24"/>
      <w:lang w:eastAsia="ru-RU"/>
    </w:rPr>
  </w:style>
  <w:style w:type="paragraph" w:customStyle="1" w:styleId="16">
    <w:name w:val="msonormal"/>
    <w:basedOn w:val="1"/>
    <w:qFormat/>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17">
    <w:name w:val="Основной текст Знак"/>
    <w:basedOn w:val="4"/>
    <w:link w:val="10"/>
    <w:qFormat/>
    <w:uiPriority w:val="99"/>
    <w:rPr>
      <w:rFonts w:ascii="Times New Roman" w:hAnsi="Times New Roman" w:eastAsia="Times New Roman" w:cs="Times New Roman"/>
      <w:sz w:val="24"/>
      <w:szCs w:val="24"/>
      <w:lang w:eastAsia="ru-RU"/>
    </w:rPr>
  </w:style>
  <w:style w:type="paragraph" w:customStyle="1" w:styleId="18">
    <w:name w:val="Table Paragraph"/>
    <w:basedOn w:val="1"/>
    <w:qFormat/>
    <w:uiPriority w:val="0"/>
    <w:pPr>
      <w:widowControl w:val="0"/>
      <w:autoSpaceDE w:val="0"/>
      <w:autoSpaceDN w:val="0"/>
      <w:spacing w:before="100" w:beforeAutospacing="1" w:after="100" w:afterAutospacing="1" w:line="240" w:lineRule="auto"/>
    </w:pPr>
    <w:rPr>
      <w:rFonts w:ascii="Times New Roman" w:hAnsi="Times New Roman" w:eastAsia="Times New Roman" w:cs="Times New Roman"/>
      <w:sz w:val="24"/>
      <w:szCs w:val="24"/>
      <w:lang w:eastAsia="ru-RU"/>
    </w:rPr>
  </w:style>
  <w:style w:type="paragraph" w:customStyle="1" w:styleId="19">
    <w:name w:val="List Paragraph1"/>
    <w:basedOn w:val="1"/>
    <w:qFormat/>
    <w:uiPriority w:val="0"/>
    <w:pPr>
      <w:widowControl w:val="0"/>
      <w:autoSpaceDE w:val="0"/>
      <w:autoSpaceDN w:val="0"/>
      <w:spacing w:before="100" w:beforeAutospacing="1" w:after="100" w:afterAutospacing="1" w:line="240" w:lineRule="auto"/>
      <w:jc w:val="both"/>
    </w:pPr>
    <w:rPr>
      <w:rFonts w:ascii="Times New Roman" w:hAnsi="Times New Roman" w:eastAsia="Times New Roman" w:cs="Times New Roman"/>
      <w:sz w:val="24"/>
      <w:szCs w:val="24"/>
      <w:lang w:eastAsia="ru-RU"/>
    </w:rPr>
  </w:style>
  <w:style w:type="character" w:customStyle="1" w:styleId="20">
    <w:name w:val="10"/>
    <w:basedOn w:val="4"/>
    <w:qFormat/>
    <w:uiPriority w:val="0"/>
    <w:rPr>
      <w:rFonts w:hint="default" w:ascii="Calibri" w:hAnsi="Calibri" w:cs="Calibri"/>
    </w:rPr>
  </w:style>
  <w:style w:type="character" w:customStyle="1" w:styleId="21">
    <w:name w:val="15"/>
    <w:basedOn w:val="4"/>
    <w:qFormat/>
    <w:uiPriority w:val="0"/>
    <w:rPr>
      <w:rFonts w:hint="default" w:ascii="Calibri" w:hAnsi="Calibri" w:cs="Calibri"/>
      <w:color w:val="0000FF"/>
      <w:u w:val="single"/>
    </w:rPr>
  </w:style>
  <w:style w:type="table" w:customStyle="1" w:styleId="22">
    <w:name w:val="Table Normal1"/>
    <w:basedOn w:val="5"/>
    <w:qFormat/>
    <w:uiPriority w:val="0"/>
    <w:pPr>
      <w:widowControl w:val="0"/>
      <w:autoSpaceDE w:val="0"/>
      <w:autoSpaceDN w:val="0"/>
    </w:pPr>
    <w:rPr>
      <w:rFonts w:eastAsia="Times New Roman"/>
      <w:lang w:val="en-US"/>
    </w:rPr>
    <w:tblPr>
      <w:tblCellMar>
        <w:left w:w="0" w:type="dxa"/>
        <w:right w:w="0" w:type="dxa"/>
      </w:tblCellMar>
    </w:tblPr>
  </w:style>
  <w:style w:type="paragraph" w:styleId="23">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notes" Target="footnotes.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111</Pages>
  <Words>29002</Words>
  <Characters>165312</Characters>
  <Lines>1377</Lines>
  <Paragraphs>387</Paragraphs>
  <TotalTime>22</TotalTime>
  <ScaleCrop>false</ScaleCrop>
  <LinksUpToDate>false</LinksUpToDate>
  <CharactersWithSpaces>193927</CharactersWithSpaces>
  <Application>WPS Office_12.2.0.20795_F1E327BC-269C-435d-A152-05C5408002CA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2025-05-06T02:08:00Z</dcterms:created>
  <dc:creator>Пользователь</dc:creator>
  <cp:lastModifiedBy>kgmuuser</cp:lastModifiedBy>
  <dcterms:modified xsi:type="dcterms:W3CDTF">2025-05-06T13:29:17Z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1049-12.2.0.20795</vt:lpwstr>
  </property>
  <property fmtid="{D5CDD505-2E9C-101B-9397-08002B2CF9AE}" pid="3" name="ICV">
    <vt:lpwstr>A5D1E0ECD2BE4454A794057FD704D2ED_13</vt:lpwstr>
  </property>
</Properties>
</file>